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القواعد الفقهیه تقریرات محمدالسند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729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83731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83733_1468164448">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983735_1468164448">
            <w:r>
              <w:rPr>
                <w:webHidden/>
                <w:rStyle w:val="IndexLink"/>
                <w:rtl w:val="true"/>
              </w:rPr>
              <w:t xml:space="preserve">قاعدة </w:t>
            </w:r>
            <w:r>
              <w:rPr>
                <w:rStyle w:val="IndexLink"/>
                <w:rtl w:val="true"/>
              </w:rPr>
              <w:t xml:space="preserve">: </w:t>
            </w:r>
            <w:r>
              <w:rPr>
                <w:rStyle w:val="IndexLink"/>
                <w:rtl w:val="true"/>
              </w:rPr>
              <w:t>العرض علی الکتاب والسنة</w:t>
            </w:r>
            <w:r>
              <w:rPr>
                <w:rStyle w:val="IndexLink"/>
                <w:rtl w:val="true"/>
              </w:rPr>
              <w:tab/>
            </w:r>
            <w:r>
              <w:rPr>
                <w:rStyle w:val="IndexLink"/>
              </w:rPr>
              <w:t>12</w:t>
            </w:r>
          </w:hyperlink>
        </w:p>
        <w:p>
          <w:pPr>
            <w:pStyle w:val="Contents3"/>
            <w:tabs>
              <w:tab w:val="clear" w:pos="8459"/>
              <w:tab w:val="right" w:pos="9026" w:leader="dot"/>
            </w:tabs>
            <w:rPr/>
          </w:pPr>
          <w:hyperlink w:anchor="__RefHeading___Toc983737_1468164448">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83739_1468164448">
            <w:r>
              <w:rPr>
                <w:webHidden/>
                <w:rStyle w:val="IndexLink"/>
                <w:rtl w:val="true"/>
              </w:rPr>
              <w:t>توطئة</w:t>
            </w:r>
            <w:r>
              <w:rPr>
                <w:rStyle w:val="IndexLink"/>
                <w:rtl w:val="true"/>
              </w:rPr>
              <w:t>:</w:t>
              <w:tab/>
            </w:r>
            <w:r>
              <w:rPr>
                <w:rStyle w:val="IndexLink"/>
              </w:rPr>
              <w:t>13</w:t>
            </w:r>
          </w:hyperlink>
        </w:p>
        <w:p>
          <w:pPr>
            <w:pStyle w:val="Contents3"/>
            <w:tabs>
              <w:tab w:val="clear" w:pos="8459"/>
              <w:tab w:val="right" w:pos="9026" w:leader="dot"/>
            </w:tabs>
            <w:rPr/>
          </w:pPr>
          <w:hyperlink w:anchor="__RefHeading___Toc983741_1468164448">
            <w:r>
              <w:rPr>
                <w:webHidden/>
                <w:rStyle w:val="IndexLink"/>
                <w:rtl w:val="true"/>
              </w:rPr>
              <w:t>عدم نفوذ الشرط المخالف للکتاب والسنّة</w:t>
            </w:r>
            <w:r>
              <w:rPr>
                <w:rStyle w:val="IndexLink"/>
                <w:rtl w:val="true"/>
              </w:rPr>
              <w:t>:</w:t>
              <w:tab/>
            </w:r>
            <w:r>
              <w:rPr>
                <w:rStyle w:val="IndexLink"/>
              </w:rPr>
              <w:t>13</w:t>
            </w:r>
          </w:hyperlink>
        </w:p>
        <w:p>
          <w:pPr>
            <w:pStyle w:val="Contents3"/>
            <w:tabs>
              <w:tab w:val="clear" w:pos="8459"/>
              <w:tab w:val="right" w:pos="9026" w:leader="dot"/>
            </w:tabs>
            <w:rPr/>
          </w:pPr>
          <w:hyperlink w:anchor="__RefHeading___Toc983743_1468164448">
            <w:r>
              <w:rPr>
                <w:webHidden/>
                <w:rStyle w:val="IndexLink"/>
                <w:rtl w:val="true"/>
              </w:rPr>
              <w:t>صعوبة البحث فی هذه القاعدة</w:t>
            </w:r>
            <w:r>
              <w:rPr>
                <w:rStyle w:val="IndexLink"/>
                <w:rtl w:val="true"/>
              </w:rPr>
              <w:t>:</w:t>
              <w:tab/>
            </w:r>
            <w:r>
              <w:rPr>
                <w:rStyle w:val="IndexLink"/>
              </w:rPr>
              <w:t>14</w:t>
            </w:r>
          </w:hyperlink>
        </w:p>
        <w:p>
          <w:pPr>
            <w:pStyle w:val="Contents3"/>
            <w:tabs>
              <w:tab w:val="clear" w:pos="8459"/>
              <w:tab w:val="right" w:pos="9026" w:leader="dot"/>
            </w:tabs>
            <w:rPr/>
          </w:pPr>
          <w:hyperlink w:anchor="__RefHeading___Toc983745_1468164448">
            <w:r>
              <w:rPr>
                <w:webHidden/>
                <w:rStyle w:val="IndexLink"/>
                <w:rtl w:val="true"/>
              </w:rPr>
              <w:t>بیان حقیقة البحث سواء فی طرف موضوع القاعدة أو محمولها أو متعلّقها</w:t>
            </w:r>
            <w:r>
              <w:rPr>
                <w:rStyle w:val="IndexLink"/>
                <w:rtl w:val="true"/>
              </w:rPr>
              <w:t>:</w:t>
              <w:tab/>
            </w:r>
            <w:r>
              <w:rPr>
                <w:rStyle w:val="IndexLink"/>
              </w:rPr>
              <w:t>22</w:t>
            </w:r>
          </w:hyperlink>
        </w:p>
        <w:p>
          <w:pPr>
            <w:pStyle w:val="Contents3"/>
            <w:tabs>
              <w:tab w:val="clear" w:pos="8459"/>
              <w:tab w:val="right" w:pos="9026" w:leader="dot"/>
            </w:tabs>
            <w:rPr/>
          </w:pPr>
          <w:hyperlink w:anchor="__RefHeading___Toc983747_1468164448">
            <w:r>
              <w:rPr>
                <w:webHidden/>
                <w:rStyle w:val="IndexLink"/>
                <w:rtl w:val="true"/>
              </w:rPr>
              <w:t>فقه الروایات من خلال فوائد</w:t>
            </w:r>
            <w:r>
              <w:rPr>
                <w:rStyle w:val="IndexLink"/>
                <w:rtl w:val="true"/>
              </w:rPr>
              <w:t>:</w:t>
              <w:tab/>
            </w:r>
            <w:r>
              <w:rPr>
                <w:rStyle w:val="IndexLink"/>
              </w:rPr>
              <w:t>29</w:t>
            </w:r>
          </w:hyperlink>
        </w:p>
        <w:p>
          <w:pPr>
            <w:pStyle w:val="Contents3"/>
            <w:tabs>
              <w:tab w:val="clear" w:pos="8459"/>
              <w:tab w:val="right" w:pos="9026" w:leader="dot"/>
            </w:tabs>
            <w:rPr/>
          </w:pPr>
          <w:hyperlink w:anchor="__RefHeading___Toc983749_1468164448">
            <w:r>
              <w:rPr>
                <w:webHidden/>
                <w:rStyle w:val="IndexLink"/>
                <w:rtl w:val="true"/>
              </w:rPr>
              <w:t>ضوابط المخالفة فی کلمات الاعلام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983751_1468164448">
            <w:r>
              <w:rPr>
                <w:webHidden/>
                <w:rStyle w:val="IndexLink"/>
                <w:rtl w:val="true"/>
              </w:rPr>
              <w:t xml:space="preserve">قاعدة </w:t>
            </w:r>
            <w:r>
              <w:rPr>
                <w:rStyle w:val="IndexLink"/>
                <w:rtl w:val="true"/>
              </w:rPr>
              <w:t>:</w:t>
            </w:r>
            <w:r>
              <w:rPr>
                <w:rStyle w:val="IndexLink"/>
                <w:rtl w:val="true"/>
              </w:rPr>
              <w:t>العقود تابعة للقصود</w:t>
            </w:r>
            <w:r>
              <w:rPr>
                <w:rStyle w:val="IndexLink"/>
                <w:rtl w:val="true"/>
              </w:rPr>
              <w:tab/>
            </w:r>
            <w:r>
              <w:rPr>
                <w:rStyle w:val="IndexLink"/>
              </w:rPr>
              <w:t>48</w:t>
            </w:r>
          </w:hyperlink>
        </w:p>
        <w:p>
          <w:pPr>
            <w:pStyle w:val="Contents3"/>
            <w:tabs>
              <w:tab w:val="clear" w:pos="8459"/>
              <w:tab w:val="right" w:pos="9026" w:leader="dot"/>
            </w:tabs>
            <w:rPr/>
          </w:pPr>
          <w:hyperlink w:anchor="__RefHeading___Toc983753_1468164448">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83755_1468164448">
            <w:r>
              <w:rPr>
                <w:webHidden/>
                <w:rStyle w:val="IndexLink"/>
                <w:rtl w:val="true"/>
              </w:rPr>
              <w:t>تحریر محل الاعتراض والبحث</w:t>
            </w:r>
            <w:r>
              <w:rPr>
                <w:rStyle w:val="IndexLink"/>
                <w:rtl w:val="true"/>
              </w:rPr>
              <w:t>:</w:t>
              <w:tab/>
            </w:r>
            <w:r>
              <w:rPr>
                <w:rStyle w:val="IndexLink"/>
              </w:rPr>
              <w:t>49</w:t>
            </w:r>
          </w:hyperlink>
        </w:p>
        <w:p>
          <w:pPr>
            <w:pStyle w:val="Contents3"/>
            <w:tabs>
              <w:tab w:val="clear" w:pos="8459"/>
              <w:tab w:val="right" w:pos="9026" w:leader="dot"/>
            </w:tabs>
            <w:rPr/>
          </w:pPr>
          <w:hyperlink w:anchor="__RefHeading___Toc983757_1468164448">
            <w:r>
              <w:rPr>
                <w:webHidden/>
                <w:rStyle w:val="IndexLink"/>
                <w:rtl w:val="true"/>
              </w:rPr>
              <w:t>المستفاد من القاعدة</w:t>
            </w:r>
            <w:r>
              <w:rPr>
                <w:rStyle w:val="IndexLink"/>
                <w:rtl w:val="true"/>
              </w:rPr>
              <w:t>:</w:t>
              <w:tab/>
            </w:r>
            <w:r>
              <w:rPr>
                <w:rStyle w:val="IndexLink"/>
              </w:rPr>
              <w:t>50</w:t>
            </w:r>
          </w:hyperlink>
        </w:p>
        <w:p>
          <w:pPr>
            <w:pStyle w:val="Contents2"/>
            <w:tabs>
              <w:tab w:val="clear" w:pos="8743"/>
              <w:tab w:val="right" w:pos="9026" w:leader="dot"/>
            </w:tabs>
            <w:rPr/>
          </w:pPr>
          <w:hyperlink w:anchor="__RefHeading___Toc983759_1468164448">
            <w:r>
              <w:rPr>
                <w:webHidden/>
                <w:rStyle w:val="IndexLink"/>
                <w:rtl w:val="true"/>
              </w:rPr>
              <w:t xml:space="preserve">قاعدة </w:t>
            </w:r>
            <w:r>
              <w:rPr>
                <w:rStyle w:val="IndexLink"/>
                <w:rtl w:val="true"/>
              </w:rPr>
              <w:t>:</w:t>
            </w:r>
            <w:r>
              <w:rPr>
                <w:rStyle w:val="IndexLink"/>
                <w:rtl w:val="true"/>
              </w:rPr>
              <w:t>لا تبع ما لیس عندک</w:t>
            </w:r>
            <w:r>
              <w:rPr>
                <w:rStyle w:val="IndexLink"/>
                <w:rtl w:val="true"/>
              </w:rPr>
              <w:tab/>
            </w:r>
            <w:r>
              <w:rPr>
                <w:rStyle w:val="IndexLink"/>
              </w:rPr>
              <w:t>61</w:t>
            </w:r>
          </w:hyperlink>
        </w:p>
        <w:p>
          <w:pPr>
            <w:pStyle w:val="Contents3"/>
            <w:tabs>
              <w:tab w:val="clear" w:pos="8459"/>
              <w:tab w:val="right" w:pos="9026" w:leader="dot"/>
            </w:tabs>
            <w:rPr/>
          </w:pPr>
          <w:hyperlink w:anchor="__RefHeading___Toc983761_1468164448">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983763_1468164448">
            <w:r>
              <w:rPr>
                <w:webHidden/>
                <w:rStyle w:val="IndexLink"/>
                <w:rtl w:val="true"/>
              </w:rPr>
              <w:t>الرجوع إلی الأخبار</w:t>
            </w:r>
            <w:r>
              <w:rPr>
                <w:rStyle w:val="IndexLink"/>
                <w:rtl w:val="true"/>
              </w:rPr>
              <w:t>:</w:t>
              <w:tab/>
            </w:r>
            <w:r>
              <w:rPr>
                <w:rStyle w:val="IndexLink"/>
              </w:rPr>
              <w:t>85</w:t>
            </w:r>
          </w:hyperlink>
        </w:p>
        <w:p>
          <w:pPr>
            <w:pStyle w:val="Contents2"/>
            <w:tabs>
              <w:tab w:val="clear" w:pos="8743"/>
              <w:tab w:val="right" w:pos="9026" w:leader="dot"/>
            </w:tabs>
            <w:rPr/>
          </w:pPr>
          <w:hyperlink w:anchor="__RefHeading___Toc983765_1468164448">
            <w:r>
              <w:rPr>
                <w:webHidden/>
                <w:rStyle w:val="IndexLink"/>
                <w:rtl w:val="true"/>
              </w:rPr>
              <w:t xml:space="preserve">قاعدة </w:t>
            </w:r>
            <w:r>
              <w:rPr>
                <w:rStyle w:val="IndexLink"/>
                <w:rtl w:val="true"/>
              </w:rPr>
              <w:t>:</w:t>
            </w:r>
            <w:r>
              <w:rPr>
                <w:rStyle w:val="IndexLink"/>
                <w:rtl w:val="true"/>
              </w:rPr>
              <w:t>عمد الصبی خطأ</w:t>
            </w:r>
            <w:r>
              <w:rPr>
                <w:rStyle w:val="IndexLink"/>
                <w:rtl w:val="true"/>
              </w:rPr>
              <w:tab/>
            </w:r>
            <w:r>
              <w:rPr>
                <w:rStyle w:val="IndexLink"/>
              </w:rPr>
              <w:t>94</w:t>
            </w:r>
          </w:hyperlink>
        </w:p>
        <w:p>
          <w:pPr>
            <w:pStyle w:val="Contents3"/>
            <w:tabs>
              <w:tab w:val="clear" w:pos="8459"/>
              <w:tab w:val="right" w:pos="9026" w:leader="dot"/>
            </w:tabs>
            <w:rPr/>
          </w:pPr>
          <w:hyperlink w:anchor="__RefHeading___Toc983767_1468164448">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983769_1468164448">
            <w:r>
              <w:rPr>
                <w:webHidden/>
                <w:rStyle w:val="IndexLink"/>
                <w:rtl w:val="true"/>
              </w:rPr>
              <w:t>فرع فیه تدقیق فی معنی القاعدة</w:t>
            </w:r>
            <w:r>
              <w:rPr>
                <w:rStyle w:val="IndexLink"/>
                <w:rtl w:val="true"/>
              </w:rPr>
              <w:t>:</w:t>
              <w:tab/>
            </w:r>
            <w:r>
              <w:rPr>
                <w:rStyle w:val="IndexLink"/>
              </w:rPr>
              <w:t>99</w:t>
            </w:r>
          </w:hyperlink>
        </w:p>
        <w:p>
          <w:pPr>
            <w:pStyle w:val="Contents2"/>
            <w:tabs>
              <w:tab w:val="clear" w:pos="8743"/>
              <w:tab w:val="right" w:pos="9026" w:leader="dot"/>
            </w:tabs>
            <w:rPr/>
          </w:pPr>
          <w:hyperlink w:anchor="__RefHeading___Toc983771_1468164448">
            <w:r>
              <w:rPr>
                <w:webHidden/>
                <w:rStyle w:val="IndexLink"/>
                <w:rtl w:val="true"/>
              </w:rPr>
              <w:t xml:space="preserve">قاعدة </w:t>
            </w:r>
            <w:r>
              <w:rPr>
                <w:rStyle w:val="IndexLink"/>
                <w:rtl w:val="true"/>
              </w:rPr>
              <w:t>:</w:t>
            </w:r>
            <w:r>
              <w:rPr>
                <w:rStyle w:val="IndexLink"/>
                <w:rtl w:val="true"/>
              </w:rPr>
              <w:t>لزوم العسر والحرج</w:t>
            </w:r>
            <w:r>
              <w:rPr>
                <w:rStyle w:val="IndexLink"/>
                <w:rtl w:val="true"/>
              </w:rPr>
              <w:tab/>
            </w:r>
            <w:r>
              <w:rPr>
                <w:rStyle w:val="IndexLink"/>
              </w:rPr>
              <w:t>103</w:t>
            </w:r>
          </w:hyperlink>
        </w:p>
        <w:p>
          <w:pPr>
            <w:pStyle w:val="Contents3"/>
            <w:tabs>
              <w:tab w:val="clear" w:pos="8459"/>
              <w:tab w:val="right" w:pos="9026" w:leader="dot"/>
            </w:tabs>
            <w:rPr/>
          </w:pPr>
          <w:hyperlink w:anchor="__RefHeading___Toc983773_1468164448">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983775_1468164448">
            <w:r>
              <w:rPr>
                <w:webHidden/>
                <w:rStyle w:val="IndexLink"/>
                <w:rtl w:val="true"/>
              </w:rPr>
              <w:t>لزوم العسر والحرج بمعنیین</w:t>
            </w:r>
            <w:r>
              <w:rPr>
                <w:rStyle w:val="IndexLink"/>
                <w:rtl w:val="true"/>
              </w:rPr>
              <w:tab/>
            </w:r>
            <w:r>
              <w:rPr>
                <w:rStyle w:val="IndexLink"/>
              </w:rPr>
              <w:t>104</w:t>
            </w:r>
          </w:hyperlink>
        </w:p>
        <w:p>
          <w:pPr>
            <w:pStyle w:val="Contents3"/>
            <w:tabs>
              <w:tab w:val="clear" w:pos="8459"/>
              <w:tab w:val="right" w:pos="9026" w:leader="dot"/>
            </w:tabs>
            <w:rPr/>
          </w:pPr>
          <w:hyperlink w:anchor="__RefHeading___Toc983777_1468164448">
            <w:r>
              <w:rPr>
                <w:webHidden/>
                <w:rStyle w:val="IndexLink"/>
                <w:rtl w:val="true"/>
              </w:rPr>
              <w:t>وتطبیقها کدلیل علی ملکیة الدولة</w:t>
            </w:r>
            <w:r>
              <w:rPr>
                <w:rStyle w:val="IndexLink"/>
                <w:rtl w:val="true"/>
              </w:rPr>
              <w:tab/>
            </w:r>
            <w:r>
              <w:rPr>
                <w:rStyle w:val="IndexLink"/>
              </w:rPr>
              <w:t>104</w:t>
            </w:r>
          </w:hyperlink>
        </w:p>
        <w:p>
          <w:pPr>
            <w:pStyle w:val="Contents4"/>
            <w:tabs>
              <w:tab w:val="clear" w:pos="8176"/>
              <w:tab w:val="right" w:pos="9026" w:leader="dot"/>
            </w:tabs>
            <w:rPr/>
          </w:pPr>
          <w:hyperlink w:anchor="__RefHeading___Toc983779_1468164448">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983781_1468164448">
            <w:r>
              <w:rPr>
                <w:webHidden/>
                <w:rStyle w:val="IndexLink"/>
                <w:rtl w:val="true"/>
              </w:rPr>
              <w:t>نماذج تطبیقیة للقاعدة الثانیة للحرج</w:t>
            </w:r>
            <w:r>
              <w:rPr>
                <w:rStyle w:val="IndexLink"/>
                <w:rtl w:val="true"/>
              </w:rPr>
              <w:t>:</w:t>
              <w:tab/>
            </w:r>
            <w:r>
              <w:rPr>
                <w:rStyle w:val="IndexLink"/>
              </w:rPr>
              <w:t>108</w:t>
            </w:r>
          </w:hyperlink>
        </w:p>
        <w:p>
          <w:pPr>
            <w:pStyle w:val="Contents4"/>
            <w:tabs>
              <w:tab w:val="clear" w:pos="8176"/>
              <w:tab w:val="right" w:pos="9026" w:leader="dot"/>
            </w:tabs>
            <w:rPr/>
          </w:pPr>
          <w:hyperlink w:anchor="__RefHeading___Toc983783_1468164448">
            <w:r>
              <w:rPr>
                <w:webHidden/>
                <w:rStyle w:val="IndexLink"/>
                <w:rtl w:val="true"/>
              </w:rPr>
              <w:t>إثبات الصغری</w:t>
            </w:r>
            <w:r>
              <w:rPr>
                <w:rStyle w:val="IndexLink"/>
                <w:rtl w:val="true"/>
              </w:rPr>
              <w:t>:</w:t>
              <w:tab/>
            </w:r>
            <w:r>
              <w:rPr>
                <w:rStyle w:val="IndexLink"/>
              </w:rPr>
              <w:t>111</w:t>
            </w:r>
          </w:hyperlink>
        </w:p>
        <w:p>
          <w:pPr>
            <w:pStyle w:val="Contents4"/>
            <w:tabs>
              <w:tab w:val="clear" w:pos="8176"/>
              <w:tab w:val="right" w:pos="9026" w:leader="dot"/>
            </w:tabs>
            <w:rPr/>
          </w:pPr>
          <w:hyperlink w:anchor="__RefHeading___Toc983785_1468164448">
            <w:r>
              <w:rPr>
                <w:webHidden/>
                <w:rStyle w:val="IndexLink"/>
                <w:rtl w:val="true"/>
              </w:rPr>
              <w:t>خلاصة دفع التفصی</w:t>
            </w:r>
            <w:r>
              <w:rPr>
                <w:rStyle w:val="IndexLink"/>
                <w:rtl w:val="true"/>
              </w:rPr>
              <w:t>.</w:t>
              <w:tab/>
            </w:r>
            <w:r>
              <w:rPr>
                <w:rStyle w:val="IndexLink"/>
              </w:rPr>
              <w:t>112</w:t>
            </w:r>
          </w:hyperlink>
        </w:p>
        <w:p>
          <w:pPr>
            <w:pStyle w:val="Contents4"/>
            <w:tabs>
              <w:tab w:val="clear" w:pos="8176"/>
              <w:tab w:val="right" w:pos="9026" w:leader="dot"/>
            </w:tabs>
            <w:rPr/>
          </w:pPr>
          <w:hyperlink w:anchor="__RefHeading___Toc983787_1468164448">
            <w:r>
              <w:rPr>
                <w:webHidden/>
                <w:rStyle w:val="IndexLink"/>
                <w:rtl w:val="true"/>
              </w:rPr>
              <w:t>تفصی بعض الاعلام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983789_1468164448">
            <w:r>
              <w:rPr>
                <w:webHidden/>
                <w:rStyle w:val="IndexLink"/>
                <w:rtl w:val="true"/>
              </w:rPr>
              <w:t xml:space="preserve">قاعدة </w:t>
            </w:r>
            <w:r>
              <w:rPr>
                <w:rStyle w:val="IndexLink"/>
                <w:rtl w:val="true"/>
              </w:rPr>
              <w:t>:</w:t>
            </w:r>
            <w:r>
              <w:rPr>
                <w:rStyle w:val="IndexLink"/>
                <w:rtl w:val="true"/>
              </w:rPr>
              <w:t>لا ضرر</w:t>
            </w:r>
            <w:r>
              <w:rPr>
                <w:rStyle w:val="IndexLink"/>
                <w:rtl w:val="true"/>
              </w:rPr>
              <w:tab/>
            </w:r>
            <w:r>
              <w:rPr>
                <w:rStyle w:val="IndexLink"/>
              </w:rPr>
              <w:t>117</w:t>
            </w:r>
          </w:hyperlink>
        </w:p>
        <w:p>
          <w:pPr>
            <w:pStyle w:val="Contents3"/>
            <w:tabs>
              <w:tab w:val="clear" w:pos="8459"/>
              <w:tab w:val="right" w:pos="9026" w:leader="dot"/>
            </w:tabs>
            <w:rPr/>
          </w:pPr>
          <w:hyperlink w:anchor="__RefHeading___Toc983791_1468164448">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983793_1468164448">
            <w:r>
              <w:rPr>
                <w:webHidden/>
                <w:rStyle w:val="IndexLink"/>
                <w:rtl w:val="true"/>
              </w:rPr>
              <w:t>تطبیقها فی مورد عدم جواز الترقیع والتصرف ببدن الانسان انموذجا</w:t>
            </w:r>
            <w:r>
              <w:rPr>
                <w:rStyle w:val="IndexLink"/>
                <w:rtl w:val="true"/>
              </w:rPr>
              <w:tab/>
            </w:r>
            <w:r>
              <w:rPr>
                <w:rStyle w:val="IndexLink"/>
              </w:rPr>
              <w:t>118</w:t>
            </w:r>
          </w:hyperlink>
        </w:p>
        <w:p>
          <w:pPr>
            <w:pStyle w:val="Contents2"/>
            <w:tabs>
              <w:tab w:val="clear" w:pos="8743"/>
              <w:tab w:val="right" w:pos="9026" w:leader="dot"/>
            </w:tabs>
            <w:rPr/>
          </w:pPr>
          <w:hyperlink w:anchor="__RefHeading___Toc983795_1468164448">
            <w:r>
              <w:rPr>
                <w:webHidden/>
                <w:rStyle w:val="IndexLink"/>
                <w:rtl w:val="true"/>
              </w:rPr>
              <w:t xml:space="preserve">قاعدة </w:t>
            </w:r>
            <w:r>
              <w:rPr>
                <w:rStyle w:val="IndexLink"/>
                <w:rtl w:val="true"/>
              </w:rPr>
              <w:t>:</w:t>
            </w:r>
            <w:r>
              <w:rPr>
                <w:rStyle w:val="IndexLink"/>
                <w:rtl w:val="true"/>
              </w:rPr>
              <w:t>إن المتنجس ینجس</w:t>
            </w:r>
            <w:r>
              <w:rPr>
                <w:rStyle w:val="IndexLink"/>
                <w:rtl w:val="true"/>
              </w:rPr>
              <w:tab/>
            </w:r>
            <w:r>
              <w:rPr>
                <w:rStyle w:val="IndexLink"/>
              </w:rPr>
              <w:t>127</w:t>
            </w:r>
          </w:hyperlink>
        </w:p>
        <w:p>
          <w:pPr>
            <w:pStyle w:val="Contents3"/>
            <w:tabs>
              <w:tab w:val="clear" w:pos="8459"/>
              <w:tab w:val="right" w:pos="9026" w:leader="dot"/>
            </w:tabs>
            <w:rPr/>
          </w:pPr>
          <w:hyperlink w:anchor="__RefHeading___Toc983797_1468164448">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983799_1468164448">
            <w:r>
              <w:rPr>
                <w:webHidden/>
                <w:rStyle w:val="IndexLink"/>
                <w:rtl w:val="true"/>
              </w:rPr>
              <w:t>القاعدة فی کلمات الفقهاء</w:t>
            </w:r>
            <w:r>
              <w:rPr>
                <w:rStyle w:val="IndexLink"/>
                <w:rtl w:val="true"/>
              </w:rPr>
              <w:t>:</w:t>
              <w:tab/>
            </w:r>
            <w:r>
              <w:rPr>
                <w:rStyle w:val="IndexLink"/>
              </w:rPr>
              <w:t>128</w:t>
            </w:r>
          </w:hyperlink>
        </w:p>
        <w:p>
          <w:pPr>
            <w:pStyle w:val="Contents3"/>
            <w:tabs>
              <w:tab w:val="clear" w:pos="8459"/>
              <w:tab w:val="right" w:pos="9026" w:leader="dot"/>
            </w:tabs>
            <w:rPr/>
          </w:pPr>
          <w:hyperlink w:anchor="__RefHeading___Toc983801_1468164448">
            <w:r>
              <w:rPr>
                <w:webHidden/>
                <w:rStyle w:val="IndexLink"/>
                <w:rtl w:val="true"/>
              </w:rPr>
              <w:t>روایات معارضة</w:t>
            </w:r>
            <w:r>
              <w:rPr>
                <w:rStyle w:val="IndexLink"/>
                <w:rtl w:val="true"/>
              </w:rPr>
              <w:t>:</w:t>
              <w:tab/>
            </w:r>
            <w:r>
              <w:rPr>
                <w:rStyle w:val="IndexLink"/>
              </w:rPr>
              <w:t>133</w:t>
            </w:r>
          </w:hyperlink>
        </w:p>
        <w:p>
          <w:pPr>
            <w:pStyle w:val="Contents3"/>
            <w:tabs>
              <w:tab w:val="clear" w:pos="8459"/>
              <w:tab w:val="right" w:pos="9026" w:leader="dot"/>
            </w:tabs>
            <w:rPr/>
          </w:pPr>
          <w:hyperlink w:anchor="__RefHeading___Toc983803_1468164448">
            <w:r>
              <w:rPr>
                <w:webHidden/>
                <w:rStyle w:val="IndexLink"/>
                <w:rtl w:val="true"/>
              </w:rPr>
              <w:t>فرعان</w:t>
            </w:r>
            <w:r>
              <w:rPr>
                <w:rStyle w:val="IndexLink"/>
                <w:rtl w:val="true"/>
              </w:rPr>
              <w:t>:</w:t>
              <w:tab/>
            </w:r>
            <w:r>
              <w:rPr>
                <w:rStyle w:val="IndexLink"/>
              </w:rPr>
              <w:t>138</w:t>
            </w:r>
          </w:hyperlink>
        </w:p>
        <w:p>
          <w:pPr>
            <w:pStyle w:val="Contents2"/>
            <w:tabs>
              <w:tab w:val="clear" w:pos="8743"/>
              <w:tab w:val="right" w:pos="9026" w:leader="dot"/>
            </w:tabs>
            <w:rPr/>
          </w:pPr>
          <w:hyperlink w:anchor="__RefHeading___Toc983805_1468164448">
            <w:r>
              <w:rPr>
                <w:webHidden/>
                <w:rStyle w:val="IndexLink"/>
                <w:rtl w:val="true"/>
              </w:rPr>
              <w:t xml:space="preserve">قاعدة </w:t>
            </w:r>
            <w:r>
              <w:rPr>
                <w:rStyle w:val="IndexLink"/>
                <w:rtl w:val="true"/>
              </w:rPr>
              <w:t>:</w:t>
            </w:r>
            <w:r>
              <w:rPr>
                <w:rStyle w:val="IndexLink"/>
                <w:rtl w:val="true"/>
              </w:rPr>
              <w:t>فی تعیین المالک لما یقابل الدین والوصیة من الترکة</w:t>
            </w:r>
            <w:r>
              <w:rPr>
                <w:rStyle w:val="IndexLink"/>
                <w:rtl w:val="true"/>
              </w:rPr>
              <w:tab/>
            </w:r>
            <w:r>
              <w:rPr>
                <w:rStyle w:val="IndexLink"/>
              </w:rPr>
              <w:t>140</w:t>
            </w:r>
          </w:hyperlink>
        </w:p>
        <w:p>
          <w:pPr>
            <w:pStyle w:val="Contents3"/>
            <w:tabs>
              <w:tab w:val="clear" w:pos="8459"/>
              <w:tab w:val="right" w:pos="9026" w:leader="dot"/>
            </w:tabs>
            <w:rPr/>
          </w:pPr>
          <w:hyperlink w:anchor="__RefHeading___Toc983807_1468164448">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983809_1468164448">
            <w:r>
              <w:rPr>
                <w:webHidden/>
                <w:rStyle w:val="IndexLink"/>
                <w:rtl w:val="true"/>
              </w:rPr>
              <w:t>الأقوال فی المسالة</w:t>
            </w:r>
            <w:r>
              <w:rPr>
                <w:rStyle w:val="IndexLink"/>
                <w:rtl w:val="true"/>
              </w:rPr>
              <w:t>:</w:t>
              <w:tab/>
            </w:r>
            <w:r>
              <w:rPr>
                <w:rStyle w:val="IndexLink"/>
              </w:rPr>
              <w:t>141</w:t>
            </w:r>
          </w:hyperlink>
        </w:p>
        <w:p>
          <w:pPr>
            <w:pStyle w:val="Contents3"/>
            <w:tabs>
              <w:tab w:val="clear" w:pos="8459"/>
              <w:tab w:val="right" w:pos="9026" w:leader="dot"/>
            </w:tabs>
            <w:rPr/>
          </w:pPr>
          <w:hyperlink w:anchor="__RefHeading___Toc983811_1468164448">
            <w:r>
              <w:rPr>
                <w:webHidden/>
                <w:rStyle w:val="IndexLink"/>
                <w:rtl w:val="true"/>
              </w:rPr>
              <w:t>الجهة الأولی</w:t>
            </w:r>
            <w:r>
              <w:rPr>
                <w:rStyle w:val="IndexLink"/>
                <w:rtl w:val="true"/>
              </w:rPr>
              <w:t xml:space="preserve">: </w:t>
            </w:r>
            <w:r>
              <w:rPr>
                <w:rStyle w:val="IndexLink"/>
                <w:rtl w:val="true"/>
              </w:rPr>
              <w:t>أدلّة الأقوال</w:t>
            </w:r>
            <w:r>
              <w:rPr>
                <w:rStyle w:val="IndexLink"/>
                <w:rtl w:val="true"/>
              </w:rPr>
              <w:tab/>
            </w:r>
            <w:r>
              <w:rPr>
                <w:rStyle w:val="IndexLink"/>
              </w:rPr>
              <w:t>141</w:t>
            </w:r>
          </w:hyperlink>
        </w:p>
        <w:p>
          <w:pPr>
            <w:pStyle w:val="Contents3"/>
            <w:tabs>
              <w:tab w:val="clear" w:pos="8459"/>
              <w:tab w:val="right" w:pos="9026" w:leader="dot"/>
            </w:tabs>
            <w:rPr/>
          </w:pPr>
          <w:hyperlink w:anchor="__RefHeading___Toc983813_1468164448">
            <w:r>
              <w:rPr>
                <w:webHidden/>
                <w:rStyle w:val="IndexLink"/>
                <w:rtl w:val="true"/>
              </w:rPr>
              <w:t>الجهة الثانیة</w:t>
            </w:r>
            <w:r>
              <w:rPr>
                <w:rStyle w:val="IndexLink"/>
                <w:rtl w:val="true"/>
              </w:rPr>
              <w:t xml:space="preserve">: </w:t>
            </w:r>
            <w:r>
              <w:rPr>
                <w:rStyle w:val="IndexLink"/>
                <w:rtl w:val="true"/>
              </w:rPr>
              <w:t>تحقیق الحال فی الأقوال</w:t>
            </w:r>
            <w:r>
              <w:rPr>
                <w:rStyle w:val="IndexLink"/>
                <w:rtl w:val="true"/>
              </w:rPr>
              <w:t>:</w:t>
              <w:tab/>
            </w:r>
            <w:r>
              <w:rPr>
                <w:rStyle w:val="IndexLink"/>
              </w:rPr>
              <w:t>143</w:t>
            </w:r>
          </w:hyperlink>
        </w:p>
        <w:p>
          <w:pPr>
            <w:pStyle w:val="Contents3"/>
            <w:tabs>
              <w:tab w:val="clear" w:pos="8459"/>
              <w:tab w:val="right" w:pos="9026" w:leader="dot"/>
            </w:tabs>
            <w:rPr/>
          </w:pPr>
          <w:hyperlink w:anchor="__RefHeading___Toc983815_1468164448">
            <w:r>
              <w:rPr>
                <w:webHidden/>
                <w:rStyle w:val="IndexLink"/>
                <w:rtl w:val="true"/>
              </w:rPr>
              <w:t>الجهة الثالثة</w:t>
            </w:r>
            <w:r>
              <w:rPr>
                <w:rStyle w:val="IndexLink"/>
                <w:rtl w:val="true"/>
              </w:rPr>
              <w:t>:</w:t>
              <w:tab/>
            </w:r>
            <w:r>
              <w:rPr>
                <w:rStyle w:val="IndexLink"/>
              </w:rPr>
              <w:t>147</w:t>
            </w:r>
          </w:hyperlink>
        </w:p>
        <w:p>
          <w:pPr>
            <w:pStyle w:val="Contents3"/>
            <w:tabs>
              <w:tab w:val="clear" w:pos="8459"/>
              <w:tab w:val="right" w:pos="9026" w:leader="dot"/>
            </w:tabs>
            <w:rPr/>
          </w:pPr>
          <w:hyperlink w:anchor="__RefHeading___Toc983817_1468164448">
            <w:r>
              <w:rPr>
                <w:webHidden/>
                <w:rStyle w:val="IndexLink"/>
                <w:rtl w:val="true"/>
              </w:rPr>
              <w:t>الجهة الرابعة</w:t>
            </w:r>
            <w:r>
              <w:rPr>
                <w:rStyle w:val="IndexLink"/>
                <w:rtl w:val="true"/>
              </w:rPr>
              <w:t>:</w:t>
              <w:tab/>
            </w:r>
            <w:r>
              <w:rPr>
                <w:rStyle w:val="IndexLink"/>
              </w:rPr>
              <w:t>148</w:t>
            </w:r>
          </w:hyperlink>
        </w:p>
        <w:p>
          <w:pPr>
            <w:pStyle w:val="Contents3"/>
            <w:tabs>
              <w:tab w:val="clear" w:pos="8459"/>
              <w:tab w:val="right" w:pos="9026" w:leader="dot"/>
            </w:tabs>
            <w:rPr/>
          </w:pPr>
          <w:hyperlink w:anchor="__RefHeading___Toc983819_1468164448">
            <w:r>
              <w:rPr>
                <w:webHidden/>
                <w:rStyle w:val="IndexLink"/>
                <w:rtl w:val="true"/>
              </w:rPr>
              <w:t>الجهة الخامسة</w:t>
            </w:r>
            <w:r>
              <w:rPr>
                <w:rStyle w:val="IndexLink"/>
                <w:rtl w:val="true"/>
              </w:rPr>
              <w:t>:</w:t>
              <w:tab/>
            </w:r>
            <w:r>
              <w:rPr>
                <w:rStyle w:val="IndexLink"/>
              </w:rPr>
              <w:t>149</w:t>
            </w:r>
          </w:hyperlink>
        </w:p>
        <w:p>
          <w:pPr>
            <w:pStyle w:val="Contents2"/>
            <w:tabs>
              <w:tab w:val="clear" w:pos="8743"/>
              <w:tab w:val="right" w:pos="9026" w:leader="dot"/>
            </w:tabs>
            <w:rPr/>
          </w:pPr>
          <w:hyperlink w:anchor="__RefHeading___Toc983821_1468164448">
            <w:r>
              <w:rPr>
                <w:webHidden/>
                <w:rStyle w:val="IndexLink"/>
                <w:rtl w:val="true"/>
              </w:rPr>
              <w:t xml:space="preserve">قاعدة </w:t>
            </w:r>
            <w:r>
              <w:rPr>
                <w:rStyle w:val="IndexLink"/>
                <w:rtl w:val="true"/>
              </w:rPr>
              <w:t>:</w:t>
            </w:r>
            <w:r>
              <w:rPr>
                <w:rStyle w:val="IndexLink"/>
                <w:rtl w:val="true"/>
              </w:rPr>
              <w:t>شرطیة إذن الأب فی أعمال الصبی</w:t>
            </w:r>
            <w:r>
              <w:rPr>
                <w:rStyle w:val="IndexLink"/>
                <w:rtl w:val="true"/>
              </w:rPr>
              <w:tab/>
            </w:r>
            <w:r>
              <w:rPr>
                <w:rStyle w:val="IndexLink"/>
              </w:rPr>
              <w:t>153</w:t>
            </w:r>
          </w:hyperlink>
        </w:p>
        <w:p>
          <w:pPr>
            <w:pStyle w:val="Contents3"/>
            <w:tabs>
              <w:tab w:val="clear" w:pos="8459"/>
              <w:tab w:val="right" w:pos="9026" w:leader="dot"/>
            </w:tabs>
            <w:rPr/>
          </w:pPr>
          <w:hyperlink w:anchor="__RefHeading___Toc983823_1468164448">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983825_1468164448">
            <w:r>
              <w:rPr>
                <w:webHidden/>
                <w:rStyle w:val="IndexLink"/>
                <w:rtl w:val="true"/>
              </w:rPr>
              <w:t>ادلة القاعدة</w:t>
            </w:r>
            <w:r>
              <w:rPr>
                <w:rStyle w:val="IndexLink"/>
                <w:rtl w:val="true"/>
              </w:rPr>
              <w:t>:</w:t>
              <w:tab/>
            </w:r>
            <w:r>
              <w:rPr>
                <w:rStyle w:val="IndexLink"/>
              </w:rPr>
              <w:t>154</w:t>
            </w:r>
          </w:hyperlink>
        </w:p>
        <w:p>
          <w:pPr>
            <w:pStyle w:val="Contents3"/>
            <w:tabs>
              <w:tab w:val="clear" w:pos="8459"/>
              <w:tab w:val="right" w:pos="9026" w:leader="dot"/>
            </w:tabs>
            <w:rPr/>
          </w:pPr>
          <w:hyperlink w:anchor="__RefHeading___Toc983827_1468164448">
            <w:r>
              <w:rPr>
                <w:webHidden/>
                <w:rStyle w:val="IndexLink"/>
                <w:rtl w:val="true"/>
              </w:rPr>
              <w:t>استطراد فی تولیة الولی فی اعمال الصبی</w:t>
            </w:r>
            <w:r>
              <w:rPr>
                <w:rStyle w:val="IndexLink"/>
                <w:rtl w:val="true"/>
              </w:rPr>
              <w:t>:</w:t>
              <w:tab/>
            </w:r>
            <w:r>
              <w:rPr>
                <w:rStyle w:val="IndexLink"/>
              </w:rPr>
              <w:t>159</w:t>
            </w:r>
          </w:hyperlink>
        </w:p>
        <w:p>
          <w:pPr>
            <w:pStyle w:val="Contents3"/>
            <w:tabs>
              <w:tab w:val="clear" w:pos="8459"/>
              <w:tab w:val="right" w:pos="9026" w:leader="dot"/>
            </w:tabs>
            <w:rPr/>
          </w:pPr>
          <w:hyperlink w:anchor="__RefHeading___Toc983829_1468164448">
            <w:r>
              <w:rPr>
                <w:webHidden/>
                <w:rStyle w:val="IndexLink"/>
                <w:rtl w:val="true"/>
              </w:rPr>
              <w:t>المراد من احرام الصبی</w:t>
            </w:r>
            <w:r>
              <w:rPr>
                <w:rStyle w:val="IndexLink"/>
                <w:rtl w:val="true"/>
              </w:rPr>
              <w:t>:</w:t>
              <w:tab/>
            </w:r>
            <w:r>
              <w:rPr>
                <w:rStyle w:val="IndexLink"/>
              </w:rPr>
              <w:t>160</w:t>
            </w:r>
          </w:hyperlink>
        </w:p>
        <w:p>
          <w:pPr>
            <w:pStyle w:val="Contents3"/>
            <w:tabs>
              <w:tab w:val="clear" w:pos="8459"/>
              <w:tab w:val="right" w:pos="9026" w:leader="dot"/>
            </w:tabs>
            <w:rPr/>
          </w:pPr>
          <w:hyperlink w:anchor="__RefHeading___Toc983831_1468164448">
            <w:r>
              <w:rPr>
                <w:webHidden/>
                <w:rStyle w:val="IndexLink"/>
                <w:rtl w:val="true"/>
              </w:rPr>
              <w:t>فائدة</w:t>
            </w:r>
            <w:r>
              <w:rPr>
                <w:rStyle w:val="IndexLink"/>
                <w:rtl w:val="true"/>
              </w:rPr>
              <w:t xml:space="preserve">: </w:t>
            </w:r>
            <w:r>
              <w:rPr>
                <w:rStyle w:val="IndexLink"/>
                <w:rtl w:val="true"/>
              </w:rPr>
              <w:t>ما المراد من الولی ؟</w:t>
            </w:r>
            <w:r>
              <w:rPr>
                <w:rStyle w:val="IndexLink"/>
                <w:rtl w:val="true"/>
              </w:rPr>
              <w:tab/>
            </w:r>
            <w:r>
              <w:rPr>
                <w:rStyle w:val="IndexLink"/>
              </w:rPr>
              <w:t>170</w:t>
            </w:r>
          </w:hyperlink>
        </w:p>
        <w:p>
          <w:pPr>
            <w:pStyle w:val="Contents3"/>
            <w:tabs>
              <w:tab w:val="clear" w:pos="8459"/>
              <w:tab w:val="right" w:pos="9026" w:leader="dot"/>
            </w:tabs>
            <w:rPr/>
          </w:pPr>
          <w:hyperlink w:anchor="__RefHeading___Toc983833_1468164448">
            <w:r>
              <w:rPr>
                <w:webHidden/>
                <w:rStyle w:val="IndexLink"/>
                <w:rtl w:val="true"/>
              </w:rPr>
              <w:t>فرع</w:t>
            </w:r>
            <w:r>
              <w:rPr>
                <w:rStyle w:val="IndexLink"/>
                <w:rtl w:val="true"/>
              </w:rPr>
              <w:t xml:space="preserve">: </w:t>
            </w:r>
            <w:r>
              <w:rPr>
                <w:rStyle w:val="IndexLink"/>
                <w:rtl w:val="true"/>
              </w:rPr>
              <w:t>النفقة الزائدة فی احجاج الصبی</w:t>
            </w:r>
            <w:r>
              <w:rPr>
                <w:rStyle w:val="IndexLink"/>
                <w:rtl w:val="true"/>
              </w:rPr>
              <w:t>:</w:t>
              <w:tab/>
            </w:r>
            <w:r>
              <w:rPr>
                <w:rStyle w:val="IndexLink"/>
              </w:rPr>
              <w:t>172</w:t>
            </w:r>
          </w:hyperlink>
        </w:p>
        <w:p>
          <w:pPr>
            <w:pStyle w:val="Contents3"/>
            <w:tabs>
              <w:tab w:val="clear" w:pos="8459"/>
              <w:tab w:val="right" w:pos="9026" w:leader="dot"/>
            </w:tabs>
            <w:rPr/>
          </w:pPr>
          <w:hyperlink w:anchor="__RefHeading___Toc983835_1468164448">
            <w:r>
              <w:rPr>
                <w:webHidden/>
                <w:rStyle w:val="IndexLink"/>
                <w:rtl w:val="true"/>
              </w:rPr>
              <w:t>فرع</w:t>
            </w:r>
            <w:r>
              <w:rPr>
                <w:rStyle w:val="IndexLink"/>
                <w:rtl w:val="true"/>
              </w:rPr>
              <w:t xml:space="preserve">: </w:t>
            </w:r>
            <w:r>
              <w:rPr>
                <w:rStyle w:val="IndexLink"/>
                <w:rtl w:val="true"/>
              </w:rPr>
              <w:t>ان الهدی علی الولی</w:t>
            </w:r>
            <w:r>
              <w:rPr>
                <w:rStyle w:val="IndexLink"/>
                <w:rtl w:val="true"/>
              </w:rPr>
              <w:t>:</w:t>
              <w:tab/>
            </w:r>
            <w:r>
              <w:rPr>
                <w:rStyle w:val="IndexLink"/>
              </w:rPr>
              <w:t>172</w:t>
            </w:r>
          </w:hyperlink>
        </w:p>
        <w:p>
          <w:pPr>
            <w:pStyle w:val="Contents2"/>
            <w:tabs>
              <w:tab w:val="clear" w:pos="8743"/>
              <w:tab w:val="right" w:pos="9026" w:leader="dot"/>
            </w:tabs>
            <w:rPr/>
          </w:pPr>
          <w:hyperlink w:anchor="__RefHeading___Toc983837_1468164448">
            <w:r>
              <w:rPr>
                <w:webHidden/>
                <w:rStyle w:val="IndexLink"/>
                <w:rtl w:val="true"/>
              </w:rPr>
              <w:t xml:space="preserve">قاعدة </w:t>
            </w:r>
            <w:r>
              <w:rPr>
                <w:rStyle w:val="IndexLink"/>
                <w:rtl w:val="true"/>
              </w:rPr>
              <w:t>:</w:t>
            </w:r>
            <w:r>
              <w:rPr>
                <w:rStyle w:val="IndexLink"/>
                <w:rtl w:val="true"/>
              </w:rPr>
              <w:t>من أدرک المشعر فقد أدرک الحج</w:t>
            </w:r>
            <w:r>
              <w:rPr>
                <w:rStyle w:val="IndexLink"/>
                <w:rtl w:val="true"/>
              </w:rPr>
              <w:tab/>
            </w:r>
            <w:r>
              <w:rPr>
                <w:rStyle w:val="IndexLink"/>
              </w:rPr>
              <w:t>179</w:t>
            </w:r>
          </w:hyperlink>
        </w:p>
        <w:p>
          <w:pPr>
            <w:pStyle w:val="Contents3"/>
            <w:tabs>
              <w:tab w:val="clear" w:pos="8459"/>
              <w:tab w:val="right" w:pos="9026" w:leader="dot"/>
            </w:tabs>
            <w:rPr/>
          </w:pPr>
          <w:hyperlink w:anchor="__RefHeading___Toc983839_1468164448">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983841_1468164448">
            <w:r>
              <w:rPr>
                <w:webHidden/>
                <w:rStyle w:val="IndexLink"/>
                <w:rtl w:val="true"/>
              </w:rPr>
              <w:t>أولا</w:t>
            </w:r>
            <w:r>
              <w:rPr>
                <w:rStyle w:val="IndexLink"/>
                <w:rtl w:val="true"/>
              </w:rPr>
              <w:t xml:space="preserve">: </w:t>
            </w:r>
            <w:r>
              <w:rPr>
                <w:rStyle w:val="IndexLink"/>
                <w:rtl w:val="true"/>
              </w:rPr>
              <w:t>الأقوال فی القاعدة</w:t>
            </w:r>
            <w:r>
              <w:rPr>
                <w:rStyle w:val="IndexLink"/>
                <w:rtl w:val="true"/>
              </w:rPr>
              <w:t>:</w:t>
              <w:tab/>
            </w:r>
            <w:r>
              <w:rPr>
                <w:rStyle w:val="IndexLink"/>
              </w:rPr>
              <w:t>180</w:t>
            </w:r>
          </w:hyperlink>
        </w:p>
        <w:p>
          <w:pPr>
            <w:pStyle w:val="Contents2"/>
            <w:tabs>
              <w:tab w:val="clear" w:pos="8743"/>
              <w:tab w:val="right" w:pos="9026" w:leader="dot"/>
            </w:tabs>
            <w:rPr/>
          </w:pPr>
          <w:hyperlink w:anchor="__RefHeading___Toc983843_1468164448">
            <w:r>
              <w:rPr>
                <w:webHidden/>
                <w:rStyle w:val="IndexLink"/>
                <w:rtl w:val="true"/>
              </w:rPr>
              <w:t xml:space="preserve">قاعدة </w:t>
            </w:r>
            <w:r>
              <w:rPr>
                <w:rStyle w:val="IndexLink"/>
                <w:rtl w:val="true"/>
              </w:rPr>
              <w:t>:</w:t>
            </w:r>
            <w:r>
              <w:rPr>
                <w:rStyle w:val="IndexLink"/>
                <w:rtl w:val="true"/>
              </w:rPr>
              <w:t>الشعائر الدینیة</w:t>
            </w:r>
            <w:r>
              <w:rPr>
                <w:rStyle w:val="IndexLink"/>
                <w:rtl w:val="true"/>
              </w:rPr>
              <w:tab/>
            </w:r>
            <w:r>
              <w:rPr>
                <w:rStyle w:val="IndexLink"/>
              </w:rPr>
              <w:t>193</w:t>
            </w:r>
          </w:hyperlink>
        </w:p>
        <w:p>
          <w:pPr>
            <w:pStyle w:val="Contents3"/>
            <w:tabs>
              <w:tab w:val="clear" w:pos="8459"/>
              <w:tab w:val="right" w:pos="9026" w:leader="dot"/>
            </w:tabs>
            <w:rPr/>
          </w:pPr>
          <w:hyperlink w:anchor="__RefHeading___Toc983845_1468164448">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983847_1468164448">
            <w:r>
              <w:rPr>
                <w:webHidden/>
                <w:rStyle w:val="IndexLink"/>
                <w:rtl w:val="true"/>
              </w:rPr>
              <w:t>أقوال العامّة</w:t>
            </w:r>
            <w:r>
              <w:rPr>
                <w:rStyle w:val="IndexLink"/>
                <w:rtl w:val="true"/>
              </w:rPr>
              <w:t>:</w:t>
              <w:tab/>
            </w:r>
            <w:r>
              <w:rPr>
                <w:rStyle w:val="IndexLink"/>
              </w:rPr>
              <w:t>195</w:t>
            </w:r>
          </w:hyperlink>
        </w:p>
        <w:p>
          <w:pPr>
            <w:pStyle w:val="Contents3"/>
            <w:tabs>
              <w:tab w:val="clear" w:pos="8459"/>
              <w:tab w:val="right" w:pos="9026" w:leader="dot"/>
            </w:tabs>
            <w:rPr/>
          </w:pPr>
          <w:hyperlink w:anchor="__RefHeading___Toc983849_1468164448">
            <w:r>
              <w:rPr>
                <w:webHidden/>
                <w:rStyle w:val="IndexLink"/>
                <w:rtl w:val="true"/>
              </w:rPr>
              <w:t>فائدة</w:t>
            </w:r>
            <w:r>
              <w:rPr>
                <w:rStyle w:val="IndexLink"/>
                <w:rtl w:val="true"/>
              </w:rPr>
              <w:t>:</w:t>
              <w:tab/>
            </w:r>
            <w:r>
              <w:rPr>
                <w:rStyle w:val="IndexLink"/>
              </w:rPr>
              <w:t>200</w:t>
            </w:r>
          </w:hyperlink>
        </w:p>
        <w:p>
          <w:pPr>
            <w:pStyle w:val="Contents3"/>
            <w:tabs>
              <w:tab w:val="clear" w:pos="8459"/>
              <w:tab w:val="right" w:pos="9026" w:leader="dot"/>
            </w:tabs>
            <w:rPr/>
          </w:pPr>
          <w:hyperlink w:anchor="__RefHeading___Toc983851_1468164448">
            <w:r>
              <w:rPr>
                <w:webHidden/>
                <w:rStyle w:val="IndexLink"/>
                <w:rtl w:val="true"/>
              </w:rPr>
              <w:t>الدراسة التفصیلیة لموضوع العمومات</w:t>
            </w:r>
            <w:r>
              <w:rPr>
                <w:rStyle w:val="IndexLink"/>
                <w:rtl w:val="true"/>
              </w:rPr>
              <w:t>:</w:t>
              <w:tab/>
            </w:r>
            <w:r>
              <w:rPr>
                <w:rStyle w:val="IndexLink"/>
              </w:rPr>
              <w:t>205</w:t>
            </w:r>
          </w:hyperlink>
        </w:p>
        <w:p>
          <w:pPr>
            <w:pStyle w:val="Contents3"/>
            <w:tabs>
              <w:tab w:val="clear" w:pos="8459"/>
              <w:tab w:val="right" w:pos="9026" w:leader="dot"/>
            </w:tabs>
            <w:rPr/>
          </w:pPr>
          <w:hyperlink w:anchor="__RefHeading___Toc983853_1468164448">
            <w:r>
              <w:rPr>
                <w:webHidden/>
                <w:rStyle w:val="IndexLink"/>
                <w:rtl w:val="true"/>
              </w:rPr>
              <w:t>نتیجة المطاف</w:t>
            </w:r>
            <w:r>
              <w:rPr>
                <w:rStyle w:val="IndexLink"/>
                <w:rtl w:val="true"/>
              </w:rPr>
              <w:t>:</w:t>
              <w:tab/>
            </w:r>
            <w:r>
              <w:rPr>
                <w:rStyle w:val="IndexLink"/>
              </w:rPr>
              <w:t>208</w:t>
            </w:r>
          </w:hyperlink>
        </w:p>
        <w:p>
          <w:pPr>
            <w:pStyle w:val="Contents3"/>
            <w:tabs>
              <w:tab w:val="clear" w:pos="8459"/>
              <w:tab w:val="right" w:pos="9026" w:leader="dot"/>
            </w:tabs>
            <w:rPr/>
          </w:pPr>
          <w:hyperlink w:anchor="__RefHeading___Toc983855_1468164448">
            <w:r>
              <w:rPr>
                <w:webHidden/>
                <w:rStyle w:val="IndexLink"/>
                <w:rtl w:val="true"/>
              </w:rPr>
              <w:t>الفرق بین النُسک والشعائر</w:t>
            </w:r>
            <w:r>
              <w:rPr>
                <w:rStyle w:val="IndexLink"/>
                <w:rtl w:val="true"/>
              </w:rPr>
              <w:t>:</w:t>
              <w:tab/>
            </w:r>
            <w:r>
              <w:rPr>
                <w:rStyle w:val="IndexLink"/>
              </w:rPr>
              <w:t>210</w:t>
            </w:r>
          </w:hyperlink>
        </w:p>
        <w:p>
          <w:pPr>
            <w:pStyle w:val="Contents3"/>
            <w:tabs>
              <w:tab w:val="clear" w:pos="8459"/>
              <w:tab w:val="right" w:pos="9026" w:leader="dot"/>
            </w:tabs>
            <w:rPr/>
          </w:pPr>
          <w:hyperlink w:anchor="__RefHeading___Toc983857_1468164448">
            <w:r>
              <w:rPr>
                <w:webHidden/>
                <w:rStyle w:val="IndexLink"/>
                <w:rtl w:val="true"/>
              </w:rPr>
              <w:t>المعنی الجامع بین اللغویّین</w:t>
            </w:r>
            <w:r>
              <w:rPr>
                <w:rStyle w:val="IndexLink"/>
                <w:rtl w:val="true"/>
              </w:rPr>
              <w:t>:</w:t>
              <w:tab/>
            </w:r>
            <w:r>
              <w:rPr>
                <w:rStyle w:val="IndexLink"/>
              </w:rPr>
              <w:t>211</w:t>
            </w:r>
          </w:hyperlink>
        </w:p>
        <w:p>
          <w:pPr>
            <w:pStyle w:val="Contents3"/>
            <w:tabs>
              <w:tab w:val="clear" w:pos="8459"/>
              <w:tab w:val="right" w:pos="9026" w:leader="dot"/>
            </w:tabs>
            <w:rPr/>
          </w:pPr>
          <w:hyperlink w:anchor="__RefHeading___Toc983859_1468164448">
            <w:r>
              <w:rPr>
                <w:webHidden/>
                <w:rStyle w:val="IndexLink"/>
                <w:rtl w:val="true"/>
              </w:rPr>
              <w:t>بعد آخر فی الموضوع</w:t>
            </w:r>
            <w:r>
              <w:rPr>
                <w:rStyle w:val="IndexLink"/>
                <w:rtl w:val="true"/>
              </w:rPr>
              <w:t>:</w:t>
              <w:tab/>
            </w:r>
            <w:r>
              <w:rPr>
                <w:rStyle w:val="IndexLink"/>
              </w:rPr>
              <w:t>211</w:t>
            </w:r>
          </w:hyperlink>
        </w:p>
        <w:p>
          <w:pPr>
            <w:pStyle w:val="Contents3"/>
            <w:tabs>
              <w:tab w:val="clear" w:pos="8459"/>
              <w:tab w:val="right" w:pos="9026" w:leader="dot"/>
            </w:tabs>
            <w:rPr/>
          </w:pPr>
          <w:hyperlink w:anchor="__RefHeading___Toc983861_1468164448">
            <w:r>
              <w:rPr>
                <w:webHidden/>
                <w:rStyle w:val="IndexLink"/>
                <w:rtl w:val="true"/>
              </w:rPr>
              <w:t>طبیعة دلالة الموضوع</w:t>
            </w:r>
            <w:r>
              <w:rPr>
                <w:rStyle w:val="IndexLink"/>
                <w:rtl w:val="true"/>
              </w:rPr>
              <w:t>:</w:t>
              <w:tab/>
            </w:r>
            <w:r>
              <w:rPr>
                <w:rStyle w:val="IndexLink"/>
              </w:rPr>
              <w:t>212</w:t>
            </w:r>
          </w:hyperlink>
        </w:p>
        <w:p>
          <w:pPr>
            <w:pStyle w:val="Contents3"/>
            <w:tabs>
              <w:tab w:val="clear" w:pos="8459"/>
              <w:tab w:val="right" w:pos="9026" w:leader="dot"/>
            </w:tabs>
            <w:rPr/>
          </w:pPr>
          <w:hyperlink w:anchor="__RefHeading___Toc983863_1468164448">
            <w:r>
              <w:rPr>
                <w:webHidden/>
                <w:rStyle w:val="IndexLink"/>
                <w:rtl w:val="true"/>
              </w:rPr>
              <w:t>تقییم ونقد عام</w:t>
            </w:r>
            <w:r>
              <w:rPr>
                <w:rStyle w:val="IndexLink"/>
                <w:rtl w:val="true"/>
              </w:rPr>
              <w:t>:</w:t>
              <w:tab/>
            </w:r>
            <w:r>
              <w:rPr>
                <w:rStyle w:val="IndexLink"/>
              </w:rPr>
              <w:t>213</w:t>
            </w:r>
          </w:hyperlink>
        </w:p>
        <w:p>
          <w:pPr>
            <w:pStyle w:val="Contents3"/>
            <w:tabs>
              <w:tab w:val="clear" w:pos="8459"/>
              <w:tab w:val="right" w:pos="9026" w:leader="dot"/>
            </w:tabs>
            <w:rPr/>
          </w:pPr>
          <w:hyperlink w:anchor="__RefHeading___Toc983865_1468164448">
            <w:r>
              <w:rPr>
                <w:webHidden/>
                <w:rStyle w:val="IndexLink"/>
                <w:rtl w:val="true"/>
              </w:rPr>
              <w:t>النقد التفصیلی لأدلة الرأی الآخر</w:t>
            </w:r>
            <w:r>
              <w:rPr>
                <w:rStyle w:val="IndexLink"/>
                <w:rtl w:val="true"/>
              </w:rPr>
              <w:t>:</w:t>
              <w:tab/>
            </w:r>
            <w:r>
              <w:rPr>
                <w:rStyle w:val="IndexLink"/>
              </w:rPr>
              <w:t>219</w:t>
            </w:r>
          </w:hyperlink>
        </w:p>
        <w:p>
          <w:pPr>
            <w:pStyle w:val="Contents3"/>
            <w:tabs>
              <w:tab w:val="clear" w:pos="8459"/>
              <w:tab w:val="right" w:pos="9026" w:leader="dot"/>
            </w:tabs>
            <w:rPr/>
          </w:pPr>
          <w:hyperlink w:anchor="__RefHeading___Toc983867_1468164448">
            <w:r>
              <w:rPr>
                <w:webHidden/>
                <w:rStyle w:val="IndexLink"/>
                <w:rtl w:val="true"/>
              </w:rPr>
              <w:t>ضابطة البدعة والتوقیفیة</w:t>
            </w:r>
            <w:r>
              <w:rPr>
                <w:rStyle w:val="IndexLink"/>
                <w:rtl w:val="true"/>
              </w:rPr>
              <w:t>:</w:t>
              <w:tab/>
            </w:r>
            <w:r>
              <w:rPr>
                <w:rStyle w:val="IndexLink"/>
              </w:rPr>
              <w:t>221</w:t>
            </w:r>
          </w:hyperlink>
        </w:p>
        <w:p>
          <w:pPr>
            <w:pStyle w:val="Contents3"/>
            <w:tabs>
              <w:tab w:val="clear" w:pos="8459"/>
              <w:tab w:val="right" w:pos="9026" w:leader="dot"/>
            </w:tabs>
            <w:rPr/>
          </w:pPr>
          <w:hyperlink w:anchor="__RefHeading___Toc983869_1468164448">
            <w:r>
              <w:rPr>
                <w:webHidden/>
                <w:rStyle w:val="IndexLink"/>
                <w:rtl w:val="true"/>
              </w:rPr>
              <w:t>فقه متعلّق العمومات</w:t>
            </w:r>
            <w:r>
              <w:rPr>
                <w:rStyle w:val="IndexLink"/>
                <w:rtl w:val="true"/>
              </w:rPr>
              <w:t>:</w:t>
              <w:tab/>
            </w:r>
            <w:r>
              <w:rPr>
                <w:rStyle w:val="IndexLink"/>
              </w:rPr>
              <w:t>223</w:t>
            </w:r>
          </w:hyperlink>
        </w:p>
        <w:p>
          <w:pPr>
            <w:pStyle w:val="Contents3"/>
            <w:tabs>
              <w:tab w:val="clear" w:pos="8459"/>
              <w:tab w:val="right" w:pos="9026" w:leader="dot"/>
            </w:tabs>
            <w:rPr/>
          </w:pPr>
          <w:hyperlink w:anchor="__RefHeading___Toc983871_1468164448">
            <w:r>
              <w:rPr>
                <w:webHidden/>
                <w:rStyle w:val="IndexLink"/>
                <w:rtl w:val="true"/>
              </w:rPr>
              <w:t>حیثیات فی حکم العمومات</w:t>
            </w:r>
            <w:r>
              <w:rPr>
                <w:rStyle w:val="IndexLink"/>
                <w:rtl w:val="true"/>
              </w:rPr>
              <w:t>:</w:t>
              <w:tab/>
            </w:r>
            <w:r>
              <w:rPr>
                <w:rStyle w:val="IndexLink"/>
              </w:rPr>
              <w:t>225</w:t>
            </w:r>
          </w:hyperlink>
        </w:p>
        <w:p>
          <w:pPr>
            <w:pStyle w:val="Contents3"/>
            <w:tabs>
              <w:tab w:val="clear" w:pos="8459"/>
              <w:tab w:val="right" w:pos="9026" w:leader="dot"/>
            </w:tabs>
            <w:rPr/>
          </w:pPr>
          <w:hyperlink w:anchor="__RefHeading___Toc983873_1468164448">
            <w:r>
              <w:rPr>
                <w:webHidden/>
                <w:rStyle w:val="IndexLink"/>
                <w:rtl w:val="true"/>
              </w:rPr>
              <w:t>شکوک وحلول</w:t>
            </w:r>
            <w:r>
              <w:rPr>
                <w:rStyle w:val="IndexLink"/>
                <w:rtl w:val="true"/>
              </w:rPr>
              <w:t>:</w:t>
              <w:tab/>
            </w:r>
            <w:r>
              <w:rPr>
                <w:rStyle w:val="IndexLink"/>
              </w:rPr>
              <w:t>227</w:t>
            </w:r>
          </w:hyperlink>
        </w:p>
        <w:p>
          <w:pPr>
            <w:pStyle w:val="Contents3"/>
            <w:tabs>
              <w:tab w:val="clear" w:pos="8459"/>
              <w:tab w:val="right" w:pos="9026" w:leader="dot"/>
            </w:tabs>
            <w:rPr/>
          </w:pPr>
          <w:hyperlink w:anchor="__RefHeading___Toc983875_1468164448">
            <w:r>
              <w:rPr>
                <w:webHidden/>
                <w:rStyle w:val="IndexLink"/>
                <w:rtl w:val="true"/>
              </w:rPr>
              <w:t>الخرافة</w:t>
            </w:r>
            <w:r>
              <w:rPr>
                <w:rStyle w:val="IndexLink"/>
                <w:rtl w:val="true"/>
              </w:rPr>
              <w:t>:</w:t>
              <w:tab/>
            </w:r>
            <w:r>
              <w:rPr>
                <w:rStyle w:val="IndexLink"/>
              </w:rPr>
              <w:t>228</w:t>
            </w:r>
          </w:hyperlink>
        </w:p>
        <w:p>
          <w:pPr>
            <w:pStyle w:val="Contents3"/>
            <w:tabs>
              <w:tab w:val="clear" w:pos="8459"/>
              <w:tab w:val="right" w:pos="9026" w:leader="dot"/>
            </w:tabs>
            <w:rPr/>
          </w:pPr>
          <w:hyperlink w:anchor="__RefHeading___Toc983877_1468164448">
            <w:r>
              <w:rPr>
                <w:webHidden/>
                <w:rStyle w:val="IndexLink"/>
                <w:rtl w:val="true"/>
              </w:rPr>
              <w:t>الهتک</w:t>
            </w:r>
            <w:r>
              <w:rPr>
                <w:rStyle w:val="IndexLink"/>
                <w:rtl w:val="true"/>
              </w:rPr>
              <w:t>:</w:t>
              <w:tab/>
            </w:r>
            <w:r>
              <w:rPr>
                <w:rStyle w:val="IndexLink"/>
              </w:rPr>
              <w:t>230</w:t>
            </w:r>
          </w:hyperlink>
        </w:p>
        <w:p>
          <w:pPr>
            <w:pStyle w:val="Contents3"/>
            <w:tabs>
              <w:tab w:val="clear" w:pos="8459"/>
              <w:tab w:val="right" w:pos="9026" w:leader="dot"/>
            </w:tabs>
            <w:rPr/>
          </w:pPr>
          <w:hyperlink w:anchor="__RefHeading___Toc983879_1468164448">
            <w:r>
              <w:rPr>
                <w:webHidden/>
                <w:rStyle w:val="IndexLink"/>
                <w:rtl w:val="true"/>
              </w:rPr>
              <w:t>النسبة بین حکم قاعدة الشعائر والأحکام الأوّلیّة</w:t>
            </w:r>
            <w:r>
              <w:rPr>
                <w:rStyle w:val="IndexLink"/>
                <w:rtl w:val="true"/>
              </w:rPr>
              <w:t>:</w:t>
              <w:tab/>
            </w:r>
            <w:r>
              <w:rPr>
                <w:rStyle w:val="IndexLink"/>
              </w:rPr>
              <w:t>241</w:t>
            </w:r>
          </w:hyperlink>
        </w:p>
        <w:p>
          <w:pPr>
            <w:pStyle w:val="Contents3"/>
            <w:tabs>
              <w:tab w:val="clear" w:pos="8459"/>
              <w:tab w:val="right" w:pos="9026" w:leader="dot"/>
            </w:tabs>
            <w:rPr/>
          </w:pPr>
          <w:hyperlink w:anchor="__RefHeading___Toc983881_1468164448">
            <w:r>
              <w:rPr>
                <w:webHidden/>
                <w:rStyle w:val="IndexLink"/>
                <w:rtl w:val="true"/>
              </w:rPr>
              <w:t>تقسیم الأحکام الثانویّة فی جنبة الحکم</w:t>
            </w:r>
            <w:r>
              <w:rPr>
                <w:rStyle w:val="IndexLink"/>
                <w:rtl w:val="true"/>
              </w:rPr>
              <w:t>:</w:t>
              <w:tab/>
            </w:r>
            <w:r>
              <w:rPr>
                <w:rStyle w:val="IndexLink"/>
              </w:rPr>
              <w:t>245</w:t>
            </w:r>
          </w:hyperlink>
        </w:p>
        <w:p>
          <w:pPr>
            <w:pStyle w:val="Contents3"/>
            <w:tabs>
              <w:tab w:val="clear" w:pos="8459"/>
              <w:tab w:val="right" w:pos="9026" w:leader="dot"/>
            </w:tabs>
            <w:rPr/>
          </w:pPr>
          <w:hyperlink w:anchor="__RefHeading___Toc983883_1468164448">
            <w:r>
              <w:rPr>
                <w:webHidden/>
                <w:rStyle w:val="IndexLink"/>
                <w:rtl w:val="true"/>
              </w:rPr>
              <w:t>الأحکام الثانویّة النافیة</w:t>
            </w:r>
            <w:r>
              <w:rPr>
                <w:rStyle w:val="IndexLink"/>
                <w:rtl w:val="true"/>
              </w:rPr>
              <w:t>:</w:t>
              <w:tab/>
            </w:r>
            <w:r>
              <w:rPr>
                <w:rStyle w:val="IndexLink"/>
              </w:rPr>
              <w:t>245</w:t>
            </w:r>
          </w:hyperlink>
        </w:p>
        <w:p>
          <w:pPr>
            <w:pStyle w:val="Contents3"/>
            <w:tabs>
              <w:tab w:val="clear" w:pos="8459"/>
              <w:tab w:val="right" w:pos="9026" w:leader="dot"/>
            </w:tabs>
            <w:rPr/>
          </w:pPr>
          <w:hyperlink w:anchor="__RefHeading___Toc983885_1468164448">
            <w:r>
              <w:rPr>
                <w:webHidden/>
                <w:rStyle w:val="IndexLink"/>
                <w:rtl w:val="true"/>
              </w:rPr>
              <w:t>الفارق بین حکم القاعدة والأحکام الثانویّة المثبتة</w:t>
            </w:r>
            <w:r>
              <w:rPr>
                <w:rStyle w:val="IndexLink"/>
                <w:rtl w:val="true"/>
              </w:rPr>
              <w:t>:</w:t>
              <w:tab/>
            </w:r>
            <w:r>
              <w:rPr>
                <w:rStyle w:val="IndexLink"/>
              </w:rPr>
              <w:t>246</w:t>
            </w:r>
          </w:hyperlink>
        </w:p>
        <w:p>
          <w:pPr>
            <w:pStyle w:val="Contents3"/>
            <w:tabs>
              <w:tab w:val="clear" w:pos="8459"/>
              <w:tab w:val="right" w:pos="9026" w:leader="dot"/>
            </w:tabs>
            <w:rPr/>
          </w:pPr>
          <w:hyperlink w:anchor="__RefHeading___Toc983887_1468164448">
            <w:r>
              <w:rPr>
                <w:webHidden/>
                <w:rStyle w:val="IndexLink"/>
                <w:rtl w:val="true"/>
              </w:rPr>
              <w:t>النسبة بین قاعدة الشعائر، والأحکام الثانویّة</w:t>
            </w:r>
            <w:r>
              <w:rPr>
                <w:rStyle w:val="IndexLink"/>
                <w:rtl w:val="true"/>
              </w:rPr>
              <w:t>:</w:t>
              <w:tab/>
            </w:r>
            <w:r>
              <w:rPr>
                <w:rStyle w:val="IndexLink"/>
              </w:rPr>
              <w:t>248</w:t>
            </w:r>
          </w:hyperlink>
        </w:p>
        <w:p>
          <w:pPr>
            <w:pStyle w:val="Contents3"/>
            <w:tabs>
              <w:tab w:val="clear" w:pos="8459"/>
              <w:tab w:val="right" w:pos="9026" w:leader="dot"/>
            </w:tabs>
            <w:rPr/>
          </w:pPr>
          <w:hyperlink w:anchor="__RefHeading___Toc983889_1468164448">
            <w:r>
              <w:rPr>
                <w:webHidden/>
                <w:rStyle w:val="IndexLink"/>
                <w:rtl w:val="true"/>
              </w:rPr>
              <w:t>الخلاصة فی هذه الجهة</w:t>
            </w:r>
            <w:r>
              <w:rPr>
                <w:rStyle w:val="IndexLink"/>
                <w:rtl w:val="true"/>
              </w:rPr>
              <w:t>:</w:t>
              <w:tab/>
            </w:r>
            <w:r>
              <w:rPr>
                <w:rStyle w:val="IndexLink"/>
              </w:rPr>
              <w:t>249</w:t>
            </w:r>
          </w:hyperlink>
        </w:p>
        <w:p>
          <w:pPr>
            <w:pStyle w:val="Contents3"/>
            <w:tabs>
              <w:tab w:val="clear" w:pos="8459"/>
              <w:tab w:val="right" w:pos="9026" w:leader="dot"/>
            </w:tabs>
            <w:rPr/>
          </w:pPr>
          <w:hyperlink w:anchor="__RefHeading___Toc983891_1468164448">
            <w:r>
              <w:rPr>
                <w:webHidden/>
                <w:rStyle w:val="IndexLink"/>
                <w:rtl w:val="true"/>
              </w:rPr>
              <w:t>اختلاف أحکام الشعائر شدّة وضعفاً</w:t>
            </w:r>
            <w:r>
              <w:rPr>
                <w:rStyle w:val="IndexLink"/>
                <w:rtl w:val="true"/>
              </w:rPr>
              <w:t>:</w:t>
              <w:tab/>
            </w:r>
            <w:r>
              <w:rPr>
                <w:rStyle w:val="IndexLink"/>
              </w:rPr>
              <w:t>251</w:t>
            </w:r>
          </w:hyperlink>
        </w:p>
        <w:p>
          <w:pPr>
            <w:pStyle w:val="Contents3"/>
            <w:tabs>
              <w:tab w:val="clear" w:pos="8459"/>
              <w:tab w:val="right" w:pos="9026" w:leader="dot"/>
            </w:tabs>
            <w:rPr/>
          </w:pPr>
          <w:hyperlink w:anchor="__RefHeading___Toc983893_1468164448">
            <w:r>
              <w:rPr>
                <w:webHidden/>
                <w:rStyle w:val="IndexLink"/>
                <w:rtl w:val="true"/>
              </w:rPr>
              <w:t>الخرافة والشعائر</w:t>
            </w:r>
            <w:r>
              <w:rPr>
                <w:rStyle w:val="IndexLink"/>
                <w:rtl w:val="true"/>
              </w:rPr>
              <w:t>:</w:t>
              <w:tab/>
            </w:r>
            <w:r>
              <w:rPr>
                <w:rStyle w:val="IndexLink"/>
              </w:rPr>
              <w:t>252</w:t>
            </w:r>
          </w:hyperlink>
        </w:p>
        <w:p>
          <w:pPr>
            <w:pStyle w:val="Contents3"/>
            <w:tabs>
              <w:tab w:val="clear" w:pos="8459"/>
              <w:tab w:val="right" w:pos="9026" w:leader="dot"/>
            </w:tabs>
            <w:rPr/>
          </w:pPr>
          <w:hyperlink w:anchor="__RefHeading___Toc983895_1468164448">
            <w:r>
              <w:rPr>
                <w:webHidden/>
                <w:rStyle w:val="IndexLink"/>
                <w:rtl w:val="true"/>
              </w:rPr>
              <w:t>الوهم والخیال</w:t>
            </w:r>
            <w:r>
              <w:rPr>
                <w:rStyle w:val="IndexLink"/>
                <w:rtl w:val="true"/>
              </w:rPr>
              <w:t>:</w:t>
              <w:tab/>
            </w:r>
            <w:r>
              <w:rPr>
                <w:rStyle w:val="IndexLink"/>
              </w:rPr>
              <w:t>254</w:t>
            </w:r>
          </w:hyperlink>
        </w:p>
        <w:p>
          <w:pPr>
            <w:pStyle w:val="Contents3"/>
            <w:tabs>
              <w:tab w:val="clear" w:pos="8459"/>
              <w:tab w:val="right" w:pos="9026" w:leader="dot"/>
            </w:tabs>
            <w:rPr/>
          </w:pPr>
          <w:hyperlink w:anchor="__RefHeading___Toc983897_1468164448">
            <w:r>
              <w:rPr>
                <w:webHidden/>
                <w:rStyle w:val="IndexLink"/>
                <w:rtl w:val="true"/>
              </w:rPr>
              <w:t>التضادّ بین الشعائر والخرافة</w:t>
            </w:r>
            <w:r>
              <w:rPr>
                <w:rStyle w:val="IndexLink"/>
                <w:rtl w:val="true"/>
              </w:rPr>
              <w:t>:</w:t>
              <w:tab/>
            </w:r>
            <w:r>
              <w:rPr>
                <w:rStyle w:val="IndexLink"/>
              </w:rPr>
              <w:t>257</w:t>
            </w:r>
          </w:hyperlink>
        </w:p>
        <w:p>
          <w:pPr>
            <w:pStyle w:val="Contents3"/>
            <w:tabs>
              <w:tab w:val="clear" w:pos="8459"/>
              <w:tab w:val="right" w:pos="9026" w:leader="dot"/>
            </w:tabs>
            <w:rPr/>
          </w:pPr>
          <w:hyperlink w:anchor="__RefHeading___Toc983899_1468164448">
            <w:r>
              <w:rPr>
                <w:webHidden/>
                <w:rStyle w:val="IndexLink"/>
                <w:rtl w:val="true"/>
              </w:rPr>
              <w:t>ممیزات وخصوصیّات الشعائر</w:t>
            </w:r>
            <w:r>
              <w:rPr>
                <w:rStyle w:val="IndexLink"/>
                <w:rtl w:val="true"/>
              </w:rPr>
              <w:t>:</w:t>
              <w:tab/>
            </w:r>
            <w:r>
              <w:rPr>
                <w:rStyle w:val="IndexLink"/>
              </w:rPr>
              <w:t>259</w:t>
            </w:r>
          </w:hyperlink>
        </w:p>
        <w:p>
          <w:pPr>
            <w:pStyle w:val="Contents3"/>
            <w:tabs>
              <w:tab w:val="clear" w:pos="8459"/>
              <w:tab w:val="right" w:pos="9026" w:leader="dot"/>
            </w:tabs>
            <w:rPr/>
          </w:pPr>
          <w:hyperlink w:anchor="__RefHeading___Toc983901_1468164448">
            <w:r>
              <w:rPr>
                <w:webHidden/>
                <w:rStyle w:val="IndexLink"/>
                <w:rtl w:val="true"/>
              </w:rPr>
              <w:t>تنوع الشعائر</w:t>
            </w:r>
            <w:r>
              <w:rPr>
                <w:rStyle w:val="IndexLink"/>
                <w:rtl w:val="true"/>
              </w:rPr>
              <w:t>:</w:t>
              <w:tab/>
            </w:r>
            <w:r>
              <w:rPr>
                <w:rStyle w:val="IndexLink"/>
              </w:rPr>
              <w:t>259</w:t>
            </w:r>
          </w:hyperlink>
        </w:p>
        <w:p>
          <w:pPr>
            <w:pStyle w:val="Contents3"/>
            <w:tabs>
              <w:tab w:val="clear" w:pos="8459"/>
              <w:tab w:val="right" w:pos="9026" w:leader="dot"/>
            </w:tabs>
            <w:rPr/>
          </w:pPr>
          <w:hyperlink w:anchor="__RefHeading___Toc983903_1468164448">
            <w:r>
              <w:rPr>
                <w:webHidden/>
                <w:rStyle w:val="IndexLink"/>
                <w:rtl w:val="true"/>
              </w:rPr>
              <w:t>منشأ الشعیرة وأبعادها الخطیرة</w:t>
            </w:r>
            <w:r>
              <w:rPr>
                <w:rStyle w:val="IndexLink"/>
                <w:rtl w:val="true"/>
              </w:rPr>
              <w:t>:</w:t>
              <w:tab/>
            </w:r>
            <w:r>
              <w:rPr>
                <w:rStyle w:val="IndexLink"/>
              </w:rPr>
              <w:t>260</w:t>
            </w:r>
          </w:hyperlink>
        </w:p>
        <w:p>
          <w:pPr>
            <w:pStyle w:val="Contents3"/>
            <w:tabs>
              <w:tab w:val="clear" w:pos="8459"/>
              <w:tab w:val="right" w:pos="9026" w:leader="dot"/>
            </w:tabs>
            <w:rPr/>
          </w:pPr>
          <w:hyperlink w:anchor="__RefHeading___Toc983905_1468164448">
            <w:r>
              <w:rPr>
                <w:webHidden/>
                <w:rStyle w:val="IndexLink"/>
                <w:rtl w:val="true"/>
              </w:rPr>
              <w:t>دائرة الشعائر الدینیّة</w:t>
            </w:r>
            <w:r>
              <w:rPr>
                <w:rStyle w:val="IndexLink"/>
                <w:rtl w:val="true"/>
              </w:rPr>
              <w:t>:</w:t>
              <w:tab/>
            </w:r>
            <w:r>
              <w:rPr>
                <w:rStyle w:val="IndexLink"/>
              </w:rPr>
              <w:t>263</w:t>
            </w:r>
          </w:hyperlink>
        </w:p>
        <w:p>
          <w:pPr>
            <w:pStyle w:val="Contents3"/>
            <w:tabs>
              <w:tab w:val="clear" w:pos="8459"/>
              <w:tab w:val="right" w:pos="9026" w:leader="dot"/>
            </w:tabs>
            <w:rPr/>
          </w:pPr>
          <w:hyperlink w:anchor="__RefHeading___Toc983907_1468164448">
            <w:r>
              <w:rPr>
                <w:webHidden/>
                <w:rStyle w:val="IndexLink"/>
                <w:rtl w:val="true"/>
              </w:rPr>
              <w:t>تباین مِلاکات الأقسام فی الشعائر</w:t>
            </w:r>
            <w:r>
              <w:rPr>
                <w:rStyle w:val="IndexLink"/>
                <w:rtl w:val="true"/>
              </w:rPr>
              <w:t>:</w:t>
              <w:tab/>
            </w:r>
            <w:r>
              <w:rPr>
                <w:rStyle w:val="IndexLink"/>
              </w:rPr>
              <w:t>264</w:t>
            </w:r>
          </w:hyperlink>
        </w:p>
        <w:p>
          <w:pPr>
            <w:pStyle w:val="Contents3"/>
            <w:tabs>
              <w:tab w:val="clear" w:pos="8459"/>
              <w:tab w:val="right" w:pos="9026" w:leader="dot"/>
            </w:tabs>
            <w:rPr/>
          </w:pPr>
          <w:hyperlink w:anchor="__RefHeading___Toc983909_1468164448">
            <w:r>
              <w:rPr>
                <w:webHidden/>
                <w:rStyle w:val="IndexLink"/>
                <w:rtl w:val="true"/>
              </w:rPr>
              <w:t>الشعائر والهَتْک</w:t>
            </w:r>
            <w:r>
              <w:rPr>
                <w:rStyle w:val="IndexLink"/>
                <w:rtl w:val="true"/>
              </w:rPr>
              <w:t>:</w:t>
              <w:tab/>
            </w:r>
            <w:r>
              <w:rPr>
                <w:rStyle w:val="IndexLink"/>
              </w:rPr>
              <w:t>268</w:t>
            </w:r>
          </w:hyperlink>
        </w:p>
        <w:p>
          <w:pPr>
            <w:pStyle w:val="Contents3"/>
            <w:tabs>
              <w:tab w:val="clear" w:pos="8459"/>
              <w:tab w:val="right" w:pos="9026" w:leader="dot"/>
            </w:tabs>
            <w:rPr/>
          </w:pPr>
          <w:hyperlink w:anchor="__RefHeading___Toc983911_1468164448">
            <w:r>
              <w:rPr>
                <w:webHidden/>
                <w:rStyle w:val="IndexLink"/>
                <w:rtl w:val="true"/>
              </w:rPr>
              <w:t>أقسام الهتک والاستهزاء</w:t>
            </w:r>
            <w:r>
              <w:rPr>
                <w:rStyle w:val="IndexLink"/>
                <w:rtl w:val="true"/>
              </w:rPr>
              <w:t>:</w:t>
              <w:tab/>
            </w:r>
            <w:r>
              <w:rPr>
                <w:rStyle w:val="IndexLink"/>
              </w:rPr>
              <w:t>270</w:t>
            </w:r>
          </w:hyperlink>
        </w:p>
        <w:p>
          <w:pPr>
            <w:pStyle w:val="Contents3"/>
            <w:tabs>
              <w:tab w:val="clear" w:pos="8459"/>
              <w:tab w:val="right" w:pos="9026" w:leader="dot"/>
            </w:tabs>
            <w:rPr/>
          </w:pPr>
          <w:hyperlink w:anchor="__RefHeading___Toc983913_1468164448">
            <w:r>
              <w:rPr>
                <w:webHidden/>
                <w:rStyle w:val="IndexLink"/>
                <w:rtl w:val="true"/>
              </w:rPr>
              <w:t>الشعائر والآثار الإجتماعیّة</w:t>
            </w:r>
            <w:r>
              <w:rPr>
                <w:rStyle w:val="IndexLink"/>
                <w:rtl w:val="true"/>
              </w:rPr>
              <w:t>:</w:t>
              <w:tab/>
            </w:r>
            <w:r>
              <w:rPr>
                <w:rStyle w:val="IndexLink"/>
              </w:rPr>
              <w:t>272</w:t>
            </w:r>
          </w:hyperlink>
        </w:p>
        <w:p>
          <w:pPr>
            <w:pStyle w:val="Contents3"/>
            <w:tabs>
              <w:tab w:val="clear" w:pos="8459"/>
              <w:tab w:val="right" w:pos="9026" w:leader="dot"/>
            </w:tabs>
            <w:rPr/>
          </w:pPr>
          <w:hyperlink w:anchor="__RefHeading___Toc983915_1468164448">
            <w:r>
              <w:rPr>
                <w:webHidden/>
                <w:rStyle w:val="IndexLink"/>
                <w:rtl w:val="true"/>
              </w:rPr>
              <w:t>ممانعة بعض الشعائر تبعاً للمصلحة</w:t>
            </w:r>
            <w:r>
              <w:rPr>
                <w:rStyle w:val="IndexLink"/>
                <w:rtl w:val="true"/>
              </w:rPr>
              <w:t>:</w:t>
              <w:tab/>
            </w:r>
            <w:r>
              <w:rPr>
                <w:rStyle w:val="IndexLink"/>
              </w:rPr>
              <w:t>274</w:t>
            </w:r>
          </w:hyperlink>
        </w:p>
        <w:p>
          <w:pPr>
            <w:pStyle w:val="Contents3"/>
            <w:tabs>
              <w:tab w:val="clear" w:pos="8459"/>
              <w:tab w:val="right" w:pos="9026" w:leader="dot"/>
            </w:tabs>
            <w:rPr/>
          </w:pPr>
          <w:hyperlink w:anchor="__RefHeading___Toc983917_1468164448">
            <w:r>
              <w:rPr>
                <w:webHidden/>
                <w:rStyle w:val="IndexLink"/>
                <w:rtl w:val="true"/>
              </w:rPr>
              <w:t>دواعی أخری لممانعة الشعیرة</w:t>
            </w:r>
            <w:r>
              <w:rPr>
                <w:rStyle w:val="IndexLink"/>
                <w:rtl w:val="true"/>
              </w:rPr>
              <w:t>:</w:t>
              <w:tab/>
            </w:r>
            <w:r>
              <w:rPr>
                <w:rStyle w:val="IndexLink"/>
              </w:rPr>
              <w:t>274</w:t>
            </w:r>
          </w:hyperlink>
        </w:p>
        <w:p>
          <w:pPr>
            <w:pStyle w:val="Contents3"/>
            <w:tabs>
              <w:tab w:val="clear" w:pos="8459"/>
              <w:tab w:val="right" w:pos="9026" w:leader="dot"/>
            </w:tabs>
            <w:rPr/>
          </w:pPr>
          <w:hyperlink w:anchor="__RefHeading___Toc983919_1468164448">
            <w:r>
              <w:rPr>
                <w:webHidden/>
                <w:rStyle w:val="IndexLink"/>
                <w:rtl w:val="true"/>
              </w:rPr>
              <w:t xml:space="preserve">الشعائر والإصلاح الاجتماعیّ </w:t>
            </w:r>
            <w:r>
              <w:rPr>
                <w:rStyle w:val="IndexLink"/>
                <w:rtl w:val="true"/>
              </w:rPr>
              <w:t>:</w:t>
              <w:tab/>
            </w:r>
            <w:r>
              <w:rPr>
                <w:rStyle w:val="IndexLink"/>
              </w:rPr>
              <w:t>276</w:t>
            </w:r>
          </w:hyperlink>
        </w:p>
        <w:p>
          <w:pPr>
            <w:pStyle w:val="Contents2"/>
            <w:tabs>
              <w:tab w:val="clear" w:pos="8743"/>
              <w:tab w:val="right" w:pos="9026" w:leader="dot"/>
            </w:tabs>
            <w:rPr/>
          </w:pPr>
          <w:hyperlink w:anchor="__RefHeading___Toc983921_1468164448">
            <w:r>
              <w:rPr>
                <w:webHidden/>
                <w:rStyle w:val="IndexLink"/>
                <w:rtl w:val="true"/>
              </w:rPr>
              <w:t xml:space="preserve">قاعدة </w:t>
            </w:r>
            <w:r>
              <w:rPr>
                <w:rStyle w:val="IndexLink"/>
                <w:rtl w:val="true"/>
              </w:rPr>
              <w:t>:</w:t>
            </w:r>
            <w:r>
              <w:rPr>
                <w:rStyle w:val="IndexLink"/>
                <w:rtl w:val="true"/>
              </w:rPr>
              <w:t>توسعة حریم مواسم الشعائر زمانا ومکانا</w:t>
            </w:r>
            <w:r>
              <w:rPr>
                <w:rStyle w:val="IndexLink"/>
                <w:rtl w:val="true"/>
              </w:rPr>
              <w:tab/>
            </w:r>
            <w:r>
              <w:rPr>
                <w:rStyle w:val="IndexLink"/>
              </w:rPr>
              <w:t>288</w:t>
            </w:r>
          </w:hyperlink>
        </w:p>
        <w:p>
          <w:pPr>
            <w:pStyle w:val="Contents3"/>
            <w:tabs>
              <w:tab w:val="clear" w:pos="8459"/>
              <w:tab w:val="right" w:pos="9026" w:leader="dot"/>
            </w:tabs>
            <w:rPr/>
          </w:pPr>
          <w:hyperlink w:anchor="__RefHeading___Toc983923_1468164448">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983925_1468164448">
            <w:r>
              <w:rPr>
                <w:webHidden/>
                <w:rStyle w:val="IndexLink"/>
                <w:rtl w:val="true"/>
              </w:rPr>
              <w:t xml:space="preserve">تقدیم </w:t>
            </w:r>
            <w:r>
              <w:rPr>
                <w:rStyle w:val="IndexLink"/>
                <w:rtl w:val="true"/>
              </w:rPr>
              <w:t>:</w:t>
              <w:tab/>
            </w:r>
            <w:r>
              <w:rPr>
                <w:rStyle w:val="IndexLink"/>
              </w:rPr>
              <w:t>289</w:t>
            </w:r>
          </w:hyperlink>
        </w:p>
        <w:p>
          <w:pPr>
            <w:pStyle w:val="Contents3"/>
            <w:tabs>
              <w:tab w:val="clear" w:pos="8459"/>
              <w:tab w:val="right" w:pos="9026" w:leader="dot"/>
            </w:tabs>
            <w:rPr/>
          </w:pPr>
          <w:hyperlink w:anchor="__RefHeading___Toc983927_1468164448">
            <w:r>
              <w:rPr>
                <w:webHidden/>
                <w:rStyle w:val="IndexLink"/>
                <w:rtl w:val="true"/>
              </w:rPr>
              <w:t>الأوَّل</w:t>
            </w:r>
            <w:r>
              <w:rPr>
                <w:rStyle w:val="IndexLink"/>
                <w:rtl w:val="true"/>
              </w:rPr>
              <w:t xml:space="preserve">: </w:t>
            </w:r>
            <w:r>
              <w:rPr>
                <w:rStyle w:val="IndexLink"/>
                <w:rtl w:val="true"/>
              </w:rPr>
              <w:t>باب الحج</w:t>
            </w:r>
            <w:r>
              <w:rPr>
                <w:rStyle w:val="IndexLink"/>
                <w:rtl w:val="true"/>
              </w:rPr>
              <w:t>:</w:t>
              <w:tab/>
            </w:r>
            <w:r>
              <w:rPr>
                <w:rStyle w:val="IndexLink"/>
              </w:rPr>
              <w:t>290</w:t>
            </w:r>
          </w:hyperlink>
        </w:p>
        <w:p>
          <w:pPr>
            <w:pStyle w:val="Contents3"/>
            <w:tabs>
              <w:tab w:val="clear" w:pos="8459"/>
              <w:tab w:val="right" w:pos="9026" w:leader="dot"/>
            </w:tabs>
            <w:rPr/>
          </w:pPr>
          <w:hyperlink w:anchor="__RefHeading___Toc983929_1468164448">
            <w:r>
              <w:rPr>
                <w:webHidden/>
                <w:rStyle w:val="IndexLink"/>
                <w:rtl w:val="true"/>
              </w:rPr>
              <w:t>الثانی</w:t>
            </w:r>
            <w:r>
              <w:rPr>
                <w:rStyle w:val="IndexLink"/>
                <w:rtl w:val="true"/>
              </w:rPr>
              <w:t xml:space="preserve">: </w:t>
            </w:r>
            <w:r>
              <w:rPr>
                <w:rStyle w:val="IndexLink"/>
                <w:rtl w:val="true"/>
              </w:rPr>
              <w:t>فی باب الصلاة</w:t>
            </w:r>
            <w:r>
              <w:rPr>
                <w:rStyle w:val="IndexLink"/>
                <w:rtl w:val="true"/>
              </w:rPr>
              <w:t>:</w:t>
              <w:tab/>
            </w:r>
            <w:r>
              <w:rPr>
                <w:rStyle w:val="IndexLink"/>
              </w:rPr>
              <w:t>292</w:t>
            </w:r>
          </w:hyperlink>
        </w:p>
        <w:p>
          <w:pPr>
            <w:pStyle w:val="Contents3"/>
            <w:tabs>
              <w:tab w:val="clear" w:pos="8459"/>
              <w:tab w:val="right" w:pos="9026" w:leader="dot"/>
            </w:tabs>
            <w:rPr/>
          </w:pPr>
          <w:hyperlink w:anchor="__RefHeading___Toc983931_1468164448">
            <w:r>
              <w:rPr>
                <w:webHidden/>
                <w:rStyle w:val="IndexLink"/>
                <w:rtl w:val="true"/>
              </w:rPr>
              <w:t>الثالث</w:t>
            </w:r>
            <w:r>
              <w:rPr>
                <w:rStyle w:val="IndexLink"/>
                <w:rtl w:val="true"/>
              </w:rPr>
              <w:t xml:space="preserve">: </w:t>
            </w:r>
            <w:r>
              <w:rPr>
                <w:rStyle w:val="IndexLink"/>
                <w:rtl w:val="true"/>
              </w:rPr>
              <w:t>موارد متفرقة</w:t>
            </w:r>
            <w:r>
              <w:rPr>
                <w:rStyle w:val="IndexLink"/>
                <w:rtl w:val="true"/>
              </w:rPr>
              <w:t>:</w:t>
              <w:tab/>
            </w:r>
            <w:r>
              <w:rPr>
                <w:rStyle w:val="IndexLink"/>
              </w:rPr>
              <w:t>293</w:t>
            </w:r>
          </w:hyperlink>
        </w:p>
        <w:p>
          <w:pPr>
            <w:pStyle w:val="Contents3"/>
            <w:tabs>
              <w:tab w:val="clear" w:pos="8459"/>
              <w:tab w:val="right" w:pos="9026" w:leader="dot"/>
            </w:tabs>
            <w:rPr/>
          </w:pPr>
          <w:hyperlink w:anchor="__RefHeading___Toc983933_1468164448">
            <w:r>
              <w:rPr>
                <w:webHidden/>
                <w:rStyle w:val="IndexLink"/>
                <w:rtl w:val="true"/>
              </w:rPr>
              <w:t>زبد المخاض</w:t>
            </w:r>
            <w:r>
              <w:rPr>
                <w:rStyle w:val="IndexLink"/>
                <w:rtl w:val="true"/>
              </w:rPr>
              <w:t xml:space="preserve">: </w:t>
            </w:r>
            <w:r>
              <w:rPr>
                <w:rStyle w:val="IndexLink"/>
                <w:rtl w:val="true"/>
              </w:rPr>
              <w:t>المحصلة من الوجوه</w:t>
            </w:r>
            <w:r>
              <w:rPr>
                <w:rStyle w:val="IndexLink"/>
                <w:rtl w:val="true"/>
              </w:rPr>
              <w:t>:</w:t>
              <w:tab/>
            </w:r>
            <w:r>
              <w:rPr>
                <w:rStyle w:val="IndexLink"/>
              </w:rPr>
              <w:t>304</w:t>
            </w:r>
          </w:hyperlink>
        </w:p>
        <w:p>
          <w:pPr>
            <w:pStyle w:val="Contents2"/>
            <w:tabs>
              <w:tab w:val="clear" w:pos="8743"/>
              <w:tab w:val="right" w:pos="9026" w:leader="dot"/>
            </w:tabs>
            <w:rPr/>
          </w:pPr>
          <w:hyperlink w:anchor="__RefHeading___Toc983935_1468164448">
            <w:r>
              <w:rPr>
                <w:webHidden/>
                <w:rStyle w:val="IndexLink"/>
                <w:rtl w:val="true"/>
              </w:rPr>
              <w:t xml:space="preserve">قاعدة </w:t>
            </w:r>
            <w:r>
              <w:rPr>
                <w:rStyle w:val="IndexLink"/>
                <w:rtl w:val="true"/>
              </w:rPr>
              <w:t>:</w:t>
            </w:r>
            <w:r>
              <w:rPr>
                <w:rStyle w:val="IndexLink"/>
                <w:rtl w:val="true"/>
              </w:rPr>
              <w:t>المشی الی العبادة عبادة</w:t>
            </w:r>
            <w:r>
              <w:rPr>
                <w:rStyle w:val="IndexLink"/>
                <w:rtl w:val="true"/>
              </w:rPr>
              <w:tab/>
            </w:r>
            <w:r>
              <w:rPr>
                <w:rStyle w:val="IndexLink"/>
              </w:rPr>
              <w:t>305</w:t>
            </w:r>
          </w:hyperlink>
        </w:p>
        <w:p>
          <w:pPr>
            <w:pStyle w:val="Contents3"/>
            <w:tabs>
              <w:tab w:val="clear" w:pos="8459"/>
              <w:tab w:val="right" w:pos="9026" w:leader="dot"/>
            </w:tabs>
            <w:rPr/>
          </w:pPr>
          <w:hyperlink w:anchor="__RefHeading___Toc983937_1468164448">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983939_1468164448">
            <w:r>
              <w:rPr>
                <w:webHidden/>
                <w:rStyle w:val="IndexLink"/>
                <w:rtl w:val="true"/>
              </w:rPr>
              <w:t>الفصل الأوَّل</w:t>
            </w:r>
            <w:r>
              <w:rPr>
                <w:rStyle w:val="IndexLink"/>
                <w:rtl w:val="true"/>
              </w:rPr>
              <w:t xml:space="preserve">: </w:t>
            </w:r>
            <w:r>
              <w:rPr>
                <w:rStyle w:val="IndexLink"/>
                <w:rtl w:val="true"/>
              </w:rPr>
              <w:t>أدلة القاعدة</w:t>
            </w:r>
            <w:r>
              <w:rPr>
                <w:rStyle w:val="IndexLink"/>
                <w:rtl w:val="true"/>
              </w:rPr>
              <w:t>:</w:t>
              <w:tab/>
            </w:r>
            <w:r>
              <w:rPr>
                <w:rStyle w:val="IndexLink"/>
              </w:rPr>
              <w:t>309</w:t>
            </w:r>
          </w:hyperlink>
        </w:p>
        <w:p>
          <w:pPr>
            <w:pStyle w:val="Contents3"/>
            <w:tabs>
              <w:tab w:val="clear" w:pos="8459"/>
              <w:tab w:val="right" w:pos="9026" w:leader="dot"/>
            </w:tabs>
            <w:rPr/>
          </w:pPr>
          <w:hyperlink w:anchor="__RefHeading___Toc983941_1468164448">
            <w:r>
              <w:rPr>
                <w:webHidden/>
                <w:rStyle w:val="IndexLink"/>
                <w:rtl w:val="true"/>
              </w:rPr>
              <w:t>ندبیة الأحتفاء فی المشی</w:t>
            </w:r>
            <w:r>
              <w:rPr>
                <w:rStyle w:val="IndexLink"/>
                <w:rtl w:val="true"/>
              </w:rPr>
              <w:t>:</w:t>
              <w:tab/>
            </w:r>
            <w:r>
              <w:rPr>
                <w:rStyle w:val="IndexLink"/>
              </w:rPr>
              <w:t>328</w:t>
            </w:r>
          </w:hyperlink>
        </w:p>
        <w:p>
          <w:pPr>
            <w:pStyle w:val="Contents2"/>
            <w:tabs>
              <w:tab w:val="clear" w:pos="8743"/>
              <w:tab w:val="right" w:pos="9026" w:leader="dot"/>
            </w:tabs>
            <w:rPr/>
          </w:pPr>
          <w:hyperlink w:anchor="__RefHeading___Toc983943_1468164448">
            <w:r>
              <w:rPr>
                <w:webHidden/>
                <w:rStyle w:val="IndexLink"/>
                <w:rtl w:val="true"/>
              </w:rPr>
              <w:t xml:space="preserve">قاعدة </w:t>
            </w:r>
            <w:r>
              <w:rPr>
                <w:rStyle w:val="IndexLink"/>
                <w:rtl w:val="true"/>
              </w:rPr>
              <w:t>:</w:t>
            </w:r>
            <w:r>
              <w:rPr>
                <w:rStyle w:val="IndexLink"/>
                <w:rtl w:val="true"/>
              </w:rPr>
              <w:t>رجحان الشعائر ولو مع الخوف</w:t>
            </w:r>
            <w:r>
              <w:rPr>
                <w:rStyle w:val="IndexLink"/>
                <w:rtl w:val="true"/>
              </w:rPr>
              <w:tab/>
            </w:r>
            <w:r>
              <w:rPr>
                <w:rStyle w:val="IndexLink"/>
              </w:rPr>
              <w:t>345</w:t>
            </w:r>
          </w:hyperlink>
        </w:p>
        <w:p>
          <w:pPr>
            <w:pStyle w:val="Contents3"/>
            <w:tabs>
              <w:tab w:val="clear" w:pos="8459"/>
              <w:tab w:val="right" w:pos="9026" w:leader="dot"/>
            </w:tabs>
            <w:rPr/>
          </w:pPr>
          <w:hyperlink w:anchor="__RefHeading___Toc983945_1468164448">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983947_1468164448">
            <w:r>
              <w:rPr>
                <w:webHidden/>
                <w:rStyle w:val="IndexLink"/>
                <w:rtl w:val="true"/>
              </w:rPr>
              <w:t>الحث علی زیارة الحسین علیه السلام مع الخوف</w:t>
            </w:r>
            <w:r>
              <w:rPr>
                <w:rStyle w:val="IndexLink"/>
                <w:rtl w:val="true"/>
              </w:rPr>
              <w:t>:</w:t>
              <w:tab/>
            </w:r>
            <w:r>
              <w:rPr>
                <w:rStyle w:val="IndexLink"/>
              </w:rPr>
              <w:t>346</w:t>
            </w:r>
          </w:hyperlink>
        </w:p>
        <w:p>
          <w:pPr>
            <w:pStyle w:val="Contents3"/>
            <w:tabs>
              <w:tab w:val="clear" w:pos="8459"/>
              <w:tab w:val="right" w:pos="9026" w:leader="dot"/>
            </w:tabs>
            <w:rPr/>
          </w:pPr>
          <w:hyperlink w:anchor="__RefHeading___Toc983949_1468164448">
            <w:r>
              <w:rPr>
                <w:webHidden/>
                <w:rStyle w:val="IndexLink"/>
                <w:rtl w:val="true"/>
              </w:rPr>
              <w:t>زیارة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حالة الخوف</w:t>
            </w:r>
            <w:r>
              <w:rPr>
                <w:rStyle w:val="IndexLink"/>
                <w:rtl w:val="true"/>
              </w:rPr>
              <w:t>:</w:t>
              <w:tab/>
            </w:r>
            <w:r>
              <w:rPr>
                <w:rStyle w:val="IndexLink"/>
              </w:rPr>
              <w:t>360</w:t>
            </w:r>
          </w:hyperlink>
        </w:p>
        <w:p>
          <w:pPr>
            <w:pStyle w:val="Contents2"/>
            <w:tabs>
              <w:tab w:val="clear" w:pos="8743"/>
              <w:tab w:val="right" w:pos="9026" w:leader="dot"/>
            </w:tabs>
            <w:rPr/>
          </w:pPr>
          <w:hyperlink w:anchor="__RefHeading___Toc983951_1468164448">
            <w:r>
              <w:rPr>
                <w:webHidden/>
                <w:rStyle w:val="IndexLink"/>
                <w:rtl w:val="true"/>
              </w:rPr>
              <w:t xml:space="preserve">قاعدة </w:t>
            </w:r>
            <w:r>
              <w:rPr>
                <w:rStyle w:val="IndexLink"/>
                <w:rtl w:val="true"/>
              </w:rPr>
              <w:t>:</w:t>
            </w:r>
            <w:r>
              <w:rPr>
                <w:rStyle w:val="IndexLink"/>
                <w:rtl w:val="true"/>
              </w:rPr>
              <w:t>عمارة مراقد الأئمة فریضة شرعیة هامة</w:t>
            </w:r>
            <w:r>
              <w:rPr>
                <w:rStyle w:val="IndexLink"/>
                <w:rtl w:val="true"/>
              </w:rPr>
              <w:tab/>
            </w:r>
            <w:r>
              <w:rPr>
                <w:rStyle w:val="IndexLink"/>
              </w:rPr>
              <w:t>372</w:t>
            </w:r>
          </w:hyperlink>
        </w:p>
        <w:p>
          <w:pPr>
            <w:pStyle w:val="Contents3"/>
            <w:tabs>
              <w:tab w:val="clear" w:pos="8459"/>
              <w:tab w:val="right" w:pos="9026" w:leader="dot"/>
            </w:tabs>
            <w:rPr/>
          </w:pPr>
          <w:hyperlink w:anchor="__RefHeading___Toc983953_1468164448">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983955_1468164448">
            <w:r>
              <w:rPr>
                <w:webHidden/>
                <w:rStyle w:val="IndexLink"/>
                <w:rtl w:val="true"/>
              </w:rPr>
              <w:t>أدلة القاعدة</w:t>
            </w:r>
            <w:r>
              <w:rPr>
                <w:rStyle w:val="IndexLink"/>
                <w:rtl w:val="true"/>
              </w:rPr>
              <w:t>:</w:t>
              <w:tab/>
            </w:r>
            <w:r>
              <w:rPr>
                <w:rStyle w:val="IndexLink"/>
              </w:rPr>
              <w:t>374</w:t>
            </w:r>
          </w:hyperlink>
        </w:p>
        <w:p>
          <w:pPr>
            <w:pStyle w:val="Contents3"/>
            <w:tabs>
              <w:tab w:val="clear" w:pos="8459"/>
              <w:tab w:val="right" w:pos="9026" w:leader="dot"/>
            </w:tabs>
            <w:rPr/>
          </w:pPr>
          <w:hyperlink w:anchor="__RefHeading___Toc983957_1468164448">
            <w:r>
              <w:rPr>
                <w:webHidden/>
                <w:rStyle w:val="IndexLink"/>
                <w:rtl w:val="true"/>
              </w:rPr>
              <w:t>أما الآیات</w:t>
            </w:r>
            <w:r>
              <w:rPr>
                <w:rStyle w:val="IndexLink"/>
                <w:rtl w:val="true"/>
              </w:rPr>
              <w:t>:</w:t>
              <w:tab/>
            </w:r>
            <w:r>
              <w:rPr>
                <w:rStyle w:val="IndexLink"/>
              </w:rPr>
              <w:t>374</w:t>
            </w:r>
          </w:hyperlink>
        </w:p>
        <w:p>
          <w:pPr>
            <w:pStyle w:val="Contents3"/>
            <w:tabs>
              <w:tab w:val="clear" w:pos="8459"/>
              <w:tab w:val="right" w:pos="9026" w:leader="dot"/>
            </w:tabs>
            <w:rPr/>
          </w:pPr>
          <w:hyperlink w:anchor="__RefHeading___Toc983959_1468164448">
            <w:r>
              <w:rPr>
                <w:webHidden/>
                <w:rStyle w:val="IndexLink"/>
                <w:rtl w:val="true"/>
              </w:rPr>
              <w:t>أحکام المسجد الحرام والعتبات المقدسة</w:t>
            </w:r>
            <w:r>
              <w:rPr>
                <w:rStyle w:val="IndexLink"/>
                <w:rtl w:val="true"/>
              </w:rPr>
              <w:t>:</w:t>
              <w:tab/>
            </w:r>
            <w:r>
              <w:rPr>
                <w:rStyle w:val="IndexLink"/>
              </w:rPr>
              <w:t>380</w:t>
            </w:r>
          </w:hyperlink>
        </w:p>
        <w:p>
          <w:pPr>
            <w:pStyle w:val="Contents3"/>
            <w:tabs>
              <w:tab w:val="clear" w:pos="8459"/>
              <w:tab w:val="right" w:pos="9026" w:leader="dot"/>
            </w:tabs>
            <w:rPr/>
          </w:pPr>
          <w:hyperlink w:anchor="__RefHeading___Toc983961_1468164448">
            <w:r>
              <w:rPr>
                <w:webHidden/>
                <w:rStyle w:val="IndexLink"/>
                <w:rtl w:val="true"/>
              </w:rPr>
              <w:t>عمومیة هذه الأحکام لکل مساجد المراقد</w:t>
            </w:r>
            <w:r>
              <w:rPr>
                <w:rStyle w:val="IndexLink"/>
                <w:rtl w:val="true"/>
              </w:rPr>
              <w:t>:</w:t>
              <w:tab/>
            </w:r>
            <w:r>
              <w:rPr>
                <w:rStyle w:val="IndexLink"/>
              </w:rPr>
              <w:t>381</w:t>
            </w:r>
          </w:hyperlink>
        </w:p>
        <w:p>
          <w:pPr>
            <w:pStyle w:val="Contents2"/>
            <w:tabs>
              <w:tab w:val="clear" w:pos="8743"/>
              <w:tab w:val="right" w:pos="9026" w:leader="dot"/>
            </w:tabs>
            <w:rPr/>
          </w:pPr>
          <w:hyperlink w:anchor="__RefHeading___Toc983963_1468164448">
            <w:r>
              <w:rPr>
                <w:webHidden/>
                <w:rStyle w:val="IndexLink"/>
                <w:rtl w:val="true"/>
              </w:rPr>
              <w:t xml:space="preserve">قاعدة </w:t>
            </w:r>
            <w:r>
              <w:rPr>
                <w:rStyle w:val="IndexLink"/>
                <w:rtl w:val="true"/>
              </w:rPr>
              <w:t>:</w:t>
            </w:r>
            <w:r>
              <w:rPr>
                <w:rStyle w:val="IndexLink"/>
                <w:rtl w:val="true"/>
              </w:rPr>
              <w:t>تعدد طرق الحکایة والإخبار عن الواقع</w:t>
            </w:r>
            <w:r>
              <w:rPr>
                <w:rStyle w:val="IndexLink"/>
                <w:rtl w:val="true"/>
              </w:rPr>
              <w:tab/>
            </w:r>
            <w:r>
              <w:rPr>
                <w:rStyle w:val="IndexLink"/>
              </w:rPr>
              <w:t>399</w:t>
            </w:r>
          </w:hyperlink>
        </w:p>
        <w:p>
          <w:pPr>
            <w:pStyle w:val="Contents3"/>
            <w:tabs>
              <w:tab w:val="clear" w:pos="8459"/>
              <w:tab w:val="right" w:pos="9026" w:leader="dot"/>
            </w:tabs>
            <w:rPr/>
          </w:pPr>
          <w:hyperlink w:anchor="__RefHeading___Toc983965_1468164448">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983967_1468164448">
            <w:r>
              <w:rPr>
                <w:webHidden/>
                <w:rStyle w:val="IndexLink"/>
                <w:rtl w:val="true"/>
              </w:rPr>
              <w:t>فی تحری الوقائع والأحداث</w:t>
            </w:r>
            <w:r>
              <w:rPr>
                <w:rStyle w:val="IndexLink"/>
                <w:rtl w:val="true"/>
              </w:rPr>
              <w:t>:</w:t>
              <w:tab/>
            </w:r>
            <w:r>
              <w:rPr>
                <w:rStyle w:val="IndexLink"/>
              </w:rPr>
              <w:t>400</w:t>
            </w:r>
          </w:hyperlink>
        </w:p>
        <w:p>
          <w:pPr>
            <w:pStyle w:val="Contents3"/>
            <w:tabs>
              <w:tab w:val="clear" w:pos="8459"/>
              <w:tab w:val="right" w:pos="9026" w:leader="dot"/>
            </w:tabs>
            <w:rPr/>
          </w:pPr>
          <w:hyperlink w:anchor="__RefHeading___Toc983969_1468164448">
            <w:r>
              <w:rPr>
                <w:webHidden/>
                <w:rStyle w:val="IndexLink"/>
                <w:rtl w:val="true"/>
              </w:rPr>
              <w:t>الطریق الأول</w:t>
            </w:r>
            <w:r>
              <w:rPr>
                <w:rStyle w:val="IndexLink"/>
                <w:rtl w:val="true"/>
              </w:rPr>
              <w:t xml:space="preserve">: </w:t>
            </w:r>
            <w:r>
              <w:rPr>
                <w:rStyle w:val="IndexLink"/>
                <w:rtl w:val="true"/>
              </w:rPr>
              <w:t>دلالة الفعل</w:t>
            </w:r>
            <w:r>
              <w:rPr>
                <w:rStyle w:val="IndexLink"/>
                <w:rtl w:val="true"/>
              </w:rPr>
              <w:t>:</w:t>
              <w:tab/>
            </w:r>
            <w:r>
              <w:rPr>
                <w:rStyle w:val="IndexLink"/>
              </w:rPr>
              <w:t>401</w:t>
            </w:r>
          </w:hyperlink>
        </w:p>
        <w:p>
          <w:pPr>
            <w:pStyle w:val="Contents3"/>
            <w:tabs>
              <w:tab w:val="clear" w:pos="8459"/>
              <w:tab w:val="right" w:pos="9026" w:leader="dot"/>
            </w:tabs>
            <w:rPr/>
          </w:pPr>
          <w:hyperlink w:anchor="__RefHeading___Toc983971_1468164448">
            <w:r>
              <w:rPr>
                <w:webHidden/>
                <w:rStyle w:val="IndexLink"/>
                <w:rtl w:val="true"/>
              </w:rPr>
              <w:t>الطریق الثانی</w:t>
            </w:r>
            <w:r>
              <w:rPr>
                <w:rStyle w:val="IndexLink"/>
                <w:rtl w:val="true"/>
              </w:rPr>
              <w:t xml:space="preserve">: </w:t>
            </w:r>
            <w:r>
              <w:rPr>
                <w:rStyle w:val="IndexLink"/>
                <w:rtl w:val="true"/>
              </w:rPr>
              <w:t>حجیة التقریر</w:t>
            </w:r>
            <w:r>
              <w:rPr>
                <w:rStyle w:val="IndexLink"/>
                <w:rtl w:val="true"/>
              </w:rPr>
              <w:t>:</w:t>
              <w:tab/>
            </w:r>
            <w:r>
              <w:rPr>
                <w:rStyle w:val="IndexLink"/>
              </w:rPr>
              <w:t>403</w:t>
            </w:r>
          </w:hyperlink>
        </w:p>
        <w:p>
          <w:pPr>
            <w:pStyle w:val="Contents3"/>
            <w:tabs>
              <w:tab w:val="clear" w:pos="8459"/>
              <w:tab w:val="right" w:pos="9026" w:leader="dot"/>
            </w:tabs>
            <w:rPr/>
          </w:pPr>
          <w:hyperlink w:anchor="__RefHeading___Toc983973_1468164448">
            <w:r>
              <w:rPr>
                <w:webHidden/>
                <w:rStyle w:val="IndexLink"/>
                <w:rtl w:val="true"/>
              </w:rPr>
              <w:t>الطریق الثالث</w:t>
            </w:r>
            <w:r>
              <w:rPr>
                <w:rStyle w:val="IndexLink"/>
                <w:rtl w:val="true"/>
              </w:rPr>
              <w:t xml:space="preserve">: </w:t>
            </w:r>
            <w:r>
              <w:rPr>
                <w:rStyle w:val="IndexLink"/>
                <w:rtl w:val="true"/>
              </w:rPr>
              <w:t>الدلالات الالتزامیة للکلام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983975_1468164448">
            <w:r>
              <w:rPr>
                <w:webHidden/>
                <w:rStyle w:val="IndexLink"/>
                <w:rtl w:val="true"/>
              </w:rPr>
              <w:t>الطریق الرابع</w:t>
            </w:r>
            <w:r>
              <w:rPr>
                <w:rStyle w:val="IndexLink"/>
                <w:rtl w:val="true"/>
              </w:rPr>
              <w:t xml:space="preserve">: </w:t>
            </w:r>
            <w:r>
              <w:rPr>
                <w:rStyle w:val="IndexLink"/>
                <w:rtl w:val="true"/>
              </w:rPr>
              <w:t>إنشاء المعانی فی النفس</w:t>
            </w:r>
            <w:r>
              <w:rPr>
                <w:rStyle w:val="IndexLink"/>
                <w:rtl w:val="true"/>
              </w:rPr>
              <w:t>:</w:t>
              <w:tab/>
            </w:r>
            <w:r>
              <w:rPr>
                <w:rStyle w:val="IndexLink"/>
              </w:rPr>
              <w:t>404</w:t>
            </w:r>
          </w:hyperlink>
        </w:p>
        <w:p>
          <w:pPr>
            <w:pStyle w:val="Contents3"/>
            <w:tabs>
              <w:tab w:val="clear" w:pos="8459"/>
              <w:tab w:val="right" w:pos="9026" w:leader="dot"/>
            </w:tabs>
            <w:rPr/>
          </w:pPr>
          <w:hyperlink w:anchor="__RefHeading___Toc983977_1468164448">
            <w:r>
              <w:rPr>
                <w:webHidden/>
                <w:rStyle w:val="IndexLink"/>
                <w:rtl w:val="true"/>
              </w:rPr>
              <w:t>الطریق الخامس</w:t>
            </w:r>
            <w:r>
              <w:rPr>
                <w:rStyle w:val="IndexLink"/>
                <w:rtl w:val="true"/>
              </w:rPr>
              <w:t xml:space="preserve">: </w:t>
            </w:r>
            <w:r>
              <w:rPr>
                <w:rStyle w:val="IndexLink"/>
                <w:rtl w:val="true"/>
              </w:rPr>
              <w:t>المجمل والمفصل</w:t>
            </w:r>
            <w:r>
              <w:rPr>
                <w:rStyle w:val="IndexLink"/>
                <w:rtl w:val="true"/>
              </w:rPr>
              <w:t>:</w:t>
              <w:tab/>
            </w:r>
            <w:r>
              <w:rPr>
                <w:rStyle w:val="IndexLink"/>
              </w:rPr>
              <w:t>404</w:t>
            </w:r>
          </w:hyperlink>
        </w:p>
        <w:p>
          <w:pPr>
            <w:pStyle w:val="Contents3"/>
            <w:tabs>
              <w:tab w:val="clear" w:pos="8459"/>
              <w:tab w:val="right" w:pos="9026" w:leader="dot"/>
            </w:tabs>
            <w:rPr/>
          </w:pPr>
          <w:hyperlink w:anchor="__RefHeading___Toc983979_1468164448">
            <w:r>
              <w:rPr>
                <w:webHidden/>
                <w:rStyle w:val="IndexLink"/>
                <w:rtl w:val="true"/>
              </w:rPr>
              <w:t>الطریق السادس</w:t>
            </w:r>
            <w:r>
              <w:rPr>
                <w:rStyle w:val="IndexLink"/>
                <w:rtl w:val="true"/>
              </w:rPr>
              <w:t xml:space="preserve">: </w:t>
            </w:r>
            <w:r>
              <w:rPr>
                <w:rStyle w:val="IndexLink"/>
                <w:rtl w:val="true"/>
              </w:rPr>
              <w:t>لسان الحال والتصویر</w:t>
            </w:r>
            <w:r>
              <w:rPr>
                <w:rStyle w:val="IndexLink"/>
                <w:rtl w:val="true"/>
              </w:rPr>
              <w:t>:</w:t>
              <w:tab/>
            </w:r>
            <w:r>
              <w:rPr>
                <w:rStyle w:val="IndexLink"/>
              </w:rPr>
              <w:t>405</w:t>
            </w:r>
          </w:hyperlink>
        </w:p>
        <w:p>
          <w:pPr>
            <w:pStyle w:val="Contents3"/>
            <w:tabs>
              <w:tab w:val="clear" w:pos="8459"/>
              <w:tab w:val="right" w:pos="9026" w:leader="dot"/>
            </w:tabs>
            <w:rPr/>
          </w:pPr>
          <w:hyperlink w:anchor="__RefHeading___Toc983981_1468164448">
            <w:r>
              <w:rPr>
                <w:webHidden/>
                <w:rStyle w:val="IndexLink"/>
                <w:rtl w:val="true"/>
              </w:rPr>
              <w:t>واقعیة لسان الحال</w:t>
            </w:r>
            <w:r>
              <w:rPr>
                <w:rStyle w:val="IndexLink"/>
                <w:rtl w:val="true"/>
              </w:rPr>
              <w:t>:</w:t>
              <w:tab/>
            </w:r>
            <w:r>
              <w:rPr>
                <w:rStyle w:val="IndexLink"/>
              </w:rPr>
              <w:t>407</w:t>
            </w:r>
          </w:hyperlink>
        </w:p>
        <w:p>
          <w:pPr>
            <w:pStyle w:val="Contents3"/>
            <w:tabs>
              <w:tab w:val="clear" w:pos="8459"/>
              <w:tab w:val="right" w:pos="9026" w:leader="dot"/>
            </w:tabs>
            <w:rPr/>
          </w:pPr>
          <w:hyperlink w:anchor="__RefHeading___Toc983983_1468164448">
            <w:r>
              <w:rPr>
                <w:webHidden/>
                <w:rStyle w:val="IndexLink"/>
                <w:rtl w:val="true"/>
              </w:rPr>
              <w:t>الوجه السابع</w:t>
            </w:r>
            <w:r>
              <w:rPr>
                <w:rStyle w:val="IndexLink"/>
                <w:rtl w:val="true"/>
              </w:rPr>
              <w:t xml:space="preserve">: </w:t>
            </w:r>
            <w:r>
              <w:rPr>
                <w:rStyle w:val="IndexLink"/>
                <w:rtl w:val="true"/>
              </w:rPr>
              <w:t>النقل بالمعنی ولسان الحال</w:t>
            </w:r>
            <w:r>
              <w:rPr>
                <w:rStyle w:val="IndexLink"/>
                <w:rtl w:val="true"/>
              </w:rPr>
              <w:t>:</w:t>
              <w:tab/>
            </w:r>
            <w:r>
              <w:rPr>
                <w:rStyle w:val="IndexLink"/>
              </w:rPr>
              <w:t>410</w:t>
            </w:r>
          </w:hyperlink>
        </w:p>
        <w:p>
          <w:pPr>
            <w:pStyle w:val="Contents3"/>
            <w:tabs>
              <w:tab w:val="clear" w:pos="8459"/>
              <w:tab w:val="right" w:pos="9026" w:leader="dot"/>
            </w:tabs>
            <w:rPr/>
          </w:pPr>
          <w:hyperlink w:anchor="__RefHeading___Toc983985_1468164448">
            <w:r>
              <w:rPr>
                <w:webHidden/>
                <w:rStyle w:val="IndexLink"/>
                <w:rtl w:val="true"/>
              </w:rPr>
              <w:t>الوجه الثامن</w:t>
            </w:r>
            <w:r>
              <w:rPr>
                <w:rStyle w:val="IndexLink"/>
                <w:rtl w:val="true"/>
              </w:rPr>
              <w:t xml:space="preserve">: </w:t>
            </w:r>
            <w:r>
              <w:rPr>
                <w:rStyle w:val="IndexLink"/>
                <w:rtl w:val="true"/>
              </w:rPr>
              <w:t>الکلام التکوینی للأفعال</w:t>
            </w:r>
            <w:r>
              <w:rPr>
                <w:rStyle w:val="IndexLink"/>
                <w:rtl w:val="true"/>
              </w:rPr>
              <w:t>:</w:t>
              <w:tab/>
            </w:r>
            <w:r>
              <w:rPr>
                <w:rStyle w:val="IndexLink"/>
              </w:rPr>
              <w:t>411</w:t>
            </w:r>
          </w:hyperlink>
        </w:p>
        <w:p>
          <w:pPr>
            <w:pStyle w:val="Contents3"/>
            <w:tabs>
              <w:tab w:val="clear" w:pos="8459"/>
              <w:tab w:val="right" w:pos="9026" w:leader="dot"/>
            </w:tabs>
            <w:rPr/>
          </w:pPr>
          <w:hyperlink w:anchor="__RefHeading___Toc983987_1468164448">
            <w:r>
              <w:rPr>
                <w:webHidden/>
                <w:rStyle w:val="IndexLink"/>
                <w:rtl w:val="true"/>
              </w:rPr>
              <w:t>الوجه التاسع</w:t>
            </w:r>
            <w:r>
              <w:rPr>
                <w:rStyle w:val="IndexLink"/>
                <w:rtl w:val="true"/>
              </w:rPr>
              <w:t xml:space="preserve">: </w:t>
            </w:r>
            <w:r>
              <w:rPr>
                <w:rStyle w:val="IndexLink"/>
                <w:rtl w:val="true"/>
              </w:rPr>
              <w:t>التمثیل والتصویر</w:t>
            </w:r>
            <w:r>
              <w:rPr>
                <w:rStyle w:val="IndexLink"/>
                <w:rtl w:val="true"/>
              </w:rPr>
              <w:t>:</w:t>
              <w:tab/>
            </w:r>
            <w:r>
              <w:rPr>
                <w:rStyle w:val="IndexLink"/>
              </w:rPr>
              <w:t>414</w:t>
            </w:r>
          </w:hyperlink>
        </w:p>
        <w:p>
          <w:pPr>
            <w:pStyle w:val="Contents3"/>
            <w:tabs>
              <w:tab w:val="clear" w:pos="8459"/>
              <w:tab w:val="right" w:pos="9026" w:leader="dot"/>
            </w:tabs>
            <w:rPr/>
          </w:pPr>
          <w:hyperlink w:anchor="__RefHeading___Toc983989_1468164448">
            <w:r>
              <w:rPr>
                <w:webHidden/>
                <w:rStyle w:val="IndexLink"/>
                <w:rtl w:val="true"/>
              </w:rPr>
              <w:t xml:space="preserve">القرآن والدعوة للإنشاد والشعر فی أهل البیت </w:t>
            </w:r>
            <w:r>
              <w:rPr>
                <w:rStyle w:val="IndexLink"/>
                <w:rtl w:val="true"/>
              </w:rPr>
              <w:t>(</w:t>
            </w:r>
            <w:r>
              <w:rPr>
                <w:rStyle w:val="IndexLink"/>
                <w:rtl w:val="true"/>
              </w:rPr>
              <w:t>علیهم السلام</w:t>
            </w:r>
            <w:r>
              <w:rPr>
                <w:rStyle w:val="IndexLink"/>
                <w:rtl w:val="true"/>
              </w:rPr>
              <w:t>) :</w:t>
              <w:tab/>
            </w:r>
            <w:r>
              <w:rPr>
                <w:rStyle w:val="IndexLink"/>
              </w:rPr>
              <w:t>418</w:t>
            </w:r>
          </w:hyperlink>
        </w:p>
        <w:p>
          <w:pPr>
            <w:pStyle w:val="Contents3"/>
            <w:tabs>
              <w:tab w:val="clear" w:pos="8459"/>
              <w:tab w:val="right" w:pos="9026" w:leader="dot"/>
            </w:tabs>
            <w:rPr/>
          </w:pPr>
          <w:hyperlink w:anchor="__RefHeading___Toc983991_1468164448">
            <w:r>
              <w:rPr>
                <w:webHidden/>
                <w:rStyle w:val="IndexLink"/>
                <w:rtl w:val="true"/>
              </w:rPr>
              <w:t>التصویر</w:t>
            </w:r>
            <w:r>
              <w:rPr>
                <w:rStyle w:val="IndexLink"/>
                <w:rtl w:val="true"/>
              </w:rPr>
              <w:t>:</w:t>
              <w:tab/>
            </w:r>
            <w:r>
              <w:rPr>
                <w:rStyle w:val="IndexLink"/>
              </w:rPr>
              <w:t>421</w:t>
            </w:r>
          </w:hyperlink>
        </w:p>
        <w:p>
          <w:pPr>
            <w:pStyle w:val="Contents2"/>
            <w:tabs>
              <w:tab w:val="clear" w:pos="8743"/>
              <w:tab w:val="right" w:pos="9026" w:leader="dot"/>
            </w:tabs>
            <w:rPr/>
          </w:pPr>
          <w:hyperlink w:anchor="__RefHeading___Toc983993_1468164448">
            <w:r>
              <w:rPr>
                <w:webHidden/>
                <w:rStyle w:val="IndexLink"/>
                <w:rtl w:val="true"/>
              </w:rPr>
              <w:t>فائدة</w:t>
            </w:r>
            <w:r>
              <w:rPr>
                <w:rStyle w:val="IndexLink"/>
                <w:rtl w:val="true"/>
              </w:rPr>
              <w:t>:</w:t>
            </w:r>
            <w:r>
              <w:rPr>
                <w:rStyle w:val="IndexLink"/>
                <w:rtl w:val="true"/>
              </w:rPr>
              <w:t>فی عموم مانعیة الغرر عن الصحة</w:t>
            </w:r>
            <w:r>
              <w:rPr>
                <w:rStyle w:val="IndexLink"/>
                <w:rtl w:val="true"/>
              </w:rPr>
              <w:tab/>
            </w:r>
            <w:r>
              <w:rPr>
                <w:rStyle w:val="IndexLink"/>
              </w:rPr>
              <w:t>424</w:t>
            </w:r>
          </w:hyperlink>
        </w:p>
        <w:p>
          <w:pPr>
            <w:pStyle w:val="Contents3"/>
            <w:tabs>
              <w:tab w:val="clear" w:pos="8459"/>
              <w:tab w:val="right" w:pos="9026" w:leader="dot"/>
            </w:tabs>
            <w:rPr/>
          </w:pPr>
          <w:hyperlink w:anchor="__RefHeading___Toc983995_1468164448">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983997_1468164448">
            <w:r>
              <w:rPr>
                <w:webHidden/>
                <w:rStyle w:val="IndexLink"/>
                <w:rtl w:val="true"/>
              </w:rPr>
              <w:t>فائدة فی عموم مانعیّة الغرر والشروط</w:t>
            </w:r>
            <w:r>
              <w:rPr>
                <w:rStyle w:val="IndexLink"/>
                <w:rtl w:val="true"/>
              </w:rPr>
              <w:tab/>
            </w:r>
            <w:r>
              <w:rPr>
                <w:rStyle w:val="IndexLink"/>
              </w:rPr>
              <w:t>425</w:t>
            </w:r>
          </w:hyperlink>
        </w:p>
        <w:p>
          <w:pPr>
            <w:pStyle w:val="Contents3"/>
            <w:tabs>
              <w:tab w:val="clear" w:pos="8459"/>
              <w:tab w:val="right" w:pos="9026" w:leader="dot"/>
            </w:tabs>
            <w:rPr/>
          </w:pPr>
          <w:hyperlink w:anchor="__RefHeading___Toc983999_1468164448">
            <w:r>
              <w:rPr>
                <w:webHidden/>
                <w:rStyle w:val="IndexLink"/>
                <w:rtl w:val="true"/>
              </w:rPr>
              <w:t>العقلائیة للصحة</w:t>
            </w:r>
            <w:r>
              <w:rPr>
                <w:rStyle w:val="IndexLink"/>
                <w:rtl w:val="true"/>
              </w:rPr>
              <w:tab/>
            </w:r>
            <w:r>
              <w:rPr>
                <w:rStyle w:val="IndexLink"/>
              </w:rPr>
              <w:t>425</w:t>
            </w:r>
          </w:hyperlink>
        </w:p>
        <w:p>
          <w:pPr>
            <w:pStyle w:val="Contents3"/>
            <w:tabs>
              <w:tab w:val="clear" w:pos="8459"/>
              <w:tab w:val="right" w:pos="9026" w:leader="dot"/>
            </w:tabs>
            <w:rPr/>
          </w:pPr>
          <w:hyperlink w:anchor="__RefHeading___Toc984001_1468164448">
            <w:r>
              <w:rPr>
                <w:webHidden/>
                <w:rStyle w:val="IndexLink"/>
                <w:rtl w:val="true"/>
              </w:rPr>
              <w:t>وتطبیقها فی عقد التامین انموذجا</w:t>
            </w:r>
            <w:r>
              <w:rPr>
                <w:rStyle w:val="IndexLink"/>
                <w:rtl w:val="true"/>
              </w:rPr>
              <w:tab/>
            </w:r>
            <w:r>
              <w:rPr>
                <w:rStyle w:val="IndexLink"/>
              </w:rPr>
              <w:t>425</w:t>
            </w:r>
          </w:hyperlink>
        </w:p>
        <w:p>
          <w:pPr>
            <w:pStyle w:val="Contents4"/>
            <w:tabs>
              <w:tab w:val="clear" w:pos="8176"/>
              <w:tab w:val="right" w:pos="9026" w:leader="dot"/>
            </w:tabs>
            <w:rPr/>
          </w:pPr>
          <w:hyperlink w:anchor="__RefHeading___Toc984003_1468164448">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984005_1468164448">
            <w:r>
              <w:rPr>
                <w:webHidden/>
                <w:rStyle w:val="IndexLink"/>
                <w:rtl w:val="true"/>
              </w:rPr>
              <w:t>تذییل بنکتة</w:t>
            </w:r>
            <w:r>
              <w:rPr>
                <w:rStyle w:val="IndexLink"/>
                <w:rtl w:val="true"/>
              </w:rPr>
              <w:t>:</w:t>
              <w:tab/>
            </w:r>
            <w:r>
              <w:rPr>
                <w:rStyle w:val="IndexLink"/>
              </w:rPr>
              <w:t>428</w:t>
            </w:r>
          </w:hyperlink>
        </w:p>
        <w:p>
          <w:pPr>
            <w:pStyle w:val="Contents2"/>
            <w:tabs>
              <w:tab w:val="clear" w:pos="8743"/>
              <w:tab w:val="right" w:pos="9026" w:leader="dot"/>
            </w:tabs>
            <w:rPr/>
          </w:pPr>
          <w:hyperlink w:anchor="__RefHeading___Toc984007_1468164448">
            <w:r>
              <w:rPr>
                <w:webHidden/>
                <w:rStyle w:val="IndexLink"/>
                <w:rtl w:val="true"/>
              </w:rPr>
              <w:t xml:space="preserve">فائدة </w:t>
            </w:r>
            <w:r>
              <w:rPr>
                <w:rStyle w:val="IndexLink"/>
                <w:rtl w:val="true"/>
              </w:rPr>
              <w:t>:</w:t>
            </w:r>
            <w:r>
              <w:rPr>
                <w:rStyle w:val="IndexLink"/>
                <w:rtl w:val="true"/>
              </w:rPr>
              <w:t>لوازم مخالفة عقد المضاربة للقاعدة</w:t>
            </w:r>
            <w:r>
              <w:rPr>
                <w:rStyle w:val="IndexLink"/>
                <w:rtl w:val="true"/>
              </w:rPr>
              <w:tab/>
            </w:r>
            <w:r>
              <w:rPr>
                <w:rStyle w:val="IndexLink"/>
              </w:rPr>
              <w:t>431</w:t>
            </w:r>
          </w:hyperlink>
        </w:p>
        <w:p>
          <w:pPr>
            <w:pStyle w:val="Contents3"/>
            <w:tabs>
              <w:tab w:val="clear" w:pos="8459"/>
              <w:tab w:val="right" w:pos="9026" w:leader="dot"/>
            </w:tabs>
            <w:rPr/>
          </w:pPr>
          <w:hyperlink w:anchor="__RefHeading___Toc984009_1468164448">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984011_1468164448">
            <w:r>
              <w:rPr>
                <w:webHidden/>
                <w:rStyle w:val="IndexLink"/>
                <w:rtl w:val="true"/>
              </w:rPr>
              <w:t>توطئة</w:t>
            </w:r>
            <w:r>
              <w:rPr>
                <w:rStyle w:val="IndexLink"/>
                <w:rtl w:val="true"/>
              </w:rPr>
              <w:t>:</w:t>
              <w:tab/>
            </w:r>
            <w:r>
              <w:rPr>
                <w:rStyle w:val="IndexLink"/>
              </w:rPr>
              <w:t>432</w:t>
            </w:r>
          </w:hyperlink>
        </w:p>
        <w:p>
          <w:pPr>
            <w:pStyle w:val="Contents2"/>
            <w:tabs>
              <w:tab w:val="clear" w:pos="8743"/>
              <w:tab w:val="right" w:pos="9026" w:leader="dot"/>
            </w:tabs>
            <w:rPr/>
          </w:pPr>
          <w:hyperlink w:anchor="__RefHeading___Toc984013_1468164448">
            <w:r>
              <w:rPr>
                <w:webHidden/>
                <w:rStyle w:val="IndexLink"/>
                <w:rtl w:val="true"/>
              </w:rPr>
              <w:t xml:space="preserve">فائدة </w:t>
            </w:r>
            <w:r>
              <w:rPr>
                <w:rStyle w:val="IndexLink"/>
                <w:rtl w:val="true"/>
              </w:rPr>
              <w:t>:</w:t>
            </w:r>
            <w:r>
              <w:rPr>
                <w:rStyle w:val="IndexLink"/>
                <w:rtl w:val="true"/>
              </w:rPr>
              <w:t>فی المعاملات المستجدة</w:t>
            </w:r>
            <w:r>
              <w:rPr>
                <w:rStyle w:val="IndexLink"/>
                <w:rtl w:val="true"/>
              </w:rPr>
              <w:tab/>
            </w:r>
            <w:r>
              <w:rPr>
                <w:rStyle w:val="IndexLink"/>
              </w:rPr>
              <w:t>442</w:t>
            </w:r>
          </w:hyperlink>
        </w:p>
        <w:p>
          <w:pPr>
            <w:pStyle w:val="Contents2"/>
            <w:tabs>
              <w:tab w:val="clear" w:pos="8743"/>
              <w:tab w:val="right" w:pos="9026" w:leader="dot"/>
            </w:tabs>
            <w:rPr/>
          </w:pPr>
          <w:hyperlink w:anchor="__RefHeading___Toc984015_1468164448">
            <w:r>
              <w:rPr>
                <w:webHidden/>
                <w:rStyle w:val="IndexLink"/>
                <w:rtl w:val="true"/>
              </w:rPr>
              <w:t xml:space="preserve">فائدة </w:t>
            </w:r>
            <w:r>
              <w:rPr>
                <w:rStyle w:val="IndexLink"/>
                <w:rtl w:val="true"/>
              </w:rPr>
              <w:t>:</w:t>
            </w:r>
            <w:r>
              <w:rPr>
                <w:rStyle w:val="IndexLink"/>
                <w:rtl w:val="true"/>
              </w:rPr>
              <w:t>فی الفرق بین القیود العلامیة والتوصیفیة</w:t>
            </w:r>
            <w:r>
              <w:rPr>
                <w:rStyle w:val="IndexLink"/>
                <w:rtl w:val="true"/>
              </w:rPr>
              <w:tab/>
            </w:r>
            <w:r>
              <w:rPr>
                <w:rStyle w:val="IndexLink"/>
              </w:rPr>
              <w:t>446</w:t>
            </w:r>
          </w:hyperlink>
        </w:p>
        <w:p>
          <w:pPr>
            <w:pStyle w:val="Contents2"/>
            <w:tabs>
              <w:tab w:val="clear" w:pos="8743"/>
              <w:tab w:val="right" w:pos="9026" w:leader="dot"/>
            </w:tabs>
            <w:rPr/>
          </w:pPr>
          <w:hyperlink w:anchor="__RefHeading___Toc984017_1468164448">
            <w:r>
              <w:rPr>
                <w:webHidden/>
                <w:rStyle w:val="IndexLink"/>
                <w:rtl w:val="true"/>
              </w:rPr>
              <w:t xml:space="preserve">فائدة </w:t>
            </w:r>
            <w:r>
              <w:rPr>
                <w:rStyle w:val="IndexLink"/>
                <w:rtl w:val="true"/>
              </w:rPr>
              <w:t>:</w:t>
            </w:r>
            <w:r>
              <w:rPr>
                <w:rStyle w:val="IndexLink"/>
                <w:rtl w:val="true"/>
              </w:rPr>
              <w:t>فی کثرة الشک</w:t>
            </w:r>
            <w:r>
              <w:rPr>
                <w:rStyle w:val="IndexLink"/>
                <w:rtl w:val="true"/>
              </w:rPr>
              <w:tab/>
            </w:r>
            <w:r>
              <w:rPr>
                <w:rStyle w:val="IndexLink"/>
              </w:rPr>
              <w:t>449</w:t>
            </w:r>
          </w:hyperlink>
        </w:p>
        <w:p>
          <w:pPr>
            <w:pStyle w:val="Contents2"/>
            <w:tabs>
              <w:tab w:val="clear" w:pos="8743"/>
              <w:tab w:val="right" w:pos="9026" w:leader="dot"/>
            </w:tabs>
            <w:rPr/>
          </w:pPr>
          <w:hyperlink w:anchor="__RefHeading___Toc984019_1468164448">
            <w:r>
              <w:rPr>
                <w:webHidden/>
                <w:rStyle w:val="IndexLink"/>
                <w:rtl w:val="true"/>
              </w:rPr>
              <w:t xml:space="preserve">فائدة </w:t>
            </w:r>
            <w:r>
              <w:rPr>
                <w:rStyle w:val="IndexLink"/>
                <w:rtl w:val="true"/>
              </w:rPr>
              <w:t>:</w:t>
            </w:r>
            <w:r>
              <w:rPr>
                <w:rStyle w:val="IndexLink"/>
                <w:rtl w:val="true"/>
              </w:rPr>
              <w:t>فی المرتد وأحکامه</w:t>
            </w:r>
            <w:r>
              <w:rPr>
                <w:rStyle w:val="IndexLink"/>
                <w:rtl w:val="true"/>
              </w:rPr>
              <w:tab/>
            </w:r>
            <w:r>
              <w:rPr>
                <w:rStyle w:val="IndexLink"/>
              </w:rPr>
              <w:t>452</w:t>
            </w:r>
          </w:hyperlink>
        </w:p>
        <w:p>
          <w:pPr>
            <w:pStyle w:val="Contents3"/>
            <w:tabs>
              <w:tab w:val="clear" w:pos="8459"/>
              <w:tab w:val="right" w:pos="9026" w:leader="dot"/>
            </w:tabs>
            <w:rPr/>
          </w:pPr>
          <w:hyperlink w:anchor="__RefHeading___Toc984021_1468164448">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984023_1468164448">
            <w:r>
              <w:rPr>
                <w:webHidden/>
                <w:rStyle w:val="IndexLink"/>
                <w:rtl w:val="true"/>
              </w:rPr>
              <w:t>حصر المرتد الفطری بمنکر الشهادتین</w:t>
            </w:r>
            <w:r>
              <w:rPr>
                <w:rStyle w:val="IndexLink"/>
                <w:rtl w:val="true"/>
              </w:rPr>
              <w:t>:</w:t>
              <w:tab/>
            </w:r>
            <w:r>
              <w:rPr>
                <w:rStyle w:val="IndexLink"/>
              </w:rPr>
              <w:t>460</w:t>
            </w:r>
          </w:hyperlink>
        </w:p>
        <w:p>
          <w:pPr>
            <w:pStyle w:val="Contents2"/>
            <w:tabs>
              <w:tab w:val="clear" w:pos="8743"/>
              <w:tab w:val="right" w:pos="9026" w:leader="dot"/>
            </w:tabs>
            <w:rPr/>
          </w:pPr>
          <w:hyperlink w:anchor="__RefHeading___Toc984025_1468164448">
            <w:r>
              <w:rPr>
                <w:webHidden/>
                <w:rStyle w:val="IndexLink"/>
                <w:rtl w:val="true"/>
              </w:rPr>
              <w:t xml:space="preserve">فائدة </w:t>
            </w:r>
            <w:r>
              <w:rPr>
                <w:rStyle w:val="IndexLink"/>
                <w:rtl w:val="true"/>
              </w:rPr>
              <w:t>:</w:t>
            </w:r>
            <w:r>
              <w:rPr>
                <w:rStyle w:val="IndexLink"/>
                <w:rtl w:val="true"/>
              </w:rPr>
              <w:t>فی حدود ما یسوغ النظر إلیه عند إرادة التزویج</w:t>
            </w:r>
            <w:r>
              <w:rPr>
                <w:rStyle w:val="IndexLink"/>
                <w:rtl w:val="true"/>
              </w:rPr>
              <w:tab/>
            </w:r>
            <w:r>
              <w:rPr>
                <w:rStyle w:val="IndexLink"/>
              </w:rPr>
              <w:t>463</w:t>
            </w:r>
          </w:hyperlink>
        </w:p>
        <w:p>
          <w:pPr>
            <w:pStyle w:val="Contents2"/>
            <w:tabs>
              <w:tab w:val="clear" w:pos="8743"/>
              <w:tab w:val="right" w:pos="9026" w:leader="dot"/>
            </w:tabs>
            <w:rPr/>
          </w:pPr>
          <w:hyperlink w:anchor="__RefHeading___Toc984027_1468164448">
            <w:r>
              <w:rPr>
                <w:webHidden/>
                <w:rStyle w:val="IndexLink"/>
                <w:rtl w:val="true"/>
              </w:rPr>
              <w:t xml:space="preserve">فائدة </w:t>
            </w:r>
            <w:r>
              <w:rPr>
                <w:rStyle w:val="IndexLink"/>
                <w:rtl w:val="true"/>
              </w:rPr>
              <w:t>:</w:t>
            </w:r>
            <w:r>
              <w:rPr>
                <w:rStyle w:val="IndexLink"/>
                <w:rtl w:val="true"/>
              </w:rPr>
              <w:t>فی عدم اعتبار الشروط المتبانی علیها قبل عقد النکاح من دون التصریح بها فی العقد</w:t>
            </w:r>
            <w:r>
              <w:rPr>
                <w:rStyle w:val="IndexLink"/>
                <w:rtl w:val="true"/>
              </w:rPr>
              <w:tab/>
            </w:r>
            <w:r>
              <w:rPr>
                <w:rStyle w:val="IndexLink"/>
              </w:rPr>
              <w:t>467</w:t>
            </w:r>
          </w:hyperlink>
        </w:p>
        <w:p>
          <w:pPr>
            <w:pStyle w:val="Contents3"/>
            <w:tabs>
              <w:tab w:val="clear" w:pos="8459"/>
              <w:tab w:val="right" w:pos="9026" w:leader="dot"/>
            </w:tabs>
            <w:rPr/>
          </w:pPr>
          <w:hyperlink w:anchor="__RefHeading___Toc984029_1468164448">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984031_1468164448">
            <w:r>
              <w:rPr>
                <w:webHidden/>
                <w:rStyle w:val="IndexLink"/>
                <w:rtl w:val="true"/>
              </w:rPr>
              <w:t>الأول</w:t>
            </w:r>
            <w:r>
              <w:rPr>
                <w:rStyle w:val="IndexLink"/>
                <w:rtl w:val="true"/>
              </w:rPr>
              <w:t xml:space="preserve">: </w:t>
            </w:r>
            <w:r>
              <w:rPr>
                <w:rStyle w:val="IndexLink"/>
                <w:rtl w:val="true"/>
              </w:rPr>
              <w:t>الروایات</w:t>
            </w:r>
            <w:r>
              <w:rPr>
                <w:rStyle w:val="IndexLink"/>
                <w:rtl w:val="true"/>
              </w:rPr>
              <w:t>:</w:t>
              <w:tab/>
            </w:r>
            <w:r>
              <w:rPr>
                <w:rStyle w:val="IndexLink"/>
              </w:rPr>
              <w:t>468</w:t>
            </w:r>
          </w:hyperlink>
        </w:p>
        <w:p>
          <w:pPr>
            <w:pStyle w:val="Contents3"/>
            <w:tabs>
              <w:tab w:val="clear" w:pos="8459"/>
              <w:tab w:val="right" w:pos="9026" w:leader="dot"/>
            </w:tabs>
            <w:rPr/>
          </w:pPr>
          <w:hyperlink w:anchor="__RefHeading___Toc984033_1468164448">
            <w:r>
              <w:rPr>
                <w:webHidden/>
                <w:rStyle w:val="IndexLink"/>
                <w:rtl w:val="true"/>
              </w:rPr>
              <w:t>الثانی</w:t>
            </w:r>
            <w:r>
              <w:rPr>
                <w:rStyle w:val="IndexLink"/>
                <w:rtl w:val="true"/>
              </w:rPr>
              <w:t xml:space="preserve">: </w:t>
            </w:r>
            <w:r>
              <w:rPr>
                <w:rStyle w:val="IndexLink"/>
                <w:rtl w:val="true"/>
              </w:rPr>
              <w:t>مقتضی الأصل</w:t>
            </w:r>
            <w:r>
              <w:rPr>
                <w:rStyle w:val="IndexLink"/>
                <w:rtl w:val="true"/>
              </w:rPr>
              <w:t>:</w:t>
              <w:tab/>
            </w:r>
            <w:r>
              <w:rPr>
                <w:rStyle w:val="IndexLink"/>
              </w:rPr>
              <w:t>474</w:t>
            </w:r>
          </w:hyperlink>
        </w:p>
        <w:p>
          <w:pPr>
            <w:pStyle w:val="Contents2"/>
            <w:tabs>
              <w:tab w:val="clear" w:pos="8743"/>
              <w:tab w:val="right" w:pos="9026" w:leader="dot"/>
            </w:tabs>
            <w:rPr/>
          </w:pPr>
          <w:hyperlink w:anchor="__RefHeading___Toc984035_1468164448">
            <w:r>
              <w:rPr>
                <w:webHidden/>
                <w:rStyle w:val="IndexLink"/>
                <w:rtl w:val="true"/>
              </w:rPr>
              <w:t xml:space="preserve">فائدة </w:t>
            </w:r>
            <w:r>
              <w:rPr>
                <w:rStyle w:val="IndexLink"/>
                <w:rtl w:val="true"/>
              </w:rPr>
              <w:t>:</w:t>
            </w:r>
            <w:r>
              <w:rPr>
                <w:rStyle w:val="IndexLink"/>
                <w:rtl w:val="true"/>
              </w:rPr>
              <w:t>فی تحقق قاعدة الفراش والعدة من إراقة الماء علی الفرج</w:t>
            </w:r>
            <w:r>
              <w:rPr>
                <w:rStyle w:val="IndexLink"/>
                <w:rtl w:val="true"/>
              </w:rPr>
              <w:tab/>
            </w:r>
            <w:r>
              <w:rPr>
                <w:rStyle w:val="IndexLink"/>
              </w:rPr>
              <w:t>476</w:t>
            </w:r>
          </w:hyperlink>
        </w:p>
        <w:p>
          <w:pPr>
            <w:pStyle w:val="Contents2"/>
            <w:tabs>
              <w:tab w:val="clear" w:pos="8743"/>
              <w:tab w:val="right" w:pos="9026" w:leader="dot"/>
            </w:tabs>
            <w:rPr/>
          </w:pPr>
          <w:hyperlink w:anchor="__RefHeading___Toc984037_1468164448">
            <w:r>
              <w:rPr>
                <w:webHidden/>
                <w:rStyle w:val="IndexLink"/>
                <w:rtl w:val="true"/>
              </w:rPr>
              <w:t xml:space="preserve">فائدة </w:t>
            </w:r>
            <w:r>
              <w:rPr>
                <w:rStyle w:val="IndexLink"/>
                <w:rtl w:val="true"/>
              </w:rPr>
              <w:t>:</w:t>
            </w:r>
            <w:r>
              <w:rPr>
                <w:rStyle w:val="IndexLink"/>
                <w:rtl w:val="true"/>
              </w:rPr>
              <w:t>فی أن جدة میقات للتمتع</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95_150539"/>
      <w:bookmarkStart w:id="1" w:name="pg13695_150539"/>
      <w:bookmarkEnd w:id="1"/>
    </w:p>
    <w:p>
      <w:pPr>
        <w:pStyle w:val="Heading2"/>
        <w:numPr>
          <w:ilvl w:val="1"/>
          <w:numId w:val="1"/>
        </w:numPr>
        <w:rPr/>
      </w:pPr>
      <w:bookmarkStart w:id="2" w:name="pg13695_150539"/>
      <w:bookmarkStart w:id="3" w:name="__RefHeading___Toc98372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فی‌القواعد‌الفقهیه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محمدالسند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مشتاق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محکمات‌الثقلین؛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صادق،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چهارم،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 اساس تقریرات محمد السند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 مشتاق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۴۸۰۳۲۹۰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731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بحوث فی‌القواعد‌الفقهیه المجلد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تقریرات محمدالسند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مشتاق الساعدی</w:t>
      </w:r>
      <w:bookmarkStart w:id="7" w:name="pg13695_150545"/>
    </w:p>
    <w:p>
      <w:pPr>
        <w:pStyle w:val="Heading2"/>
        <w:numPr>
          <w:ilvl w:val="1"/>
          <w:numId w:val="1"/>
        </w:numPr>
        <w:rPr/>
      </w:pPr>
      <w:bookmarkStart w:id="8" w:name="__RefHeading___Toc983733_1468164448"/>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ربنا وحده وحده والصلاة والسلام علی محمد المصطفی نبیه وعبده وعلی اله سؤدده ومجده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ان صدر الجزء الاول والثانی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تقریر ابحاث شیخنا الاستاذ ایة الله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عززناه بجزء 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حوی هذا الجزء علی ست عشرة قاعدة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الست الأخیرة منها قواعد مستجدة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أبدع فیه شیخنا الأستاذ واتی بما هو جدید ودقیق کما عودنا فی بحوثه المتنوعة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حوی علی فوائد عشرة أکثرها من بحوث فقه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کان هذا الجزء خاتمة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قواعده فهی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العرض علی الکتاب والسنة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العقود تابعة للقصود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تبع ما لیس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عمد الصبی خطا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لزوم العسر والحرج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ان المتنجس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تعیین المالک لما یقابل الدین والوصیة من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شرطیة اذن الاب فی اعمال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من ادرک المشعر فقد ادرک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الشعائر الدینیة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توسعة حریم مواسم الشعائر زمانا ومکانا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المشی الی العبادة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رجحان الشعائر ولو مع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عمارة مراقد الائمة فریضة هامة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تعدد طرق الحکایة والإخبار عن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القاعدة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تقریرات جناب الاخ الشیخ عباس اللامی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لدرس الشیخ الاستاذ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القواعد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تقریرات جناب الاخ السید ریاض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لدرس الشیخ الاستاذ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فوائده فهی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فی عموم مانعیة الغرر عن الصحة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لوازم مخالفة عقد المضاربة للقاعدة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فی المعاملات المستجدة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فی الفرق بین القیود العلامیة والتوصیفیة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فی کثرة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فی المرتد وأحکامه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فی حدود ما یسوغ النظر الیه عند ارادة التزویج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فائدة فی عدم اعتبار الشروط المتبانی علیها قبل عقد النکاح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فی تحقق قاعدة الفراش والعدة من إراقة الماء علی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ان جدة میقات للتمتع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نسال الله تعالی دوام التوفیق لسماحة الشیخ الاستاذ السند والمزید من العطاء العلمی والمعرفی الذی یرفد به المکتبة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اولا واخرا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مشتاق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bookmarkStart w:id="10" w:name="pg13695_150549"/>
    </w:p>
    <w:p>
      <w:pPr>
        <w:pStyle w:val="Heading2"/>
        <w:numPr>
          <w:ilvl w:val="1"/>
          <w:numId w:val="1"/>
        </w:numPr>
        <w:rPr/>
      </w:pPr>
      <w:bookmarkStart w:id="11" w:name="__RefHeading___Toc983735_1468164448"/>
      <w:bookmarkStart w:id="12" w:name="_Toc4"/>
      <w:bookmarkEnd w:id="10"/>
      <w:bookmarkEnd w:id="11"/>
      <w:r>
        <w:rPr>
          <w:rtl w:val="true"/>
        </w:rPr>
        <w:t xml:space="preserve">قاعدة </w:t>
      </w:r>
      <w:r>
        <w:rPr>
          <w:rtl w:val="true"/>
        </w:rPr>
        <w:t xml:space="preserve">: </w:t>
      </w:r>
      <w:r>
        <w:rPr>
          <w:rtl w:val="true"/>
        </w:rPr>
        <w:t>العرض علی الکتاب والسنة</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83737_1468164448"/>
      <w:bookmarkStart w:id="14" w:name="_Toc5"/>
      <w:bookmarkEnd w:id="13"/>
      <w:r>
        <w:rPr>
          <w:rtl w:val="true"/>
        </w:rPr>
        <w:t>اشارة</w:t>
      </w:r>
      <w:bookmarkStart w:id="15" w:name="pg13695_150551"/>
      <w:bookmarkEnd w:id="14"/>
    </w:p>
    <w:p>
      <w:pPr>
        <w:pStyle w:val="BookText"/>
        <w:rPr/>
      </w:pPr>
      <w:bookmarkEnd w:id="15"/>
      <w:r>
        <w:rPr>
          <w:rFonts w:ascii="IRNazanin" w:hAnsi="IRNazanin" w:eastAsia="IRNazanin"/>
          <w:color w:val="111111"/>
          <w:sz w:val="28"/>
          <w:sz w:val="28"/>
          <w:szCs w:val="28"/>
          <w:rtl w:val="true"/>
          <w:lang w:bidi="fa-IR"/>
        </w:rPr>
        <w:t>قاعدة العرض علی الکتاب والسنة</w:t>
      </w:r>
    </w:p>
    <w:p>
      <w:pPr>
        <w:pStyle w:val="BookText"/>
        <w:rPr/>
      </w:pPr>
      <w:r>
        <w:rPr>
          <w:rFonts w:ascii="IRNazanin" w:hAnsi="IRNazanin" w:eastAsia="IRNazanin"/>
          <w:color w:val="111111"/>
          <w:sz w:val="28"/>
          <w:sz w:val="28"/>
          <w:szCs w:val="28"/>
          <w:rtl w:val="true"/>
          <w:lang w:bidi="fa-IR"/>
        </w:rPr>
        <w:t>فی بیان ضوابط العرض علی الکتاب والسنّة ومیزان المخالفة والموافقة لهما</w:t>
      </w:r>
      <w:r>
        <w:rPr>
          <w:rFonts w:eastAsia="IRNazanin" w:cs="IRNazanin"/>
          <w:color w:val="111111"/>
          <w:sz w:val="28"/>
          <w:szCs w:val="28"/>
          <w:rtl w:val="true"/>
          <w:lang w:bidi="fa-IR"/>
        </w:rPr>
        <w:t>:</w:t>
      </w:r>
    </w:p>
    <w:p>
      <w:pPr>
        <w:pStyle w:val="Heading3"/>
        <w:numPr>
          <w:ilvl w:val="2"/>
          <w:numId w:val="1"/>
        </w:numPr>
        <w:rPr/>
      </w:pPr>
      <w:bookmarkStart w:id="16" w:name="__RefHeading___Toc983739_1468164448"/>
      <w:bookmarkStart w:id="17" w:name="_Toc6"/>
      <w:bookmarkEnd w:id="16"/>
      <w:r>
        <w:rPr>
          <w:rtl w:val="true"/>
        </w:rPr>
        <w:t>توطئة</w:t>
      </w:r>
      <w:r>
        <w:rPr>
          <w:rtl w:val="true"/>
        </w:rPr>
        <w:t>:</w:t>
      </w:r>
      <w:bookmarkEnd w:id="17"/>
    </w:p>
    <w:p>
      <w:pPr>
        <w:pStyle w:val="BookText"/>
        <w:rPr/>
      </w:pPr>
      <w:r>
        <w:rPr>
          <w:rFonts w:ascii="IRNazanin" w:hAnsi="IRNazanin" w:eastAsia="IRNazanin"/>
          <w:color w:val="111111"/>
          <w:sz w:val="28"/>
          <w:sz w:val="28"/>
          <w:szCs w:val="28"/>
          <w:rtl w:val="true"/>
          <w:lang w:bidi="fa-IR"/>
        </w:rPr>
        <w:t>هذه القاعدة ذات مساحة فی ابواب عدیدة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الروایات فی الابواب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مطرد فی غالب الابواب وباب تمییز صحة الشرط فی العقود والمعاملات سواء الفردیة او الاجتماعیة او الجماعیة فی الفقه الاجتماعی والسیاسی وباب الصلح والعهد سواء علی الصعید الفردی والاجتماعی والسیاسی وباب النذر والیمین وباوامر الاولیاء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بیان الضابطة للعرض علی الکتاب والسنّة أو معرفة ضابطة المخالفة والموافقة لهما بصورة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تکون الموازنة بین مضامین تفاصیل الأحکام والمعارف فی الروایات وبین محکمات الکتاب والسنّة بتوسّط السلیقة والذوق والقریحة غیر المنضبطة عادة، بل منضبطة بقالب صناعیّ یُعوّل علیه ویضطرّ إلی إعماله بتدبّر وإمعان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وکانموذج لتطبیق هذه الضابطة، نشرع فی دراسة قاعدة مهمّة وهی قاعدة عدم نفوذ الشرط المخالف للکتاب والسُّنة</w:t>
      </w:r>
      <w:r>
        <w:rPr>
          <w:rFonts w:eastAsia="IRNazanin" w:cs="IRNazanin"/>
          <w:color w:val="111111"/>
          <w:sz w:val="28"/>
          <w:szCs w:val="28"/>
          <w:rtl w:val="true"/>
          <w:lang w:bidi="fa-IR"/>
        </w:rPr>
        <w:t>.</w:t>
      </w:r>
    </w:p>
    <w:p>
      <w:pPr>
        <w:pStyle w:val="Heading3"/>
        <w:numPr>
          <w:ilvl w:val="2"/>
          <w:numId w:val="1"/>
        </w:numPr>
        <w:rPr/>
      </w:pPr>
      <w:bookmarkStart w:id="18" w:name="__RefHeading___Toc983741_1468164448"/>
      <w:bookmarkStart w:id="19" w:name="_Toc7"/>
      <w:bookmarkEnd w:id="18"/>
      <w:r>
        <w:rPr>
          <w:rtl w:val="true"/>
        </w:rPr>
        <w:t>عدم نفوذ الشرط المخالف للکتاب والسنّة</w:t>
      </w:r>
      <w:r>
        <w:rPr>
          <w:rtl w:val="true"/>
        </w:rPr>
        <w:t>:</w:t>
      </w:r>
      <w:bookmarkEnd w:id="19"/>
    </w:p>
    <w:p>
      <w:pPr>
        <w:pStyle w:val="BookText"/>
        <w:rPr/>
      </w:pPr>
      <w:r>
        <w:rPr>
          <w:rFonts w:ascii="Amiri" w:hAnsi="Amiri" w:eastAsia="Amiri" w:cs="Amiri"/>
          <w:color w:val="111111"/>
          <w:sz w:val="28"/>
          <w:sz w:val="28"/>
          <w:szCs w:val="28"/>
          <w:rtl w:val="true"/>
          <w:lang w:bidi="ar-SA"/>
        </w:rPr>
        <w:t>عموم القاعدة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القاعدة وإن جری تداولها فی المعاملات کضابطة فی الشروط</w:t>
      </w:r>
      <w:bookmarkStart w:id="20" w:name="pg13695_150552"/>
    </w:p>
    <w:p>
      <w:pPr>
        <w:pStyle w:val="BookText"/>
        <w:rPr/>
      </w:pPr>
      <w:bookmarkEnd w:id="20"/>
      <w:r>
        <w:rPr>
          <w:rFonts w:ascii="IRNazanin" w:hAnsi="IRNazanin" w:eastAsia="IRNazanin"/>
          <w:color w:val="111111"/>
          <w:sz w:val="28"/>
          <w:sz w:val="28"/>
          <w:szCs w:val="28"/>
          <w:rtl w:val="true"/>
          <w:lang w:bidi="fa-IR"/>
        </w:rPr>
        <w:t>الضمنیّة المعاملیّة، إلّا أنّ الصحیح عموم هذه القاعدة لأبواب الفقه السیاسیّ والحکم، کما أنّها ذات أهمّیة کبیرة فی البحث المتداول فی هذا العصر، وهو الثابت والمتغیّر فی الشریعة، والذی یضفی بظلاله علی کیفیّة تغطیة الشریعة لکلّ الحوادث المستجدّة ولکلّ أصعدة الحیاة الحدیثة، کما سیتبیّن فی ما یأتی ان شاء الله تعالی</w:t>
      </w:r>
      <w:r>
        <w:rPr>
          <w:rFonts w:eastAsia="IRNazanin" w:cs="IRNazanin"/>
          <w:color w:val="111111"/>
          <w:sz w:val="28"/>
          <w:szCs w:val="28"/>
          <w:rtl w:val="true"/>
          <w:lang w:bidi="fa-IR"/>
        </w:rPr>
        <w:t>.</w:t>
      </w:r>
    </w:p>
    <w:p>
      <w:pPr>
        <w:pStyle w:val="Heading3"/>
        <w:numPr>
          <w:ilvl w:val="2"/>
          <w:numId w:val="1"/>
        </w:numPr>
        <w:rPr/>
      </w:pPr>
      <w:bookmarkStart w:id="21" w:name="__RefHeading___Toc983743_1468164448"/>
      <w:bookmarkStart w:id="22" w:name="_Toc8"/>
      <w:bookmarkEnd w:id="21"/>
      <w:r>
        <w:rPr>
          <w:rtl w:val="true"/>
        </w:rPr>
        <w:t>صعوبة البحث فی هذه القاعدة</w:t>
      </w:r>
      <w:r>
        <w:rPr>
          <w:rtl w:val="true"/>
        </w:rPr>
        <w:t>:</w:t>
      </w:r>
      <w:bookmarkEnd w:id="22"/>
    </w:p>
    <w:p>
      <w:pPr>
        <w:pStyle w:val="BookText"/>
        <w:rPr/>
      </w:pPr>
      <w:r>
        <w:rPr>
          <w:rFonts w:ascii="IRNazanin" w:hAnsi="IRNazanin" w:eastAsia="IRNazanin"/>
          <w:color w:val="111111"/>
          <w:sz w:val="28"/>
          <w:sz w:val="28"/>
          <w:szCs w:val="28"/>
          <w:rtl w:val="true"/>
          <w:lang w:bidi="fa-IR"/>
        </w:rPr>
        <w:t>ولا یخفی أنّ هذه القاعدة قد نبّه کلّ مَن خاض فیها من الأساطین علی وعُورة وصعوبة البحث فیها، وأنّ ما یذکر من ضوابط فی تفسیرها غیر مطّرد ولا منعکس، مضافاً إلی أنّها لا تنقّح الصغریات العدیدة التی وقع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التحدید فی الشرط ورد أیضاً فی الصلح والنذر وأخویه، وطاعة الوالدین وغیرها، وسیتبیّن الجهة المشترکة بین هذه العناوین فی هذا التحدید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ولأهمیّة هذه القاعدة خاض فیها المحقّق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عوائد الأیّام</w:t>
      </w:r>
      <w:r>
        <w:rPr>
          <w:rStyle w:val="FootnoteAnchor"/>
          <w:rtl w:val="true"/>
        </w:rPr>
        <w:footnoteReference w:id="2"/>
      </w:r>
      <w:r>
        <w:rPr>
          <w:rFonts w:ascii="IRNazanin" w:hAnsi="IRNazanin" w:eastAsia="IRNazanin"/>
          <w:color w:val="111111"/>
          <w:sz w:val="28"/>
          <w:sz w:val="28"/>
          <w:szCs w:val="28"/>
          <w:rtl w:val="true"/>
          <w:lang w:bidi="fa-IR"/>
        </w:rPr>
        <w:t>، کما تعرّض لکلامه تلمیذه الشیخ المحقّق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 وکما تعرّض لکلامه کلّ من کتب فی هذه القاعدة، ومن‌الموارد الفریدة التی یعبّر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استاذه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بالمشیخة فی خصوص المقام عندما بحث القاعدة فی المکاسب فقال معبرا عن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مشایخنا المعاصرین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کلامه فی موضعین، وهو الوحید الذی نوّه باسمه من بین مَن نقل عنهم فی هذا المبحث، ممّا یدل علی حداثة بلورة هذا البحث عند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الصفة مطّردة فی تحقیقات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تابع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استاذه المحقّق فی إثارتها فی مواطنها المختلفة، ممّا یدلّ علی تأثّر الشیخ بالمحقّق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بقیّة مشایخه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النراقی فی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العائدة </w:t>
      </w:r>
      <w:r>
        <w:rPr>
          <w:rFonts w:eastAsia="IRNazanin" w:cs="IRNazanin"/>
          <w:color w:val="111111"/>
          <w:sz w:val="28"/>
          <w:szCs w:val="28"/>
          <w:lang w:bidi="fa-IR"/>
        </w:rPr>
        <w:t>15</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عقدها لبیان حکم الشرط فی ضمن العقد، بعد بیان معنی الشرط وجملة من ضوابط وشرائط صحّة الشرط الضمنیّ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یجوز من الشرط وما لا یجوز، وجملة ما ذکروا عدم جوازه، ووقع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عباراتهم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المخالف للکتاب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والشرط الذی أحلّ حراماً أو حرّم حلالًا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والشرط المنافی لمقتضی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المؤدّی إلی جهالة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الإعتداد به مجمع علیه، وفی المستفیضة 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الأخبار الواردة فی المقام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بشرطٍ خالف الکتاب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مخالفاً لما ثبت من الکتاب والسنّة، عموماً أو خصوصاً، مناقضاً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حکم فی الکتاب أو السنّة، وهو یشترط ضدّ ذلک الحکم خلافه، أی یکون المشروط أمراً مخالفاً لما ثبت فی أحدهما، سواء کان من الأحکام الطلبیّة أو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اشتراط أن لا یتصرّف المشتری فی المبیع مدّة معلومة، فهو لیس مخالفاً للکتاب أو السنّة، إذ لم یثبت فیهما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ثبت جواز تصرّفه، والمخالف له عدم جواز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إیجاب الشارع للعمل بالشرط یستلزم عدم جواز التصرّف، ولیس المستثنی فی الأخبار شرطاً خالف إیجابه أو وجوبه کتاب الله والسنّة، بل شرط خالف الکتاب والسنّة؛ والشرط هو عدم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أنّ التزام عدم التصرّف یخالف جواز التصرّف ما لم یثبت وجوب ما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شرط فعل شیء ثبتت حرمته من الکتاب والسنّة أو ترک شیء ثبت وجوبه أو جوازه منهما، فهو لیس شرطاً مخالفاً للکتاب والسنّة، إذ لم یثبت من الکتاب والسنّة فعله أو ترکه، بل حرمة فعله أو ترکه، ولکن یحصل التعارض حینئذ بین ما دلّ علی حرمة الفعل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الترک، وبین أدلّة وجوب الوفاء بالشرط، فیجب العمل بمقتضی</w:t>
      </w:r>
    </w:p>
    <w:p>
      <w:pPr>
        <w:pStyle w:val="BookText"/>
        <w:rPr/>
      </w:pPr>
      <w:r>
        <w:rPr>
          <w:rFonts w:ascii="IRNazanin" w:hAnsi="IRNazanin" w:eastAsia="IRNazanin"/>
          <w:color w:val="111111"/>
          <w:sz w:val="28"/>
          <w:sz w:val="28"/>
          <w:szCs w:val="28"/>
          <w:rtl w:val="true"/>
          <w:lang w:bidi="fa-IR"/>
        </w:rPr>
        <w:t>التعارض،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التعرُّض إلی باقی کلمات الأصحاب فی هذه القاعدة، نستعرض الروایات الواردة ثمّ نتبعه بتحریر حقیقة موضوع ومحمول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وإن کانت علی طوائف بحسب ألسنتها، إلّا أنّنا سنذکرها بحسب أبواب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الشرط فی الإماء لا تباع ولا توارث ولا توهب؟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غیر المیراث، فإنّها تورث، فکلّ شرط خالف کتاب الله فهو 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ابن سنان</w:t>
      </w:r>
      <w:r>
        <w:rPr>
          <w:rStyle w:val="FootnoteAnchor"/>
          <w:rtl w:val="true"/>
        </w:rPr>
        <w:footnoteReference w:id="6"/>
      </w:r>
      <w:r>
        <w:rPr>
          <w:rFonts w:ascii="IRNazanin" w:hAnsi="IRNazanin" w:eastAsia="IRNazanin"/>
          <w:color w:val="111111"/>
          <w:sz w:val="28"/>
          <w:sz w:val="28"/>
          <w:szCs w:val="28"/>
          <w:rtl w:val="true"/>
          <w:lang w:bidi="fa-IR"/>
        </w:rPr>
        <w:t>إلّا أنّ فی ذیلها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مخالفاً لکتاب الله فلا یجوز له، ولا یجوز علی الذی اشترط علیه، والمسلمون عند شروطهم ممّا وافق کتاب الله عَزَّ وَجَلَّ</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صحیحه الآخر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إلّاکلّ شرط خالف کتاب الله عَزَّ وَجَلَّ فلا یجوز</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الثانی صحیح الحلبی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عن جعفر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فلیَفِ لها به، فإنَّ المسلمین عند شروطهم إلّا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منصور بن بزرج، عن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موالیک تزوّج امرأة ثمّ طلّقها فبانت منه فأراد أن یراجعها فأبت علیه إلّاأن یجعل للَّه‌علیه أن لا یُطلّقها ولا یتزوّج علیها، فأعطاها ذلک ثمّ بدا له فی التزویج بعد ذلک فکیف یصنع؟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وما کان یُدریه ما یقع فی قلبه باللیل والنهار،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 للمرأة بشرطها،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عند شروطهم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العیّاشیّ، عن ابن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تزوّجها رجل وشرط علیها وعلی أهلها إن تزوّج علیها امرأة أو هجرها أو اتَّخذ علیها سریّة فإنّها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شرطکم، إن شاء وفی بشرطه وإن شاء أمسک امرأته ونکح علیها وتسرّی علیها وهجرها إن أتت بسبیل ذلک، قال الله تعالی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w:t>
      </w:r>
    </w:p>
    <w:p>
      <w:pPr>
        <w:pStyle w:val="BookText"/>
        <w:rPr/>
      </w:pPr>
      <w:r>
        <w:rPr>
          <w:rFonts w:ascii="Amiri" w:hAnsi="Amiri" w:eastAsia="Amiri" w:cs="Amiri"/>
          <w:color w:val="111111"/>
          <w:sz w:val="28"/>
          <w:sz w:val="28"/>
          <w:szCs w:val="28"/>
          <w:rtl w:val="true"/>
          <w:lang w:bidi="ar-SA"/>
        </w:rPr>
        <w:t xml:space="preserve">طابَ لَکُمْ مِنَ النِّساءِ مَثْنی وَ ثُلاثَ وَ رُباعَ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مَلَکَتْ أَیْمانُکُمْ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تَخافُونَ نُشُوزَهُنَّ </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فی رجل تزّوج امرأة وأصدقته هی واشترطت علیه أنّ بیدها الجماع والطلاق،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السنّة ووُلِّیت حقّاً لیست بأهله، فقضی أنّ علیه الصداق وبیده الجماع والطلاق، ذلک السنّة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وصحیحه الآخر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وشرط لها إن تزوّج علیها امرأة أو هجرها أو اتّخذ علیها سریّة فهی طالق، فقضی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الله قبل شرطکم فإن شاء وفی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أمسکها واتَّخذ علیها ونکح علیها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عبدالله بن سنان إلّاأنّ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سوی کتاب الله فلا یجوز ذلک له ولا علیه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إبراهیم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بشیء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العبّاس،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یتزوّج المرأة ویشترط أن لا یخرجها من بلدها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لها بذلک،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بریرة کانت عند زوج لها وهی مملوکة، فاشترتها عائشة فأعتقتها، فخیّرها رسول الله صلی الله علیه و آله إن شاءت تقر عند زوجها، وإن شاءت فارقته وکان موالیها الذین باعوها اشترطوا ولاءها 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والصحیحة إلی ابن أبی عمیر عن عمرو صاحب الکرابیس،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کاتَب مملوکه، واشترط علیه أنّ میراثه له فرفع ذلک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 شرطه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ام مملوکة فلمّا حضرته الوفاة انطلق رجل من أصحابنا فاشتری امّه، اشترط علیها أنّی أشتریک وأعتقکِ فإذا مات ابنک فلان ابن</w:t>
      </w:r>
    </w:p>
    <w:p>
      <w:pPr>
        <w:pStyle w:val="BookText"/>
        <w:rPr/>
      </w:pPr>
      <w:r>
        <w:rPr>
          <w:rFonts w:ascii="IRNazanin" w:hAnsi="IRNazanin" w:eastAsia="IRNazanin"/>
          <w:color w:val="111111"/>
          <w:sz w:val="28"/>
          <w:sz w:val="28"/>
          <w:szCs w:val="28"/>
          <w:rtl w:val="true"/>
          <w:lang w:bidi="fa-IR"/>
        </w:rPr>
        <w:t>فلان فورثتیه أعطیتینی نصف ما ترثینه علی أن تعطینی بذلک عهد الله وعهد رسوله، فرضیت بذلک، أعطته عهد الله وعهد رسوله لتفینّ له بذلک، فاشتراها الرجل وأعتقها علی ذلک الشرط، ومات ابنها بعد ذلک فورثته، ولم یکن له وارث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إلیها، وأُجر فیها، إنّ هذا لفقیه، والمسلمون عند شروطهم، وعلیها أن تفی بما عاهدت الله ورسوله علیه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سلمة بن کهیل،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لشریح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الصلح جائز بین المسلمین إلّاصلحاً حرَّم حلالًا، أو أحلَّ حراماً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هذا الحدیث مرسل عند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ومن هذا الباب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ولا یمین فی معصیة</w:t>
      </w:r>
      <w:r>
        <w:rPr>
          <w:rStyle w:val="FootnoteAnchor"/>
          <w:rtl w:val="true"/>
        </w:rPr>
        <w:footnoteReference w:id="25"/>
      </w:r>
      <w:r>
        <w:rPr>
          <w:rFonts w:ascii="IRNazanin" w:hAnsi="IRNazanin" w:eastAsia="IRNazanin"/>
          <w:color w:val="111111"/>
          <w:sz w:val="28"/>
          <w:sz w:val="28"/>
          <w:szCs w:val="28"/>
          <w:rtl w:val="true"/>
          <w:lang w:bidi="fa-IR"/>
        </w:rPr>
        <w:t>، وأنّه لا تجوز یمین فی تحلیل حرام ولا تحریم حلال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أیضاً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طاعة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معصیة الخالق ولا لغیرهما، فإنّه لا طاعة لمخلوق فی معصیة الخالق</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23" w:name="pg13695_150560"/>
    </w:p>
    <w:p>
      <w:pPr>
        <w:pStyle w:val="Heading3"/>
        <w:numPr>
          <w:ilvl w:val="2"/>
          <w:numId w:val="1"/>
        </w:numPr>
        <w:rPr/>
      </w:pPr>
      <w:bookmarkStart w:id="24" w:name="__RefHeading___Toc983745_1468164448"/>
      <w:bookmarkStart w:id="25" w:name="_Toc9"/>
      <w:bookmarkEnd w:id="23"/>
      <w:bookmarkEnd w:id="24"/>
      <w:r>
        <w:rPr>
          <w:rtl w:val="true"/>
        </w:rPr>
        <w:t>بیان حقیقة البحث سواء فی طرف موضوع القاعدة أو محمولها أو متعلّقها</w:t>
      </w:r>
      <w:r>
        <w:rPr>
          <w:rtl w:val="true"/>
        </w:rPr>
        <w:t>:</w:t>
      </w:r>
      <w:bookmarkEnd w:id="25"/>
    </w:p>
    <w:p>
      <w:pPr>
        <w:pStyle w:val="BookText"/>
        <w:rPr/>
      </w:pPr>
      <w:r>
        <w:rPr>
          <w:rFonts w:ascii="IRNazanin" w:hAnsi="IRNazanin" w:eastAsia="IRNazanin"/>
          <w:color w:val="111111"/>
          <w:sz w:val="28"/>
          <w:sz w:val="28"/>
          <w:szCs w:val="28"/>
          <w:rtl w:val="true"/>
          <w:lang w:bidi="fa-IR"/>
        </w:rPr>
        <w:t>ولنذکر المحتملات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کلّ من شرط الفعل والنتیجة، وعلی کلا التقدیرین المخالفة تارة بلحاظ الشرط أی التعهّد والإلتزام، أو بلحاظ المشروط وهو المتعلِّق أو المنشأ المتعهّد به، وهو ملکیّة الفعل فی شرط الفعل، أو وجود النتیجة کمعنی وضعیّ فی شرط النتیجة، وسیأتی تعیین أحد هذه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فی حکم الشرط والمشروط ونسبته مع الأحکام الأولیّة باعتبار کونه عنواناً ثانویّاً، وهکذا قد یُقال الحال فی الصلح والنذر وأخویه، وطاعة الوالدین، وطاعة کلّ ولیّ ووالی من غیر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عناوین ثانویّة تلحظ نسبتها مع الأحکام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معرفة الأحکام الطبعیّة الاقتضائیّة وافتراقها عن الأحکام الفعلیّة المطلقة الباتّة فی الأحکام الأولیّة، وإنّ الثانیة تُعارض الأحکام الثانویّة بخلاف الأُولی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بحث عن علم وکیفیّة معرفة الاصول القانونیّة فی الشریعة، وهو حقیقة واقع البحث فی الثابت والمتغیّر الدینیّ، حیث أنّ الأصل القانونیّ هو الموادّ الأُولی الفوقیّة للتقنین والأحکام، ومنها تنشعب بقیّة القوانین والأحکام بنحو هرمیّ تنزّلیّ، نظیر الموادّ الدستوریّة بالنسبة</w:t>
      </w:r>
    </w:p>
    <w:p>
      <w:pPr>
        <w:pStyle w:val="BookText"/>
        <w:rPr/>
      </w:pPr>
      <w:r>
        <w:rPr>
          <w:rFonts w:ascii="IRNazanin" w:hAnsi="IRNazanin" w:eastAsia="IRNazanin"/>
          <w:color w:val="111111"/>
          <w:sz w:val="28"/>
          <w:sz w:val="28"/>
          <w:szCs w:val="28"/>
          <w:rtl w:val="true"/>
          <w:lang w:bidi="fa-IR"/>
        </w:rPr>
        <w:t>إلی المصوّبات القانونیّة للمجالس النیابیّة، وهی بنوبتها بالنسبة إلی المقرّرات القانونیّة الوزاریة وإن کانت منظومة الأحکام والقوانین الأدیانیّة لا تنحصر فی الأحکام الاجتماعیة کالدساتیر بل ذلک باب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أنّ هذا البحث هو فی ذکر الضابطة فی التزاحم الملاکیّ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الإمتثالیّ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الأحکام وقد صرّح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بوحدة مناط البحث مع موارد صیرورة المحلّل مقدّمة بنحو العلّیّة للمحرّم، ومن ثمّ الفرق بینه وبین موارد المصالح المرسلة وسدّ الذرائع، والفرق بینهما وبین جملة من فتاوی الأعلام فی جواز التشریح مع توقّف الإنقاذ المستقبلیّ علیه لا الحالیّ، وکذلک تجویز ارتکاب بعض‌المحظورات لأجل تجنّب‌الضرر المستقبلیّ البعید أو القریب لا الحالیّ الفعلیّ، وکذلک الحال فی بعض موارد الحرج التقدیریّ المستقبلیّ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الجهة المشترکة والسمة المتّحدة فی بحث الشروط والصلح والنذر وأخویه وطاعة الوالدین ممّا قد قُیِّد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یخالف الکتاب والسنّة 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تحدید ولایة الفرد وسلطنته، فلا ثبوت لها مع مخالفتها لولایة الله تعالی وولایة رسوله التشریعیّة وغیرهما، وبالتالی لا یمکن له أن یلتزم أو یتعهّد بما هو خارج عن ولایته وسلطنته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فمورد قدرة الفرد وولایته هو فی التصرّف الذی لم یمنع شرعاً، أی فی إرادة الله تعالی ورسوله، وهذه الضابطة لا تختص بولایة الفرد وسلطنته وتحدید التزاماته، سواء فی لون الشرط أو الصلح أو النذر وأخویه أو حقّ</w:t>
      </w:r>
    </w:p>
    <w:p>
      <w:pPr>
        <w:pStyle w:val="BookText"/>
        <w:rPr/>
      </w:pPr>
      <w:r>
        <w:rPr>
          <w:rFonts w:ascii="IRNazanin" w:hAnsi="IRNazanin" w:eastAsia="IRNazanin"/>
          <w:color w:val="111111"/>
          <w:sz w:val="28"/>
          <w:sz w:val="28"/>
          <w:szCs w:val="28"/>
          <w:rtl w:val="true"/>
          <w:lang w:bidi="fa-IR"/>
        </w:rPr>
        <w:t xml:space="preserve">طاعته کوالد لا تختص هذه الضابطة بولایة الفرد، بل تعم کلّ والی سواء فی الولایات العامّة، کالنیابة العامّة عن المعصوم فی القضاء والحکم وبیان الأحکام، أو الولایة والنیابة الخاصّة فی الأُمور الثلاثة، أو فی الولایات المتوسّطة کالأوقاف والحسبیّات العامّة والوصایا، فإنّ الوالی فی کلّ أقسام الولایات محدودة ولایته بعدم مخالفة التشریعات الإلهیّة من الکتاب والسنّة، سواء سنّة النّبی صلی الله علیه و آله وسنّة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الطاعة والولایة أوّلًا للَّه‌تعالی، ثمّ لرسوله، ثمّ لأُولی الأمر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فهذه القاعدة لیست میزاناً للحکم فی باب الفتیا وفقه الفرد فحسب، بل میزانٌ للحکم فی باب الحکومة السیاسیّة وفقه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 عموم القاعدة 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لا یختصّ بالشروط علی النطاق الفردیّ فی المعاملات المادّیّة والإیقاعات فی الأحوال الشخصیّة، بل یشمل الشروط فی باب العهود التی تجریها الحکومة الإسلامیّة، الوالی مع الأطراف الأُخری الإسلامیّة أو غیرها فی المعاملات المالیّة أو السیاسیّة أو العسکریة والأمنیّة وغیرها، فإنّ العموم شامل لذلک فی ما ثبتت ولایته للوالی، وکذلک فی عقد الصلح، فإنّه لیس خاصّاً بالنطاق الفردیّ بل شامل لعهود الدولة والحاکم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تتبلور أهمّیة هذه القاعدة وعمومها للأبواب ولمختلف أقسام شرط الصلح فی مختلف ضروب الحکم وأنّ ولایة وسلطنة الفرد أو الولاة هی محدودة بولایة الله ورسوله والأئمّة من أهل بیته، أی الحکم</w:t>
      </w:r>
    </w:p>
    <w:p>
      <w:pPr>
        <w:pStyle w:val="BookText"/>
        <w:rPr/>
      </w:pPr>
      <w:r>
        <w:rPr>
          <w:rFonts w:ascii="IRNazanin" w:hAnsi="IRNazanin" w:eastAsia="IRNazanin"/>
          <w:color w:val="111111"/>
          <w:sz w:val="28"/>
          <w:sz w:val="28"/>
          <w:szCs w:val="28"/>
          <w:rtl w:val="true"/>
          <w:lang w:bidi="fa-IR"/>
        </w:rPr>
        <w:t>التشریعیّ والقضائیّ التنفیذیّ، وسیترتّب من هذا التحریر لحقیقة البحث رفع الإبهام فی کثیر من جهات دلالة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البحث فی القاعدة یظهر منطقة السعة للحاکم فی تخیّر الأوفق من السیاسات والتدبیرات للوصول إلی الأغراض الشرعیّة مادام ذلک فی حدود الموافق للُاصول الأوّلیّة ولم یخالفها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بعض الأعلام أنّ مفاد البحث فی القاعدة هو للتنبیه علی أنّ الشرط وبقیّة العناوین المستثنی منها المخالفة، لیست علی حذو العناوین الثانویّة الأُخری کالضرر والحرج، وعناوین الرفع الأُخری ممّا یتقدّم علی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لجهة أهمّیتها فی التزاحم الملاکیّ، کما هو الضابطة فی العناوین الثانویّة ولکون عناوین الرفع رافعة للتنجیز والعزیمة دون أصل الحکم، بینما الشرط والصلح ونحوهما موجب لتبدّل الحکم، کما أنّ عناوین الرفع ناشئة من مصلحة التسهیل الملزمة وترخیصها، أمّا عناوین العهد والإلتزام فناشئة من مصلحة الوفاء بالعهد المقترح المبتدأ، أو ولایة بعض الموالی، وقد أشار إلی وجود الفرق إجمالًا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موضع من مباحث الألفاظ إلی أنّ العناوین الثانویة حاکمة صورة، أی بحسب عالم الدلالة، ومزاحمة لبّاً، وقد یظهر ذلک من الشیخ کما فی تنافی الضررین وغیرهما، وهو ممشی مشهور الفقهاء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مشهور هذا العصر البناء علی أنّها حاکمة صورةً ومخصّصة لبّاً،</w:t>
      </w:r>
    </w:p>
    <w:p>
      <w:pPr>
        <w:pStyle w:val="BookText"/>
        <w:rPr/>
      </w:pPr>
      <w:r>
        <w:rPr>
          <w:rFonts w:ascii="IRNazanin" w:hAnsi="IRNazanin" w:eastAsia="IRNazanin"/>
          <w:color w:val="111111"/>
          <w:sz w:val="28"/>
          <w:sz w:val="28"/>
          <w:szCs w:val="28"/>
          <w:rtl w:val="true"/>
          <w:lang w:bidi="fa-IR"/>
        </w:rPr>
        <w:t>ولا یخفی خطورة وأهمّیة الفرق بین المسلکین فی موارد عدیدة، والمسلک الأوّل هو المتعیّن کما 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فیکون تقدّم العنوان الثانویّ علی الأوّلیّ هو لأهمّیّته ملاکاً، کما تقدّمت الإشارة إلی ذلک، وعلیه فیکون محصّل الاستثناء فی المقام هو أنّ الشرط والصلح ونحوهما من العهود والإلتزامات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الولایات الفردیّة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تزاحم الأحکام الأوّلیّة الإقتضائیّة ملاکاً، بخلاف عناوین الرفع الستّة ونحوها، لاسیّما وإنّ عناوین الرفع کما تقدّم لا تغیِّر الأحکام الأوّلیّة عمّا هی علیه، کما هو مسلک مشهور طبقات الفقهاء عدا هذه الأعصار، بل غایة الأمر، هی ترفع تنجیزها کما هو شأن المتزاحمین بخلاف المخصّص أو الوارد، کما هو الحال فی عنوان الشرط والصلح، والنذر وأخویه، وطاعة الوالدین والموالی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فلابدَّ فی الإلتزامات والعهود الداخلة تحت ولایة الفرد والأفراد أن تکون غیر منافیة للأحکام الأوّلیّة والتی هی من ولایة الله تعالی ورسوله، بل ملائمة معها من باب جمع الملاکین، فیعود هذا النمط من العناوین الثانویّة، کنمط عناوین الرفع، غیر مخصّص ولا وارد علی الأحکام الأوّلیّة، بل مجتمع معها من دون تنافی لا فی الملاک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فضلًا عن الجعل والإنشاء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التخصیص، بل ولا فی الأثر وهو التحریک والبعث والتنجیز والترخیص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الرفع من العناوین الثانویة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ارتکز فی کلماتهم حول القاعدة، أنّ مورد الشروط والصلح</w:t>
      </w:r>
    </w:p>
    <w:p>
      <w:pPr>
        <w:pStyle w:val="BookText"/>
        <w:rPr/>
      </w:pPr>
      <w:r>
        <w:rPr>
          <w:rFonts w:ascii="IRNazanin" w:hAnsi="IRNazanin" w:eastAsia="IRNazanin"/>
          <w:color w:val="111111"/>
          <w:sz w:val="28"/>
          <w:sz w:val="28"/>
          <w:szCs w:val="28"/>
          <w:rtl w:val="true"/>
          <w:lang w:bidi="fa-IR"/>
        </w:rPr>
        <w:t>ونحوهما هو فی تمییز الأحکام الطبعیّة الاقتضائیّة عن الفعلیّة الباتّة وغیر ذلک ممّا قیل فی ضابطة کیفیّة التعرُّف علی عدم منافاة الأحکام الأوّلیّة مع ولایة الفرد والأفراد والتزاماتهم وعهودهم الداخلة تحت سلطنتهم کما سیأتی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المحقّق النراقی وجماعة أنّ المخالفة فی المقام تختلف عن المخالفة فی باب التعارض؛ فإنّ العموم والخصوص المطلق یعدّ مخالفة فی المقام بخلاف باب التعارض؛ وکذا الحال فی الإطلاق والتقیید، وکذلک حمل العامّ والمطلق علی الخاصّ والمقیّد، بل وکذلک کلّ وجوه الجمع العرفیّ الاخری من حمل الظهور الأضعف علی الأقوی علی اختلاف أنواع وضروب القرینیّة فی باب التعارض تعد مخالفة فی المقام بحسب 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جامعة لا یرفع التنافی فی المقام بما یرفع فی باب التعارض بالتصرّف فی دلالة أحد الطرفین، ففی المقام لا تغیّر دلالة أدلّة الأحکام عمّا هی علیه، ولا یلاحظ التوفیق بین دلالتها ودلالة نفوذ الشروط والصلح والنذر ونحوها من الإلتزامات، وفی الحقیقة أنّ أدلّة الأحکام الثانویّة مطلقاً سواء کانت رافعة او مثبتة من النمطین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تقدّمت الإشارة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یتصرّف بها فی دلالة الأحکام الأوّلیّة، بخلاف أدلّة الأحکام الأوّلیّة فیما بین بعضها مع البعض</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فالعناوین الثانویّة بکلا النمطین حالات وأطوار للحکم الأوّلیّ من دون أن تتصرّف فی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یظهر تفسیر آخر للموافقة</w:t>
      </w:r>
    </w:p>
    <w:p>
      <w:pPr>
        <w:pStyle w:val="BookText"/>
        <w:rPr/>
      </w:pPr>
      <w:r>
        <w:rPr>
          <w:rFonts w:ascii="IRNazanin" w:hAnsi="IRNazanin" w:eastAsia="IRNazanin"/>
          <w:color w:val="111111"/>
          <w:sz w:val="28"/>
          <w:sz w:val="28"/>
          <w:szCs w:val="28"/>
          <w:rtl w:val="true"/>
          <w:lang w:bidi="fa-IR"/>
        </w:rPr>
        <w:t>للکتاب والسنّة المأخوذة فی ألسنة بعض روایات القاعدة، المقابل لأخذ عدم المخالفة لها؛ أنّه نفی لمطلق المخالفة بحسب مراحل ومراتب الحکم الاولی فضلا عن مرتبة الجعل، وبالتالی تکون موافقة مع طبیعة الحکم الأوّلی ولا تنافی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بطلان الإلتزام المخالف للکتاب والسنّة سواء بنحو الشرط أو الصلح، والنذر وأخویه، وغیرها، مطرّد حتّی للإلتزام والعهد للَّه‌تعالی، فلا یصحّ النذر وأخویه مع کونه عهداً والتزاماً له تعالی اذا کان مخالفا للاحکام الاولیة، فالإتّباع والطاعة لأحکامه تعالی مقیّدة لسلطان عبیده فی ما یلتزمونه ویتعهّدونه علی أنفسهم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فالشروط مبتدأة منه تعالی علیهم لا منهم له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الحکم الثانویّ کالعناوین العذریّة الستّة، فضلًا عن المثبتة من الشرط وبقیّة الإلتزامات، لیس هو الدوام والثبات، بل ذلک شأن الأحکام الأوّلیّة، بل شأنها هو الطروّ الإتّفاقی المؤقّت، والزوال من دون استمرار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عرفنا أنّ العناوین الثانویّة العذریّة مزاحمة لبّاً للأوّلیّة والتزاحم لا یکون حالة دائمیّة بین الأحکام بل الحالة الطبیعیّة هی الوفاق بینها فی التدبیر الفردیّ أو الاجتماعیّ، ومن ذلک یکون الحال أجلی فی الثانویّة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مورد المثبتة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اللااقتضائیّة کما فی أکثر المباحات کان فیها البقاء الحیثیّ أطول مدّة</w:t>
      </w:r>
      <w:r>
        <w:rPr>
          <w:rFonts w:eastAsia="IRNazanin" w:cs="IRNazanin"/>
          <w:color w:val="111111"/>
          <w:sz w:val="28"/>
          <w:szCs w:val="28"/>
          <w:rtl w:val="true"/>
          <w:lang w:bidi="fa-IR"/>
        </w:rPr>
        <w:t>.</w:t>
      </w:r>
      <w:bookmarkStart w:id="26" w:name="pg13695_150567"/>
    </w:p>
    <w:p>
      <w:pPr>
        <w:pStyle w:val="Heading3"/>
        <w:numPr>
          <w:ilvl w:val="2"/>
          <w:numId w:val="1"/>
        </w:numPr>
        <w:rPr/>
      </w:pPr>
      <w:bookmarkStart w:id="27" w:name="__RefHeading___Toc983747_1468164448"/>
      <w:bookmarkStart w:id="28" w:name="_Toc10"/>
      <w:bookmarkEnd w:id="26"/>
      <w:bookmarkEnd w:id="27"/>
      <w:r>
        <w:rPr>
          <w:rtl w:val="true"/>
        </w:rPr>
        <w:t>فقه الروایات من خلال فوائد</w:t>
      </w:r>
      <w:r>
        <w:rPr>
          <w:rtl w:val="true"/>
        </w:rPr>
        <w:t>:</w:t>
      </w:r>
      <w:bookmarkEnd w:id="28"/>
    </w:p>
    <w:p>
      <w:pPr>
        <w:pStyle w:val="BookText"/>
        <w:rPr/>
      </w:pPr>
      <w:r>
        <w:rPr>
          <w:rFonts w:ascii="IRNazanin" w:hAnsi="IRNazanin" w:eastAsia="IRNazanin"/>
          <w:color w:val="111111"/>
          <w:sz w:val="28"/>
          <w:sz w:val="28"/>
          <w:szCs w:val="28"/>
          <w:rtl w:val="true"/>
          <w:lang w:bidi="fa-IR"/>
        </w:rPr>
        <w:t>وأمّا تقریب دلالة الروایات والتی مواردها بمثابة تطبیقات لهذه القاعدة ویظهر من خلالها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صحیح الحلبیّ المتقدّم، وهی مطابقة فی المورد مع صحیحه الآخر وهی الروایة السابعة المتقدّمة، وکذا مع الروایة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الحقّ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فرّق فی الروایة بین اشتراط عدم البیع وعدم الهبة من جانب وبین عدم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عبّر عنه بالروایتین الاخریین بعدم ولاء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والفرق بحسب الظاهر أنّ البیع والهبة تصرّف موکول فی الشرع إلی سلطنة المالک فله أن لا یقدم علیه، ومن ثمّ له أن لا یلتزم علی نفسه بعدم الإقدام علیه، لیس مودّی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ذات ما وقع 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تحریم التصرّف علی نفسه، وهذا بخلاف الإرث، فإنّه حکم شرعیّ لا ینطوی تحت تصرّف المکلّف کی یتشارط علی عدمه، ومثله جعل الولاء لغیر مَن اعتق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صحیح عبدالله بن سنان بین التقیید بعدم المخالفة وبلزوم الموافقة، بخلاف صحیحه الآخر وصحیح الحلبیّ ثمّة، فإنّهما اقتصرا علی نفوذ وإمضاء کلّ شرط إلّاالمخالف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الموافقة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الأقرب فی معنی الموافقة هو الملاءمة مع الأحکام الأوّلیّة، وهو یتطابق مع نفی مطلق المخالفة من رأس، فمثلًا اشتراط عدم</w:t>
      </w:r>
    </w:p>
    <w:p>
      <w:pPr>
        <w:pStyle w:val="BookText"/>
        <w:rPr/>
      </w:pPr>
      <w:r>
        <w:rPr>
          <w:rFonts w:ascii="IRNazanin" w:hAnsi="IRNazanin" w:eastAsia="IRNazanin"/>
          <w:color w:val="111111"/>
          <w:sz w:val="28"/>
          <w:sz w:val="28"/>
          <w:szCs w:val="28"/>
          <w:rtl w:val="true"/>
          <w:lang w:bidi="fa-IR"/>
        </w:rPr>
        <w:t>البیع وعدم الهبة یتوافق مع تشریع البیع والهبة وإیکالهما إلی سلطنة المالک، فإنّ الإشتراط المزبور یتماشی مع طبیعة الجعل الشرعیّ الأوّلی فی باب البیع والهبة، فیکون وفقاً وموافقاً له ولا یتنافی معه کی یکون مخالفاً له ولو بنحو العموم والخصوص المطلق وغیرهما من أنحاء التنافی ولو غیر المستقرّ فی الأدلّة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المأذون فیه، سواء کان بنحو الفعل أو النتیجة الوضعیة بالإذن التکلیفیّ الوضعیّ؛ هو موافق للکتاب والسنّة، فالترخیص فی التصرّف من الکتاب والسنّة یوجب کون الاشتراط لذلک التصرّف عملًا بالجعل الأوّلیّ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موثّقة إسحاق، فموردها یتطابق مع الرابعة وما یتلوها، إلّا أنّ اللفظ فیها عامّ؛ لأنّ وجه التعرّض لما یشترط الزوج علی نفسه لزوجته هو دفع توهّم منافاة ذلک لقوّامیّة الرجال علی النساء، وقد تمیّزت هذه الموثّقة بتقیید الشرط بعدم تحریم الحلال أو تحلیل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التعبیر فی العاشرة کروایة سلمة فی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إلّاصلحاً حرَّم حلالًا، أو أحلَّ حراماً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ورد فی الیمین من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فی تحلیل حرام، ولا تحریم حلال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الکلام فی مفاد هذا اللسان من دلیل القاعدة هل أنّه مغایر</w:t>
      </w:r>
    </w:p>
    <w:p>
      <w:pPr>
        <w:pStyle w:val="BookText"/>
        <w:rPr/>
      </w:pPr>
      <w:r>
        <w:rPr>
          <w:rFonts w:ascii="IRNazanin" w:hAnsi="IRNazanin" w:eastAsia="IRNazanin"/>
          <w:color w:val="111111"/>
          <w:sz w:val="28"/>
          <w:sz w:val="28"/>
          <w:szCs w:val="28"/>
          <w:rtl w:val="true"/>
          <w:lang w:bidi="fa-IR"/>
        </w:rPr>
        <w:t>لعنوان المخالفة والموافقة وفی تفسیر التحلیل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الشرط الذی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الإعتداد به أیضاً 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الإشکال فی فهم المراد منه، حیث أنّ کلّ شرط یوجب تحریم حلال أو تحلیل حرام فإنّ اشتراط عدم الفسخ یوجب تحریم الفسخ الحلال، وکذا اشتراط عدم إخراج الزوجة من بلدها، واشتراط خیار الفسخ یوجب تحلیل الحرام، فإنّ الفسخ لولا الشرط کان حراماً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تری أنّه قد وقع کثیر من الأصحاب فی حیص وبیص من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حکم بإجماله، ومنهم من فسّر تحریم الحلال وتحلیل الحرام بالتحریم الظاهریّ للحلال الواقعی والتحلیل الظاهری للحرام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بالحلال والحرام فی المستثنی ما هو کذلک بأصل الشرع من دون توسّط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 الحکم بالحلّ أو الحرمة مثلًا بفعل من الأفعال علی سبیل العموم من دون النظر إلی خصوصیّة فرد، فتحریم الخمر معناه منع المکلّف عن شرب جمیع ما یصدق علیه هذا الکلّی وهکذا حلّیّة البیع، فالتزوّج والتسرّی مثلًا أمر کلّی حلال والتزام ترکه مستلزم لتحریمه، بل وکذلک جمیع أحکام الشرع من الطلبیّة والوضعیّة وغیرها، وإنّما یتعلّق الحکم بالجزئیّات باعتبار تحقق الکلّی فیها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تحلیل الحرام وتحریم الحلال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تحدث قاعدة کلّیة، ویبدع حکماً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هؤلاء أخطأوا الطریق</w:t>
      </w:r>
    </w:p>
    <w:p>
      <w:pPr>
        <w:pStyle w:val="BookText"/>
        <w:rPr/>
      </w:pPr>
      <w:r>
        <w:rPr>
          <w:rFonts w:ascii="IRNazanin" w:hAnsi="IRNazanin" w:eastAsia="IRNazanin"/>
          <w:color w:val="111111"/>
          <w:sz w:val="28"/>
          <w:sz w:val="28"/>
          <w:szCs w:val="28"/>
          <w:rtl w:val="true"/>
          <w:lang w:bidi="fa-IR"/>
        </w:rPr>
        <w:t>فی فهم الحدیث مع أنّه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فهمی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الظهور کما یظهر ممّا ذکرنا فی بیان مخالف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عبارة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عند شروطهم إلّا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فالمستثنی شرطٌ حرّم ذلک الشرط الحلال أو أحلّ الحرام، وهذا إنّما یتحقّق مع اشتراط حرمة حلال أو حلّیّة حرام، لا مع اشتراط عدم فعل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إلّاشرطاً حرّم إیجابه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الشرط فی ذلک کالنذر والعهد والیمین، فإنّه إذا نذر أحد أو عاهد أو حلف أن یکون المال المشتبه علیه حراماً شرعاً أو یحرّم ذلک علی نفسه شرعاً،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فعل ما ثبتت مرجوحّیّته بالکتاب أو السنّة تحریماً او کراهةً، أو ترک ما ثبت رجحانه بهما وجوباً أو استحباباً، یحصل التعارض بین ما دلّ علی ذلک من الکتاب والسنّة، وبین دلیل وجوب الوفاء بالشرط، واللازم فیه الرجوع إلی مقتضی التعارض والترجیح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لو جعل هذا الشرط أیضاً من أقسام المخالف للکتاب والسنّة کما یطلق علیه عرفاً أیضاً؛ لم یکن بعیداً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التحلیل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المحصّل من الأقوال التی ذکرها فی تفسیره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المبنیّة علی اجتهاد أو تقلید سابق، ثمّ تبدّل إلی</w:t>
      </w:r>
    </w:p>
    <w:p>
      <w:pPr>
        <w:pStyle w:val="BookText"/>
        <w:rPr/>
      </w:pPr>
      <w:r>
        <w:rPr>
          <w:rFonts w:ascii="IRNazanin" w:hAnsi="IRNazanin" w:eastAsia="IRNazanin"/>
          <w:color w:val="111111"/>
          <w:sz w:val="28"/>
          <w:sz w:val="28"/>
          <w:szCs w:val="28"/>
          <w:rtl w:val="true"/>
          <w:lang w:bidi="fa-IR"/>
        </w:rPr>
        <w:t>خلافه؛ وهو أقرب الوجوه للتحلیل والتحریم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ما یخالف الحرام أو الحلال بحسب التشریع الأوّلی للأشیاء، أی ما لم یجعل تحت ولایة وسلطة الفرد والأفراد کما هو الحال فی المعاملات والإیقاعات التی هی تصرّفات وأفعال اعتباریّة؛ وهو یطابق أحد التفاسیر المتقدّمة لشرط المخالف للکتاب والسنّة، وقد تقدّم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 طابع الحکم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ذهب إلیه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المنع عن المحلل علی نحو الکلّیة أو فعل المحرّم کذلک؛ ولا یخفی شدّة ظهور المخالفة من الشرط علی هذا التقدیر لانحصار مورد المخالفة بذلک، لأنّ کلّیة التصرّف تصّاعد به إلی التقنین العامّ الذی هو مرتبة الجعل الشرعیّ، بخلاف المنافاة مع موارد التطبیق والمصادیق، 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المنافاة حینئذ بنحو البینونة، بخلاف موارد التطبیق فإنّ المنافاة بنحو التخصیص</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فی الاشتراط الکلّیّ والإلتزام العامّ والصلح بذلک تکون علی درجة التشریع العامّ، ومن ثمّ عبّر عنها بإبداع القاعدة الکلّیة، وقد ورد فی باب الیمین والنذر والعهد إبطال هذا النحو من الإلتزام، نظیر ما ورد فی سبب نزول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طَیِّباتِ ما أَحَلَّ اللّهُ لَکُمْ </w:t>
      </w:r>
      <w:r>
        <w:rPr>
          <w:rStyle w:val="FootnoteAnchor"/>
          <w:rtl w:val="true"/>
        </w:rPr>
        <w:footnoteReference w:id="32"/>
      </w:r>
      <w:r>
        <w:rPr>
          <w:rFonts w:ascii="IRNazanin" w:hAnsi="IRNazanin" w:eastAsia="IRNazanin"/>
          <w:color w:val="111111"/>
          <w:sz w:val="28"/>
          <w:sz w:val="28"/>
          <w:szCs w:val="28"/>
          <w:rtl w:val="true"/>
          <w:lang w:bidi="fa-IR"/>
        </w:rPr>
        <w:t>فی مَن حلف أن لا ینام أبداً والآخر حلف أن لا یفطر النهار أبداً والثالث حلف أن لا ینکح أبداً وإنّ ذلک من تحریم الطیّبات ولا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شأن العنوان الثانویّ سواء کان رافعاً کالعناوین العذریّة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المثبت کالشروط والإلتزامات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الدوام والثبات والذی هو شأن الحکم الأوّلیّ بل الطروّ الاتّفاقی أو الحیثیّ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مختاره من کون المراد من الشرط فی القاعدة هو نفس الإلتزام لا الفعل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الشرط والاشتراط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الأظهر إرادة المحقّق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استظهرناه فی ما سبق من إرادة المنشأ بالشرط والإلتزام، وهو المعنی الوضعیّ، سواء فی شرط النتیجة أو فی شرط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الفعل لیس الإلتزام بالفعل، بل الإلتزام بتملیک واستحقاق الفعل، فالمشروط فی الحقیقة ذلک المعنی الوضعیّ، غایة الأمر الإلتزام یتمّ به کما فی العقود، والفعل متعلّق له، لا أنّ ذات الفعل یتعلّق بها الإلتزام مباشرة کما هو فی التزام الفعل فی الإجارة، فإنّ الملتزم به بالذات تملیک الفعل، والفعل متعلّق متعلّق الإلتزام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فقد جعل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المخالفة هو مالو کان المنشأ عنوان الحرمة للحلال الشرعیّ أو عنوان الحلّیّة للحرام الشرعیّ لا ما إذا جعل متعلّق الإلتزام والشرط عدم فعل الحلال أو فعل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فی معنی التحلیل والتحریم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ذکره وإن کان من موارد المخالفة الجلیّة جدّاً، کما هو الحال فی مختار المحقّق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تنحصر موارد التحلیل والتحریم والمخالفة بذلک، فقد استعمل التحریم للحلال أو التحلیل للحرام فی المنع عن فعل الحلال أو التزام فعل الحرام،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w:t>
      </w:r>
      <w:r>
        <w:rPr>
          <w:rStyle w:val="FootnoteAnchor"/>
          <w:rtl w:val="true"/>
        </w:rPr>
        <w:footnoteReference w:id="33"/>
      </w:r>
      <w:r>
        <w:rPr>
          <w:rFonts w:ascii="IRNazanin" w:hAnsi="IRNazanin" w:eastAsia="IRNazanin"/>
          <w:color w:val="111111"/>
          <w:sz w:val="28"/>
          <w:sz w:val="28"/>
          <w:szCs w:val="28"/>
          <w:rtl w:val="true"/>
          <w:lang w:bidi="fa-IR"/>
        </w:rPr>
        <w:t>وکان صلی الله علیه و آله قد حلف أن لا یقرب ماریة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التحریم لیس إلّاالمنع، والتحلیل لیس إلّا الإطلاق والإرسال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طَیِّباتِ ما أَحَلَّ اللّهُ لَکُمْ </w:t>
      </w:r>
      <w:r>
        <w:rPr>
          <w:rStyle w:val="FootnoteAnchor"/>
          <w:rtl w:val="true"/>
        </w:rPr>
        <w:footnoteReference w:id="34"/>
      </w:r>
      <w:r>
        <w:rPr>
          <w:rFonts w:ascii="IRNazanin" w:hAnsi="IRNazanin" w:eastAsia="IRNazanin"/>
          <w:color w:val="111111"/>
          <w:sz w:val="28"/>
          <w:sz w:val="28"/>
          <w:szCs w:val="28"/>
          <w:rtl w:val="true"/>
          <w:lang w:bidi="fa-IR"/>
        </w:rPr>
        <w:t>وکان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أن لا ینام باللّیل أبداً إلّاما شاء الله، وبلال حلف أن لا یفطر بالنهار أبداً، وعثمان بن مظعون حلف أن لا ینکح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یشکل علیه من أنّ التحریم للحلال الشرعیّ لیس بید الشارط کی یحرّم أو یحلّل، فهو من اشتراط غیر المقدور الممتنع، مخدوش بأنّ المراد اعتبار الشارط والمشروط علیه ذلک فی اعتبارهما البنائیّ لا فی اعتبار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بین التقنین الشرعیّ والعقلائیّ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یجدر التنبیه والإلفات إلی ما راج أخیراً فی عدّة من الکلمات من أنّ التقیید والعمل بالقوانین الوضعیّة البشریّة العصریّة فی المجالات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کأنظمة للتدبیر فی النظام الاجتماعیّ والسیاسیّ والمالیّ والأُسریّ</w:t>
      </w:r>
    </w:p>
    <w:p>
      <w:pPr>
        <w:pStyle w:val="BookText"/>
        <w:rPr/>
      </w:pPr>
      <w:r>
        <w:rPr>
          <w:rFonts w:ascii="IRNazanin" w:hAnsi="IRNazanin" w:eastAsia="IRNazanin"/>
          <w:color w:val="111111"/>
          <w:sz w:val="28"/>
          <w:sz w:val="28"/>
          <w:szCs w:val="28"/>
          <w:rtl w:val="true"/>
          <w:lang w:bidi="fa-IR"/>
        </w:rPr>
        <w:t>والفردیّ والأحوال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لیس تشریعاً فی الدین وإبداعاً للأحکام الشرعیّة فلا ضیر فی التقیّد والإلتزام بها وإن لم تدلّ علیها التشریعات الإلهیّة، مادام أنّ هذا التقنین لیس بعنوان وإسم ونسبة فیه إلی الشرع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البعض الإلزام والإلتزام العرفیّ الدارج فی بعض المعاملات غیر المصحّحة من الشرع، ألحق ذلک بالدعوی المزبورة فی الجواز بعد تبانی المتعاملین علی کون ذلک فی اعتبارهما الثنائیّ لا فی الاعتبار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مخدوش بأنّ الفساد والمنع والبطلان فی اعتبار الشرع لأُمور وأشیاء أو لمعاملات لیس بمعنی أن یظلّ ذلک بنحو الوجود النظریّ الذی لا یجد له طریقاً فی عمل المکلّفین، بل هو لغایة تقیّدهم باعتبارات ومقرّرات الشارع الإلهیّ، وترکهم لاعتبارات ومقرّرات أنفسهم؛ وهو معنی ما مرّ من أنّ المراد فی هذه القاعدة هو تقدّم طاعة الله وولایته وطاعة رسوله واولی الأمر وولایتهم علی ولایة الفرد علی نفسه، والأفراد علی أنفسهم، سواء ولایته تعالی فی صورة التشریع أو القضاء أو الحکم التدبیریّ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فنهی الشارع ناظر إلی المنع عن بناء المکلّف والمکلّفین علی فعل معیّن فی اعتبار أنفسهم، لا الردع عن البناء علیه بعنوان أنّه من اعتبار الشارع، وإلّا لآل الحال فی جمیع النواهی الشرعیّة إلی النهی فی خصوص التشریع فی الدین، وهو کما تری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فالصحیح أنّ المنع عن الفعل والإرسال له تحریم وتحلیل، وإن</w:t>
      </w:r>
    </w:p>
    <w:p>
      <w:pPr>
        <w:pStyle w:val="BookText"/>
        <w:rPr/>
      </w:pPr>
      <w:r>
        <w:rPr>
          <w:rFonts w:ascii="IRNazanin" w:hAnsi="IRNazanin" w:eastAsia="IRNazanin"/>
          <w:color w:val="111111"/>
          <w:sz w:val="28"/>
          <w:sz w:val="28"/>
          <w:szCs w:val="28"/>
          <w:rtl w:val="true"/>
          <w:lang w:bidi="fa-IR"/>
        </w:rPr>
        <w:t>لم یکن بلفظ التحریم والتحلیل، نعم الظاهر عدم صدقه بمجرّد اشتراط ترک فرد من الفعل المحلّل أو فعل فرد من المحرّم وإن صدقت المخالفة علی شرط فعل فرد من المحرّم، لکنّه لیس من تحریم الحلال أو تحلیل الحرام، بل من شرط الحرام، بل لابدَّ من کلّیة الترک أو الفعل ولو النسبیّة بنحو یکون کالمقرّر والقانون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وغیره یتّضح أنّ عنوان المخالفة أعمّ من عنوان التحریم أو التحلیل، وإن کان العنوانان لا یختصّان بالتکلیف، بل یعمّان الحرمة والحلّ الوضعیّین لعموم مادّة الحرمة والحلّ لکلّ من المنع التکلیفیّ والوضعیّ، سواء بلحاظ ما یضاف إلیه من فعل تکوینیّ، أو اعتباریّ معاملیّ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أفاده المحقّق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إسناد التحریم والتحلیل إلی حکم الشرط وهو الإیجاب، فهو متین، لکنّه عند اشتراط ترک الفعل المحلّل بنحو کلّیّ أو فعل المحرم بنحو کلّیّ ولو إضافیّ، یأخذ عنوان استحقاق ذلک، والذی هو المنشأ وضعاً، وهو معنی متوسّط بین الإلتزام الشرطیّ والفعل المشروط، طابع المنع والإرسال وهو التحریم والتحلیل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التعارض وإعمال الترجیح، فضعیف غایته، بعد ما عرفت من تقیید نفوذ الشرط ونحوه من الإلتزامات بعدم المخالفة هی صادقة فی مورد التعارض بنحو اجلی من التزاحم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معرفة المخالفة والموافقة فی القاعدة علی الصناعة التحلیلیّة لحقیقة الأحکام والمباحث القانونیّة البحتة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روایة العیّاشی تعلیل بطلان شرط الزوج للزوجة عدم التزوّج علیها أو عدم هجرها أو عدم التسرّی علیها، بینما فی معتبرة منصور بن بزرج صحّة شرط عدم التزویج علیها، ولا یخفی أنّ ظاهر روایة العیّاشی بدواً ولفظها وإن کان هو شرط الطلاق المعلّق علی فعل التزویج والهجر والتسرّی؛ إلّاأنّ المتعارف والمتبادر من مثل هذه الشروط هو التزامان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المعلّق فی صورة عدم الوفاء بالأوّل وأنّ الثانی هو للردع عن عدم الوفاء بالأوّل لا مجرّد الردع عنه من دون التزام بترکه، نظیر من یتعاقد ویشترط علی الآخر أن یغرم مقداراً من المال إن لم یخط الثوب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ویوضّح ذلک موثّق زرارة فی الباب المزبور</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مطابق 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الآخر لمحمّد بن قیس، وصحیح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ولروایات اخری فی الباب المزبور</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حمل الشیخ معتبرة ابن برزج علی الاستحباب أو التقیّة، ورجّح جمع من الأعلام مفاد المعتبرة علی بقیّة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 مفاد الشرط الإلتزام بالفعل أو الترک المجرّد، ولیس هو مفاداً وضعیّاً لیتنافی مع الجعل الوضعیّ الأوّلیّ، کما أنّ المشروط لیس المنع بعنوان التحریم کی یتنافی مع الجعل التکلیفیّ الأوّلیّ، ومن ثمّ حملوا بقیّة الروایات علی ما لو کان الشرط متعلقاً بمفاد وضعیّ أو بعنوان المنع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الحمل المزبور أنّ مقتضی الاشتراط کما عرفت هو ثبوت استحقاق وضعیّ للمشروط له علی المشروط علیه، مضافاً إلی اللزوم التکلیفیّ، وبالتالی تستحقّ علیه عدم الطلاق وعدم التزویج وعدم التسرّی علیها وعدم هجرها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المفاد الوضعیّ ینافی الأحکام الأوّلیّة فی باب الزواج، لأنّها لیست تکلیفیّة محضة؛ بل مفادها حقّ الزوج فی ولایة الطلاق والهجر فی المضاجع إن أتت المرأة بسبیل ذلک، وفی التزویج والتسرّی ولو بلحاظ التأبید فی المنع المشروط فی الأخیرین وإن کان هذا الحقّ غیر قابل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التکلیفیّ النفعیّ لطرف، ینتزع منه ثبوت حقّ له، وعلی هذا ففی مثل هذه الموارد التی لا یکون الحقّ قابلًا للإسقاط ولا للانتقال لا یشرع جعل الاستحقاق للغیر بتوسّط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القاعدة لکلّ إنشاء من عقد أو إیقاع أو لکلّ التزام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یختص ذلک بالشرط، بل یعمّ کلّ إیقاع أو عقد أو التزام</w:t>
      </w:r>
    </w:p>
    <w:p>
      <w:pPr>
        <w:pStyle w:val="BookText"/>
        <w:rPr/>
      </w:pPr>
      <w:r>
        <w:rPr>
          <w:rFonts w:ascii="IRNazanin" w:hAnsi="IRNazanin" w:eastAsia="IRNazanin"/>
          <w:color w:val="111111"/>
          <w:sz w:val="28"/>
          <w:sz w:val="28"/>
          <w:szCs w:val="28"/>
          <w:rtl w:val="true"/>
          <w:lang w:bidi="fa-IR"/>
        </w:rPr>
        <w:t>واعتبار یخالف حکم الکتاب والسنّة واعتبارهما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ثلاثاً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ردَّ علی عبدالله بن عمر امرأته، طلّقها ثلاثاً وهی حائض فأبطل رسول الله صلی الله علیه و آله ذلک الطلاق،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خالف کتاب الله والسنّة ردّ إلی کتاب الله والسنّة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الحلبیّ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خالف کتاب الله والسنّة ردّ إلی کتاب الله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ردّ إلی کتاب الله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فی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القانونیّة معیار المخالفة والموافقة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تقدیر، فالجدیر بالإنتباه أنّ فی روایة العیّاشی وغیرها تعلیل فساد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شرط الله قبل شرطکم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فأطلق علی حکم الله بالشرط وهو کما ذکر السیّد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مبحث الشروط فی تفسیر معنی الشرط لغة واستعمالًا وبالنظر إلی عدّة من الروایات الواردة فی تفسیر الشرط کروایات اخری واردة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40"/>
      </w:r>
      <w:r>
        <w:rPr>
          <w:rFonts w:ascii="IRNazanin" w:hAnsi="IRNazanin" w:eastAsia="IRNazanin"/>
          <w:color w:val="111111"/>
          <w:sz w:val="28"/>
          <w:sz w:val="28"/>
          <w:szCs w:val="28"/>
          <w:rtl w:val="true"/>
          <w:lang w:bidi="fa-IR"/>
        </w:rPr>
        <w:t>بأنّها العهود التی للَّه‌تعالی علی خلقه وأنّ العقد لیس إلّاربط الإلتزام من الطرفین، فهو تشارط متقابل، وإنّ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لمثل النذر أو العهد والیمین، کما هو شامل للإلتزام بین الخلق والمکلّفین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فالإقرار بالشهادتین، والإلتزام بالدین، التزام وتعهّد بمجمل الأحکام والأوامر الشرعیّة، وحقّ الله تعالی وولایته مقدّمة علی کلّ حقّ وولایة لغیره بعد تأخّر تلک العهود والولایات من کلّ وجه عن عهد الله تعالی وولایته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المعنی أصل مفاد القاعدة کما مرّ وعلی ذلک فذکر تعلیل بطلان تلک الشروط فی روایة العیّاشی بمخالفتها لمفاد الأحکام الثلاثة فی الآیات بعدما مرّ بیانه أنّ مفادها لیس الإباحة الصرفة کما مرّ أو دیمومة المنع فی التزویج والتسرّی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الأکثر وضوحاً فی الدلالة علی التعلیل روایة إبراهیم بن محرز، حیث علّل فساد شرط کون الطلاق بیدها، بأنّه مخالف بجعل قوّامیّة الرجال علی النساء، فلم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بمخالفة الشرط لجعل الطلاق بید الرجل، بل علّل بمخالفة عموم فوقانیّ کأصل قانونیّ فوقیّ قد شرع منه الکثیر من التشریعات المتنزّلة، وهو لیس من العمومات المتعارفة التی تتنزّل بطبعها علی المصادیق، بل تنزّلها وتطبیقها یحتاج إلی جعل وتشریع</w:t>
      </w:r>
    </w:p>
    <w:p>
      <w:pPr>
        <w:pStyle w:val="BookText"/>
        <w:rPr/>
      </w:pPr>
      <w:r>
        <w:rPr>
          <w:rFonts w:ascii="IRNazanin" w:hAnsi="IRNazanin" w:eastAsia="IRNazanin"/>
          <w:color w:val="111111"/>
          <w:sz w:val="28"/>
          <w:sz w:val="28"/>
          <w:szCs w:val="28"/>
          <w:rtl w:val="true"/>
          <w:lang w:bidi="fa-IR"/>
        </w:rPr>
        <w:t>تنزّلی، نظیر الاصول القانونیّة فی الدساتیر، فإنّها تتنزّل بتوسّط التشریعات للمجالس النیابیّة، ولا یصحّ التمسّک بها مباشرة، بل الحال کذلک فی التشریعات العامّة للمجالس النیابیّة، فإنّه لا تنفّذ ولا تمضی ولا یعمل بها من دون التشریعات الوزاریّة التی هی تنزل للتشریعات النیابیّة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فالعمومات الفوقانیّة التی هی بمثابة اصول قانونیّة لا تتنزّل ولا تنطبق علی المصادیق إلّابتشریعات اخری متنزّلة، وهذا یرسم لنا أنّ معیار المخالفة والموافقة هو ما لا یقتصر علی التشریعات التفصیلیّة للأحکام المتنزّلة بل التشریعات الإجمالیّة الاصولیّة الفوقیّة هی روح ولبّ المخالفة والموافقة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علی الشیء لا یسوّغ نفیها عن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دالّة علی أنّ السلطنة والملک والحقّ ونحوها وإن کان مقتضاها اختیار صاحبها فی التصرّف، إلّاأنّه لیس مقتضاها تسلّطه علی سلطنة ملکه فی نفیه وإزالته مع وجود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تمکن الإزالة بإزالته للموضوع وللسبب، وهذا نظیر ما أفاده المحقّق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السلطنة مجعولة علی التصرّف فی الأموال لا علی نفس السلطنة ولا علی أحکام الأموال</w:t>
      </w:r>
      <w:r>
        <w:rPr>
          <w:rFonts w:eastAsia="IRNazanin" w:cs="IRNazanin"/>
          <w:color w:val="111111"/>
          <w:sz w:val="28"/>
          <w:szCs w:val="28"/>
          <w:rtl w:val="true"/>
          <w:lang w:bidi="fa-IR"/>
        </w:rPr>
        <w:t>.</w:t>
      </w:r>
      <w:bookmarkStart w:id="29" w:name="pg13695_150581"/>
    </w:p>
    <w:p>
      <w:pPr>
        <w:pStyle w:val="BookText"/>
        <w:rPr/>
      </w:pPr>
      <w:bookmarkEnd w:id="29"/>
      <w:r>
        <w:rPr>
          <w:rFonts w:ascii="IRNazanin" w:hAnsi="IRNazanin" w:eastAsia="IRNazanin"/>
          <w:color w:val="111111"/>
          <w:sz w:val="28"/>
          <w:sz w:val="28"/>
          <w:szCs w:val="28"/>
          <w:rtl w:val="true"/>
          <w:lang w:bidi="fa-IR"/>
        </w:rPr>
        <w:t>أمّا الروایة الثامنة والتاسعة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فالتقابل بین المشروط لیس فی کون مورد الثامنة هو شرط النتیجة ومورد التاسعة هو شرط الفعل، بل الأهم هو کون مورد الأُولی مضادّ للحکم الشرعیّ من إرث ذوی الأرحام، بخلاف مورد الثانیة، فإنّه عمل بمقتضی الحکم الشرعیّ ومترتّب علیه کما لا یخفی</w:t>
      </w:r>
      <w:r>
        <w:rPr>
          <w:rFonts w:eastAsia="IRNazanin" w:cs="IRNazanin"/>
          <w:color w:val="111111"/>
          <w:sz w:val="28"/>
          <w:szCs w:val="28"/>
          <w:rtl w:val="true"/>
          <w:lang w:bidi="fa-IR"/>
        </w:rPr>
        <w:t>.</w:t>
      </w:r>
    </w:p>
    <w:p>
      <w:pPr>
        <w:pStyle w:val="Heading3"/>
        <w:numPr>
          <w:ilvl w:val="2"/>
          <w:numId w:val="1"/>
        </w:numPr>
        <w:rPr/>
      </w:pPr>
      <w:bookmarkStart w:id="30" w:name="__RefHeading___Toc983749_1468164448"/>
      <w:bookmarkStart w:id="31" w:name="_Toc11"/>
      <w:bookmarkEnd w:id="30"/>
      <w:r>
        <w:rPr>
          <w:rtl w:val="true"/>
        </w:rPr>
        <w:t>ضوابط المخالفة فی کلمات الاعلام</w:t>
      </w:r>
      <w:r>
        <w:rPr>
          <w:rtl w:val="true"/>
        </w:rPr>
        <w:t>:</w:t>
      </w:r>
      <w:bookmarkEnd w:id="31"/>
    </w:p>
    <w:p>
      <w:pPr>
        <w:pStyle w:val="BookText"/>
        <w:rPr/>
      </w:pPr>
      <w:r>
        <w:rPr>
          <w:rFonts w:ascii="IRNazanin" w:hAnsi="IRNazanin" w:eastAsia="IRNazanin"/>
          <w:color w:val="111111"/>
          <w:sz w:val="28"/>
          <w:sz w:val="28"/>
          <w:szCs w:val="28"/>
          <w:rtl w:val="true"/>
          <w:lang w:bidi="fa-IR"/>
        </w:rPr>
        <w:t>ثمّ أنّه ینبغی التعرّض لکلمات الأعلام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ذهب إلیه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ضابطة المخالفة هو مخالفة الحکم المطلق والفعلیّ، بخلاف مخالفة الحکم الطبعیّ الاقتضائیّ، ثمّ 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ضابطة الحکم المطلق والحکم الطبعیّ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فالوضعیّ فی الغالب مطلق فعلیّ، بخلاف التکلیفیّ لا سیّما غیر الإلزامی، ثمّ ألحق بالتکلیفیّات الأحکام الوضعیّة التی بعنوان الملک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یخدش فی هذه الضابطة أنّ مخالفة الوضعیّات فی الملتزم به وذات المشروط ماهیّة، ومخالفة التکلیفیّات فی الإلتزام والتعهّد، یرجع ویؤول إلی طبیعة وسنخ الحکم الوضعیّ والتکلیفیّ، ففی ماهیّة المشروط بما هی هی کما فی الأحکام الوضعیّة بما أنّها ماهیّة مقرّرة بغضّ النظر عن فعل المکلّف الذی انیط الحکم التکلیفیّ به کما هو الحال فی الإلتزام والتعهّد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 أنّ بعض الرخص والمباحات اقتضائیة لا تتغیّر، وقد ذکر بعض المحقّقین أنّ ضابطة الحلّ والرخصة الاقتضائیّة هو</w:t>
      </w:r>
    </w:p>
    <w:p>
      <w:pPr>
        <w:pStyle w:val="BookText"/>
        <w:rPr/>
      </w:pPr>
      <w:r>
        <w:rPr>
          <w:rFonts w:ascii="IRNazanin" w:hAnsi="IRNazanin" w:eastAsia="IRNazanin"/>
          <w:color w:val="111111"/>
          <w:sz w:val="28"/>
          <w:sz w:val="28"/>
          <w:szCs w:val="28"/>
          <w:rtl w:val="true"/>
          <w:lang w:bidi="fa-IR"/>
        </w:rPr>
        <w:t>الجواز والحلّ المترتّبة علی الحکم الوضعیّ، دون الحلّ والإباحة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نبّه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الضرر والحرج یختلف عن بقیّة العناوین الثانویّة فیقدّمان مطلقاً بخلافها، وقد ذکرنا وجه التفرقة فی الأُمور التی ذکرناها فی حقیقة موضوع البحث،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جملة من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ذهب إلیه جملة من الأعلام من أنّ الإطلاق اللفظیّ للحکم الشرعیّ هو ضابطة مخالفة الشرط، وعدمه یزیل عنوان المخالفة، وبعبارة اخری الإطلاق أو العموم اللفظیّ لحکم الشیء ولو بلحاظ الحالات الطارئة المختلفة وتارة لحکم الشیء من حیث هو، إمّا لأنّه لا إطلاق له، أو لدلالة الدلیل علی أنّ الحکم للشیء من حیث هو وفی حدّ نفسه أو مقیّد بعدم الطوارئ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الشکّ فی عنوان المخالفة لا یصحّح الشرط عند فرض تعارضه مع عموم الوفاء بالشرط ومع عموم الحکم الأوّلی بل یکون عموم الوفاء موروداً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الیه النراقی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مال إلیه المحقّق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یستقرّ علیه، وهو إجراء مرجّحات التعارض بین إطلاق وعموم الحکم الأوّلیّ وعموم الشروط فالراجح یقدّم، بخلاف ما إذا کان تنافی الشرط بما هو مع الکتاب فإنّ المخالفة صادقة مطلقاً حینئذ دون مخالفة الإلتزام للإلزامیّات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بعض من أنّ الضابطة ورود الحکم فی الکتاب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ذهب إلیه السیّد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ضابطة التحریم والتحلیل المفسدة للشرط هو مخالفة الکتاب، لکن لا مطلق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المنافی الدائم فی غیر الإلزامیّات مخالف، وکذلک المنع عن المباح بلفظ النفی، أو المنع والتحریم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الأحکام الإلزامیّة فالمنافاة لها ولو فی الحکم الجزئیّ مخالفة فضلًا عن الحکم الکلّی فیها، کذلک الواجب أو فعل الحرام، وکذلک تصدق المخالفة فی الحکم الوضعیّ إذا جعل فی الشرط لغیر من جعله الله تعالی له، دون ما لو کان بنحو شرط الفعل المتعلّق بالحکم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الذی یذکر فی هذا التفصیل هو أنّ الفارق بین الحکم الإطلاقیّ والطبعیّ هو فی نکتة التزاحم، حیث لا یزاحم المباح اللزوم الطارئ بخلاف اللزوم الأوّلی، فإنّه لا یدفع باللزوم الطارئ إلّاإذا کان فی غایة القوّة کالضرر والحرج فلیس الطارئ والثانویّ علی وتیرة واحدة فی التکلیفیّات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 الاعلام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بعض الأعلام علی أنّ المخالفة کما قد تکون بالإضافة إلی العمومات الأوّلیّة کذلک قد تکون بالإضافة إلی العمومات الثانویّة ولو الظاهریّة کالاصول العملیّة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تبیّن ممّا مرّ من المختار أنّ ضابطة الحکم المطلق الفعلیّ هو الحکم المتنزّل من أصل قانونیّ فوقیّ، وأنّ العبرة بذلک فی المخالفة دون سائر الأحکام التی لا تعتضد بذلک کما هو الحال فی غیر الإلزامیّات من المباحات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کلمات الأعلام من التفاصیل کاللوازم والعلامات الإنّیة ومنشؤها هو وجود الاصول القانونیّة الفوقیّة وهی تأبی التخصیص بطبعها کما ذکرنا لاختلافه عن العموم المتعارف فإنّ المخصّص لابدَّ أن یکون من رتبة العامّ کی یقوی علی التصرّف فیه دون ما إذا اختلفت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تحریر مقتضی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تحریر الأصل العملیّ بتقریر أصالة العدم فی عنوان المخالفة ولو بنحو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بلحاظ وجود الشرط حیث لم یکن، فلم تکن صفة المخالفة أو بلحاظ ما قبل الشرع بلحاظ تقرّر ماهیّة نفس المشروط</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تقدیر عدم تمامیّة الأصل الموضوعیّ تصل النوبة إلی الأصل الحکمیّ، وهی أصالة عدم نفوذ الشرط وعدم وجوب الوفاء به، کما ذهب إلی ذلک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بنی علی أنّ الأصل العدم الأزلیّ لا یجری فی موارد الشکّ فی انطباق عنوان المخصّص لکون العدم</w:t>
      </w:r>
    </w:p>
    <w:p>
      <w:pPr>
        <w:pStyle w:val="BookText"/>
        <w:rPr/>
      </w:pPr>
      <w:r>
        <w:rPr>
          <w:rFonts w:ascii="IRNazanin" w:hAnsi="IRNazanin" w:eastAsia="IRNazanin"/>
          <w:color w:val="111111"/>
          <w:sz w:val="28"/>
          <w:sz w:val="28"/>
          <w:szCs w:val="28"/>
          <w:rtl w:val="true"/>
          <w:lang w:bidi="fa-IR"/>
        </w:rPr>
        <w:t>المأخوذ فی العموم بسببه هو العدم النعتیّ، وإن کان الصحیح هو جریان الأصل فی العدم الأزلیّ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جریان الأصل لا یخلو من إشکال مع إطلاق دلیل الحکم الأوّلی وإن شکّ فی کونه طبعیّاً أو فعلیّاً وحصول التعارض کاف فی إسقاط عموم الوفاء بالشرط ونحوه من عمومات الإلتزام الأُخری، نعم مع عدم الإطلاق یتمّ جریانه وإمّا مع مجرّد الشکّ فی طبعیّته ونحوها، فلا</w:t>
      </w:r>
      <w:r>
        <w:rPr>
          <w:rFonts w:eastAsia="IRNazanin" w:cs="IRNazanin"/>
          <w:color w:val="111111"/>
          <w:sz w:val="28"/>
          <w:szCs w:val="28"/>
          <w:rtl w:val="true"/>
          <w:lang w:bidi="fa-IR"/>
        </w:rPr>
        <w:t>.</w:t>
      </w:r>
      <w:bookmarkStart w:id="32" w:name="pg13695_150587"/>
    </w:p>
    <w:p>
      <w:pPr>
        <w:pStyle w:val="Heading2"/>
        <w:numPr>
          <w:ilvl w:val="1"/>
          <w:numId w:val="1"/>
        </w:numPr>
        <w:rPr/>
      </w:pPr>
      <w:bookmarkStart w:id="33" w:name="__RefHeading___Toc983751_1468164448"/>
      <w:bookmarkStart w:id="34" w:name="_Toc12"/>
      <w:bookmarkEnd w:id="32"/>
      <w:bookmarkEnd w:id="33"/>
      <w:r>
        <w:rPr>
          <w:rtl w:val="true"/>
        </w:rPr>
        <w:t xml:space="preserve">قاعدة </w:t>
      </w:r>
      <w:r>
        <w:rPr>
          <w:rtl w:val="true"/>
        </w:rPr>
        <w:t>:</w:t>
      </w:r>
      <w:r>
        <w:rPr>
          <w:rtl w:val="true"/>
        </w:rPr>
        <w:t>العقود تابعة للقصود</w:t>
      </w:r>
      <w:bookmarkEnd w:id="3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983753_1468164448"/>
      <w:bookmarkStart w:id="36" w:name="_Toc13"/>
      <w:bookmarkEnd w:id="35"/>
      <w:r>
        <w:rPr>
          <w:rtl w:val="true"/>
        </w:rPr>
        <w:t>اشارة</w:t>
      </w:r>
      <w:bookmarkStart w:id="37" w:name="pg13695_150589"/>
      <w:bookmarkEnd w:id="36"/>
    </w:p>
    <w:p>
      <w:pPr>
        <w:pStyle w:val="BookText"/>
        <w:rPr/>
      </w:pPr>
      <w:bookmarkEnd w:id="37"/>
      <w:r>
        <w:rPr>
          <w:rFonts w:ascii="Amiri" w:hAnsi="Amiri" w:eastAsia="Amiri" w:cs="Amiri"/>
          <w:color w:val="111111"/>
          <w:sz w:val="28"/>
          <w:sz w:val="28"/>
          <w:szCs w:val="28"/>
          <w:rtl w:val="true"/>
          <w:lang w:bidi="ar-SA"/>
        </w:rPr>
        <w:t>قاعدة العقود تابعة للقصود</w:t>
      </w:r>
    </w:p>
    <w:p>
      <w:pPr>
        <w:pStyle w:val="BookText"/>
        <w:rPr/>
      </w:pPr>
      <w:r>
        <w:rPr>
          <w:rFonts w:ascii="IRNazanin" w:hAnsi="IRNazanin" w:eastAsia="IRNazanin"/>
          <w:color w:val="111111"/>
          <w:sz w:val="28"/>
          <w:sz w:val="28"/>
          <w:szCs w:val="28"/>
          <w:rtl w:val="true"/>
          <w:lang w:bidi="fa-IR"/>
        </w:rPr>
        <w:t>وتطبیقها فی بحث التخلص من الربا انموذجا</w:t>
      </w:r>
      <w:r>
        <w:rPr>
          <w:rFonts w:eastAsia="IRNazanin" w:cs="IRNazanin"/>
          <w:color w:val="111111"/>
          <w:sz w:val="28"/>
          <w:szCs w:val="28"/>
          <w:rtl w:val="true"/>
          <w:lang w:bidi="fa-IR"/>
        </w:rPr>
        <w:t>:</w:t>
      </w:r>
    </w:p>
    <w:p>
      <w:pPr>
        <w:pStyle w:val="Heading3"/>
        <w:numPr>
          <w:ilvl w:val="2"/>
          <w:numId w:val="1"/>
        </w:numPr>
        <w:rPr/>
      </w:pPr>
      <w:bookmarkStart w:id="38" w:name="__RefHeading___Toc983755_1468164448"/>
      <w:bookmarkStart w:id="39" w:name="_Toc14"/>
      <w:bookmarkEnd w:id="38"/>
      <w:r>
        <w:rPr>
          <w:rtl w:val="true"/>
        </w:rPr>
        <w:t>تحریر محل الاعتراض والبحث</w:t>
      </w:r>
      <w:r>
        <w:rPr>
          <w:rtl w:val="true"/>
        </w:rPr>
        <w:t>:</w:t>
      </w:r>
      <w:bookmarkEnd w:id="39"/>
    </w:p>
    <w:p>
      <w:pPr>
        <w:pStyle w:val="BookText"/>
        <w:rPr/>
      </w:pPr>
      <w:r>
        <w:rPr>
          <w:rFonts w:ascii="IRNazanin" w:hAnsi="IRNazanin" w:eastAsia="IRNazanin"/>
          <w:color w:val="111111"/>
          <w:sz w:val="28"/>
          <w:sz w:val="28"/>
          <w:szCs w:val="28"/>
          <w:rtl w:val="true"/>
          <w:lang w:bidi="fa-IR"/>
        </w:rPr>
        <w:t xml:space="preserve">أنّ القنوات التخلّصیّة والحیل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کالهبة بشرط القرض، أو البیع المحاباتی بشرط القرض، أو الإجارة المحاباتیّة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معاملة بیعیّة صورةً، ولکنها قرضا حقیقة، فإنّ العرف یعترف ارتکازاً أنّ هذه فی الواقع قرض، وإن کان بیعاً صورةً، وحینئذٍ الزیادة فیه باطلة؛ لأنّ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کذا بکذا بشرط القرض، کان قصدک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 کذا بکذا بشرط الفائدة الربویّة، ولذلک یقدّرون المحاباة فی القیمة بقدر الفائدة الربویّة،</w:t>
      </w:r>
    </w:p>
    <w:p>
      <w:pPr>
        <w:pStyle w:val="BookText"/>
        <w:rPr/>
      </w:pPr>
      <w:r>
        <w:rPr>
          <w:rFonts w:ascii="IRNazanin" w:hAnsi="IRNazanin" w:eastAsia="IRNazanin"/>
          <w:color w:val="111111"/>
          <w:sz w:val="28"/>
          <w:sz w:val="28"/>
          <w:szCs w:val="28"/>
          <w:rtl w:val="true"/>
          <w:lang w:bidi="fa-IR"/>
        </w:rPr>
        <w:t>فواضح أنّ نفس الفائدة الربویّة ملحوظة فیها، فإذن استعمال لفظ البیع مجازی فی هذا المقام؛ لأنّهم یریدون ویقصدون منه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العرف أیضاً یطبّق علی تلک القنوات عنوان القرض، ویقول إنّ لُبّه قرض، وإن کانت صورته شیئاً آخر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وعنوان العقد وحکمه الشرعی والعقلائی یتبع قصد العاقد لا لفظه، فذلک التغییر اللفظی الصوری مع بقاء قصد القرض لا یغیّر شیئاً ولا ینفع</w:t>
      </w:r>
      <w:r>
        <w:rPr>
          <w:rFonts w:eastAsia="IRNazanin" w:cs="IRNazanin"/>
          <w:color w:val="111111"/>
          <w:sz w:val="28"/>
          <w:szCs w:val="28"/>
          <w:rtl w:val="true"/>
          <w:lang w:bidi="fa-IR"/>
        </w:rPr>
        <w:t>.</w:t>
      </w:r>
      <w:bookmarkStart w:id="40" w:name="pg13695_150590"/>
    </w:p>
    <w:p>
      <w:pPr>
        <w:pStyle w:val="Heading3"/>
        <w:numPr>
          <w:ilvl w:val="2"/>
          <w:numId w:val="1"/>
        </w:numPr>
        <w:rPr/>
      </w:pPr>
      <w:bookmarkStart w:id="41" w:name="__RefHeading___Toc983757_1468164448"/>
      <w:bookmarkStart w:id="42" w:name="_Toc15"/>
      <w:bookmarkEnd w:id="40"/>
      <w:bookmarkEnd w:id="41"/>
      <w:r>
        <w:rPr>
          <w:rtl w:val="true"/>
        </w:rPr>
        <w:t>المستفاد من القاعدة</w:t>
      </w:r>
      <w:r>
        <w:rPr>
          <w:rtl w:val="true"/>
        </w:rPr>
        <w:t>:</w:t>
      </w:r>
      <w:bookmarkEnd w:id="42"/>
    </w:p>
    <w:p>
      <w:pPr>
        <w:pStyle w:val="BookText"/>
        <w:rPr/>
      </w:pPr>
      <w:r>
        <w:rPr>
          <w:rFonts w:ascii="IRNazanin" w:hAnsi="IRNazanin" w:eastAsia="IRNazanin"/>
          <w:color w:val="111111"/>
          <w:sz w:val="28"/>
          <w:sz w:val="28"/>
          <w:szCs w:val="28"/>
          <w:rtl w:val="true"/>
          <w:lang w:bidi="fa-IR"/>
        </w:rPr>
        <w:t xml:space="preserve">أنّ المستفاد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یجب ألّا یکون صوریّاً، بل لابدَّ أن یکون لبّیّاً، بمعنی أنّ المدار فی تأثیر العقود هو اللبّ والواقع لا اللفظ بدون القصد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نرکّز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للجواب عن ذلک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القاعدة، فتلک القاعدة فی معناها ذات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فی إنشاء المعاملات هو تطابق لفظ الإنشاء مع الماهیّة المنشأة المقصودة فی قصد المتعامل، فإن اشترطنا وجود الألفاظ الصریحة فی العقود، فلابدَّ من الاستعمال الحقیقی فی الدلالة، وإن لم نشترط ذلک، فیکفی الدلالة علی المقصود ولو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 هذه القاعدة هو تطابق الألفاظ مع المعنی المقصود،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اللفظ مطابقاً للقصد، وإلّا لم یقع العقد؛ لأنّ ما قصد لم یقع، وما وقع لم یقصد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یقال فی الإیداعات التی فی البنوک أنّها قروض لا ودائع، وإن أصرّت البنوک علی أنّها ودیعة؛ لأنّ هذا الاستعمال لیس مطابقاً مع المعنی المقصود، فإنّ المعنی المقصود فی ذلک الإیداع المزعوم هو تملیک الشخص، المال النقدی المودع، وتملّک شیء فی ذمّة البنک، وهذا هو حقیقة القرض، بینما فی الودیعة یجب أن تسلّم ولا یتصرّف فی رقبتها، والحال أنّ فی الودیعة البنکیّة لیس الأمر کذلک، فالمعنی المقصود هو القرض لا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فیقال فیما نحن فیه أیضاً أنّ المعنی المقصود الأصلی الحقیقی فی بعض القنوات التخلّصیّة هو القرض لا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بین قصد المنشئ وبین الماهیّة العرفیّة العقلائیّة، فکثیراً ما یقصد المنشئ ماهیّة معاملیّة ویتصوّر أنّها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العقلاء لا یعتبرونها ماهیّة 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فی تعریف البیع أنّه مبادلة مال بمال،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متقوّم بأن یکون المبیع مقصوداً بذاته وصفاته الشخصیّة، والثمن والبدل والعوض مقصوداً بمالیّته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فمبادلة عین بعین لیست بیعاً حقیقة إذا کان المقصود فی کلا الطرفین هو شخص العین بصفاتها الخاصّة لا بمالیّتها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تلک المبادلة یمکن أن یتصوّر المنشئ أنّها بیع ویقصدها بیعاً مع أنّ العقلاء لا یعتبرونها ماهیّة بیعیّة، فیجب المطابقة بین الماهیّة المنشأة عند المنشئ وبین الماهیّة المقصودة عند العقلاء، وهذه مرحلة أدقّ وأعمق فی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تلک القاعدة هو أنّ تکون المعاملة مقصودة بقصد جدّی، فلو کان هازلًا فإنّ العقد لا یقع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تلک القاعدة أبحاث وجهات اخری من البحث، تعرّض الفقهاء إلیها فی بحث المعاطاة وتخلّف الشروط والوصف وبحث الشرط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الزاویة التی نرید أن نبحث عنها فی بحثنا هذا، هی المرحلة الثانیة، فالإشکال نشأ من أنّ الماهیّة المقصودة فی الحیل التخلّصیّة هل هی ماهیّة قرضیّة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ماهیّة بیعیّة؟ فإنّ المنشئ قصد أن ینشئ الماهیّة البیعیّة، لکنّ العقلاء یرتّبون علی تلک المعاملة آثار الماهیّة القرضیّة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الفقهاء فی بحث البیع أنّ الشروط العقلائیّة فی العقد أو فی المتعاقدین أو فی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شروط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أرکان لا شروط، فتسمیتها بالشروط مسامحة؛ لأنّ معنی أنّ العقلاء اشترطوا فی هذه الماهیّة ذاک الشرط یرجع إلی أنّهم لا یعتبرون هذه الماهیّة إذا لم یتحقّق ذاک الشرط، فإذا لم یعتبروا فلم تتحقّق عندهم</w:t>
      </w:r>
    </w:p>
    <w:p>
      <w:pPr>
        <w:pStyle w:val="BookText"/>
        <w:rPr/>
      </w:pPr>
      <w:r>
        <w:rPr>
          <w:rFonts w:ascii="IRNazanin" w:hAnsi="IRNazanin" w:eastAsia="IRNazanin"/>
          <w:color w:val="111111"/>
          <w:sz w:val="28"/>
          <w:sz w:val="28"/>
          <w:szCs w:val="28"/>
          <w:rtl w:val="true"/>
          <w:lang w:bidi="fa-IR"/>
        </w:rPr>
        <w:t>هذه الماهیّة أیضاً، وإذا لم تتحقّق الماهیّة الکذائیّة عند العقلاء فأدلّة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موضوعها هو الماهیّة العرفیّة المعاملیّة کالبیع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تشملها، ففی الواقع لا یوجد موضوع لدلیل الإمضاء، فمآل الشروط العقلائیّة إلی أرکان وجود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الشروط العقلائیّة، وأمّا الشروط الشرعیّة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فتختلف عن الشروط العقلائیّة، فإنّ انخرام الشروط الشرعیّة لا یؤدّی إلی انتفاء الماهیّة وعدم تحقّقها عند العقلاء، بل تتحقّق الماهیّة ولکن غرریاً، فالماهیّة متحقّقة لدی العرف حتّی مع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بنی علی کونه شرطا شرعیا تاسیسیا لا امضائیا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الشرط العقلائی، فإذا لم یتحقّق فنفس الماهیّة لا تتحقّق أصلًا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تنوجد الماهیّة البیعیّة لدی المتبایعین والمنشئین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والمستشکل إن کان یرید أن یستشهد بانتفاء الشروط الشرعیّة المأخوذة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قناة البیع المحاباتی التخلّصیّة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البیعیّة لا تنتفی حینئذٍ فی اعتبار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تبطل فی اعتبار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یرید أن یستشهد بانتفاء الشروط العقلائیّة المأخوذة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القناة التخلّصیة، فلابدَّ أن یدّعی انخرامها فی شروط العقد أو شروط العوضین، ولا یتصوّر انتفاء شروط المتعاقدین فی بحثنا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أنّ من شروط العقد البیعی هو أن یکون علی وجه المبادلة لا التملیک علی وجه الضمان، فلو قصد التملیک علی وجه الضمان فهو قرض وإن سمّی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أخذ فی البیع تساوی القیمة السوقیّة فی العوضین، أی یکون الثمن لائقاً بالمبیع ولیس المقصود التساوی الدقّی، بل بحسب مقدار الرغبة والجهد المبذول والربح الذی یحصل علیه البائع، وفی البیع المحاباتی لا تکون هناک مساواة، بل یبیع المبیع بأکثر من قیمته السوقیّة، أو بأقلّ بکثیر، إذن فهذا من الشروط العقلائیّة المنخرمة فی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من شرائط العقد أن یلتزم المتبایعان بآثار ما قصد، بینما نجد أنّ المتعاملین لا یلتزمان واقعاً بآثار البیع، بل یلتزمان بآثار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الإشکال یدور علی أحد محورین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عدم تساوی المالیّة ومحور عدم الالتزام بالآثار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شروط العوضین فی البیع أن یکون المعوّض عیناً لا</w:t>
      </w:r>
    </w:p>
    <w:p>
      <w:pPr>
        <w:pStyle w:val="BookText"/>
        <w:rPr/>
      </w:pPr>
      <w:r>
        <w:rPr>
          <w:rFonts w:ascii="IRNazanin" w:hAnsi="IRNazanin" w:eastAsia="IRNazanin"/>
          <w:color w:val="111111"/>
          <w:sz w:val="28"/>
          <w:sz w:val="28"/>
          <w:szCs w:val="28"/>
          <w:rtl w:val="true"/>
          <w:lang w:bidi="fa-IR"/>
        </w:rPr>
        <w:t xml:space="preserve">منفعة، فإن کان المعوّض منفعة فهی إجارة لا بیع؛ ولذا 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منفعة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شروط العوضین أن یکون الثمن مقصوداً فیه المالیّة لا الصفات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الإشکال فی محور عدم تساوی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التساوی بین العوضین فی القیمة السوقیّة لیس شرطاً عقلائیّاً للعقد بمعنی أنّ مع فقدانه لا تنتفی الماهیّة المعاملیّة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العوضین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مختصّة بالبیع، بل تدخل فی جمیع المعاوضات، بیعاً کانت أم إجارة أم غیرهما، ولکن حیث أنّ الفقهاء ذکروا هذا البحث فی خیار الغبن وتناسباً مع أحد الطرق التخلّصیّة نخصّها بالبیع فی بحثنا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ذکروا أنّ الغبن یکون نتیجة تفاوت فی القیمة بین المبیع وبین الثمن، وهنا یتبادر سؤال حول صحّة تلک المعاملة وبطلانها، وفی حالة البطلان هل هو من جهة العقل أو من جهة الشرع؟</w:t>
      </w:r>
    </w:p>
    <w:p>
      <w:pPr>
        <w:pStyle w:val="BookText"/>
        <w:rPr/>
      </w:pPr>
      <w:r>
        <w:rPr>
          <w:rFonts w:ascii="IRNazanin" w:hAnsi="IRNazanin" w:eastAsia="IRNazanin"/>
          <w:color w:val="111111"/>
          <w:sz w:val="28"/>
          <w:sz w:val="28"/>
          <w:szCs w:val="28"/>
          <w:rtl w:val="true"/>
          <w:lang w:bidi="fa-IR"/>
        </w:rPr>
        <w:t>ذهب بعض من الفقهاء إلی البطلان الشرعی من جهة حصول الغرر والضرر، وقد نهی عن البیع الغرری وعن الضرر، فیثبت بطلان تلک المعاملة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آخر إلی البطلان من جهة العقل؛ وذلک لأنّ من الشروط العقلائیّة وارتکازات العقلاء اعتبار تساوی العوضین فی المالیّة بحسب العادة، وهذا یعتبر من مقوّمات العقد، فالإقدام علی المعاملة التی</w:t>
      </w:r>
    </w:p>
    <w:p>
      <w:pPr>
        <w:pStyle w:val="BookText"/>
        <w:rPr/>
      </w:pPr>
      <w:r>
        <w:rPr>
          <w:rFonts w:ascii="IRNazanin" w:hAnsi="IRNazanin" w:eastAsia="IRNazanin"/>
          <w:color w:val="111111"/>
          <w:sz w:val="28"/>
          <w:sz w:val="28"/>
          <w:szCs w:val="28"/>
          <w:rtl w:val="true"/>
          <w:lang w:bidi="fa-IR"/>
        </w:rPr>
        <w:t>یکون فیها تفاوت لا یتسامح به موجب لبطلان تلک المعاملة؛ لأنّها فی صورة العلم بالغبن والتفاوت الفاحش، امّا معاملة سفیه أو معاملة سفهیّة، وکلا الشقّین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ویتّفق علیه الجمیع، وأمّا الثانی فلانتفاء الشرط العقلائی، ومع انتفائه ینتفی اعتبار العقلاء لوجود تلک الماهیّة المعاملیّة، فالماهیّة غیر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البطلان الشرعی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الغرر مفروض مع الجهل ویفترض فی مورد البحث علم الطرف المغبون بالتفاوت، فلا غرر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البطلان العقلی،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المعاملة لیست سفهیّة أو معاملة سفیه، وذلک لتوفّر غرض عقلائی فیها، فلم یقدم المغبون علیها اعتباطاً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اعتبروا فی ماهیّة البیع أمراً کلّیاً، وهو وجود عین یرغب فیها لأجل صفاتها ویبذل بإزائها ثمن، ولم یقیّد ذلک بثمن خاصّ، فحدّدت تلک الماهیّة بأن تکون عیناً، وأن تکون معاوضة، لا ضماناً بالقیمة الواقعیّة، بل بقیمة جعلیّة طبقاً لرغبة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الأمر یکون اعتبار تساوی المالیّة شرطاً ضمنیّاً فی العقد، طبقاً لمرتکزات العقلاء، وانتفاء الشرط الضمنی وتخلّفه یوجب الخیار، لا بطلان المعاملة من أساسها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التساوی فی المالیّة لیس شرطاً عقلائیّاً علی نحو ینتفی</w:t>
      </w:r>
    </w:p>
    <w:p>
      <w:pPr>
        <w:pStyle w:val="BookText"/>
        <w:rPr/>
      </w:pPr>
      <w:r>
        <w:rPr>
          <w:rFonts w:ascii="IRNazanin" w:hAnsi="IRNazanin" w:eastAsia="IRNazanin"/>
          <w:color w:val="111111"/>
          <w:sz w:val="28"/>
          <w:sz w:val="28"/>
          <w:szCs w:val="28"/>
          <w:rtl w:val="true"/>
          <w:lang w:bidi="fa-IR"/>
        </w:rPr>
        <w:t>العقد بانتفائه؛ لأنّ الإجماع قائم علی عدم بطلانه وثبوت الخیار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ورد سائح أو زائر فی بلد واکتری سیّارة بأکثر من قیمتها الواقعیّة بکثیر، فلا یقولون إنّ الإجارة لم تقع، بل یقولون إنّ هذه إجارة ولکنّها غبنیّة، ویقومون بأخذ التفاوت، وله حقّ خیار الفسخ، فما یُری فی المعاملات الغبنیّة أنّ المغبون یلاحق الغابن کأنّما الغابن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السرقة بمعناها المعروف، بل هو سرقة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للمغبون حقّاً لفسخ المعاملة، فإذا فسخ تنفسخ المعاملة وترجع الأموال إلیه، وهذا شاهد صدق علی أنّ المعاملة فی موارد عدم تساوی مالیّة العوضین متحقّقة، فلیس</w:t>
      </w:r>
    </w:p>
    <w:p>
      <w:pPr>
        <w:pStyle w:val="BookText"/>
        <w:rPr/>
      </w:pPr>
      <w:r>
        <w:rPr>
          <w:rFonts w:ascii="IRNazanin" w:hAnsi="IRNazanin" w:eastAsia="IRNazanin"/>
          <w:color w:val="111111"/>
          <w:sz w:val="28"/>
          <w:sz w:val="28"/>
          <w:szCs w:val="28"/>
          <w:rtl w:val="true"/>
          <w:lang w:bidi="fa-IR"/>
        </w:rPr>
        <w:t>التساوی شرطاً عقلائیّاً للعقد ولم یقیّدوا خیار الغبن بالتفاوت الیسیر، بل هو یجری حتّی فی المعاملات الغبنیة مع التفاوت الفاحش بین العوضین، فحینئذٍ ما ذکره المستشکل من هذه الجهة وفی هذا المحور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فی محور عدم الالتزام بالآثار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المتعامل وسالک طریق الحیل لا یلتزم بآثار البیع واقعاً، بل هو ملتزم بآثار القرض، وهذا ینافی قاعدة أنّ العقود تابعة للقصود، فإنّ المعاملة المقصودة یجب أن یلتزم بآثارها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الجهة نحن نسلّم شرطیّتها ککبری فی العقود، لکن نتساءل أنّها هل هی منخرمة فی الحیل التخلّصیّة أو 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الحیل التخلّصیّة مبنیّة علی أساس وجود بیع حقیقی</w:t>
      </w:r>
    </w:p>
    <w:p>
      <w:pPr>
        <w:pStyle w:val="BookText"/>
        <w:rPr/>
      </w:pPr>
      <w:r>
        <w:rPr>
          <w:rFonts w:ascii="IRNazanin" w:hAnsi="IRNazanin" w:eastAsia="IRNazanin"/>
          <w:color w:val="111111"/>
          <w:sz w:val="28"/>
          <w:sz w:val="28"/>
          <w:szCs w:val="28"/>
          <w:rtl w:val="true"/>
          <w:lang w:bidi="fa-IR"/>
        </w:rPr>
        <w:t>یلتزم به المتعاملان بآثار البیع، فیجوز للمشتری بعد البیع الأوّل أن لا یبیعه مرّة اخری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ملزم قانونی شرعی یجبره علی البیع الثانی، وعلیه یحمل ما ورد فی روایة یونس الشیبانی،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یبیع البیع والبائع یعلم أنّه لا یسوی، والمشتری یعلم أنّه لا یسوی، إلّا أنّه یعلم أنّه سیرجع فیه فیشتریه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إنّ رسول الله صلی الله علیه و آله قال لجابر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ظهر الجور وأورثهم الذلّ؟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إلی ذلک الزمان، ومتی یکون ذلک بأبی أنت وامّی؟قال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الربا یا یونس، وهذا الربا، فإن لم تشتره ردّه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تقربنّه، فلا تقربنّه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الشیخ بإسناده عن محمّد بن الحسن الصفّار، عن محمّد بن الحسین بن أبی الخطّاب، عن محمّد بن إسماعیل بن بزیع، عن صالح بن عقبة، عن یونس الشیبانی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فواضح من هذه الروایة أنّه من البدء لا یرید أن یلتزم بآثار البیع، بل هما لم یلتزما بالبیع، ولم یقصداه، وهذه الروایة وأمثالها لا تعارض أخبار العینة</w:t>
      </w:r>
      <w:r>
        <w:rPr>
          <w:rStyle w:val="FootnoteAnchor"/>
          <w:rtl w:val="true"/>
        </w:rPr>
        <w:footnoteReference w:id="43"/>
      </w:r>
      <w:r>
        <w:rPr>
          <w:rFonts w:ascii="IRNazanin" w:hAnsi="IRNazanin" w:eastAsia="IRNazanin"/>
          <w:color w:val="111111"/>
          <w:sz w:val="28"/>
          <w:sz w:val="28"/>
          <w:szCs w:val="28"/>
          <w:rtl w:val="true"/>
          <w:lang w:bidi="fa-IR"/>
        </w:rPr>
        <w:t>ولا تنافیها، وإنّما تحدّد صحّتها بأن یتبانی الأطراف علی الالتزام</w:t>
      </w:r>
    </w:p>
    <w:p>
      <w:pPr>
        <w:pStyle w:val="BookText"/>
        <w:rPr/>
      </w:pPr>
      <w:r>
        <w:rPr>
          <w:rFonts w:ascii="IRNazanin" w:hAnsi="IRNazanin" w:eastAsia="IRNazanin"/>
          <w:color w:val="111111"/>
          <w:sz w:val="28"/>
          <w:sz w:val="28"/>
          <w:szCs w:val="28"/>
          <w:rtl w:val="true"/>
          <w:lang w:bidi="fa-IR"/>
        </w:rPr>
        <w:t>بآثار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فالحیل التخلّصیة حیث أنّه لا توجد فیها حبک قانونیّ تجاه نفس الغرض الربوی، فالمرابون لا یتّخذونها بدیلة عن الربا، فإنّ فی تلک الطرق تخلّفات عن مسار الربا وفُرجاً یستطیع أحد المتعاقدین أن یفرّ بها من غرض المرابی أو یفرّ المرابی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فإشکال أنّه لیس هناک قصد جدّی لعدم الالتزام والبناء العملی علی ترتّب الآثار، نلتزم به إذا لم یکن فی البین بناء جدّی، ولکن الشرط الأساسی هو الالتزام العملی بما عقداه وأنشئاه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المباشر فی إنشاء طریق تخلّصی هو نفس الماهیّة المعاملیّة المنشأة، وهی محلّلة، وإن کان الغرض الأعلی هو ماهیّة اخری محرّمة، فإنّ المناط هو الإنشاء المباشر، والغرض الأدنی لا الغرض النهائی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ولهذه القاعدة وردت تطبیقات من الشارع، بعضها فی الباب الثامن من أبواب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بإسناد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یزرع الأرض فیشترط للبذر ثلثاً وللبقر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یسمّی شیئاً، فإنّما یحرّم الکلام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المزارعة والمساقاة تکون شرکة بین العمل وبین العین، عمل</w:t>
      </w:r>
    </w:p>
    <w:p>
      <w:pPr>
        <w:pStyle w:val="BookText"/>
        <w:rPr/>
      </w:pPr>
      <w:r>
        <w:rPr>
          <w:rFonts w:ascii="IRNazanin" w:hAnsi="IRNazanin" w:eastAsia="IRNazanin"/>
          <w:color w:val="111111"/>
          <w:sz w:val="28"/>
          <w:sz w:val="28"/>
          <w:szCs w:val="28"/>
          <w:rtl w:val="true"/>
          <w:lang w:bidi="fa-IR"/>
        </w:rPr>
        <w:t>العامل من جانب، والأرض والبذر والآلات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فللعامل أن یقول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الناتج لی وما سواه للمالک، وأمّا إذا خصّص فی نفس الإنشاء المعاملی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من الناتج للبذر وثلث للبقر وثلث لی، فتبطل المزارعة؛ لأنّ منفعة الآلات تقابل النماء والناتج، وهذا فی الحقیقة إجارة مجهولة الثمن، فبتغییر کلمة مع الالتزام بآثارها تتبدّل ماهیّة بماهیّة اخری، إنّما یحلّل الکلام ویحرّم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الرجل یزارع فیزرع أرض غیره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للبقر وثلث للبذر وثلث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شیئاً من الحبّ والبقر، ولکن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 فیها کذا وکذا، إن شئت نصفاً وإن شئت ثلثاً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یزارع فیزرع أرض آخر، فیشترط للبذر ثلثاً وللبقر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یسمّی بذراً ولا بقراً، فإنّما یحرّم الکلام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الربیع الشامی،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یزرع أرض رجل آخر فیشترط علیه ثلثاً للبذر وثلثاً للبقر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یسمّی بذراً ولا بقراً، ولکن یقول لصاحب</w:t>
      </w:r>
    </w:p>
    <w:p>
      <w:pPr>
        <w:pStyle w:val="BookText"/>
        <w:rPr/>
      </w:pPr>
      <w:r>
        <w:rPr>
          <w:rFonts w:ascii="IRNazanin" w:hAnsi="IRNazanin" w:eastAsia="IRNazanin"/>
          <w:color w:val="111111"/>
          <w:sz w:val="28"/>
          <w:sz w:val="28"/>
          <w:szCs w:val="28"/>
          <w:rtl w:val="true"/>
          <w:lang w:bidi="fa-IR"/>
        </w:rPr>
        <w:t>الأرض أزرع فی أرضک ولک منها کذا وکذا، نصف أو ثلث أو ما کان من شرط، ولا یسمّی بذراً ولا بقراً، فإنّما یحرّم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المتعامل ماهیّة خاصّة یمکن له أن یتوصّل إلیها بإنشاء نفس الماهیّة أو بإنشاء ماهیّة اخری متوسّطة توصله إلی نفس النتائج</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وأثره یظهر فی ماهیّات محرّمة یمکن التوصّل إلی النتائج الحاصلة منها عبر عقود متوسّطة اخری محلّلة، وهذا مفتوح فی الشریعة لاستبدال کثیر من الماهیّات الباطلة إلی الصحیحة، ولیس معناه تحلیل الماهیّات الفاسدة، بل هو تبدیل الماهیّات الفاسدة إلی الصحیحة</w:t>
      </w:r>
      <w:r>
        <w:rPr>
          <w:rFonts w:eastAsia="IRNazanin" w:cs="IRNazanin"/>
          <w:color w:val="111111"/>
          <w:sz w:val="28"/>
          <w:szCs w:val="28"/>
          <w:rtl w:val="true"/>
          <w:lang w:bidi="fa-IR"/>
        </w:rPr>
        <w:t>.</w:t>
      </w:r>
      <w:bookmarkStart w:id="43" w:name="pg13695_150601"/>
    </w:p>
    <w:p>
      <w:pPr>
        <w:pStyle w:val="Heading2"/>
        <w:numPr>
          <w:ilvl w:val="1"/>
          <w:numId w:val="1"/>
        </w:numPr>
        <w:rPr/>
      </w:pPr>
      <w:bookmarkStart w:id="44" w:name="__RefHeading___Toc983759_1468164448"/>
      <w:bookmarkStart w:id="45" w:name="_Toc16"/>
      <w:bookmarkEnd w:id="43"/>
      <w:bookmarkEnd w:id="44"/>
      <w:r>
        <w:rPr>
          <w:rtl w:val="true"/>
        </w:rPr>
        <w:t xml:space="preserve">قاعدة </w:t>
      </w:r>
      <w:r>
        <w:rPr>
          <w:rtl w:val="true"/>
        </w:rPr>
        <w:t>:</w:t>
      </w:r>
      <w:r>
        <w:rPr>
          <w:rtl w:val="true"/>
        </w:rPr>
        <w:t>لا تبع ما لیس عندک</w:t>
      </w:r>
      <w:bookmarkEnd w:id="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983761_1468164448"/>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لا تبع ما لیس عندک</w:t>
      </w:r>
    </w:p>
    <w:p>
      <w:pPr>
        <w:pStyle w:val="BookText"/>
        <w:rPr/>
      </w:pPr>
      <w:r>
        <w:rPr>
          <w:rFonts w:ascii="IRNazanin" w:hAnsi="IRNazanin" w:eastAsia="IRNazanin"/>
          <w:color w:val="111111"/>
          <w:sz w:val="28"/>
          <w:sz w:val="28"/>
          <w:szCs w:val="28"/>
          <w:rtl w:val="true"/>
          <w:lang w:bidi="fa-IR"/>
        </w:rPr>
        <w:t xml:space="preserve">الحدیث النبوی الوارد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یشکل فی سنده بأنّه من طرق العامّة، وأسانیده ضعیفة، وفی روایات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یشعر بتخطئة نسبة هذا الحدیث إلی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تلک الروایات لیست تخطئة للعامّة فی انتساب هذه الروایة إلی النبیّ صلی الله علیه و آله ، وإنّما هی تخطئة للعامّة فی فهمهم للحدیث؛ إذ یظهر من العامّة التوسّع فی مفاد الحدیث والتخطئة لهم فی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سنده فلم یصحّ الإسناد المتّصل للنبیّ صلی الله علیه و آله لکن یوجد فی الروایات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 فی الأبواب المختلفة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من امرأة من آل فلان بعض قطائعهم، وکتب علیها کتاباً بأنّها قد قبضت المال ولم تقبضه، فیعطیها المال أم یمنعها؟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لیمنعها أشدّ المنع، فإنّها باعته ما لم تملکه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لا تدلّ علی القاعدة؛ لأنّ موردها بیع الفضولی، وأنّ الشراء من غیر المالک لا یکون صحیحاً لا أنّ بیع المعدوم وما 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ملکاً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فی یده دار لیست له، ولم تزل فی یده وید آبائه من قبله قد أعلمه من مضی من آبائه أنّها لیست لهم، ولا یدرون لمن هی فیبیعها ویأخذ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یبیع ما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یعرف صاحبها ولا یدری لمن هی، ولا أظنّه یجیء لها ربّ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یبیع ما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 سکناها أو مکانها فی یده،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سکنای وتکون فی یدک کما هی فی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یبیعها علی هذا</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تدلّ علی مضمون زائد علی الروایة المتقدّمة،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لأنّه لم یملکها، فالبطلان علی القاعدة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الشیخ بإسناده عنه أنّه کتب إلی أبی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باع قطاع أرضین فیحضره الخروج إلی مکّة والقریة علی مراحل من منزله، ولم یکن له من المقام ما یأتی بحدود</w:t>
      </w:r>
    </w:p>
    <w:p>
      <w:pPr>
        <w:pStyle w:val="BookText"/>
        <w:rPr/>
      </w:pPr>
      <w:r>
        <w:rPr>
          <w:rFonts w:ascii="IRNazanin" w:hAnsi="IRNazanin" w:eastAsia="IRNazanin"/>
          <w:color w:val="111111"/>
          <w:sz w:val="28"/>
          <w:sz w:val="28"/>
          <w:szCs w:val="28"/>
          <w:rtl w:val="true"/>
          <w:lang w:bidi="fa-IR"/>
        </w:rPr>
        <w:t>أرضه وعرف حدود القریة الأربعة،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بعت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القریة التی حدّ منها کذا والثانی والثالث والرابع، وإنّما له فی هذه القریة قطاع أرضین، فهل یصلح للمشتری ذلک، وإنّما له بعض هذه القریة وأقرّ له بکلّها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ما لیس یملک، وقد وجب الشراء من البائع علی ما یملک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الطعام من الرجل لیس عنده فیشتری منه حالًا،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یفسدونه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یقولون فی السّلم؟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أجل، فإذا کان إلی غیر أجل ولیس عند صاحبه فلا یصلح،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إلی أجل کان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یشتری الطعام ولیس هو عند صاحبه وإلی أجل،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له أجلًا إلّا أن یکون بیعاً لا یوجد مثل العنب والبطیخ وشبهه فی غیر زمانه، فلا ینبغی شراء ذلک حالاً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وموردها الشراء الکلّی فی الذمّة الذی لیس له مصداق حالی، وقد 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عنده إلی الکلّی الذی لا یوجد، وهذا هو القدر المتیقّن من مفاد الحدیث، وأمّا تعمیم مفاده إلی الکلّی غیر المقدور بالإضافة إلی</w:t>
      </w:r>
    </w:p>
    <w:p>
      <w:pPr>
        <w:pStyle w:val="BookText"/>
        <w:rPr/>
      </w:pPr>
      <w:r>
        <w:rPr>
          <w:rFonts w:ascii="IRNazanin" w:hAnsi="IRNazanin" w:eastAsia="IRNazanin"/>
          <w:color w:val="111111"/>
          <w:sz w:val="28"/>
          <w:sz w:val="28"/>
          <w:szCs w:val="28"/>
          <w:rtl w:val="true"/>
          <w:lang w:bidi="fa-IR"/>
        </w:rPr>
        <w:t>الشخص نفسه فمحلّ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کما إذا باع الکلّی حالًا نقداً ولا یوجد فی الخارج، والثانی کما فی مطلق بیع 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بعدم الصحّة فی مورد عدم القدرة تعبّدی؛ إذ ربّما یعتبره العقلاء من باب الدین وقد لا یعتبرونه بیعاً فی موارد عدم وجود الذمّة فی الشخص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سلف وبیع، وعن بیعین فی بیع، وعن بیع ما لیس عندک، وعن ربح ما لم یضمن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أنّه لا یجوز أن یبیع شیئاً معیّناً لیس عنده قبل أن یملکه، ویجوز أن یبیع أمراً کلّیاً موصوفاً فی الذمّة، ویحتمل الکراهة والنسخ والتقیّة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تقیّة فیها، بل إنّما هی تخطئة العامّة فی توسّع مفاد الحدیث مع أنّ کلّ ما کان عن النبیّ صلی الله علیه و آله هو من جوامع الکلم کتشریع أساسی، فافهم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أنّه لا شاهد علی التقیّة فی البین سوی المعارضة للروایات المجوّزة والمعارضة لیست مستقرّة؛ لأنّ النسبة عموم وخصوص مطلقاً، فهذا العموم مطلق وتلک المجوّزة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لیس تقدر بالقدرة الجامعة بین الشرعیّة والعرفیّة، وقد اختاره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الاحتمال الأوّل، 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لا یکون حاضراً لدیک، وهذا قول العامّة، وهو الاحتمال الثانی فی تفسیر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فی معناه ثالثاً أنّه ما لا تملک، وأمّا إذا ملکته فبعه، وإن لم تقدر علی التسلیم، وردّ الشیخ هذا الاحتمال بصحیحة عبد الرحمن الدالّة علی أنّه لا ینبغی أن یبیعه حالًا مع أنّه مالک، إلّا أنّه لا یقدر علی تسلیمه، وقد عبّر فیها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لکان الأوْلی التعبیر بالثانی، والأوّل تعبیر عن غیر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رابعاً فی معناه بما لا یقدر علیه عرفاً، أی لابدَّ من القدرة العرفیّة وإن لم یملکه شرعاً، وهذا أیضاً لا یمکن الالتزام به؛ لثبوت صحّة البیع فی موارد عدیدة منصوصة مع عدم القدرة علیه عرفاً کالعبد الآبق ومع الضمیمة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أنّ الموجود فی الروایات بیع العین الشخصیّة التی لا یملکها الدلّال فیبیعها، ثمّ یذهب إلی صاحبها ویشتریها منه ثمّ یعطیها المشتری، والظاهر أنّ نظره إلی الروایات الموجودة فی الباب الثامن من أبواب أحکام العقود التی ستأتی، فإنّ موردها العین الشخصیّة التی لیست علی ملک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 ثمّ یذهب ویشتریها من صاحبها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بالنظر إلی صحیحة عبد الرحمن بن الحجّاج فی الباب السابع من تلک الأبواب، فالظاهر أنّ الکبری طبّقت فی مورد الکلّی، فلا حاجة</w:t>
      </w:r>
    </w:p>
    <w:p>
      <w:pPr>
        <w:pStyle w:val="BookText"/>
        <w:rPr/>
      </w:pPr>
      <w:r>
        <w:rPr>
          <w:rFonts w:ascii="IRNazanin" w:hAnsi="IRNazanin" w:eastAsia="IRNazanin"/>
          <w:color w:val="111111"/>
          <w:sz w:val="28"/>
          <w:sz w:val="28"/>
          <w:szCs w:val="28"/>
          <w:rtl w:val="true"/>
          <w:lang w:bidi="fa-IR"/>
        </w:rPr>
        <w:t>للنقض والإبرام عن کیفیّة استحصال الاطلاق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الاولی فی الباب السابع تعرّضت لنفی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الحضور الذی بنی علیه العامّة، وأنّ هذا المعنی والمعنی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تفسیر للزوم العندیّة بمعنی القدرة والسلطنة العرفیّة وإن لم تکن ملکیّة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یطلب المتاع فاقاوله علی الربح، ثمّ اشتریه فأبیعه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إن شاء أخذ وإن شاء ترک؟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عندنا یفسده،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باع ما لیس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فی السلم قد باع صاحبه ما لیس عنده؟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صالح من أجل أنّهم یسمّونه سلماً 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کلّ متاع کنت تجده فی الوقت الذی بعته فیه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 مقاولة فقط ولیس هو الإیجاب والقبول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 أنّ فی بیع العین الشخصیّة قبل تملّک الدلّال لها لا یصحّ أن یبیعها من المشتری، فحینئذٍ إذا تقاول علی تلک العین الشخصیّة لا یواجبه</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تکون مقاولة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فی تلک المقاولة للمشتری حقّ الاختیار والانتخاب فی ما إذا اشتری الدلّال</w:t>
      </w:r>
    </w:p>
    <w:p>
      <w:pPr>
        <w:pStyle w:val="BookText"/>
        <w:rPr/>
      </w:pPr>
      <w:r>
        <w:rPr>
          <w:rFonts w:ascii="IRNazanin" w:hAnsi="IRNazanin" w:eastAsia="IRNazanin"/>
          <w:color w:val="111111"/>
          <w:sz w:val="28"/>
          <w:sz w:val="28"/>
          <w:szCs w:val="28"/>
          <w:rtl w:val="true"/>
          <w:lang w:bidi="fa-IR"/>
        </w:rPr>
        <w:t>تلک العین، فیشتریها أو لا یشتریها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والبیع فی ما بعد الشراء یعنی بعد تملّک البائع، وهذا واضح فی التطبیق علی العین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عندنا یفسده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فیه نوع تدافع مع فرض السائل؛ لأنّ صدر الروایة فی العین الشخصیّة، ولم تکن فی المقاولة مواجبة البیع کی یقول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یفسده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الذیل غیر مرتبط بالصدر؛ لأنّه من باب بیع الکلّی، فیحتمل فیه التقطیع ونوع من التلصیق بین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منه تقریر صدور النبوی لا نفیه؛ 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لتضییق قاعدة ما لیس عندک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ینفی صدورها، بل ینفی توسعتها، وأنّ المدار فی صحّة البیع علی وجدان المبیع ووجدان کلّ شیء بحسبه والعندیّة لیس بمعنی الحضور، بل بمعنی الوجدان،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لا تجده وما لا تقدر علی تسلیمه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من رجل مائة مَنّ صفراً بکذا وکذا، ولیس عنده ما اشتری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وفّاه الذی اشترط علیه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بکذا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بیع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عنده، أی لیس المبیع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قدر علی الوفاء بنفس الکلّی؛ إذ لیس المدار علی الحضور، بل المدار علی القدرة علی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اشترط علیه هو البیع؛ لأنّه مشارطة یشترط البائع علی نفسه تسلیم المبیع، ویشترط المشتری علی نفسه تسلیم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استدلّ السیّد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لزوم البیع بقوله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لأنّ المشارطة لیست فی خصوص الشرط دون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الشروط الابتدائیّة غیر مشمولة بمعنی الشرط الواحد المجرّد بخلاف الشرط الذی یرتبط بشرط آخر کالعقود، والشرط هو بمعنی العهد والالتزام والعقد ربطة وعقدة الالتزامین فیشمله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وقد ورد التعبیر عن العقود بالشروط کثیراً فی الروایات، وعنوانها لا یشمل الشروط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الروایة تصریح بأنّ العندیّة بمعنی القدرة علی الوفاء لا بمعنی الحضور وتصریح بأنّ القاعدة لا تختصّ بالعین الشخصیّة بل تشمل العین الکلّیة أیضاً، وأنّ المدار علی الوجدان لا علی الحضور، حیث أنّ الفرض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ولو کانت القاعدة مختصّة بالعین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بالاختصاص بینما 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لتوفّر القدرة علی الوفاء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الغریب أنّ عدّة من أعلام محقّقی محشّی المکاسب استشکلوا</w:t>
      </w:r>
    </w:p>
    <w:p>
      <w:pPr>
        <w:pStyle w:val="BookText"/>
        <w:rPr/>
      </w:pPr>
      <w:r>
        <w:rPr>
          <w:rFonts w:ascii="IRNazanin" w:hAnsi="IRNazanin" w:eastAsia="IRNazanin"/>
          <w:color w:val="111111"/>
          <w:sz w:val="28"/>
          <w:sz w:val="28"/>
          <w:szCs w:val="28"/>
          <w:rtl w:val="true"/>
          <w:lang w:bidi="fa-IR"/>
        </w:rPr>
        <w:t>بعدم عموم القاعدة للعین الکلّیة مع أنّ هذه الروایات واضحة الدلالة فی التعمیم، ولعلّ نظرهم إلی الباب الثامن الآتی، واستدلّ بعضهم علی التعمیم بروایة عامّیة وقع فی طریقها حکیم بن حزام وغیره، ولا حاجة إلیها بعد وجود مضمونها فی روایاتنا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بإسناده عن شعیب بن واقد والحسین بن زید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فی مناهی النبیّ صلی الله علیه و 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عن بیع ما لیس عندک، ونهی عن بیع وسلف</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المقدار من الروایات ثبت أنّ القاعدة شاملة للکلّی والشخصی، وأنّ المدار علی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عبد الرحمن بن الحجّاج الثانیة</w:t>
      </w:r>
      <w:r>
        <w:rPr>
          <w:rStyle w:val="FootnoteAnchor"/>
          <w:rtl w:val="true"/>
        </w:rPr>
        <w:footnoteReference w:id="55"/>
      </w:r>
      <w:r>
        <w:rPr>
          <w:rFonts w:ascii="IRNazanin" w:hAnsi="IRNazanin" w:eastAsia="IRNazanin"/>
          <w:color w:val="111111"/>
          <w:sz w:val="28"/>
          <w:sz w:val="28"/>
          <w:szCs w:val="28"/>
          <w:rtl w:val="true"/>
          <w:lang w:bidi="fa-IR"/>
        </w:rPr>
        <w:t>وروایات الباب الثامن الآتیة أیضاً کلّها نافیة للمعنی الرابع، وأنّ المدار لیس علی القدرة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تبیع الرجل المتاع لیس عندک تساومه ثمّ تشتری له نحو الذی طلب ثمّ توجبه علی نفسک ثمّ تبیعه منه بعد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کمورد للروایة تعریض بالعامّة؛ إذ المساومة لیست هی مبایعة ومواجبة، فهی تفسّر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العین الشخصیّة لا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منها أنّ المتاع الذی لیس فی ملک البائع الخاصّ الشخصی لا یصحّ بیعه، حیث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التحدید لا فی مقام بیان صحّة خصوص هذا المصداق والسکوت عن المصادیق الاخری، بل إنّ ذکر هذا المصداق هو لأجل نفی الطرق الاخری، أی إنّه إذا اشتری ثمّ باعه فلا بأس به بخلاف ما لو باعه ثمّ اشتراه، فلابدَّ من الشراء والتملّک أوّلًا ثمّ البیع، وإن کانت هناک قدرة عرفیّة علی الشیء قبل شرائه، فحیث أنّه غیر مملوک شرعاً فلا یصحّ بیعه، وبهذه الصحیحة ینفی المعنی الرابع فی مفاد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مغایرة بین الکلّی والشخصی؟ وأنّ الشخصی لابدَّ من تملّکه أوّلًا ثمّ یجوز بیعه وإن کانت قدرة عرفیّة علیه موجودة قبل التملّک فتشترط الملکیّة شرعاً فی بیع الشخصی بخلاف الکلّی، حیث یجوز بیعه فی الذمّة ثمّ یشتری مصداقه فیوفّی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مغایرة بینهما، بل فی الکلّی أیضاً لابدَّ من الملکیّة الشرعیّة والقدرة العرفیّة، غایة الأمر أنّ فی الکلّی لم یقع البیع علی المصداق، والحادث بعد الشراء هو الملکیّة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شرعاً للمصداق لا حدوث الملکیّة للکلّی؛ إذ کلّ شخص مالک لذمّته فی الکلّیات، والبائع ملّک ما فی ذمّة المشتری، أی ملّک ما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لابدَّ من القدرة علی ما فی الذمّة وهی متحقّقة بإمکان تحصیل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القاعدة متّحد فی الکلّی والشخصی ومأخوذ فیه کلّ من الملکیّة شرعاً والقدرة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فی الکلّی الملکیّة شرعاً باعتبار الذمّة التی هی تحت سلطنته تکویناً، فهی مملوکة له، ومن ثمّ نبّه فی صحیحة أبی الصباح وابن الحجّاج اللّتین موردهما بیع الکلّی علی لابدیّة القدرة العرفیّة، وأمّا فی روایات العین الشخصیّة فالقدرة حیث کانت مفروضة لوجود العین خارجاً 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قیدیّة الملکیّة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یأتینی یرید منّی طعاماً أو بیعاً نسیئاً ولیس عندی أ یصلح أن أبیعه إیّاه وأقطع له سعره، ثمّ اشتریه من مکان آخر فأدفعه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 الکلّی، وما دام الکلّی یقتدر علی تحصیل مصادیقه فلا بأس به، تعریضاً للمعنی المتوهّم عند العامّة من لزوم الحضور وأنّ الحضور لیس شرطاً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حدید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الرجل یطلب منّی المتاع بعشرة آلاف درهم أو أقلّ أو أکثر ولیس عندی إلّا ألف درهم، فاستعیره من جاری، فآخذ من ذا ومن ذا، فأبیعه ثمّ اشتریه منه أو آمر من یشتریه فأردّه علی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یجیء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هذا الثوب واربحک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إن شاء ترک وإن شاء أخذ؟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یحلّ الکلام ویحرّم الکلام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یردّ المعنی الرابع لأنّه قیّد وقوع البیع بما بعد تملیک العین الشخصیّة، ولم تتمّ مواجبة قبل وجدان البائع العین الشخصیّة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یأتینی ویطلب منّی بیعاً ولیس عندی ما یرید أن ابایعه به إلی السنة، أ یصلح لی أن اعدّه حتّی اشتری متاعاً فأبیعه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وإن کان موردها الکلّی ولکن إثبات الشیء لا ینفی ما عداه لکون السائل قد اقتصر علی خصوص هذا السؤال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أمر رجلًا یشتری له متاعاً فیشتریه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البیع بعد ما</w:t>
      </w:r>
    </w:p>
    <w:p>
      <w:pPr>
        <w:pStyle w:val="BookText"/>
        <w:rPr/>
      </w:pPr>
      <w:r>
        <w:rPr>
          <w:rFonts w:ascii="IRNazanin" w:hAnsi="IRNazanin" w:eastAsia="IRNazanin"/>
          <w:color w:val="111111"/>
          <w:sz w:val="28"/>
          <w:sz w:val="28"/>
          <w:szCs w:val="28"/>
          <w:rtl w:val="true"/>
          <w:lang w:bidi="fa-IR"/>
        </w:rPr>
        <w:t>یشتریه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یطلب بیع الحریر ولیس عندی منه شیء، فیقاولنی علیه واقاوله فی الربح والأجل حتّی نجتمع علی شیء ثمّ أذهب فاشتری له الحریر فأدعوه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وجد بیعاً هو أحبّ إلیه ممّا عندک أیستطیع أن ینصرف إلیه ویدعک</w:t>
      </w:r>
    </w:p>
    <w:p>
      <w:pPr>
        <w:pStyle w:val="BookText"/>
        <w:rPr/>
      </w:pPr>
      <w:r>
        <w:rPr>
          <w:rFonts w:ascii="IRNazanin" w:hAnsi="IRNazanin" w:eastAsia="IRNazanin"/>
          <w:color w:val="111111"/>
          <w:sz w:val="28"/>
          <w:sz w:val="28"/>
          <w:szCs w:val="28"/>
          <w:rtl w:val="true"/>
          <w:lang w:bidi="fa-IR"/>
        </w:rPr>
        <w:t>أو وجدت أنت ذلک أ تستطیع أن تنصرف إلیه وتدعه؟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أشتریه منک بنقد أو نسیئة، فابتاعه الرجل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إنّما یشتریه منه بعد ما یملکه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المتاع واربح فیه کذا وکذا،</w:t>
      </w:r>
    </w:p>
    <w:p>
      <w:pPr>
        <w:pStyle w:val="BookText"/>
        <w:rPr/>
      </w:pPr>
      <w:r>
        <w:rPr>
          <w:rFonts w:ascii="IRNazanin" w:hAnsi="IRNazanin" w:eastAsia="IRNazanin"/>
          <w:color w:val="111111"/>
          <w:sz w:val="28"/>
          <w:sz w:val="28"/>
          <w:szCs w:val="28"/>
          <w:rtl w:val="true"/>
          <w:lang w:bidi="fa-IR"/>
        </w:rPr>
        <w:t>فأُراوضه علی الشیء من الربح فنتراضی به، ثمّ انطلق فأشتری المتاع من أجله لو لا مکانه لم أرده، ثمّ آتیه به فأبیعه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بهذا بأساً لو هلک منه المتاع قبل أن تبیعه إیّاه کان من مالک، وهذا علیک بالخیار إن شاء اشتراه منک بعد ما تأتیه وإن شاء ردّه، فلست أری به بأساً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الحمید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نعالج هذه العینة، وربّما جاءنا الرجل یطلب البیع ولیس هو عندنا، فنساومه ونقاطعه علی سعره قبل أن نشتریه، ثمّ نشتری المتاع فنبیعه إیّاه بذلک السعر الذی نقاطعه علیه لا نزید شیئاً ولا ننقصه،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الخمس الأخیرة قد تقدّم بیان مفادها فی ذیل الروایات السابقة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کلّ هذه الروایات أنّ القاعدة ثابتة سنداً، وأنّ مفادها هو الاحتمال الأوّل الذی اختاره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المعنی الثالث الذی تمایل إلیه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لدلالة نفس الروایات، وأنّ التعبیر بالعندیّة فیها کنایة عن القدرة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فی کثیر من الروایات المصداق المنسبق من المعنی اللغوی، بل یراد منها مصداقه الأوسع أو الخفی أو الکنائی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التصوّر الحسّی هو الحضور المکانی، وأمّا فی عالم الاعتبار فهی بمعنی مطلق القدرة والوجدان، کما أنّ فی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ربّی لیس المراد منه المکان،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مطلق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ما ورد فی الباکر حیث یشترط فی صحّة العقد علیها رضی أبیها، وأکثر الفقهاء لا یذهبون فی معنی الباکر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لها بکارة وإن کان هو المنسبق من معناه اللغوی، وإنّما الباکرة هی التی لم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تزوّجت وإن لم یفضّها الزوج فتکون ثیّبة، فإن طلّقت ففی الزواج الثانی لا تحتاج إلی الإجازة، فالتی تری الزوج لا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العکس لو افتضّت بکارتها لمرض قبل الزواج، فإنّه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ونظیره کثیر فی عناوین الموضوعات فی الأحکام الواردة فی الروایات، فإنّه لا یراد بها المعنی المنسبق من اللغة، بل المراد بها المعنی الکنائی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ثبوت هذه القاعدة قد استدلّ الفقهاء بها علی لزوم القدرة علی التسلیم فی البیع فی ظرف الاشتراط، وقد تقدّم أنّ هذه القاعدة لیست مختصّة بالعین الشخصیّة، بل تعمّ العین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المفاسد لیست إرشاداً محضاً إلی البناء العقلائی، بل متضمّنة لتعبّد زائد، والوجه فی ذلک أنّ بین هذه القاعدة الشرعیّة والبناء العقلائی موارد اشتراک وافتراق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موارد الاشتراک والتطابق أنّ من لیس عنده بعض المبیع کمن لا یقتدر علیه أبداً عندهم، وأمّا موارد الافتراق فمنها من یستطیع تحصیل</w:t>
      </w:r>
    </w:p>
    <w:p>
      <w:pPr>
        <w:pStyle w:val="BookText"/>
        <w:rPr/>
      </w:pPr>
      <w:r>
        <w:rPr>
          <w:rFonts w:ascii="IRNazanin" w:hAnsi="IRNazanin" w:eastAsia="IRNazanin"/>
          <w:color w:val="111111"/>
          <w:sz w:val="28"/>
          <w:sz w:val="28"/>
          <w:szCs w:val="28"/>
          <w:rtl w:val="true"/>
          <w:lang w:bidi="fa-IR"/>
        </w:rPr>
        <w:t>المبیع فی ما بعد مدّة ولا یستطیع علیه الآن، کأن یبیع عشرة أکیال من 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یوجد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البناء العقلائی یعتبرونه مدیناً وبحسب القاعدة یعتبر البیع باطلًا، کما هو مفاد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وأمّا بیعه مؤجّلًا ونسیئة فلا بأس به؛ لأنّه قادر علی التسلیم، فالقاعدة مزیج من التأسیس التعبّدی والإمضاء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المضاربة عند جماعة، منهم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لیست علی مقتضی القاعدة لأنّها إمّا من باب تملیک ما لیس عنده أو التعلیق فی التملیک، وقد أشکل علیه بأنّ قاعدة لا تبع ما لیس عندک إشارة إلی البناء العقلائی ولیست زائدة علیه، ولیس فیها تأسیس جدید، ولکن مما بیّناه فی مفاد الروایات ظهر أنّ هذا الإشکال لیس فی محلّه، بعد فرض عموم القاعدة وشمولها لغیر البیع، وأنّ مضمون القاعدة لیس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أنجز الکلام فی الجهات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القاعدة للکلّی والشخصی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تعبّدیّة بمعنی التعدیل للبناء العقلائی لا أنّها تأسیس من رأس</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ذلک کان مقدّمة للبحث عن الجهة الخامسة، وهی تعمیم</w:t>
      </w:r>
    </w:p>
    <w:p>
      <w:pPr>
        <w:pStyle w:val="BookText"/>
        <w:rPr/>
      </w:pPr>
      <w:r>
        <w:rPr>
          <w:rFonts w:ascii="IRNazanin" w:hAnsi="IRNazanin" w:eastAsia="IRNazanin"/>
          <w:color w:val="111111"/>
          <w:sz w:val="28"/>
          <w:sz w:val="28"/>
          <w:szCs w:val="28"/>
          <w:rtl w:val="true"/>
          <w:lang w:bidi="fa-IR"/>
        </w:rPr>
        <w:t xml:space="preserve">القاعدة إلی غیر البیع، وأنّها تختصّ بالبیع أو تعمّ کلّ ما فیه التملیک؟ فالتعبیر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خصوص البیع أو مطلق التملیک؟ ونظیر هذا البحث عُقد فی قاعدة الغرر، حیث أنّ مدرکها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آله عن بیع الغرر، وأنّ النهی عن الغرر هل هو یعمّ کلّ العقود أو یخصّ البیع؟</w:t>
      </w:r>
    </w:p>
    <w:p>
      <w:pPr>
        <w:pStyle w:val="BookText"/>
        <w:rPr/>
      </w:pPr>
      <w:r>
        <w:rPr>
          <w:rFonts w:ascii="IRNazanin" w:hAnsi="IRNazanin" w:eastAsia="IRNazanin"/>
          <w:color w:val="111111"/>
          <w:sz w:val="28"/>
          <w:sz w:val="28"/>
          <w:szCs w:val="28"/>
          <w:rtl w:val="true"/>
          <w:lang w:bidi="fa-IR"/>
        </w:rPr>
        <w:t>قد یستظهر التعمیم کما تمایل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 إلی کثیر من کلمات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البیع، بل وفی کلّ المعاوضات، وإنّما بحثوها فی البیع وبنوا علیها فی غیره وذلک 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البیع بمعنی التملیک، وقد عرّف بذلک فی اللغة، غایة الأمر قیّد بتملیک الأعیان، فالبیع فی الحقیقة تملیک خاصّ، وهو الواقع علی العین، فمن هذه الجهة تشترک معه عدّة ماهیّات معاملیّة متضمّنة للتملیک الواقع علی العین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الصلح قد یقع علی عین یتضمّن التملیک، ولکنّه بالذات لیس تملیک‌العین، بل هو تسالم علی ملکیّة العین، فإذن البیع لیس شیئاً غیر التملیک، فالعبور عن النوع إلی الجنس لیس مستبعداً، فإذا کان البیع تملیک العین فهذا المعنی متحقّق فی بقیّة العقود وإن لم تکن بیعاً فالهبة تملیک عین بلا عوض، ولا بُعد فی إلغاء خصوصیّة کون التملیک بالعوض؛ لأنّ الوصف فی القاعدة یشعر بالعلّیّة وهو لزوم العندیّة، وهو مناسب لحیثیّة التملیک فی البیع الذی هو بمثابة الجنس لا الصورة النوعیّة لمجموع البیع، لا سیّما أنّ البیع فی مقابل الشراء یعرّف بتملیک العین من طرف والشراء</w:t>
      </w:r>
    </w:p>
    <w:p>
      <w:pPr>
        <w:pStyle w:val="BookText"/>
        <w:rPr/>
      </w:pPr>
      <w:r>
        <w:rPr>
          <w:rFonts w:ascii="IRNazanin" w:hAnsi="IRNazanin" w:eastAsia="IRNazanin"/>
          <w:color w:val="111111"/>
          <w:sz w:val="28"/>
          <w:sz w:val="28"/>
          <w:szCs w:val="28"/>
          <w:rtl w:val="true"/>
          <w:lang w:bidi="fa-IR"/>
        </w:rPr>
        <w:t xml:space="preserve">بتملّک العین بعوض، فشرطیّة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للتملیک المأخوذ فی البیع بمثابة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استعمل فی الروایات کثیراً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الإجارة، وذهب جماعة من الفقهاء، کالآخوند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الإجارة أیضاً تملیک عین علی وجه مخصوص، أی لینتفع بها فقط لا لینقلها أو لیبقیها کالبیع فی قبال التعریف الآخر فی الإجارة بأنّها تملیک المنفعة، والاستشهاد یتمّ علی کلا القولین، فالإجارة إمّا بیع خاصّ أو تملیک المنفعة، وقد استعمل لفظ البیع فیها، فإنّ البیع یکون کنایة عن التملیک فی الثانی واستعماله حقیقی علی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عنوان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إمّا بمعنی ما لیس بمالک شرعاً، أو ما هو غیر قادر علی تسلیمه، ولیس فی ذلک نفی کون البیع هو أبرز طرق التملیک وأقواها، فإنّه قطع رقبة العین کاملًا، بل المراد أنّ البیع وإن کانت له خصوصیّة وأهمّیة بالنسبة إلی غیره، ولکنّ الظاهر من الروایات أنّ مدار النهی عن البیع لکونه غیر مالک شرعاً أو غیر قادر علی تسلیمه، وأنّ حکمة النهی لا علّته هی قطع النزاع بالضمان القانونی من نفس شرائط المعاوضة لتأمین الوفاء بالعوض؛ إذ القواعد الشرعیّة الواردة فی المعاملات لیست تعبّدیّة محضة</w:t>
      </w:r>
      <w:r>
        <w:rPr>
          <w:rStyle w:val="FootnoteAnchor"/>
          <w:rtl w:val="true"/>
        </w:rPr>
        <w:footnoteReference w:id="66"/>
      </w:r>
      <w:r>
        <w:rPr>
          <w:rFonts w:ascii="IRNazanin" w:hAnsi="IRNazanin" w:eastAsia="IRNazanin"/>
          <w:color w:val="111111"/>
          <w:sz w:val="28"/>
          <w:sz w:val="28"/>
          <w:szCs w:val="28"/>
          <w:rtl w:val="true"/>
          <w:lang w:bidi="fa-IR"/>
        </w:rPr>
        <w:t>، وإنّما هی قواعد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مزیجة بالإمضاء، فهی معلومة الحکمة والملاک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الحکمة قد تکون قرینة حالیّة لنفس الدلیل الوارد بشکل معتدّ به، فلیس</w:t>
      </w:r>
    </w:p>
    <w:p>
      <w:pPr>
        <w:pStyle w:val="BookText"/>
        <w:rPr/>
      </w:pPr>
      <w:r>
        <w:rPr>
          <w:rFonts w:ascii="IRNazanin" w:hAnsi="IRNazanin" w:eastAsia="IRNazanin"/>
          <w:color w:val="111111"/>
          <w:sz w:val="28"/>
          <w:sz w:val="28"/>
          <w:szCs w:val="28"/>
          <w:rtl w:val="true"/>
          <w:lang w:bidi="fa-IR"/>
        </w:rPr>
        <w:t>من القیاس أو المجازفة ولا من التخرّص دعوی التعمیم، ویدلّل علی هذه القرینة فی الروایات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وفّاه الذی اشترط علیه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علی الذی 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القدرة،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تبیع ما لا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هذه التعابیر مشعرة بالتعلیل والتعمیم، فدعواه غیر بعیدة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هذه القاعدة فی الجملة عقلائیّة فی حدود عدم القدرة العرفیّة، فإنّهم لا یعتدّون بتملیک ما لا قدرة علیه أو علی الوفاء به، فلا یعتبرون المعاوضة موجودة حینئذٍ ووجود المعاملة فی اعتبار العقلاء موضوع أدلّة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مفاد القاعدة الشرطیّة فی الصحّة التأهّلیّة للبیع والمعاملات أو فی الصحّة الفعلیّة؟</w:t>
      </w:r>
    </w:p>
    <w:p>
      <w:pPr>
        <w:pStyle w:val="BookText"/>
        <w:rPr/>
      </w:pPr>
      <w:r>
        <w:rPr>
          <w:rFonts w:ascii="IRNazanin" w:hAnsi="IRNazanin" w:eastAsia="IRNazanin"/>
          <w:color w:val="111111"/>
          <w:sz w:val="28"/>
          <w:sz w:val="28"/>
          <w:szCs w:val="28"/>
          <w:rtl w:val="true"/>
          <w:lang w:bidi="fa-IR"/>
        </w:rPr>
        <w:t>قد استدلّ بهذه القاعدة وأدلّة اخری علی اشتراط القدرة علی التسلیم فی ظرفه لا فی ظرف البیع، ومن عمدة ما استدلّ به علی ذلک قاعدة نفی الغرر عن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من شرائط صحّة العقد نفی الغرر والشرط المزبور نفی للغرر، ومقتضی ذلک أنّ الشرط المزبور لیس شرطاً للصحّة الفعلیّة فقط، بل هو مفسد للبیع؛ إذ البیع الغرری لا یمکن تصحیحه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فی البیوع والمعاملات نمطان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لابدَّ أن تقع کی یصحّ البیع، فلو أوقع من دونها یکون فیه تأهّل الصحّة دون الصحّة الفعلیّة، فیقال عن تلک الشروط شروط الصحّة الفعلیّة، أی شروط فعلیّة صحّة البیع لا شروط أصل ماهیّة البیع،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فی الهبة أو الرهن أو القرض، لو انشئ العقد فیها من دون قبض لا یکون صحیحاً فعلًا، ولکنّه</w:t>
      </w:r>
    </w:p>
    <w:p>
      <w:pPr>
        <w:pStyle w:val="BookText"/>
        <w:rPr/>
      </w:pPr>
      <w:r>
        <w:rPr>
          <w:rFonts w:ascii="IRNazanin" w:hAnsi="IRNazanin" w:eastAsia="IRNazanin"/>
          <w:color w:val="111111"/>
          <w:sz w:val="28"/>
          <w:sz w:val="28"/>
          <w:szCs w:val="28"/>
          <w:rtl w:val="true"/>
          <w:lang w:bidi="fa-IR"/>
        </w:rPr>
        <w:t>قابل للتصحیح إذا انضمّ إلیه القبض بخلاف ما لو أوقع البیع علی عین مجهولة لا یمکن تصحیحه ولو حصل العلم بمواصفات العین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الشروط یقال هی شروط لتأهّلیّة البیع، فضلًا عن الصحّة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شروط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الشروط شروط وجود البیع، والشروط المأخوذة فی تأهّلیّة البیع لا یمکن فیها فرض تبدّل الحال إذا لم یقع البیع واجداً لها خالیاً عن الموانع من ذلک النمط، فلابدَّ من إنشاء بیع آخر جدید وبیع الغرر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الغرر لیس من موانع أصل الصحّة التأهّلیّة للبیع، بل عدمه من شرائط الوجود الفعلی، لکنّ القائل به شاذّ، 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إنّها من شروط الوجود، والآخر إنّها من شروط الصحّة التأهّلیّة، فلو باع ما لیس عنده فلا یصحّ البیع، ولو ذهب واشتراه وصار عنده فلابدَّ من تجدید البیع بخلاف من یقول إنّها من شرائط الوجود نظیر القبض فی الهبة لو لم یتحقّق ثمّ وجد، فحینئذٍ لا مانع من الصحّة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الشروط التأهّلیّة لا من الشروط الوجودیّة، وإن ذهب الشیخ الانصاری إلی کونه من الشروط الوجودیّة، واستشهد بموارد متعدّدة صحّح البیع فیها مع کون البیع حین الإنشاء غیر متوفّر علی هذا الشرط، ولم یکن عند البائع ثمّ بعد ذلک وجد فصحّح البیع، ولکنّ الصحیح أنّه من الشروط التأهّلیّة ووجهه أنّه لو کان من قبیل شروط الوجود لکان علی مقتضی القاعدة أن یصحّ إذا وجد، فکان من اللازم</w:t>
      </w:r>
    </w:p>
    <w:p>
      <w:pPr>
        <w:pStyle w:val="BookText"/>
        <w:rPr/>
      </w:pPr>
      <w:r>
        <w:rPr>
          <w:rFonts w:ascii="IRNazanin" w:hAnsi="IRNazanin" w:eastAsia="IRNazanin"/>
          <w:color w:val="111111"/>
          <w:sz w:val="28"/>
          <w:sz w:val="28"/>
          <w:szCs w:val="28"/>
          <w:rtl w:val="true"/>
          <w:lang w:bidi="fa-IR"/>
        </w:rPr>
        <w:t>تنبیهه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بینما إطلاق النهی فی الروایات مفاده خلاف ذلک نظیر ما فی 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تبیع الرجل المتاع لیس عندک تساومه ثمّ تشتری له نحو الذی طلب ثمّ توجبه علی نفسک ثمّ تبیعه منه بعد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من الشروط التأهّلیّة لتعیّن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بعته قبل أن تشتری ثمّ اشتریته فقد وجب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البیع بما إذا أنشأه بعد الحصول علی المبیع، فقصر وقوع البیع وإنشاؤه علی ما بعد حصوله علی الشراء ظاهر فی أنّ الإنشاء السابق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أمر رجلًا یشتری له متاعاً فیشتریه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البیع بعد ما یشتریه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یستظهر منها إرادة البیع الفعلی، ولکن تقیید وقوع البیع بذلک لا أصل ماهیّة البیع خلاف الظاهر، والمنساق الأوّلی هو أنّ ماهیّة البیع لا تُنشأ ولا توجب إلّا بعد ما یشتری، ولو رفعنا الید عن ذلک فهی مردّدة بین وجهین، فتکون مجملة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 لی متاعاً لعلّی أشتریه منک بنقد أو نسیئة، فابتاعه</w:t>
      </w:r>
    </w:p>
    <w:p>
      <w:pPr>
        <w:pStyle w:val="BookText"/>
        <w:rPr/>
      </w:pPr>
      <w:r>
        <w:rPr>
          <w:rFonts w:ascii="IRNazanin" w:hAnsi="IRNazanin" w:eastAsia="IRNazanin"/>
          <w:color w:val="111111"/>
          <w:sz w:val="28"/>
          <w:sz w:val="28"/>
          <w:szCs w:val="28"/>
          <w:rtl w:val="true"/>
          <w:lang w:bidi="fa-IR"/>
        </w:rPr>
        <w:t>الرجل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إنّما یشتریه منه بعد ما یملکه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ینشئ الشراء بعد ما یملکه لا أنّ وقوع البیع الفعلی وتمامه بعد ما یملکه، ولا هی فی صدد تصحیح التملّک البَعدی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العینة،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المتاع واربح فیه کذا وکذا، فأُراوضه علی الشیء من الربح، فنتراضی به، ثمّ انطلق فأشتری المتاع من أجله لو لا مکانه لم أرده، ثمّ آتیه به فأبیعه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بهذا بأساً لو هلک منه المتاع قبل أن تبیعه إیّاه کان من مالک، وهذا</w:t>
      </w:r>
    </w:p>
    <w:p>
      <w:pPr>
        <w:pStyle w:val="BookText"/>
        <w:rPr/>
      </w:pPr>
      <w:r>
        <w:rPr>
          <w:rFonts w:ascii="IRNazanin" w:hAnsi="IRNazanin" w:eastAsia="IRNazanin"/>
          <w:color w:val="111111"/>
          <w:sz w:val="28"/>
          <w:sz w:val="28"/>
          <w:szCs w:val="28"/>
          <w:rtl w:val="true"/>
          <w:lang w:bidi="fa-IR"/>
        </w:rPr>
        <w:t>علیک بالخیار إن شاء اشتراه منک بعد ما تأتیه وإن شاء ردّه، فلست أری به بأساً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إنشاء الشراء والبیع بعد التملّک، ولیس هو تصحیح للبیع السابق، فلو کان البیع صحیحاً تأهّلیاً وبمجرّد تحقّق الشرط یصحّ فعلًا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البیع بعد تحقّق الشرط وهو العندیّة، بینما مفاد الروایة هو تأکیده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الإنشاء مرّة اخری، وأنّ الإنشاء السابق بعد تحقّق العندیّة لا یواجب البیع، والحاصل أنّ هذه الروایات صریحة فی أنّه من قبیل</w:t>
      </w:r>
    </w:p>
    <w:p>
      <w:pPr>
        <w:pStyle w:val="BookText"/>
        <w:rPr/>
      </w:pPr>
      <w:r>
        <w:rPr>
          <w:rFonts w:ascii="IRNazanin" w:hAnsi="IRNazanin" w:eastAsia="IRNazanin"/>
          <w:color w:val="111111"/>
          <w:sz w:val="28"/>
          <w:sz w:val="28"/>
          <w:szCs w:val="28"/>
          <w:rtl w:val="true"/>
          <w:lang w:bidi="fa-IR"/>
        </w:rPr>
        <w:t>الشروط التأهّلیّة، ولیس من قبیل شروط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اختاره فی المکاسب بموارد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البعید أن یکون خروج تلک الموارد بالتخصیص، فإنّها عدیدة، فمن الأوْلی تفسیر القاعدة بأنّها من قبیل شروط الوجود والوقوع لا أصل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الایروانی بأنّ خروج بعض الموارد لا یکون دالّاً علی کونه من قبیل التخصیص أو التخصّص؟ إذ علی تقدیر کون الشرط بمعنی شرط الوجود فتکون صحّة تلک الموارد التی حصل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الإنشاء علی طبق القاعدة، وإذا کان من شروط الماهیّة فیکون خروجاً عن القاعدة وتخصیصاً ولا دلالة للعموم علی أحدهما لما هو مقرّر من أنّ خروج الخاصّ عن العام لا یکون قرینة علی تعیین مفاد العامّ، فالاستشهاد بهذه الموارد علی کون الشرط شرط الوقوع والوجود لیس فی محلّه، بل یجب تحریر ظهور روایات القاعدة فی نفسه، فإن کانت ظاهرة فی الشرط التأهّلی فتلک الموارد من باب التخصیص، وإن لم تکن ظاهرة فقد تکون تلک الموارد قرینة علی أصل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کنّا نحن ومجرّد العموم النبوی، فتلک الموارد إمّا قرینة أو تخصیص، فلیست متعیّنة فی القرینیّة، فضلًا عن وجود الروایات الآتیة والمتقدّمة الدالّة علی الثانی فلا مجال للتردید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یقال من أنّ ظهور الموانع یغایر ظهور الشرائط الوجودیّة، حیث أنّ الشرائط محتملة لأن تکون لأصل الماهیّة التأهّلیّة أو لشرائط الوجود بخلاف الموانع، فإنّ المنسبق منها أنّها من الشرائط التأهّلیة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معنی المانعیّة هو الإبطال، وکونه مبطلًا لا أنّه حاجز عن وجود البیع فقط، بل عادم للصحّة التأهّلیّة</w:t>
      </w:r>
      <w:r>
        <w:rPr>
          <w:rFonts w:eastAsia="IRNazanin" w:cs="IRNazanin"/>
          <w:color w:val="111111"/>
          <w:sz w:val="28"/>
          <w:szCs w:val="28"/>
          <w:rtl w:val="true"/>
          <w:lang w:bidi="fa-IR"/>
        </w:rPr>
        <w:t>.</w:t>
      </w:r>
      <w:bookmarkStart w:id="48" w:name="pg13695_150626"/>
    </w:p>
    <w:p>
      <w:pPr>
        <w:pStyle w:val="Heading3"/>
        <w:numPr>
          <w:ilvl w:val="2"/>
          <w:numId w:val="1"/>
        </w:numPr>
        <w:rPr/>
      </w:pPr>
      <w:bookmarkStart w:id="49" w:name="__RefHeading___Toc983763_1468164448"/>
      <w:bookmarkStart w:id="50" w:name="_Toc18"/>
      <w:bookmarkEnd w:id="48"/>
      <w:bookmarkEnd w:id="49"/>
      <w:r>
        <w:rPr>
          <w:rtl w:val="true"/>
        </w:rPr>
        <w:t>الرجوع إلی الأخبار</w:t>
      </w:r>
      <w:r>
        <w:rPr>
          <w:rtl w:val="true"/>
        </w:rPr>
        <w:t>:</w:t>
      </w:r>
      <w:bookmarkEnd w:id="50"/>
    </w:p>
    <w:p>
      <w:pPr>
        <w:pStyle w:val="BookText"/>
        <w:rPr/>
      </w:pPr>
      <w:r>
        <w:rPr>
          <w:rFonts w:ascii="IRNazanin" w:hAnsi="IRNazanin" w:eastAsia="IRNazanin"/>
          <w:color w:val="111111"/>
          <w:sz w:val="28"/>
          <w:sz w:val="28"/>
          <w:szCs w:val="28"/>
          <w:rtl w:val="true"/>
          <w:lang w:bidi="fa-IR"/>
        </w:rPr>
        <w:t>ففی أبواب مقدّمات الطلاق نهی عن نوع من الطلاق، وهو إیقاع الفُرقة قبل موضوعه، وهو الزوجیّة، فإذا طلّق امرأة قبل نکاحها ثمّ نکحها فلا ینفذ طلاقه السابق کما ورد فی الأخبار، سواء علّق علی النکاح أم لم یعلّق، وفی ذیلها أیضاً حکم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عتق إلّا بعد الملک، باعتبار أنّ العتق أحد التصرّفات فی الملک فلا یصحّ إذا أعتق عبداً لا یملکه ثمّ اشتراه ولا ینفذ عتقه السابق الذی هو أحد التصرّفات فی الملک، کما فی بیع ما لیس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الروایات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إلّا فی ملک، وأنّه لو تصدّق بشیء ثمّ اشتراه فلا تنفذ صدقته السابقة، والصدقة نوع تملیک وتصرّف فی الشیء ولا یصحّ إلّا بعد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مفاد الروایات نفی فعلیّة العتق والطلاق والصدقة، بل فی مقام نفی فعلیّة الإنشاء السابق بعد تحقّق الملک والنکاح، وأنّه لا اعتداد بذلک الإنشاء فیکون الملک من شروط الصحّة لا من شروط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فإنشاء المعدوم قبل وجود موضوعه معلّقاً علی وجود الموضوع باطل لا من جهة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قاعدة التعلیق تقتضی البطلان فی ما کان المعلّق علیه لیس من شروط الصحّة، وأمّا إذا علّق علی أشیاء هی من شروط الصحّة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تعبّدیّة اخری، ومن تلک الروایات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سُئل عن 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امراة أتزوّجها ما عاشت امّی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بعد نکاح، ولا عتق إلّا بعد الملک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 فلانة فهی طالق، وإن اشتریت فلاناً فهو حرّ، وإن اشتریت هذا الثوب فهو فی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یطلّق إلّا ما یملک، ولا یعتق إلّا ما یملک، ولا یصدّق إلّا ما یملک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قرواش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قبل نکاح، ولا عتق قبل ملک، ولا یُتْم بعد إدراک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أتزوّج فلانة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إنّه لا یکون طلاق حتّی یملک عقدة النکاح</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لمن لا ینکح، ولا عتاق لمن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وضع یده علی رأسها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معمّر بن یحیی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سمع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الرجل إلّا ما ملک، ولا یعتق إلّا ما ملک، ولا یتصدّق إلّا بما ملک</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الروایات نافیة لفعلیّة الطلاق والعتاق والصدقة السابقة علی الزواج والملک بعدهما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قبل نکاح، ولا عتق قبل ملک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اشتریت فلاناً فهو حرّ، وإن اشتریت هذا الثوب فهو صدقة، وإن نکحت فلانة فهی طالق،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بشیء</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طلاق قبل نکاح، ولا عتق قبل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نهی عن ربح ما لم یضمن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المعاملة علیه، سواء کانت بیعاً أم جعالة، فتملیک هذا الربح الذی لم یضمن بأیّ عنوان معاوضی ممنوع، باعتبار أنّ الربح الذی لا یضمن هو مال لکنّه معدوم، وحیث أنّ حذف المتعلّق یفید العموم، فمفاد الروایة النهی عن مطلق المعاملة علی مطلق ما لا یمکن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صلی الله علیه و آله رجلًا من أصحابه والیاً،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بعثتک إلی 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فانههم عن بیع ما لم یقبض، وعن شرطین فی بیع وعن ربح ما لم یضمن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عن رجل یقول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المتاع علی أن تجعل لی فی کلّ ثوب أشتریه منک کذا وکذا، وإنّما یشتری للنّاس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ربحاً علی أن أشتری منک، فکرهه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الذی علّقت علیه الجعالة، والربح هو الجعل، ولیس مملوکاً قبل الجعالة؛ لأنّه ربح الشراء، والکراهة تستعمل فی</w:t>
      </w:r>
    </w:p>
    <w:p>
      <w:pPr>
        <w:pStyle w:val="BookText"/>
        <w:rPr/>
      </w:pPr>
      <w:r>
        <w:rPr>
          <w:rFonts w:ascii="IRNazanin" w:hAnsi="IRNazanin" w:eastAsia="IRNazanin"/>
          <w:color w:val="111111"/>
          <w:sz w:val="28"/>
          <w:sz w:val="28"/>
          <w:szCs w:val="28"/>
          <w:rtl w:val="true"/>
          <w:lang w:bidi="fa-IR"/>
        </w:rPr>
        <w:t>الحرمة، إلّا أن تأتی قرینة تدلّ علی الترخیص، وهذا المورد أحد مصادیق النهی عن ربح ما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التأمّل فی ذلک بأنّ الربح مقدور حین لزوم الأداء والتملیک إنّما تعلّق بالکلّی، فلیس الربح غیر مضمون فی المقام، نظیر ما ورد من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بعشرة فما زاد فهو لک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فلعلّ وجه الکراهة فی الروایة غیر ما نحن فیه، وهو صدق التحایل عرفاً من المشتری الدلّال الوسیط للمشتری الحقیقی الا ان یراد الجعل من مقدار الربح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المناهی، عن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مناهی النبیّ صلی الله علیه و آله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بیع ما لم یضمن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وإن کانت ضعیفة لشعیب بن واقد ، إلّا أنّ تضمّنها لمناهی جامعة کلّیة معمول بها فی الأبواب ممّا یعطیها الوثوق بالصدور بالاعتضاد مع روایات اخر، حیث إنّ مضمونها موجود فی کثیر من الروایات، فتصیر حجّة معاضدة ومؤیّدة لا مستقلّة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امکان استحسان حال الحسین بن زید لانه اما علوی فهو ثقة علی الارجح او صاحب کتاب وهو محسن لم یضعف وکذا الحال فی شعیب بلحاظ مضامین ما روی ولو فرض انه 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فی صدد توسعة القاعدة لکلّ إنشاء علی موضوع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خصوص الملک والمعاوضة علیه، بیعاً کانت أو صالحاً أو إجارة أو جعالة، لیس الملک من شرائط الوجود، بل هو من شرائط الصحّة التأهّلیّة خلافاً لظاهر کلام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لو بنینا علی ظاهر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شرائط الوجود لا شرائط الصحّة التأهّلیّة فلا ضیر فی ما جملة من الابحاث نظیر منع صحة المضاربة أو التملیک الذی فی ضمن الشروط؛ إذ لیس المدّعی هو فسادهما من رأس کما فی الخلل فی شرائط الصحّة التأهّلیّة، بل المطلوب إثبات عدم الصحّة الفعلیّة لتضمّنهما تملیک الشیء المعدوم، وهذا یتمّ لو قلنا بمقالة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فیهما تملیک للربح الذی لم یظهر، کما هو الحال فی الودائع البنکیّة، فلا یکون ذلک العقد فی الحیل المزبورة مشمولة ل أَوْفُوا بِالْعُقُودِ ، ویستطیع المتعاقد حینئذٍ أن یرجع أی وقت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بعد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عبرة بالإنشاء السابق أصلًا کما هو تقریب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الفضولی وشرط القدرة علی التسلیم ذکر روایات فی ذلک الصدد وبحث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شرط الوجود أو شرط الصحّة التأهّلیّة؟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لا تدلّ علی بطلان بیع الفضولی لو باع ما لیس له ثمّ ملکه ثمّ 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لا یتناسب مع شرط الوجود؛ لأنّ شرط الوجود بعد تحقّقه لا تحتاج المعاملة إلی الإجازة، فإنّه بمجرّد حصول</w:t>
      </w:r>
    </w:p>
    <w:p>
      <w:pPr>
        <w:pStyle w:val="BookText"/>
        <w:rPr/>
      </w:pPr>
      <w:r>
        <w:rPr>
          <w:rFonts w:ascii="IRNazanin" w:hAnsi="IRNazanin" w:eastAsia="IRNazanin"/>
          <w:color w:val="111111"/>
          <w:sz w:val="28"/>
          <w:sz w:val="28"/>
          <w:szCs w:val="28"/>
          <w:rtl w:val="true"/>
          <w:lang w:bidi="fa-IR"/>
        </w:rPr>
        <w:t>الشرط تتحقّق الفعلیّة بالإنشاء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یتناسب مع شرط الصحّة التأهّلیة؛ إذ فی موارد شروط الصحّة التأهّلیة لابدَّ من الإجازة؛ لأنّ الإجازة بمنزلة إنشاء جدید أو رضی إنشائی جدید بإنشاء سابق، والإنشاء لا یفسد من حیث هو تکلّم وتلفّظ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شرط الوجود لما بنی فی بیع الفضولی علی لزوم الإجازة لمن باع شیئاً لیس له ثمّ ملکه، فلو کان الملک الفعلی شرط الوجود، کما فی القبض فی الرهن أو فی الهبة، فبعد أن یقبض لا حاجة إلی الإجازة، فما التزم به هناک شاهد علی کون مراده شرط الماهیّة، وأنّ عبارته موهمة لغیر ذلک، ولزیادة التوضیح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العقد ثلاثة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شرائط صحّة ما یتلفّظ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الإنشاء فی نفسه کإنشاء لا کمنشئ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ومرحلة شرائط الصحّة التأهّلیّة للمنشأ ومرحلة شرائط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تلک الأخبار لا تفید کون الملک من شرائط صحّة الإنشاء مثل العربیّة کما اشترطت فی الطلاق وإنّما هو من شرائط المنشأ، والأمر فیه سهل بلحاظ الإجازة المتعقّبة، وهما بخلاف شرائط الوجود، فإنّها بعد انوجادها لا تحتاج إلی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تحقیق مرام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أنّ القاعدة عامّة ببرکة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ربح ما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فتملیک المعدوم فاسد، والإنشاء علی الموضوع المعدوم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الموارد التی ذکرها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صحّح فیها البیع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الرهن ما یملکه بعد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وبیع العبد الجانی عمداً، وبیع المحجور هی غیر ما نحن فیه؛ لأنّ فی تلک الموارد الملک فعلیّ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هذه الملکیّة متعلّقة بحقّ الغیر، اللهمّ إلّا أن یفسّر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حینئذٍ من إجازة ذی الحقّ من باب تقدیم أدلّة حقّ المجنی علیه أو حقّ المرتهن علی أدلّة</w:t>
      </w:r>
    </w:p>
    <w:p>
      <w:pPr>
        <w:pStyle w:val="BookText"/>
        <w:rPr/>
      </w:pPr>
      <w:r>
        <w:rPr>
          <w:rFonts w:ascii="IRNazanin" w:hAnsi="IRNazanin" w:eastAsia="IRNazanin"/>
          <w:color w:val="111111"/>
          <w:sz w:val="28"/>
          <w:sz w:val="28"/>
          <w:szCs w:val="28"/>
          <w:rtl w:val="true"/>
          <w:lang w:bidi="fa-IR"/>
        </w:rPr>
        <w:t>صحّة البیع أو نفوذ سلطنته، فهذه الموارد لیست من أمثال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 من صحّة البیع لیس من باب ما لیس عنده، بل من باب تقدیم أدلّة حقّ الجنایة وأدلّة بقیّة العقود علی أدلّة صحّة نفوذ البیع أو سلطنة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هذه الموارد لیست منصوصة کی یفترض أنّ الخلل فیها هو من ناحیة شرط ما لیس عنده، بل لأجل أدلّة تلک الحقوق المانعة عن نفوذ البیع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إنّ تصحیح البیع فی تلک الموارد لدی الأصحاب بعد إجازة ذی الحقّ قرینة علی مفاد القاعدة، فافهم، فإنّ أدلّة تلک الحقوق غایة ما یستفاد من مانعیّتها أنّها مانعة عن فعلیّة البیع لا عن صحّته التأهّلیّة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إشکال فیه أنّ بین المفادین اختلافاً بنحو العموم من وجه، فإنّه لو باع مبیعاً موجوداً عنده لکن من دون أن یذکر أوصافه فی البیع، فلا</w:t>
      </w:r>
    </w:p>
    <w:p>
      <w:pPr>
        <w:pStyle w:val="BookText"/>
        <w:rPr/>
      </w:pPr>
      <w:r>
        <w:rPr>
          <w:rFonts w:ascii="IRNazanin" w:hAnsi="IRNazanin" w:eastAsia="IRNazanin"/>
          <w:color w:val="111111"/>
          <w:sz w:val="28"/>
          <w:sz w:val="28"/>
          <w:szCs w:val="28"/>
          <w:rtl w:val="true"/>
          <w:lang w:bidi="fa-IR"/>
        </w:rPr>
        <w:t xml:space="preserve">یکون مورداً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مورد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باع العین الشخصیّة التی هی متوفّرة فی السوق بکثرة ولم یبع العین بنحو الکلّی، وإنّما باع عیناً شخصیّة لجاره یوجد فی السوق مثیلاتها، فإنّها مثلی یوجد أمثاله، والبیع وإن کان شخصیّاً إلّا أنّه لو لم یستطع توفیره لما کان عند المشتری منازعة بأداء بدله المثلی، فهاهنا لیس البیع غرریاً لکنّه بیع ما لیس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موارد للتصادق کما لو باع عیناً شخصیّة لا یکون فی السوق مثیلها موجوداً، فالمبیع قیمی لا مثلی، ولا یستطیع أن یوفّرها، فهاهنا غرر وعدم العندیّة، ویبطل البیع من احد الزاویتین غیر الزاویة الاخری، والأعلام فی شرط القدرة علی التسلیم استدلّوا بهذین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رفعنا الید عن خصوصیّة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أمکننا الاستعانة لمنع صحّة بین المعدوم بقاعدة نهی النبیّ صلی الله علیه و آله عن الغرر، ولا یخفی أنّ نهی النبیّ عن بیع الغرر قد رواه الصدوق بأسانید متعدّدة فی عیون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النهی عن الغرر فی مطلق المعاملة فلم یثبت، إلّا أنّه قد ذکر أنّ هذه القاعدة عقلائیّة، ولذلک عمّمناها إلی المعاوضات الاخری، فلو بنی علی عدم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البیع یمکن الاستعانة بقاعدة منع الغرر بناءً علی أنّها عامّة کما هو الصحیح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القاعدة</w:t>
      </w:r>
      <w:r>
        <w:rPr>
          <w:rFonts w:eastAsia="IRNazanin" w:cs="IRNazanin"/>
          <w:color w:val="111111"/>
          <w:sz w:val="28"/>
          <w:szCs w:val="28"/>
          <w:rtl w:val="true"/>
          <w:lang w:bidi="fa-IR"/>
        </w:rPr>
        <w:t>.</w:t>
      </w:r>
      <w:bookmarkStart w:id="51" w:name="pg13695_150635"/>
    </w:p>
    <w:p>
      <w:pPr>
        <w:pStyle w:val="Heading2"/>
        <w:numPr>
          <w:ilvl w:val="1"/>
          <w:numId w:val="1"/>
        </w:numPr>
        <w:rPr/>
      </w:pPr>
      <w:bookmarkStart w:id="52" w:name="__RefHeading___Toc983765_1468164448"/>
      <w:bookmarkStart w:id="53" w:name="_Toc19"/>
      <w:bookmarkEnd w:id="51"/>
      <w:bookmarkEnd w:id="52"/>
      <w:r>
        <w:rPr>
          <w:rtl w:val="true"/>
        </w:rPr>
        <w:t xml:space="preserve">قاعدة </w:t>
      </w:r>
      <w:r>
        <w:rPr>
          <w:rtl w:val="true"/>
        </w:rPr>
        <w:t>:</w:t>
      </w:r>
      <w:r>
        <w:rPr>
          <w:rtl w:val="true"/>
        </w:rPr>
        <w:t>عمد الصبی خطأ</w:t>
      </w:r>
      <w:bookmarkEnd w:id="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983767_1468164448"/>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عمد الصبی خطأ</w:t>
      </w:r>
    </w:p>
    <w:p>
      <w:pPr>
        <w:pStyle w:val="BookText"/>
        <w:rPr/>
      </w:pPr>
      <w:r>
        <w:rPr>
          <w:rFonts w:ascii="IRNazanin" w:hAnsi="IRNazanin" w:eastAsia="IRNazanin"/>
          <w:color w:val="111111"/>
          <w:sz w:val="28"/>
          <w:sz w:val="28"/>
          <w:szCs w:val="28"/>
          <w:rtl w:val="true"/>
          <w:lang w:bidi="fa-IR"/>
        </w:rPr>
        <w:t>یقع الکلام تارة بحسب مقتضی القاعدة فی کلّ من الصبی الممیّز وغیر الممیّز واخری بحسب 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بحسب مقتضی القاعدة فمضافا إلی ما تقدّم فی النقاط الستّ فی قاعدة اذن الولی فی حج الصبی لابدَّ من الالتفات إلی نقاط اخر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مثل الکفّارات فی غالب تروک الاحرام مترتّبة علی الإتیان العمدی فلابدَّ من البحث عن وجود عمد الصبی فی أفعاله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 نسبة فی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تحقّق العمد من الصبی ما لم یبلغ، وذهب الشیخ وجماعة بتحدید ذلک بعشر سنین لا بالبلوغ وأنّه حینئذ تقام علیه الحدود ویقتصّ منه واستند فی نفی العمد عنه إلی ما ورد فی الروایات المعتبرة من أنّه 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محمّد بن مسلم</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ذیّل هذا العموم فی بعض تلک الروایات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ومن ثمّ نفوا عنه الإرادة وحکموا بسلب عبارته فی مطلق الانشائیات من العقود والایقاعات وتحریر الحال فی مفاد هذا الحدیث الذی هو کالقاعدة أنّ مفاده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من سلب الإرادة والعبارة وأنّه کالبهیمة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سلب الإرادة مطلقا، بل قصورها وکونها بمنزلة الإرادة الخطائیة، ففی الموارد التی یترتّب الأثر علی خصوص الإرادة القویة العمدیة لا یترتّب علی إرادته فکان إرادته من باب الاشتباه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إرادته العمدیة منزلة الإرادة الخطائیة فیما کان لکلّ من العمد والخطأ أثر، سواء فی باب الدیات وغیره، فهذا التنزیل لا یعمّ الموارد التی یکون الأثر مختصّا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تعبّد خاصّ فی خصوص الدیات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من هذه الوجوه هو الثانی وذلک لأنّه لو ارید من هذا الحدیث سلب إرادة الصبی مطلقا کی یعمّ حتی انشائیاته وعبارته لما استند القتل إلیه ولو خطأ ولما حملت العاقلة الدیة؛ لأنّ الفعل لا یستند إلّا بالإرادة أیّا ما کان من أقسام الفعل فحینئذ هذا ممّا یشهد بوجود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هذه الإرادة لیست إرادة کاملة تامّة مستقلّة، بل ناقصة لا یعتدّ بها منفردة، ومن ثمّ کانت بمنزلة الإرادة الخطائیة ولا یخصّ مفاد هذه القاعدة بباب الدیات لما تقدّم من صحیح محمّد بن مسلم الذی لم یذیّل بذلک الذیل فلا وجه لتخصیصه وحمله علی باب الدیات لأنّه من قبیل المثبتین مع ما ذیل فیه کما لا یخصّ مفاد هذا الحدیث بموارد ترتّب الأثر علی الخطأ أیضا کما قد ذکر ذلک فی الوجه الثالث؛ لأنّ عبارة الروایة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فرض ذلک التعبیر لکان التنزیل یصحّ بلحاظ نفی الأثر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الوجه</w:t>
      </w:r>
    </w:p>
    <w:p>
      <w:pPr>
        <w:pStyle w:val="BookText"/>
        <w:rPr/>
      </w:pPr>
      <w:r>
        <w:rPr>
          <w:rFonts w:ascii="IRNazanin" w:hAnsi="IRNazanin" w:eastAsia="IRNazanin"/>
          <w:color w:val="111111"/>
          <w:sz w:val="28"/>
          <w:sz w:val="28"/>
          <w:szCs w:val="28"/>
          <w:rtl w:val="true"/>
          <w:lang w:bidi="fa-IR"/>
        </w:rPr>
        <w:t>الثانی موافق للاعتبار العقلائی حیث انّه لا یعتدّون بإرادة الصبی مستقلّة بل ناقصة لا تتمّ إلّا بإرادة الولی لا سیّما فی الصبی غیر الممیّز حیث أنّ غیر الممیّز کما ذکرنا سابقا لا عقل عملی بالفعل له یزجره وإن کان له عقل نظری یدرک ویحسن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النقطة لا تترتّب مثل الکفّارات علی الصبی بعد أخذ قید العمد فیها ویشهد علی ذلک ما ورد فی روایات إحجاج الصبی من أنّ الصبی إذا حجّ أو حجّ به ینهی ویوقی عن تروک الاحرام من قبل الکبار، الظاهر ذلک فی کون إرادة الصبی ناقصة محتاجة إلی التتمیم ولک أن تجعل هذا المفاد فی روایات المقام بنفسه دلیلا آخر علی عدم ترتّب الکفّارة علی الصبی کما لک أن تجعل دلیلا ثالثا علی عدمها علی الصبی وهو ما ورد فی حدیث رفع القلم عن الصبی کما فی صحیح البختری</w:t>
      </w:r>
      <w:r>
        <w:rPr>
          <w:rStyle w:val="FootnoteAnchor"/>
          <w:rtl w:val="true"/>
        </w:rPr>
        <w:footnoteReference w:id="87"/>
      </w:r>
      <w:r>
        <w:rPr>
          <w:rFonts w:ascii="IRNazanin" w:hAnsi="IRNazanin" w:eastAsia="IRNazanin"/>
          <w:color w:val="111111"/>
          <w:sz w:val="28"/>
          <w:sz w:val="28"/>
          <w:szCs w:val="28"/>
          <w:rtl w:val="true"/>
          <w:lang w:bidi="fa-IR"/>
        </w:rPr>
        <w:t>وغیرها من الروایات</w:t>
      </w:r>
      <w:r>
        <w:rPr>
          <w:rStyle w:val="FootnoteAnchor"/>
          <w:rtl w:val="true"/>
        </w:rPr>
        <w:footnoteReference w:id="88"/>
      </w:r>
      <w:r>
        <w:rPr>
          <w:rFonts w:ascii="IRNazanin" w:hAnsi="IRNazanin" w:eastAsia="IRNazanin"/>
          <w:color w:val="111111"/>
          <w:sz w:val="28"/>
          <w:sz w:val="28"/>
          <w:szCs w:val="28"/>
          <w:rtl w:val="true"/>
          <w:lang w:bidi="fa-IR"/>
        </w:rPr>
        <w:t>ولو کان الرفع بلحاظ الفعلیة التامّة کما هو المختار وهذه الوجوه تعمّ الصبی الممیّز وغیره بل فی الصبی الذی لا یحسن الکلام لا یتعقّل توجیه خطاب التروک إلیه أصلا ولا إرادة خطائیة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مطابق لمفاد مصحّح علی بن جعفر المتقدّم</w:t>
      </w:r>
      <w:r>
        <w:rPr>
          <w:rStyle w:val="FootnoteAnchor"/>
          <w:rtl w:val="true"/>
        </w:rPr>
        <w:footnoteReference w:id="89"/>
      </w:r>
      <w:r>
        <w:rPr>
          <w:rFonts w:ascii="IRNazanin" w:hAnsi="IRNazanin" w:eastAsia="IRNazanin"/>
          <w:color w:val="111111"/>
          <w:sz w:val="28"/>
          <w:sz w:val="28"/>
          <w:szCs w:val="28"/>
          <w:rtl w:val="true"/>
          <w:lang w:bidi="fa-IR"/>
        </w:rPr>
        <w:t>من نفی الکفّارات عن الصبی مطلقا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القاعدة فی الولیّ فی حجّ الصبی الممیّز المستقلّ بالأعمال عدم تعلّق الکفّارات علی ذمّة الولی أمّا لعدم ترتّب</w:t>
      </w:r>
    </w:p>
    <w:p>
      <w:pPr>
        <w:pStyle w:val="BookText"/>
        <w:rPr/>
      </w:pPr>
      <w:r>
        <w:rPr>
          <w:rFonts w:ascii="IRNazanin" w:hAnsi="IRNazanin" w:eastAsia="IRNazanin"/>
          <w:color w:val="111111"/>
          <w:sz w:val="28"/>
          <w:sz w:val="28"/>
          <w:szCs w:val="28"/>
          <w:rtl w:val="true"/>
          <w:lang w:bidi="fa-IR"/>
        </w:rPr>
        <w:t>الکفّارة علی فعل الصبی وإمّا لعدم کون الولیّ مسبّبا لغرامة مالیة فی البین، وکذا الحال فی احجاج الصبی حیث انّ الفرض أنّ الصبی لا کفّارة علی فعله أو لأنّ الإحجاج بمنزلة البذل وکفّارات البذل وکفّارات الاحرام لا تتعلّق بالباذل، لکن قد یقال بأنّ مقتضی الإحجاج وکذا أمر الولی بایقاع أفعال الحجّ، أجزاءا وشرائطا فی الصبی والتی منها تروک الاحرام وإن کانت هی آثارا للاحرام الذی هو شرط فی ماهیة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ما ورد من أمر الولی بتوقیة الصبی ما یتّقی المحرم کما فی صحیح زرارة ومصحّح علی بن جعفر هو کون الولی مخاطبا بالتروک لا الصبی، غایة الأمر هو مخاطب بها فی مورد الصبی فإذا صدرت من الصبی بتقصیر من الولیّ یکون بمنزلة ارتکابها عمدا، ویشهد لترتّب الکفّارة علی کونه مخاطبا بها فی الصبی ما فی صحیح زرارة من ترتّب وتفریع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الصید 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خطابه بتوقیة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فی کفّارة الصید تثبت مطلقا، وهذا لا یخلو من وجه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یشکل بأنّ فی کفّارة الصید خصوصیة وهو ثبوتها حتی فی الخطأ الذی هو دائما فی فعل الصبی بخلاف بقیّة الکفّارات ولذا خصّص بالذکر فی الروایة فإنّه یقال علی ذلک یجب الالتزام بعدم کون التروک مخاطب بها الولی؛ لأنّ المفروض أنّ ما یجترحه الصبی هو من باب الخطأ وهو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یشکل بأنّ الدلیل إنّما دلّ علی ترتّب الکفّارة فی التروک التی یخاطب بها المکلّف نفسه لا ما یخاطب بها بایقاعها فی غیره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بعینه جار فی کفّارة الصید، وتقدّم أنّ ظهوره فی صحیح زرارة تفرّع</w:t>
      </w:r>
      <w:r>
        <w:rPr>
          <w:rFonts w:eastAsia="IRNazanin" w:cs="IRNazanin"/>
          <w:color w:val="111111"/>
          <w:sz w:val="28"/>
          <w:szCs w:val="28"/>
          <w:rtl w:val="true"/>
          <w:lang w:bidi="fa-IR"/>
        </w:rPr>
        <w:t>.</w:t>
      </w:r>
      <w:bookmarkStart w:id="56" w:name="pg13695_150641"/>
    </w:p>
    <w:p>
      <w:pPr>
        <w:pStyle w:val="Heading3"/>
        <w:numPr>
          <w:ilvl w:val="2"/>
          <w:numId w:val="1"/>
        </w:numPr>
        <w:rPr/>
      </w:pPr>
      <w:bookmarkStart w:id="57" w:name="__RefHeading___Toc983769_1468164448"/>
      <w:bookmarkStart w:id="58" w:name="_Toc21"/>
      <w:bookmarkEnd w:id="56"/>
      <w:bookmarkEnd w:id="57"/>
      <w:r>
        <w:rPr>
          <w:rtl w:val="true"/>
        </w:rPr>
        <w:t>فرع فیه تدقیق فی معنی القاعدة</w:t>
      </w:r>
      <w:r>
        <w:rPr>
          <w:rtl w:val="true"/>
        </w:rPr>
        <w:t>:</w:t>
      </w:r>
      <w:bookmarkEnd w:id="58"/>
    </w:p>
    <w:p>
      <w:pPr>
        <w:pStyle w:val="BookText"/>
        <w:rPr/>
      </w:pPr>
      <w:r>
        <w:rPr>
          <w:rFonts w:ascii="IRNazanin" w:hAnsi="IRNazanin" w:eastAsia="IRNazanin"/>
          <w:color w:val="111111"/>
          <w:sz w:val="28"/>
          <w:sz w:val="28"/>
          <w:szCs w:val="28"/>
          <w:rtl w:val="true"/>
          <w:lang w:bidi="fa-IR"/>
        </w:rPr>
        <w:t>قد ذکر الشیخ فی المبسوط أنّه لو أفسد الصبی حجّه لما کان علیه وجوب القضاء لعدم کون الموجب إفسادا للحجّ؛ لکون عمده خطأ، بینما قوّی فی الجواهر الافساد وتعلّق الوجوب به بعد البلوغ نظیر الجنابة والغسل واستشهد علی کون قاعدة عمد الصبی خطأ مختصّة بالدیات هو أنّه یلزم من عمومها عدم مبطلیة موانع الصلاة وبقیّة العبادات فیما لو أتی الصبی بها عمدا،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ما ذهب إلیه الشیخ من عموم القاعدة ولا یرد ما نقض به فی الجواهر؛ لأنّ مورد تطبیق القاعدة هو فی الفعل الذی یلزم صدوره عند إرادة تامّة وتناط صحّته بالإرادة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الفعل الذی یکتفی فیه بمطلق الإرادة کما دلّ الدلیل فی مورد عبادات الصبی علی صدورها منه فإنّه لا تطبّق فیه تلک القاعدة لأنّ مفروض القسم الثانی فی الأفعال التی لا اختلاف فیها بین الإرادة التامّة والناقصة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القسم الثانی من الأفعال کما أنّ صدور الاجزاء بإرادة ناقصة صحیحا لدلالة الدلیل فکذلک صدور المانع والمبطل مفسدا لکونه صادرا عن إرادة هی عین درجة الإرادة فی الاجزاء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الأفعال ما یؤخذ فی صدورها الإرادة التامّة الکاملة لترتیب الآثار علیها، ومنها ما یکفی فیه مطلق الإرادة کما فی الإنشاءات المجرّدة فی العقود والایقاعات دون تولّیها بتمامها، فإنّ الإنشاء المجرّد یتأتّی من الوکیل أو من الفضولی فی الصیغة فقط الذی هو ذو إرادة</w:t>
      </w:r>
    </w:p>
    <w:p>
      <w:pPr>
        <w:pStyle w:val="BookText"/>
        <w:rPr/>
      </w:pPr>
      <w:r>
        <w:rPr>
          <w:rFonts w:ascii="IRNazanin" w:hAnsi="IRNazanin" w:eastAsia="IRNazanin"/>
          <w:color w:val="111111"/>
          <w:sz w:val="28"/>
          <w:sz w:val="28"/>
          <w:szCs w:val="28"/>
          <w:rtl w:val="true"/>
          <w:lang w:bidi="fa-IR"/>
        </w:rPr>
        <w:t>ناقصة لکونه یکفی فیه مطلق الإرادة ولو غیر التامّة المستقلّة، وهذا بخلاف تولّی تمام العقد أو فی قتل العمد المترتّب علیه القصاص دون القتل الخطأ الذی یکفی فیه الإرادة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لابدَّ من الالتفات إلی أنّ العموم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محمّد بن مسلم وعمد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أمّهات الأدلّة فی شئون أحکام الصبی لأنّه بحسب ما یستظهر منه فی الوجوه الثلاثة الاول یکون حاکما علی أدلّة جهات البحث فی أحکام وشئون الصبی، فلا یخصّ مفاده بالانشائیات وعبادة الصبی أو یخصّ باب الضمانات، بل یعمّ مفاده باب التکالیف العامّة والعبادات أی یکون مفاده عین مفاد وضع کتابة السیّئات عن الصبی، بل انّ مفاده زاد علی مفادها حیث انّه دلّ علی قصور إرادة الصبی لا سلبها کما هو المختار، ممّا یدلّ علی قصور توجیه الخطاب إلیه لا رفع المشروعیة أی دالّ علی عدم الفعلیة التامّة والباعثیة والزاجریة التامّتین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فبملاحظة نسبته مع أدلّة التکالیف والعبادات العامّة یری أنّها تختلف دائرة عن نسبة حدیث الرفع مع تلک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کما لا یخصّ مفاده بذلک أیضا بل یعمّ الأحکام الوضعیة ومعاملات الصبی المستقلّة حیث أنّ قصور الإرادة یستلزم عدم استقلاله فی المعاملات فیکون مفاده مفاد آیة ابتلاء الیتامی حتی إذا بلغوا مرتبة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إِلَیْهِمْ أَمْوالَهُمْ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العموم قاعدة من أمّهات الأدلّة فی أحکام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لا ینفی ما ذکره صاحب الجواهر من عدم تطبیق القاعدة فی الحج حیث انّ أجزاء الحجّ المشروع للصبی اکتفی فیها بالإرادة الناقصة فکذا فی الموانع والمبطلات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تامّ فی حجّ الصبی لو کنّا نحن والقاعدة دون الإحجاج للصبی فإنّه فی الثانی المفروض فعل الولی فی الصبی بل الأوّل أیضا لا یلتزم بوجوب القضاء علیه بالالتفات لحدیث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استشهاد صاحب الجواهر بالغسل والجنابة فهو مع الفارق حیث انّ ترتّب الجنابة علی الاحتلام أو الجماع وضعی وهو غیر مرفوع بحدیث الرفع کبقیّة الامور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التکلیف المترتّب علی الأمر الوضعی وهو الجنابة یصبح فعلیا بعد البلوغ ببقاء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نحن فیه فإنّ وجوب القضاء مترتّب علی مخالفة النهی المرفوع بحدیث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أوجب الوهم فی المقام تعبیر الفقهاء بکون وجوب القضاء مترتّبا علی فساد الحجّ وهو عنوان وضعی، إلّا أنّ هذا عنوان انتزاعی وإن ورد فی بعض الروایات حیث انّ وجوب الحجّ فی القابل مترتّب علی مخالفة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فضلا عمّا لو قلنا من انّ وجوب الحجّ فی القابل هو کفّارة من أفسد حجّه لا أنّه قضاء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اتّضح أنّ المراد من الولیّ فی الإحجاج أو حجّ الصبی مع الرفقة هو الأعمّ من الشرعی والعرفی، فهو الذی یخاطب بتوقیة الصبی وتحمّل کفّاراته وهدیه، وأمّا لو حجّ الصبی الممیّز من دون إذن الولی الشرعی ولا بکفالة ولی عرفی فمقتضی القاعدة حینئذ تعلّق مال الهدی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حیث فرض عدم إذن الولیّ یکون عاجزا عن التصرّف فی ماله، فمقتضی القاعدة أن یخاطب بالصوم حینئذ کما لا کفّارة علی الولیّ ولا علی الصبی حینئذ</w:t>
      </w:r>
      <w:r>
        <w:rPr>
          <w:rFonts w:eastAsia="IRNazanin" w:cs="IRNazanin"/>
          <w:color w:val="111111"/>
          <w:sz w:val="28"/>
          <w:szCs w:val="28"/>
          <w:rtl w:val="true"/>
          <w:lang w:bidi="fa-IR"/>
        </w:rPr>
        <w:t>.</w:t>
      </w:r>
      <w:bookmarkStart w:id="59" w:name="pg13695_150645"/>
    </w:p>
    <w:p>
      <w:pPr>
        <w:pStyle w:val="Heading2"/>
        <w:numPr>
          <w:ilvl w:val="1"/>
          <w:numId w:val="1"/>
        </w:numPr>
        <w:rPr/>
      </w:pPr>
      <w:bookmarkStart w:id="60" w:name="__RefHeading___Toc983771_1468164448"/>
      <w:bookmarkStart w:id="61" w:name="_Toc22"/>
      <w:bookmarkEnd w:id="59"/>
      <w:bookmarkEnd w:id="60"/>
      <w:r>
        <w:rPr>
          <w:rtl w:val="true"/>
        </w:rPr>
        <w:t xml:space="preserve">قاعدة </w:t>
      </w:r>
      <w:r>
        <w:rPr>
          <w:rtl w:val="true"/>
        </w:rPr>
        <w:t>:</w:t>
      </w:r>
      <w:r>
        <w:rPr>
          <w:rtl w:val="true"/>
        </w:rPr>
        <w:t>لزوم العسر والحرج</w:t>
      </w:r>
      <w:bookmarkEnd w:id="6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983773_1468164448"/>
      <w:bookmarkStart w:id="63" w:name="_Toc23"/>
      <w:bookmarkEnd w:id="62"/>
      <w:r>
        <w:rPr>
          <w:rtl w:val="true"/>
        </w:rPr>
        <w:t>اشارة</w:t>
      </w:r>
      <w:bookmarkStart w:id="64" w:name="pg13695_150647"/>
      <w:bookmarkEnd w:id="63"/>
    </w:p>
    <w:p>
      <w:pPr>
        <w:pStyle w:val="Heading3"/>
        <w:numPr>
          <w:ilvl w:val="2"/>
          <w:numId w:val="1"/>
        </w:numPr>
        <w:rPr/>
      </w:pPr>
      <w:bookmarkStart w:id="65" w:name="__RefHeading___Toc983775_1468164448"/>
      <w:bookmarkStart w:id="66" w:name="_Toc24"/>
      <w:bookmarkEnd w:id="64"/>
      <w:bookmarkEnd w:id="65"/>
      <w:r>
        <w:rPr>
          <w:rtl w:val="true"/>
        </w:rPr>
        <w:t>لزوم العسر والحرج بمعنیین</w:t>
      </w:r>
      <w:bookmarkEnd w:id="66"/>
    </w:p>
    <w:p>
      <w:pPr>
        <w:pStyle w:val="Heading3"/>
        <w:numPr>
          <w:ilvl w:val="2"/>
          <w:numId w:val="1"/>
        </w:numPr>
        <w:rPr/>
      </w:pPr>
      <w:bookmarkStart w:id="67" w:name="__RefHeading___Toc983777_1468164448"/>
      <w:bookmarkStart w:id="68" w:name="_Toc25"/>
      <w:bookmarkEnd w:id="67"/>
      <w:r>
        <w:rPr>
          <w:rtl w:val="true"/>
        </w:rPr>
        <w:t>وتطبیقها کدلیل علی ملکیة الدولة</w:t>
      </w:r>
      <w:bookmarkEnd w:id="68"/>
    </w:p>
    <w:p>
      <w:pPr>
        <w:pStyle w:val="Heading4"/>
        <w:numPr>
          <w:ilvl w:val="3"/>
          <w:numId w:val="1"/>
        </w:numPr>
        <w:rPr/>
      </w:pPr>
      <w:bookmarkStart w:id="69" w:name="__RefHeading___Toc983779_1468164448"/>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ان عنوان نفی العسر والحرج علی نمطین ولسانین وفی المآل قاعدتان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الرفع للاحکام الاولیة مثل رافعیة قاعدة لا ضرر اذ ترفع الوجوب والحرمة، وأهم أدلة هذا النمط قوله تعالی ما جَعَلَ عَلَیْکُمْ فِی الدِّینِ مِنْ حَرَجٍ </w:t>
      </w:r>
      <w:r>
        <w:rPr>
          <w:rStyle w:val="FootnoteAnchor"/>
          <w:rtl w:val="true"/>
        </w:rPr>
        <w:footnoteReference w:id="91"/>
      </w:r>
      <w:r>
        <w:rPr>
          <w:rFonts w:ascii="IRNazanin" w:hAnsi="IRNazanin" w:eastAsia="IRNazanin"/>
          <w:color w:val="111111"/>
          <w:sz w:val="28"/>
          <w:sz w:val="28"/>
          <w:szCs w:val="28"/>
          <w:rtl w:val="true"/>
          <w:lang w:bidi="fa-IR"/>
        </w:rPr>
        <w:t>الظاهر فی رفع الحکم الحرجی حسب فهم المشهور من الفقهاء</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روی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أُمَّتِی تِسْعَةُ أَشْیَاءَ الْخَطَأُ والنِّسْیَانُ ومَا أُکْرِهُوا عَلَیْهِ ومَا لَا یَعْلَمُونَ ومَا لَا یُطِیقُونَ ومَا اضْطُرُّوا إِلَیْهِ والْحَسَدُ والطِّیَرَةُ والتَّفَکُّرُ فِی الْوَسْوَسَةِ فِی الْخَلْوَةِ مَا لَمْ یَنْطِقُوا بِشَفَةٍ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یعزز هذا الفهم استدلال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الکریمة علی الرفع فی حسنة عبد الاعلی مولی آل سام</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إِصْبَعِی مَرَارَةً فَکَیْفَ أَصْنَعُ بِالْوُضُوءِ قَالَ یُعْرَفُ هَذَا وأَشْبَاهُهُ مِنْ کِتَابِ الله عَزَّ وَجَلَّ قَالَ الله تَعَالَی ما جَعَلَ عَلَیْکُمْ فِی الدِّینِ مِنْ</w:t>
      </w:r>
    </w:p>
    <w:p>
      <w:pPr>
        <w:pStyle w:val="BookText"/>
        <w:rPr/>
      </w:pPr>
      <w:r>
        <w:rPr>
          <w:rFonts w:ascii="Amiri" w:hAnsi="Amiri" w:eastAsia="Amiri" w:cs="Amiri"/>
          <w:color w:val="111111"/>
          <w:sz w:val="28"/>
          <w:sz w:val="28"/>
          <w:szCs w:val="28"/>
          <w:rtl w:val="true"/>
          <w:lang w:bidi="ar-SA"/>
        </w:rPr>
        <w:t>حَرَجٍ امْسَحْ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والاستدلال بهذا النمط لا یثبت ملکیة الدولة لان العسر والحرج اخذ شخصیاً ولیس بنوعی وانما کل من حصل له عسر أو حرج یأتی فی حقه وینطبق علیه حدیث الرفع مع أنه یرفع التکلیف ولا یثبت حکما آخر، یرفع الحرمة فی التصرف فی الاموال، لا أنه یجعل هذه الاموال ملکا لک، ولذا استشکلوا فی خیار الغبن علی من استدل علی شرعیه هذا الخیار بحدیث لا ضرر بانه یرفع اللزوم ولا یثبت حکما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التی تبین أن الشریعة سهلة سمحاء وان حکمة الاحکام المجعولة فی الشریعة سواء وضعیة او تکلیفیة نابعة من السهولة والیسر هذه الادلة المخبرة عن عدم وجود حکم حرجی فی الشریعة الاسلامیة وأن أحکام الشریعة أسست علی أساس الیسر والسماحة والتسهیل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فالشریعة بموجب هذه الأخبارات عبارة عن مجموعة من القوانین المیسرة وأن الحکم الحرجی لا یمت للشریعة بصلة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أدلة هذا النمط کثیرة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السادة من مشایخنا فهم من کل الأدلة التی تناولت مسألة العسر والحرج أنها إخبار ومن النمط الثانی ولا دلالة فیها علی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قررناه من أنها علی نمطین وبلسانین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النمط الاول لا یخدمنا فی إثبات الامضاء فی أمثال ملکیة الدولة للتصرفات تنزیلا وذلک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الرفع هو الحرج الشخصی لا النوعی کما قرر فی محله، والحرج الشخصی قد یتواجد فی شخص دون آخر ومعه لا یمکن الخروج بنتیجة عامة فی امضاء ملکیة الدولة ونحوها من موارد کون المطلوب إثبات حکم لا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 حدیث الرفع هو رفع الحکم الحرجی فقط من دون إثبات شیء آخر، فغایة ما یفیده دلیل رفع الحرج هو رفع حرمة التصرف فی هذه الاموال ولکن لا ینهض فی اثبات حکم وضعی وهو ملکیة الشخص للمال فهو مسکوت عنه وخارج عن مهام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النمط الثانی فهو الذی ینفع فی إثبات إمضاء امثال تصرفات الدولة الوضعیة تسهیلا للمکلفین، فی تعاملها المالی مع المؤمنین وذلک من خلال ضم هذه الادلة الی الادلة الأولیة مما یجعل للأدلة دلالة التزامیة علی الامضاء من نوع دلالة الاشارة، بعد الاخذ بعین الاعتبار أن الحرج الذی أخبرت الروایات والآیات عن عدم وجوده فی الشریعة هو الحرج النوعی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خلاف فی ان حجیة هذه الدلالة من باب الظهور او من باب القرینة العقلیة، فی الجمع بین الدلیلین وتحقیقه موکول الی علم الاصول، والمهم أن هذا النوع من الدلالة معتبر بلا خلاف فی الجملة، اذ هناک</w:t>
      </w:r>
    </w:p>
    <w:p>
      <w:pPr>
        <w:pStyle w:val="BookText"/>
        <w:rPr/>
      </w:pPr>
      <w:r>
        <w:rPr>
          <w:rFonts w:ascii="IRNazanin" w:hAnsi="IRNazanin" w:eastAsia="IRNazanin"/>
          <w:color w:val="111111"/>
          <w:sz w:val="28"/>
          <w:sz w:val="28"/>
          <w:szCs w:val="28"/>
          <w:rtl w:val="true"/>
          <w:lang w:bidi="fa-IR"/>
        </w:rPr>
        <w:t>خلاف فی حجیة بعض حالات دلالة الاشارة ولعله راجع الی الصغری لا الی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وتصویر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الاولی هو عدم شرعیة کل ممارسات الدولة فی ای مجال من المجالات، بما فی ذلک ممارساتها المالیة بسبب عدم شرعیة ولایة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نفی الحرج النوعی فی الشریعة یخبرنا أن الحکم المتقدم لا یحمل فی طیاته العسر والحرج علی المکلفین به وعلی هذا الاساس تم تشریعه، فهو بمثابة الاستثناء من الدلیل الاولی فیکون حاصل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شرعیة کل ممارسات الدولة بسبب عدم شرعیة ولایتها الا فی حالات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تجمید التعامل المالی مع الدولة الناجم من عدم شرعیة إدارتها علی المال فیه حرج فهو مستثنی من الدلیل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نستفید إمضاء تصرفات الدولة علی المال ومن ثم تکون الممارسة صحیحة ویتملک المؤمن المال، وبهذا یفترق هذا النمط من الادلة عن النمط السابق، حیث أن أدلة الرفع فی النمط الاول لا تتکفل إثبات شیء وانما دورها رفع الحکم الحرجی فقط کما تقدم، أما هذا النمط من الأدلة فیمکن الاستفادة منه لاثبات حکم وجودی علاوة علی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الحرجی النوعی، وذلک بالتصویر التالی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الأدلة تنبئ عن أن الشارع لم یحرج المکلف بشیء سواء فی</w:t>
      </w:r>
      <w:bookmarkStart w:id="71" w:name="pg13695_150651"/>
    </w:p>
    <w:p>
      <w:pPr>
        <w:pStyle w:val="BookText"/>
        <w:rPr/>
      </w:pPr>
      <w:bookmarkEnd w:id="71"/>
      <w:r>
        <w:rPr>
          <w:rFonts w:ascii="IRNazanin" w:hAnsi="IRNazanin" w:eastAsia="IRNazanin"/>
          <w:color w:val="111111"/>
          <w:sz w:val="28"/>
          <w:sz w:val="28"/>
          <w:szCs w:val="28"/>
          <w:rtl w:val="true"/>
          <w:lang w:bidi="fa-IR"/>
        </w:rPr>
        <w:t>جعله او فی رفعه للجعل، فکما استفید منها عدم الجعل للحرج یستفاد منها الامضاء والجواز للحرج، حیث أن بقاء الموضوع معلقا من دون حکم بالجواز لا یرفع من حالة الحرج فنستفید حینئذ الجواز وامضاء شرعیة الدولة بمقدار یرفع الحرج وهو الامضاء الوضعی، بینما هذا التصویر لا یتأتی فی الأدلة من النمط الاولی لأن لسانها لسان رفع فقط فاثبات شیء أکثر من الرفع تحمیل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منها حکم شرعی بضمها مع الادلة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أدلة بیان حکمة وفلسفة التشریع فلا یظهر منها إنشاء أحکام، فهی فی مقام الاخبار لا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منها إنشاء تشریع معین لا من ذات مفادها بنفسها بل هی اذا انضمت مع الادلة الاولیة وقد ارتکب الفقهاء هذا النمط من الاستفادة والاستظهار فی موارد عدیدة</w:t>
      </w:r>
      <w:r>
        <w:rPr>
          <w:rFonts w:eastAsia="IRNazanin" w:cs="IRNazanin"/>
          <w:color w:val="111111"/>
          <w:sz w:val="28"/>
          <w:szCs w:val="28"/>
          <w:rtl w:val="true"/>
          <w:lang w:bidi="fa-IR"/>
        </w:rPr>
        <w:t>:</w:t>
      </w:r>
    </w:p>
    <w:p>
      <w:pPr>
        <w:pStyle w:val="Heading4"/>
        <w:numPr>
          <w:ilvl w:val="3"/>
          <w:numId w:val="1"/>
        </w:numPr>
        <w:rPr/>
      </w:pPr>
      <w:bookmarkStart w:id="72" w:name="__RefHeading___Toc983781_1468164448"/>
      <w:bookmarkStart w:id="73" w:name="_Toc27"/>
      <w:bookmarkEnd w:id="72"/>
      <w:r>
        <w:rPr>
          <w:rtl w:val="true"/>
        </w:rPr>
        <w:t>نماذج تطبیقیة للقاعدة الثانیة للحرج</w:t>
      </w:r>
      <w:r>
        <w:rPr>
          <w:rtl w:val="true"/>
        </w:rPr>
        <w:t>:</w:t>
      </w:r>
      <w:bookmarkEnd w:id="73"/>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بعض مقدمات دلیل الانسداد اذ مقدماته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علم اجمالی بالتکالیف الشرعیة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الاحتیاط بل لا مشروعیة له، وقد استفادوا ذلک لا من النمط الاول من رفع العسر والحرج وانما استفید من الادلة الثانیة التی تبین أن الشریعة سمحة سهلاء، فمن العلم بذلک نستکشف ان الاحتیاط غیر مشروع او لا أقل أنه غیر لازم، بل استفاد بعضهم حرمة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استفادوا من نفی الاحتیاط وأدلة الأحکام الاولیة مع النمط الثانی من أدلة العسر والحرج واستکشفوا حجیة الظن أو إجزاءه بحکومة العقل بمعونة أدلة العسر والحرج المزبورة، ولم یستشکل احد فی دلیل الانسداد من حیث هذه الاستفادة وانما استشکلوا فی انسداد الطریق، واما لو انسد الطریق فالکل یرتضی هذه الاستفادة وهذا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فبضم هذه الادلة مع ادلة الاحکام الاولیة نستفید منها مدلول التزامی او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الوقوف بعرفة فی غیر یوم التاسع الواقعی اذ أحد الادلة بل العمدة عند بعضهم هذه الادلة بان الشریعة سمحة سهلاء حیث أن البناء علی مراعات الموقف الواقعی یسبب حرجا شدیدا فی هذه الفریضة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ضم هذه الادلة او فلسفة التشریع مع الادلة الاولیة أستفید منه دلالة اقتضائیة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یجزی یوم الشک عن الیوم الواقعی سواء فی صورة الشک أو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خصص بعض الإجزاء والصحة بحالة الشک ومعه یدخل فی نطاق إجزاء الحکم الظاهری عن الواقعی، وبعض عمم الاجزاء والصحة لحالة العلم بأن الیوم لیس التاسع من ذی الحجة، ومعه تصنف المسألة فی إجزاء الاضطرار النوعی عن الواقعی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الذبح فی غیر منی اذ المسالخ والمقاصب الآن فی</w:t>
      </w:r>
    </w:p>
    <w:p>
      <w:pPr>
        <w:pStyle w:val="BookText"/>
        <w:rPr/>
      </w:pPr>
      <w:r>
        <w:rPr>
          <w:rFonts w:ascii="IRNazanin" w:hAnsi="IRNazanin" w:eastAsia="IRNazanin"/>
          <w:color w:val="111111"/>
          <w:sz w:val="28"/>
          <w:sz w:val="28"/>
          <w:szCs w:val="28"/>
          <w:rtl w:val="true"/>
          <w:lang w:bidi="fa-IR"/>
        </w:rPr>
        <w:t>غیرها، واذا کان دلیل العسر والحرج کما عند البعض ومنهم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 فکل من حصل له حرج وعسر یذبح فی غیرها أما مع عدم العسر والحرج فیجب ان یتکلف ویتعنی الی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افتی السید وغیره من الاعلام بإجزاء الذبح مطلقا فجعلوا الحرج نوعیا، وهو لیس من أدلة النمط الاول بل من أدلة النمط الثانی التی تبین فلسفة التشریع بضمها مع الادلة الاولیة نستفید منه الصحة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لا مسوغ لاجزاء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بالانتباه أن علماء الاصول تطرقوا فی بحث الاجزاء الی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الحکم الظاهری عن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الحکم الاضطراری الشخصی عن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یبحثوا إجزاء الحکم الاضطراری النوعی عن الواقعی، والذی یندرج المثال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بحث الاجزاء فی الحکم الظاهری عن الواقعی فی جملة من الموارد وقد اعتمد علیه عدة قدیما وحدیثا، وکیفیة الاستفادة أن الشارع اذا امر باتباع أمارة شرعیة لا سیما التقلید بان یقلد مجتهدا مثلا ستین سنة، ثم یقلد مجتهدا آخر عند موت الاول، ثم یخاطبه الشارع أن فی کل ما قد رخصت لک فیه باتباع</w:t>
      </w:r>
    </w:p>
    <w:p>
      <w:pPr>
        <w:pStyle w:val="BookText"/>
        <w:rPr/>
      </w:pPr>
      <w:r>
        <w:rPr>
          <w:rFonts w:ascii="IRNazanin" w:hAnsi="IRNazanin" w:eastAsia="IRNazanin"/>
          <w:color w:val="111111"/>
          <w:sz w:val="28"/>
          <w:sz w:val="28"/>
          <w:szCs w:val="28"/>
          <w:rtl w:val="true"/>
          <w:lang w:bidi="fa-IR"/>
        </w:rPr>
        <w:t>الامارة أعده وأعد کل صلواتک مثلا وعباداتک مع الاختلاف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یوجب بلا شک عسرا وحرجا، فمن ضم الادلة الثانیة مع أدلة</w:t>
      </w:r>
      <w:bookmarkStart w:id="74" w:name="pg13695_150654"/>
    </w:p>
    <w:p>
      <w:pPr>
        <w:pStyle w:val="BookText"/>
        <w:rPr/>
      </w:pPr>
      <w:bookmarkEnd w:id="74"/>
      <w:r>
        <w:rPr>
          <w:rFonts w:ascii="IRNazanin" w:hAnsi="IRNazanin" w:eastAsia="IRNazanin"/>
          <w:color w:val="111111"/>
          <w:sz w:val="28"/>
          <w:sz w:val="28"/>
          <w:szCs w:val="28"/>
          <w:rtl w:val="true"/>
          <w:lang w:bidi="fa-IR"/>
        </w:rPr>
        <w:t>الامارات یستفاد دلالة التزامیة اخری، فالادلة الثانیة بنفسها لا تعطینا حکما شرعیا بل من ضمها الی الادلة الاولیة یستفاد دلالة التزامیة اخری، فیستفاد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فإقحام المکلف فی الامارات مع عدم إجزائها یسبب عسرا وحرجا نوعیا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یمکن أن نستفید من إخبار الشارع عن عدم وجود عسر وحرج نوعی فی تکالیفه، إمضاء تصرفات الدولة فی تعاملها المالی وإثبات ذلک علی غرار الاستفادة من هذه الادلة فی الموارد الاخری التی استعرضنا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استلزم اطلاق حکم اختلال النظام والعسر والحرج النوعی فی الافراد او النوعی فی الجماعات، هذا الاختلال بلا ریب لا یسوغه الشارع وأی حکم یکون نتیجته الاخلال بالنظام یعلم عدم تناول اطلاق تشریعه لذلک المورد بالاستفادة من الادلة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فکبرویا الحال واضح وانما المهم اثبات الصغری فهل یسبب عدم الامضاء لتصرفات الدول الوضعیة حرجا وعسرا او لا؟ فالبحث میدانی</w:t>
      </w:r>
      <w:r>
        <w:rPr>
          <w:rFonts w:eastAsia="IRNazanin" w:cs="IRNazanin"/>
          <w:color w:val="111111"/>
          <w:sz w:val="28"/>
          <w:szCs w:val="28"/>
          <w:rtl w:val="true"/>
          <w:lang w:bidi="fa-IR"/>
        </w:rPr>
        <w:t>.</w:t>
      </w:r>
    </w:p>
    <w:p>
      <w:pPr>
        <w:pStyle w:val="Heading4"/>
        <w:numPr>
          <w:ilvl w:val="3"/>
          <w:numId w:val="1"/>
        </w:numPr>
        <w:rPr/>
      </w:pPr>
      <w:bookmarkStart w:id="75" w:name="__RefHeading___Toc983783_1468164448"/>
      <w:bookmarkStart w:id="76" w:name="_Toc28"/>
      <w:bookmarkEnd w:id="75"/>
      <w:r>
        <w:rPr>
          <w:rtl w:val="true"/>
        </w:rPr>
        <w:t>إثبات الصغری</w:t>
      </w:r>
      <w:r>
        <w:rPr>
          <w:rtl w:val="true"/>
        </w:rPr>
        <w:t>:</w:t>
      </w:r>
      <w:bookmarkEnd w:id="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هناک مجموعة من الفقهاء کانوا لا یفتون بملکیة الدول الوضعیة ومع ذلک نری ان من قلدهم لم یقع فی عسر وحرج ولم یستلزم ذلک اختلال فی النظام ولم یؤدی الی الهرج والمرج؟</w:t>
      </w:r>
      <w:bookmarkStart w:id="77" w:name="pg13695_150655"/>
    </w:p>
    <w:p>
      <w:pPr>
        <w:pStyle w:val="BookText"/>
        <w:rPr/>
      </w:pPr>
      <w:bookmarkEnd w:id="77"/>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المجتمع المؤمن یرجع الی القائلین بالعدم، اذ قسم کبیر أیضا یرجع الی من یقول بالملکیة التنزیلیة، مضافا الی ان الملتزم من الشریحة المؤمنة بالتقلید الاول شاهدناهم کثیرا ما یغفلون عن هذه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یبنی عملیا علی فروعات القول بالعدم اذا کان بنسبة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لیست نسبة کثیرة، ومع ذلک اولئک الذین بنوا علیه وطبقوا المبنی فی تعاملهم وتعاطیهم کانوا یقعون فی حرج عظیم یؤدی الی الوسوسة بل التشکیک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لو بنی علی ذلک تکون کل مرافق الدولة او حتی القطاع الخاص الذی یتعامل مع الدولة کل هذه الحرکة المالیة والانتقالات للاموال او المالیات مجمدة، وکذا السیولة المالیة والبنکیة أیضا لا بد أن تجمد وهلم جرا، وهذا بلا شک شلل مالی وشلل اقتصادی لا یقره الشارع لانه یعطل الحیاة الاقتصادیة التی علیها عصب الحیاة</w:t>
      </w:r>
      <w:r>
        <w:rPr>
          <w:rFonts w:eastAsia="IRNazanin" w:cs="IRNazanin"/>
          <w:color w:val="111111"/>
          <w:sz w:val="28"/>
          <w:szCs w:val="28"/>
          <w:rtl w:val="true"/>
          <w:lang w:bidi="fa-IR"/>
        </w:rPr>
        <w:t>.</w:t>
      </w:r>
    </w:p>
    <w:p>
      <w:pPr>
        <w:pStyle w:val="Heading4"/>
        <w:numPr>
          <w:ilvl w:val="3"/>
          <w:numId w:val="1"/>
        </w:numPr>
        <w:rPr/>
      </w:pPr>
      <w:bookmarkStart w:id="78" w:name="__RefHeading___Toc983785_1468164448"/>
      <w:bookmarkStart w:id="79" w:name="_Toc29"/>
      <w:bookmarkEnd w:id="78"/>
      <w:r>
        <w:rPr>
          <w:rtl w:val="true"/>
        </w:rPr>
        <w:t>خلاصة دفع التفصی</w:t>
      </w:r>
      <w:r>
        <w:rPr>
          <w:rtl w:val="true"/>
        </w:rPr>
        <w:t>.</w:t>
      </w:r>
      <w:bookmarkEnd w:id="7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المجتمع المؤمن فی عرض واحد یرجع الی مرجع واحد، کی یکون عدم الاختلال فی النظم الاجتماعی دلیل علی أن عدم الامضاء لا یؤدی الی العسر والحرج</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المجتمع المؤمن ملتزما، بل الکثیر منهم لا یعتنی بمثل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الملتزم من المؤمنین کثیر منهم یفتقدون الدقة فی تطبیق هذه المسألة وکثیر منهم یغفلون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نسبة الشریحة المؤمنة الملتزمة والمنتبهة للتدقیق والمقلدة للفقیه القائل بعدم الامضاء قلیلة جدا، فعدم ملاحظة الحرج العام والتذمر فی اوساط المجتمع المؤمن لا ینفی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نجد المؤمنین الملتزمین المقلدین لمن لا یقول بالامضاء یقعون فی حرج عظیم، فهو دلیل علی وجود الحرج، کما أننا نجد أن القائلین بعدم الامضاء یفکرون فی حلول عامة کالإذن العام فی القبض عنهم وما شاکل، وما ذاک الا لتلافی مشکلة الحرج الذی یتعرض إلیه مقلدیه، مع أن الشارع والولی الاصلی للأمر أولی بمراعاة هذه الحالة الناجمة من عدم الامضاء وهذا کاشف إجمالی عن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فی تقدیرنا للواقع الخارجی أن عدم الامضاء یعنی انفصال المجتمع المؤمن اقتصادیا عن الدولة وهذا یکلف عامة الناس الکثیر من الحرج والمشاکل ویؤدی الی شل حرکتهم الاقتصادیة وجمودها اذ الکثیر من المعاملات فی حیاتنا المعاصرة تمر عبر الدول بشکل أو بآخر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ثبوت الحرج، نستکشف منه امضاء الشارع سیما بعد ضم هذا الدلیل مع الادلة الاخری فی مسالة ملکیة الدولة المستفاد منها أن الشارع امضی موارد کثیرة لا خصوصیة لها فمن باب الاقتضاء نستفید الملکیة للتصرف التنزیلیة</w:t>
      </w:r>
      <w:r>
        <w:rPr>
          <w:rFonts w:eastAsia="IRNazanin" w:cs="IRNazanin"/>
          <w:color w:val="111111"/>
          <w:sz w:val="28"/>
          <w:szCs w:val="28"/>
          <w:rtl w:val="true"/>
          <w:lang w:bidi="fa-IR"/>
        </w:rPr>
        <w:t>.</w:t>
      </w:r>
      <w:bookmarkStart w:id="80" w:name="pg13695_150657"/>
    </w:p>
    <w:p>
      <w:pPr>
        <w:pStyle w:val="BookText"/>
        <w:rPr/>
      </w:pPr>
      <w:bookmarkEnd w:id="80"/>
      <w:r>
        <w:rPr>
          <w:rFonts w:ascii="IRNazanin" w:hAnsi="IRNazanin" w:eastAsia="IRNazanin"/>
          <w:color w:val="111111"/>
          <w:sz w:val="28"/>
          <w:sz w:val="28"/>
          <w:szCs w:val="28"/>
          <w:rtl w:val="true"/>
          <w:lang w:bidi="fa-IR"/>
        </w:rPr>
        <w:t xml:space="preserve">فظهر بحمد الله ان القول بملکیة الدولة تسهیلاً علی المؤمنین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المهنا وعلیه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صاف وواضح</w:t>
      </w:r>
      <w:r>
        <w:rPr>
          <w:rFonts w:eastAsia="IRNazanin" w:cs="IRNazanin"/>
          <w:color w:val="111111"/>
          <w:sz w:val="28"/>
          <w:szCs w:val="28"/>
          <w:rtl w:val="true"/>
          <w:lang w:bidi="fa-IR"/>
        </w:rPr>
        <w:t>.</w:t>
      </w:r>
    </w:p>
    <w:p>
      <w:pPr>
        <w:pStyle w:val="Heading4"/>
        <w:numPr>
          <w:ilvl w:val="3"/>
          <w:numId w:val="1"/>
        </w:numPr>
        <w:rPr/>
      </w:pPr>
      <w:bookmarkStart w:id="81" w:name="__RefHeading___Toc983787_1468164448"/>
      <w:bookmarkStart w:id="82" w:name="_Toc30"/>
      <w:bookmarkEnd w:id="81"/>
      <w:r>
        <w:rPr>
          <w:rtl w:val="true"/>
        </w:rPr>
        <w:t>تفصی بعض الاعلام</w:t>
      </w:r>
      <w:r>
        <w:rPr>
          <w:rtl w:val="true"/>
        </w:rPr>
        <w:t>:</w:t>
      </w:r>
      <w:bookmarkEnd w:id="82"/>
    </w:p>
    <w:p>
      <w:pPr>
        <w:pStyle w:val="BookText"/>
        <w:rPr/>
      </w:pPr>
      <w:r>
        <w:rPr>
          <w:rFonts w:ascii="IRNazanin" w:hAnsi="IRNazanin" w:eastAsia="IRNazanin"/>
          <w:color w:val="111111"/>
          <w:sz w:val="28"/>
          <w:sz w:val="28"/>
          <w:szCs w:val="28"/>
          <w:rtl w:val="true"/>
          <w:lang w:bidi="fa-IR"/>
        </w:rPr>
        <w:t>و المحکی عن القائلین بعدم الملکیة أنهم یوجدون لمن یرجع إلیهم فی الفتوی مخرجا معینا للتسهیل علیهم، والکلام فیه هل هو تام أم لا؟</w:t>
      </w:r>
    </w:p>
    <w:p>
      <w:pPr>
        <w:pStyle w:val="BookText"/>
        <w:rPr/>
      </w:pPr>
      <w:r>
        <w:rPr>
          <w:rFonts w:ascii="IRNazanin" w:hAnsi="IRNazanin" w:eastAsia="IRNazanin"/>
          <w:color w:val="111111"/>
          <w:sz w:val="28"/>
          <w:sz w:val="28"/>
          <w:szCs w:val="28"/>
          <w:rtl w:val="true"/>
          <w:lang w:bidi="fa-IR"/>
        </w:rPr>
        <w:t>وهل یتفادی العسر والحرج أم لا؟</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بعد کون زمام التصرف بمجهول المالک بیده فیأخذ وکالة من عشرات ومئات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مصرف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لیوکل مقلدیه الذین یتعاملون مع الدول الوضعیة فی قبض الاموال المجهولة المالک نیابة عن الفقراء فیتملکوه نیابة عنهم، فیکون ما بحوزتهم ملکا للفقراء ثم لهم أن یتملکوه بأذن من الفقراء مقابل حصة معینة، فیتصدق بها کثلث الاموال المجهولة المالک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نوع تسهیل فقهی بناء علی عدم شرعیة وملکیة الدول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التفصی یواجه عدة اشکالات کبرویة وصغرویة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الکبری فلازمه نقض الغرض من التصدق فی باب مجهول المالک، فهل یتصور من مذاق الشارع حینما یجعل ضریبة مالیة مثل الزکاة والخمس أن تملک هذه بالاموال التی تجبی لاصحاب الخمس والزکاة للاغنیاء بحیلة وطریقة شرعیة عن طریق أخذ الوکالة المزبورة من الفقراء مقابل ثلث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انه یستفاد من أدلة باب الخمس والزکاة والصدقات الواجبة الاخری ان الغرض إیصال الضریبة المالیة الی جیوب الفقراء لا ان تملکها جیوب اخری وشرائح اخری ویبقی الفقراء علی حالتهم المدقعة غایة الامر یعطی لهم شیء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بعض الفقراء یوکلون الفقیه فیبقی بقیة الفقراء علی حالتهم المدقعة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شک أنه خلاف الغرض من تشریع الزکاة والخمس، وأن الادلة لا تشملها ولا تسوغها، لانه یخالف نفس مصلحة الجعل والتشریع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باب التصدق فی مجهول المالک الغایة منه وصوله الی الفقراء وهذا نوع من الضرائب التی جعلها الشارع للفقراء فکیف نسوغ نحن بحیلة شرعیة إیصالها الی جیوب الاغنیاء، فهذا خلاف مصلحة الجعل للتصدق، لذا التزم البعض بالتصدق بالنصف، ولکن هذا أیضا لا ینفع فی دفع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 أشکل علی الحیل الشرعیة فی باب الربا من أن مفسدته هو استنزاف الدائنین من الطبقة الفقیرة بلا جهد عملی نظیر ممارسة الیهود فی الجاهلیة سابقا والی یومنا هذا، فکیف یسوغ حصول هذه المفسدة بتمامها عن طریق الحیل الشرعیة وباسم معاملی آخر فمن التشدید والتغلیظ فی أدلة حرمة الربا یستفاد نفی نتیجة الربا وإن کانت بطرق أخری، هذا وذلک الباب وان کان یحتمل فیه التفصیل إلا أنا المراد من الاستشهادیة هو أصل التنظیر فی المحذور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صغرویا فإن التصدق بربع او ثلث او نصف الثمن لا یقوم به</w:t>
      </w:r>
    </w:p>
    <w:p>
      <w:pPr>
        <w:pStyle w:val="BookText"/>
        <w:rPr/>
      </w:pPr>
      <w:r>
        <w:rPr>
          <w:rFonts w:ascii="IRNazanin" w:hAnsi="IRNazanin" w:eastAsia="IRNazanin"/>
          <w:color w:val="111111"/>
          <w:sz w:val="28"/>
          <w:sz w:val="28"/>
          <w:szCs w:val="28"/>
          <w:rtl w:val="true"/>
          <w:lang w:bidi="fa-IR"/>
        </w:rPr>
        <w:t>إلا النزر القلیل من المکلفین، اذ التاجر وغیره یری بأن المال ماله فکیف تطاوعه نفسه بان یتصدق بثلثه او أکثر من ذلک، فإما أن یحجم عن التعامل مع الدول الوضعیة او لا یلتزم بالتصدق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مجهول المالک لا صغری له کما تقدم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اولا واخرا</w:t>
      </w:r>
      <w:r>
        <w:rPr>
          <w:rFonts w:eastAsia="IRNazanin" w:cs="IRNazanin"/>
          <w:color w:val="111111"/>
          <w:sz w:val="28"/>
          <w:szCs w:val="28"/>
          <w:rtl w:val="true"/>
          <w:lang w:bidi="fa-IR"/>
        </w:rPr>
        <w:t>.</w:t>
      </w:r>
      <w:bookmarkStart w:id="83" w:name="pg13695_150661"/>
    </w:p>
    <w:p>
      <w:pPr>
        <w:pStyle w:val="Heading2"/>
        <w:numPr>
          <w:ilvl w:val="1"/>
          <w:numId w:val="1"/>
        </w:numPr>
        <w:rPr/>
      </w:pPr>
      <w:bookmarkStart w:id="84" w:name="__RefHeading___Toc983789_1468164448"/>
      <w:bookmarkStart w:id="85" w:name="_Toc31"/>
      <w:bookmarkEnd w:id="83"/>
      <w:bookmarkEnd w:id="84"/>
      <w:r>
        <w:rPr>
          <w:rtl w:val="true"/>
        </w:rPr>
        <w:t xml:space="preserve">قاعدة </w:t>
      </w:r>
      <w:r>
        <w:rPr>
          <w:rtl w:val="true"/>
        </w:rPr>
        <w:t>:</w:t>
      </w:r>
      <w:r>
        <w:rPr>
          <w:rtl w:val="true"/>
        </w:rPr>
        <w:t>لا ضرر</w:t>
      </w:r>
      <w:bookmarkEnd w:id="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983791_1468164448"/>
      <w:bookmarkStart w:id="87" w:name="_Toc32"/>
      <w:bookmarkEnd w:id="86"/>
      <w:r>
        <w:rPr>
          <w:rtl w:val="true"/>
        </w:rPr>
        <w:t>اشارة</w:t>
      </w:r>
      <w:bookmarkStart w:id="88" w:name="pg13695_150663"/>
      <w:bookmarkEnd w:id="87"/>
    </w:p>
    <w:p>
      <w:pPr>
        <w:pStyle w:val="BookText"/>
        <w:rPr/>
      </w:pPr>
      <w:bookmarkEnd w:id="88"/>
      <w:r>
        <w:rPr>
          <w:rFonts w:ascii="IRNazanin" w:hAnsi="IRNazanin" w:eastAsia="IRNazanin"/>
          <w:color w:val="111111"/>
          <w:sz w:val="28"/>
          <w:sz w:val="28"/>
          <w:szCs w:val="28"/>
          <w:rtl w:val="true"/>
          <w:lang w:bidi="fa-IR"/>
        </w:rPr>
        <w:t>لا ضرر</w:t>
      </w:r>
    </w:p>
    <w:p>
      <w:pPr>
        <w:pStyle w:val="Heading3"/>
        <w:numPr>
          <w:ilvl w:val="2"/>
          <w:numId w:val="1"/>
        </w:numPr>
        <w:rPr/>
      </w:pPr>
      <w:bookmarkStart w:id="89" w:name="__RefHeading___Toc983793_1468164448"/>
      <w:bookmarkStart w:id="90" w:name="_Toc33"/>
      <w:bookmarkEnd w:id="89"/>
      <w:r>
        <w:rPr>
          <w:rtl w:val="true"/>
        </w:rPr>
        <w:t>تطبیقها فی مورد عدم جواز الترقیع والتصرف ببدن الانسان انموذجا</w:t>
      </w:r>
      <w:bookmarkEnd w:id="90"/>
    </w:p>
    <w:p>
      <w:pPr>
        <w:pStyle w:val="BookText"/>
        <w:rPr/>
      </w:pPr>
      <w:r>
        <w:rPr>
          <w:rFonts w:ascii="IRNazanin" w:hAnsi="IRNazanin" w:eastAsia="IRNazanin"/>
          <w:color w:val="111111"/>
          <w:sz w:val="28"/>
          <w:sz w:val="28"/>
          <w:szCs w:val="28"/>
          <w:rtl w:val="true"/>
          <w:lang w:bidi="fa-IR"/>
        </w:rPr>
        <w:t>استدل علی عدم جواز التصرف ببدن الانسان بعدة 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ذکرناها فی کتابنا فقه الطب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استدل به علی المنع قاعدة 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تمسّک المشهور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بالنفس حرام للروایات الموجودة فی أبواب الأطعمة المحرمة المشتملة علی تعلیل حرمتها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حکمة للحرمة لا علّة تدور مدارها لحرمة القلیل من تلک الأصناف المحرمة وإن لم تکن مضرّة، مع أنّه ورد فی تلک الأبواب خواص الأطعمة المضر منها والنافع ولا یلتزم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اذ لا ملازمة بین کون الضرر موضوعا للتحریم ودوران الحرمة فی الأشیاء المزبورة مدار الضرر المعلوم للمکلفین، اذ فردیة تلک الأصناف ومصداقیتها لما یضرّ بالبدن مما کشف الشارع عنها وتعبّدنا بذلک بلا فرق بین القلیل والکثیر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النقض بما ورد فی خواص الأغذیة الضارّة والنافعة فمدفوع بأنّ مطلق النقص لیس ضررا ولذا ورد فیها ما یصلحها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واشکل بعض متأخّری الأعصار علی الاستدلال المشهور بأنّ لا ضرر دلیل رافع لا</w:t>
      </w:r>
    </w:p>
    <w:p>
      <w:pPr>
        <w:pStyle w:val="BookText"/>
        <w:rPr/>
      </w:pP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والصحیح أن کونها رافعة لا یخدش فی استفادة حرمة الاضرار منها، لا کما قرّبه شیخ الشریعة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بل استفادة الحرمة تامّة مع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بتقریب نذکر له مقدمة وهی ما قرّر فی علم الأصول من انّ أی اطلاق أو عموم له مدلول التزامی‌فی فرد بخصوصه فلیس ذلک المدلول الالتزامی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مدلوله الالتزامی فی کل أفراده فهو حجّة، لأنه مع کونه فی کل الأفراد یستلزم کونه مدلولا التزامیا لأصل الدلیل بخلاف ما إذا کان فی فرد واحد فلا یکون مدلولا التزامیا لنفس الدلیل وبالتالی لا یکون قد ساقه المتکلّم ولا نصب قرینة 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المتکلّم لیس فی سیاق وتوضیح أحکام شئون الفرد، بل فی سیاق بیان أحکام وشئون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فی المقام، فالمشهور عندما یستدلّون بلا ضرر ولا ضرار لإثبات الحرمة مع کون عموم مفاده الرفع والنفی فقد یتوهّم انّ استفادة الحرمة من المدلول الالتزامی للفرد لا لعموم الطبیعة وقد ذکر متأخّروا هذه الأعصار نظیر هذا الاشکال فی خیار الغبن والعیب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المشهور تمسّکوا لاثباتهما بلا ضرر فأشکل علیهم بأنّه مدلول التزامی للفرد فلا یکون ذلک المفاد منه حجّة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وتنقیح الحال انّ ثبوت مدلول فی فرد خاص من عموم الطبیعة تارة من باب المدلول الالتزامی وأخری من باب الترتّب الشرعی أو العقلی القهری لنفس مفاد الطبیعة فی ذلک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یلزم مفادها عقلا فی ذلک الفرد ثبوت مدلول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حجیّة المدلول الثانی من باب حجیّة الدلالة الالتزامیة کی یقال انّه لیس بحجّة فیجب أن نفرّق بین الأحکام العقلیة أو الشرعیة القهریة المترتبة علی شیء وفرد من الطبیعة ولها دلیلها الخاص‌بنفسها وبین کون هذا المدلول الآخر ثبوته رهین بالمدلول الالتزامی للدلیل، مثلا إذا أثبت الاستصحاب انّ هذا الماء طاهر وقد غسل به ثوب النجس فهذا الثوب یطهر وطهارته لیست من لوازم طبیعة کل استصحاب وانّما من لوازم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 کونه مدلولا التزامیا لدلیل الاستصحاب فی الفرد إلا انّ له دلیله الخاص وهو مطهریة الماء الطاهر للمتنجسات فاللازم عدم الخلط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اتّضح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حرمة الإضرار بالنفس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کمدلول التزامی فی الفرد فإشکال المتأخرین بذلک وأنه لیس بحجّة فی محلّه وأمّا إذا کانت استفادته لا من جهة ذلک، بل لأن له دلیلا آخر عقلیا أو شرعیا فلا بأس</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ذلک انّ المشهور یطبّقون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الجواز التکلیفی، حیث انّ الأصل الأولی فی الأفعال الإباحة والجواز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طرأ علیه الضرر واضراره بالبدن فلا ضرر ترفع الجواز التکلیفی ومع رفعه ینتج عقلا الحرمة لا من باب المدلول الالتزامی للفرد کی یتوقّف علی دلالة دلیل العام، بل لأن معنی رفع الاذن فی الترخیص عقلا هو الحرمة، فبمقتضی نفس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الرفع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فی الأحکام الإلزامیة ولا تشمل الأحکام غیر الإلزامیة لأن الضرر فی موارد الجواز یوجد بسبب إرادة المکلّف واختیاره لا بسبب إلزام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بالترخیص وفتح الباب من الشارع یصحّ إسناد الضرر إلیه، اذ لو لم یرخص لما حصل الإقدام علی الضرر والتفرقة بین الإلزام وأن فیه قهرا لإرادة المکلّف بخلاف الترخیص فلیس فیه تحمیل وقسر،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فی الإلزام لا تسلب الإرادة الاختیاریة تکوینا ولو بلحاظ العقوبة والخوف منه وإلا لسقط التکلیف سیّما عند من لا یرتدع وفی الترخیص سیّما الاقتضائی الندبی یصدق الإسناد إلی الشارع کما یشهد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یقال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رخّصت له فی الفعل الکذائی؟</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الأقوی عدم جواز قطع عضو من أعضاء انسان حیّ من دون تفصیل بین العضو الرئیسی وغیر الرئیسی وتفصیل بعض الفقهاء ومنهم بعض أجلة المعاصرین مستند إلی انّ الضرر الخطیر حرام من باب الإجماع القطعی المسلّم أو السیرة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انّ الأدلّة دالّة علی حرمة مطلق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الضرر لیس هو مطلق النقص والخسارة بل خصوص غیر المتدارک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الموارد التی ترتکب لأجل أغراض عقلائیة هامّة معتادة عند العقلاء خارجة تخصصا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اتّضح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مسالة الترقیع بالعضو قال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عضو من اعضاء انسان حی للترقیع اذا رضی به؟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 الاعضاء الرئیسیة للبدن</w:t>
      </w:r>
    </w:p>
    <w:p>
      <w:pPr>
        <w:pStyle w:val="BookText"/>
        <w:rPr/>
      </w:pPr>
      <w:r>
        <w:rPr>
          <w:rFonts w:ascii="IRNazanin" w:hAnsi="IRNazanin" w:eastAsia="IRNazanin"/>
          <w:color w:val="111111"/>
          <w:sz w:val="28"/>
          <w:sz w:val="28"/>
          <w:szCs w:val="28"/>
          <w:rtl w:val="true"/>
          <w:lang w:bidi="fa-IR"/>
        </w:rPr>
        <w:t xml:space="preserve">کالعین والید والرجل وما شاکلها لم 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 ما اذا توقفت حیاة حیّ آخر علی ترقیع العضو ولعلّه لو کانت تتوقّف حیاة الآخر علیه لکان أیضا تتوقّف حیاة المتبرّع علیه ولکن فی مثل الکلیة قد لا تتوقف حیاة المتبرّع علیه بخلاف الآخر وقد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الفتاوی بالجواز فی غیر الأعضاء الظاهرة کالکلیة ونحوها من الأعضاء الباطنیة غیر الرئیسیة قال فی کتابه الفتوائی صراط النجاة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التبرع باحد الکلیتین او بعض اعضاء الجسم مما لا یکون من الاعضاء الرئیسیة کالید او الرجل فلا باس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التبرع باحد العینین فهو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أشکل بعض الأعلام من تلامذته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قی عدم الجواز بین الکلیتین او احد العینین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لبنائه علی عدم جواز التصرّف فی البدن وأنه أمانة وغیر ذلک ممّا تقدّم ولابدَّ لتنقیح الکلام فی التبرّع للآخرین من ذکر صور متعددة لکی لا یحصل الخلط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المتبرّع لا یتعرّض إلی الخطر وتوقّفت حیاة المهدی إلیه علیه فحینئذ یجوز التصرّف فی البدن من باب التزاحم وأقوائیة ملاک وجوب حفظ الآخر، لکن تقرر فی محله أنه لا اطلاق فی وجوبه فالحکم بالجواز مشکل، فلاحظ</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المتبرّع فی معرض الخطر سواء کان حیاة المهدی إلیه متوقّفة علیه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التصرّف فی البدن لاجتماع الحرمتین حرمة التصرّف فی البدن وحرمة التعریض للخطر، کما هو مفاد الآیة الشریفة لا</w:t>
      </w:r>
    </w:p>
    <w:p>
      <w:pPr>
        <w:pStyle w:val="BookText"/>
        <w:rPr/>
      </w:pPr>
      <w:r>
        <w:rPr>
          <w:rFonts w:ascii="Amiri" w:hAnsi="Amiri" w:eastAsia="Amiri" w:cs="Amiri"/>
          <w:color w:val="111111"/>
          <w:sz w:val="28"/>
          <w:sz w:val="28"/>
          <w:szCs w:val="28"/>
          <w:rtl w:val="true"/>
          <w:lang w:bidi="ar-SA"/>
        </w:rPr>
        <w:t xml:space="preserve">تُلْقُوا بِأَیْدِیکُمْ إِلَی التَّهْلُکَةِ </w:t>
      </w:r>
      <w:r>
        <w:rPr>
          <w:rStyle w:val="FootnoteAnchor"/>
          <w:rtl w:val="true"/>
        </w:rPr>
        <w:footnoteReference w:id="95"/>
      </w:r>
      <w:r>
        <w:rPr>
          <w:rFonts w:ascii="Amiri" w:hAnsi="Amiri" w:eastAsia="Amiri" w:cs="Amiri"/>
          <w:color w:val="111111"/>
          <w:sz w:val="28"/>
          <w:sz w:val="28"/>
          <w:szCs w:val="28"/>
          <w:rtl w:val="true"/>
          <w:lang w:bidi="ar-SA"/>
        </w:rPr>
        <w:t>وهما أرجح لو سلّم إطلاق فی دلیل وجوب حفظ الغیر لا سیّما إذا کان إنقاذ حیاة المهدی إلیه غیر مضمون ولا یطمئن إلی بقاء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ما بنی علیه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موارد أخر، کما إذا دار الأمر بین حیاة نفسین انّ الإنسان مخیّر نظیر الأم إذا کان فی بطنها جنین ودار الأمر بین موت الأم ونجاة الطفل أو إماتة الطفل ونجاة الأم ان الحکم هو التخییر لتساوی الملاکین ونظیر ما لو هدّد شخص آخر بالقتل لقتل ثالث التزامه بالجواز فی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ظاهر عبارة فتواه هاهنا الحرمة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حیث بنوا علی مفاد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عَنْ أَبِی جَعْفَرٍ ع قَالَ إِنَّمَا جُعِلَتِ التَّقِیَّةُ لِیُحْقَنَ بِهَا الدَّمُ فَإِذَا بَلَغَ الدَّمَ فَلَیْسَ تَقِیَّةٌ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وانّه لا یجوز ارتکاب القتل لحفظ النفس وکذلک العکس لا یجوز قتل النفس لحفظ الغیر ولکنه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ملاک حرمة نفس الشخص عین ملاک حرمة نفس الشخص الآخر فلیس من الواجب علی المکلّف تعیینا حفظ نفسه ولا العکس وسیأتی جهات النظر فی هذا المبنی فی الفرض الثالث</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یطمئن عند التبرّع بحیاة الآخر أو یحتمل احتمالا معتدا به ولکنه یوجب نقصا فی بدنه وأعضائه دون الهلاک وقد التزم بعض الأعلام فی هذه الصورة بالحرمة أیضا لأن وجوب حفظ نفس الغیر مقیّد بالقدرة عقلا وهاهنا غیر مقدور إلا بالتصرّف فی البدن وهو حرام ممنوع عن فعله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حفظ نفس الغیر هو عبر الأسباب</w:t>
      </w:r>
    </w:p>
    <w:p>
      <w:pPr>
        <w:pStyle w:val="BookText"/>
        <w:rPr/>
      </w:pPr>
      <w:r>
        <w:rPr>
          <w:rFonts w:ascii="IRNazanin" w:hAnsi="IRNazanin" w:eastAsia="IRNazanin"/>
          <w:color w:val="111111"/>
          <w:sz w:val="28"/>
          <w:sz w:val="28"/>
          <w:szCs w:val="28"/>
          <w:rtl w:val="true"/>
          <w:lang w:bidi="fa-IR"/>
        </w:rPr>
        <w:t>العادیة المتعارفة لا بکلّ سبب وإن کان محرما کالاجحاف بالنفس إلا أن یکون الغیر معصوما أو شخصا فیه جهات أخری ملزمة لبقائه، تعلم منها انّ وجوب حفظه مطلق، یتناول تلک الموارد التی فیها الاجحاف بالنفس فلیس فی البین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لنجاة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موارد استلزام ذلک اصابة الجرح أو الکسر أو ما شابه ذلک لا یکون ذلک الضرر مزاحما راجحا لوجوب حفظ النفس وإن أمکن القول بالرخصة فی ترکه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استلزم نقص العضو فلا یجوز لانطباق تهلکة النفس علیه فی الفرض مع‌قصور دلیل وجوب حفظ النفس المحترمة لمثل ذلک، وإن کان حفظ النفس المحترمة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عمّا یستلزمه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راجحا لکنه لا یزاحم ولا یعادل ما هو واجب من حفظ النفس وعلی أی حال لیس لدلیل وجوب حفظ النفس المحترمة اطلاق وشمول لموارد بذل الحافظ لحیاته أو لنقص فی بدنه فکلام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من فرض الدوران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وقلنا انّ هناک إطلاقا لدلیل وجوب الحفظ فمع ذلک لا نسلّم التخییر، بل یرفع وجوب حفظ الغیر بلا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امتنانیة فلا ترفع وجوب حفظ الغیر، اذ رفعها للوجوب المزبور خلاف المنّة بالإضافة إلی الغیر فلا منّة نوعیّة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النظر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فأدلّة الاضطرار محکّمة، اذ المکلّف مضطر لحفظ حیاته أو أعضائه لا ترک حفظ الغیر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رفع الاضطرار من الأدلّة الأولیة من</w:t>
      </w:r>
    </w:p>
    <w:p>
      <w:pPr>
        <w:pStyle w:val="BookText"/>
        <w:rPr/>
      </w:pPr>
      <w:r>
        <w:rPr>
          <w:rFonts w:ascii="IRNazanin" w:hAnsi="IRNazanin" w:eastAsia="IRNazanin"/>
          <w:color w:val="111111"/>
          <w:sz w:val="28"/>
          <w:sz w:val="28"/>
          <w:szCs w:val="28"/>
          <w:rtl w:val="true"/>
          <w:lang w:bidi="fa-IR"/>
        </w:rPr>
        <w:t>باب التزاحم الملاکی ولیست مخصصة للأحکام المرفوعة وإذا لم تکن رافعة للملاک بل رافعة للتنجیز أو الفعلیة فالتزاحم علی حاله والدوران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ذو الملاک الذی رفعت فعلیته العناوین الثانویة مبتلی بمانع وهو ملاک الاضطرار والضرر بینما الحکم الآخر وهو حرمة ایقاع النفس فی التهلکة علی حاله فعلی فلا مسوغ لرفع الید عنه بتوسط ملاک 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انّ جواز التبرّع بالعضو فضلاً عن الوجوب محلّ تأمّل ومنع وإلی ذلک یشیر نفی التقیة فی الدماء</w:t>
      </w:r>
    </w:p>
    <w:p>
      <w:pPr>
        <w:pStyle w:val="BookText"/>
        <w:rPr/>
      </w:pPr>
      <w:r>
        <w:rPr>
          <w:rFonts w:ascii="IRNazanin" w:hAnsi="IRNazanin" w:eastAsia="IRNazanin"/>
          <w:color w:val="111111"/>
          <w:sz w:val="28"/>
          <w:sz w:val="28"/>
          <w:szCs w:val="28"/>
          <w:rtl w:val="true"/>
          <w:lang w:bidi="fa-IR"/>
        </w:rPr>
        <w:t>ویشیر استثناؤها من عموم التقیة، اذ مقتضی الاستثناء من عموم مشروعیة التقیة هو حرمتها فی الدماء، کما فی صحیحة محمد بن مسلم وموثقة أبی حمزة الثمالی وغیرهما من الروایات فهی دلیل آخر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أخذ المال فی قبال اعطاء العضو فیصح لأن بیع المیتة والانتفاع بها جائز إذا کان بلحاظ المنافع المحلّلة کما ذکرناه فی محلّه</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یشکل الجواز لا من جهة المیتة بل من جهة وجوب دفن العضو المبان، کما تقرر فی بحث التشریح وبالتالی لا یکون انتفاع الغیر به مشروعا فتنتفی مالیة ذلک الانتفاع، بل قد یصوّر وجوب آخر وهو وجوب اعادة العضو علی الشخص المبان منه فی ما إذا کان ذلک ممکنا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یقال انّ أخذ المال لیس عوضا عن تلک المنفعة المنهیة عنها کی یکون أکلا للمال بالباطل بعد اعدام مالیتها من قبل الشارع، بل أخذ</w:t>
      </w:r>
    </w:p>
    <w:p>
      <w:pPr>
        <w:pStyle w:val="BookText"/>
        <w:rPr/>
      </w:pPr>
      <w:r>
        <w:rPr>
          <w:rFonts w:ascii="IRNazanin" w:hAnsi="IRNazanin" w:eastAsia="IRNazanin"/>
          <w:color w:val="111111"/>
          <w:sz w:val="28"/>
          <w:sz w:val="28"/>
          <w:szCs w:val="28"/>
          <w:rtl w:val="true"/>
          <w:lang w:bidi="fa-IR"/>
        </w:rPr>
        <w:t>المال هو مقابل حق الاختصاص أو مقابل رفع الید عن ذلک الشیء الذی یکون الآخذ للمال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 الاختصاص لیس إلا شعبة من الملکیة علی ما هو الصحیح من کون الحق ملکیة ضعیفة، بل فی مثل هذه الموارد هو تمام الملکیة لأن المالیة التی یقابل بها هی عین مالیة الملک فلیس فی البین إلا تغییر الألفاظ وکذلک الحال بالنسبة إلی رفع الید، فإنّه کنایة عن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السلطنة والملکیة لا سیّما وأنه یقابل بقدر المالیة التی للملکیة وإلا فلو کان وضع الید عبارة عن ممانعة تکوینیة صرفة من دون أی حق لصاحب الید فی الشیء لکان بذل المال فی مقابل الباطل بعد عدم استحقاق ذی الید وعدم جواز ممانعته من انتفاع الغیر به</w:t>
      </w:r>
      <w:r>
        <w:rPr>
          <w:rFonts w:eastAsia="IRNazanin" w:cs="IRNazanin"/>
          <w:color w:val="111111"/>
          <w:sz w:val="28"/>
          <w:szCs w:val="28"/>
          <w:rtl w:val="true"/>
          <w:lang w:bidi="fa-IR"/>
        </w:rPr>
        <w:t>.</w:t>
      </w:r>
      <w:bookmarkStart w:id="91" w:name="pg13695_150673"/>
    </w:p>
    <w:p>
      <w:pPr>
        <w:pStyle w:val="Heading2"/>
        <w:numPr>
          <w:ilvl w:val="1"/>
          <w:numId w:val="1"/>
        </w:numPr>
        <w:rPr/>
      </w:pPr>
      <w:bookmarkStart w:id="92" w:name="__RefHeading___Toc983795_1468164448"/>
      <w:bookmarkStart w:id="93" w:name="_Toc34"/>
      <w:bookmarkEnd w:id="91"/>
      <w:bookmarkEnd w:id="92"/>
      <w:r>
        <w:rPr>
          <w:rtl w:val="true"/>
        </w:rPr>
        <w:t xml:space="preserve">قاعدة </w:t>
      </w:r>
      <w:r>
        <w:rPr>
          <w:rtl w:val="true"/>
        </w:rPr>
        <w:t>:</w:t>
      </w:r>
      <w:r>
        <w:rPr>
          <w:rtl w:val="true"/>
        </w:rPr>
        <w:t>إن المتنجس ینجس</w:t>
      </w:r>
      <w:bookmarkEnd w:id="9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983797_1468164448"/>
      <w:bookmarkStart w:id="95" w:name="_Toc35"/>
      <w:bookmarkEnd w:id="94"/>
      <w:r>
        <w:rPr>
          <w:rtl w:val="true"/>
        </w:rPr>
        <w:t>اشارة</w:t>
      </w:r>
      <w:bookmarkStart w:id="96" w:name="pg13695_150675"/>
      <w:bookmarkEnd w:id="95"/>
    </w:p>
    <w:p>
      <w:pPr>
        <w:pStyle w:val="BookText"/>
        <w:rPr/>
      </w:pPr>
      <w:bookmarkEnd w:id="96"/>
      <w:r>
        <w:rPr>
          <w:rFonts w:ascii="IRNazanin" w:hAnsi="IRNazanin" w:eastAsia="IRNazanin"/>
          <w:color w:val="111111"/>
          <w:sz w:val="28"/>
          <w:sz w:val="28"/>
          <w:szCs w:val="28"/>
          <w:rtl w:val="true"/>
          <w:lang w:bidi="fa-IR"/>
        </w:rPr>
        <w:t>إن المتنجس ینجس</w:t>
      </w:r>
    </w:p>
    <w:p>
      <w:pPr>
        <w:pStyle w:val="Heading3"/>
        <w:numPr>
          <w:ilvl w:val="2"/>
          <w:numId w:val="1"/>
        </w:numPr>
        <w:rPr/>
      </w:pPr>
      <w:bookmarkStart w:id="97" w:name="__RefHeading___Toc983799_1468164448"/>
      <w:bookmarkStart w:id="98" w:name="_Toc36"/>
      <w:bookmarkEnd w:id="97"/>
      <w:r>
        <w:rPr>
          <w:rtl w:val="true"/>
        </w:rPr>
        <w:t>القاعدة فی کلمات الفقهاء</w:t>
      </w:r>
      <w:r>
        <w:rPr>
          <w:rtl w:val="true"/>
        </w:rPr>
        <w:t>:</w:t>
      </w:r>
      <w:bookmarkEnd w:id="98"/>
    </w:p>
    <w:p>
      <w:pPr>
        <w:pStyle w:val="BookText"/>
        <w:rPr/>
      </w:pPr>
      <w:r>
        <w:rPr>
          <w:rFonts w:ascii="IRNazanin" w:hAnsi="IRNazanin" w:eastAsia="IRNazanin"/>
          <w:color w:val="111111"/>
          <w:sz w:val="28"/>
          <w:sz w:val="28"/>
          <w:szCs w:val="28"/>
          <w:rtl w:val="true"/>
          <w:lang w:bidi="fa-IR"/>
        </w:rPr>
        <w:t xml:space="preserve">نسب الاجماع الی المحقق فی المعتبر، لکن عبارته التی فی مقام الجواب عن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واجتمعت الاصحاب علی نجاسة الید الملاقیة للمیت واجمعوا علی نجاسة المائع اذا وقعت فیه نجاسة</w:t>
      </w:r>
      <w:r>
        <w:rPr>
          <w:rStyle w:val="FootnoteAnchor"/>
          <w:rtl w:val="true"/>
        </w:rPr>
        <w:footnoteReference w:id="98"/>
      </w:r>
      <w:r>
        <w:rPr>
          <w:rFonts w:ascii="IRNazanin" w:hAnsi="IRNazanin" w:eastAsia="IRNazanin"/>
          <w:color w:val="111111"/>
          <w:sz w:val="28"/>
          <w:sz w:val="28"/>
          <w:szCs w:val="28"/>
          <w:rtl w:val="true"/>
          <w:lang w:bidi="fa-IR"/>
        </w:rPr>
        <w:t>لا تعطی الاطلاق فی منجسیة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نسب الی القاضی فی الجواهر وعبارته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بیننا ان الماء اذا نقص عن ذلک ولاقته نجاسة انا نحکم بنجاسته</w:t>
      </w:r>
      <w:r>
        <w:rPr>
          <w:rStyle w:val="FootnoteAnchor"/>
          <w:rtl w:val="true"/>
        </w:rPr>
        <w:footnoteReference w:id="99"/>
      </w:r>
      <w:r>
        <w:rPr>
          <w:rFonts w:ascii="IRNazanin" w:hAnsi="IRNazanin" w:eastAsia="IRNazanin"/>
          <w:color w:val="111111"/>
          <w:sz w:val="28"/>
          <w:sz w:val="28"/>
          <w:szCs w:val="28"/>
          <w:rtl w:val="true"/>
          <w:lang w:bidi="fa-IR"/>
        </w:rPr>
        <w:t>، وهی الاخری لیست فی مقام الاطلاق اذ یتم استدلالهما مع تقیید الکبری للمتنجس عن النجس أو بالوسائط الاولی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بالاطلاق جمع من متأخری المتأخرین، کما انه نسب الخلاف الی ابن ادریس، ولکن الاصح ان خلافه فی عدم کون نجاسة بدن المیت عینیة بل حکمیة، نعم خالف الکاشانی فی اصل ذلک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 مبحث المیاه</w:t>
      </w:r>
      <w:r>
        <w:rPr>
          <w:rStyle w:val="FootnoteAnchor"/>
          <w:rtl w:val="true"/>
        </w:rPr>
        <w:footnoteReference w:id="100"/>
      </w:r>
      <w:r>
        <w:rPr>
          <w:rFonts w:ascii="IRNazanin" w:hAnsi="IRNazanin" w:eastAsia="IRNazanin"/>
          <w:color w:val="111111"/>
          <w:sz w:val="28"/>
          <w:sz w:val="28"/>
          <w:szCs w:val="28"/>
          <w:rtl w:val="true"/>
          <w:lang w:bidi="fa-IR"/>
        </w:rPr>
        <w:t>من کتاب الطهارة حکایة الخلاف عن المحقق صاحب الکفایة وتلمیذه المحقق الاصفهانی بدعوی عدم وروده فی</w:t>
      </w:r>
    </w:p>
    <w:p>
      <w:pPr>
        <w:pStyle w:val="BookText"/>
        <w:rPr/>
      </w:pPr>
      <w:r>
        <w:rPr>
          <w:rFonts w:ascii="IRNazanin" w:hAnsi="IRNazanin" w:eastAsia="IRNazanin"/>
          <w:color w:val="111111"/>
          <w:sz w:val="28"/>
          <w:sz w:val="28"/>
          <w:szCs w:val="28"/>
          <w:rtl w:val="true"/>
          <w:lang w:bidi="fa-IR"/>
        </w:rPr>
        <w:t>الروایات، وهی غریبة کما سیتضح، وهناک تفصیلات اخری فی عدد الوسائط أو بین الجامد والمائع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الروایات الدالة علی ذلک فقد ذکرنا فی انفعال الماء القلیل ان منجسیة المتنجس بعین النجس مفاد العدید من الطوائف الدالة فلاحظ، وغیرها مما لم نذکره مما یبلغ التواتر، کالذی ورد فی تطهیر الفرش ومطهریة الارض للقدم المتنجس بها، أو مطهریة الشمس الدالة اقتضاء علی ذلک، وأما حدود دائرتها فی المتنجس بالواسطة فیمکن الاستدلال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عمار الساباطی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الکوز والاناء یکون قذرا کیف یغسل وکم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الحدیث، فانها دالة علی منجسیة الجامد المتنجس للمایع، فبقدر ما تدل الأدلة الاخری علی تنجس الجامد بالوسائط تکون هذه الموثقة دالة علی منجسیته علاوة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ادخال الید فی الاناء وهی قذرة</w:t>
      </w:r>
      <w:r>
        <w:rPr>
          <w:rStyle w:val="FootnoteAnchor"/>
          <w:rtl w:val="true"/>
        </w:rPr>
        <w:footnoteReference w:id="102"/>
      </w:r>
      <w:r>
        <w:rPr>
          <w:rFonts w:ascii="IRNazanin" w:hAnsi="IRNazanin" w:eastAsia="IRNazanin"/>
          <w:color w:val="111111"/>
          <w:sz w:val="28"/>
          <w:sz w:val="28"/>
          <w:szCs w:val="28"/>
          <w:rtl w:val="true"/>
          <w:lang w:bidi="fa-IR"/>
        </w:rPr>
        <w:t>، کصحیح ابن أبی نصر وأبی بصیر وغیرهما، من انه یهریق الماء، أو اشتراط طهارة الید کصحیح زرارة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الدلالة انه کلما کانت الید متنجسة فانها منجسة للمایع، والامر بإراقته أو اکفائه لانه ینجس ما یصیبه لا لکون مستعملا غیر رافع للحدث والا لما اتلف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ان غایة دلالتها هی علی تنجس المایع والماء بالجامد المتنجس لا علی منجسیة ذلک المایع، اذ هی مفاد زائد لا یلزم من الاراقة والنهی عن التوضوء به وشربه، وعلی ذلک تکون دلالتها کالموثقة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البواری المبلولة بماء قذر</w:t>
      </w:r>
      <w:r>
        <w:rPr>
          <w:rStyle w:val="FootnoteAnchor"/>
          <w:rtl w:val="true"/>
        </w:rPr>
        <w:footnoteReference w:id="104"/>
      </w:r>
      <w:r>
        <w:rPr>
          <w:rFonts w:ascii="IRNazanin" w:hAnsi="IRNazanin" w:eastAsia="IRNazanin"/>
          <w:color w:val="111111"/>
          <w:sz w:val="28"/>
          <w:sz w:val="28"/>
          <w:szCs w:val="28"/>
          <w:rtl w:val="true"/>
          <w:lang w:bidi="fa-IR"/>
        </w:rPr>
        <w:t>، کموثقة عمار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الباریة یبل قصبها بماء قذر هل تجوز الصلاة علیها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جفت فلا بأس بالصلاة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الدلالة أن الماء القذر المتنجس ولو بالواسطة کما تقدم ینجّس الباریة، واشتراط الجفاف فی الباریة لئلا تنجّس الملاقی لها، فیکون حاصل مفادها مع مفاد ما تقدم هو منجسیة الواسطة الثالثة وان فرض کون الواسطة الثانیة مایعا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الجزء الثانی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منجسیة الباریة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المسؤول عنه هل هو السجود علیها أو الوقوف للصلاة علیها أو الأعم، فعلی التقدیر الاول لا دلالة لها علی المنجسیة بل علی لزوم طهارة محل السجود بتجفیف الشمس، وعلی الثالث فیلزم التدافع والتشویش فیما هو الشرط حیث انه فی السجود جفاف الشمس للتطهیر وفی الوقوف مطلق الجفاف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الثانی تکون دالة علی المدعی بأخذ مطلق الجفاف، وتعیین احد التقادیر غیر میسر، لان اطلاق المجفف یقتضی التقدیر الثانی واخراج فرض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الصلاة علیها یقتضی دخوله</w:t>
      </w:r>
    </w:p>
    <w:p>
      <w:pPr>
        <w:pStyle w:val="BookText"/>
        <w:rPr/>
      </w:pPr>
      <w:r>
        <w:rPr>
          <w:rFonts w:ascii="IRNazanin" w:hAnsi="IRNazanin" w:eastAsia="IRNazanin"/>
          <w:color w:val="111111"/>
          <w:sz w:val="28"/>
          <w:sz w:val="28"/>
          <w:szCs w:val="28"/>
          <w:rtl w:val="true"/>
          <w:lang w:bidi="fa-IR"/>
        </w:rPr>
        <w:t>فیتمانعان، بل قد یرجح اطلاق الصلاة علیها لکونه فی السؤال والجواب تابع فی الظهور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الاقرب اتحاد ظهورها مع ظهور مثل صحیح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الشاذ کونه یکون علیها الجنابة ایصلی علیها فی 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فان الصلاة علیها بمعنی الوقوف علیها والکون فیها حال الصلاة اذ هی نمط من ثیاب غلاظ مضربة تعمل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السؤال فی صحیح علی بن جعفر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البیت والدار لا تصبهما الشمس ویصیبهما البول ویغتسل فیهما من الجنابة أیصلی فیهما اذا جفا؟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موثقة عمار الاخری هی اصرح فی منجسیة المکان، الا ان فی شمولها لما اذا تنجس المکان بالمتنجس 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الشمس هل تطهر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الموضع قذرا من البول أو غیر ذلک فاصابته الشمس، ثم یبس الموضع فالصلاة علی الموضع جائزة، وان اصابته الشمس ولم ییبس الموضع القذر وکان رطبا فلا تجوز الصلاة علیه حتی ییبس، وان کانت رجلک رطبة أو جبهتک رطبة أو غیر ذلک منک ما یصیب ذلک الموضع القذر فلا تصل علی ذلک الموضع حتی ییبس، وان کان غیر الشمس اصابه حتی ییبس فانه لا یجوز ذلک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قد دلت علی منجسیة الجامد المتنجس وان کان برطوبة من الملاقی الطاهر، الا ان دلالتها علی کونه متنجسا بالمتنجس تتم بالاطلاق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قذرا من البول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معاضدة الاطلاق، وان کان فی فقرات الروایة نحو تدافع یأتی حلّه فی المطهرات بما فی الصحاح المتقدمة من منع الصلاة علی الباریة ونحوها مما تنجس بالماء القذر الا اذا 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بال فی موضع لیس فیه ماء فمسح ذکره بحجر وقد عرق ذکره وفخذه؟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ذکره وفخذیه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فان الظاهر ارادة غسل مجموع الفخذین وهی المنطقة المقابلة للعضو المتنجس بعین النجس لان الغسل لیس لخصوص النقطتین الملاقیتین للعضو المزبور مما یدل علی ان التنجس حصل بتوسط جریان العرق، فتکون المواضع الاخری للفخذ متنجسة بالمتنجس بالواسطة وهو العرق علی أی تقدیر یصوّر فرض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علی منجسیة المتنجس مطلقا بلغ ما بلغ بوجوه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من ان توصیف الماء بالقذر أو الآنیة به او الید به وغیره مما ورد بنحو العنوان العام للواسطة المتنجسة من دون تحدید یعمّ النجاسة الحکمیة ولا یخصّ العینیة، وعلی ذلک فانه اذا ثبت منجسیة الوسائط الاولی فان مثل الماء والاناء والید المتنجسة بتلک الوسائط یصدق علیها حینئذ القذارة ومن ثم یتحقق موضوع الروایات المتقدمة فیعود حصول سلسلة الموضوعات المترتبة المذکورة فیها وهکذا هلم جرا</w:t>
      </w:r>
      <w:r>
        <w:rPr>
          <w:rFonts w:eastAsia="IRNazanin" w:cs="IRNazanin"/>
          <w:color w:val="111111"/>
          <w:sz w:val="28"/>
          <w:szCs w:val="28"/>
          <w:rtl w:val="true"/>
          <w:lang w:bidi="fa-IR"/>
        </w:rPr>
        <w:t>.</w:t>
      </w:r>
      <w:bookmarkStart w:id="99" w:name="pg13695_150680"/>
    </w:p>
    <w:p>
      <w:pPr>
        <w:pStyle w:val="BookText"/>
        <w:rPr/>
      </w:pPr>
      <w:bookmarkEnd w:id="99"/>
      <w:r>
        <w:rPr>
          <w:rFonts w:ascii="IRNazanin" w:hAnsi="IRNazanin" w:eastAsia="IRNazanin"/>
          <w:color w:val="111111"/>
          <w:sz w:val="28"/>
          <w:sz w:val="28"/>
          <w:szCs w:val="28"/>
          <w:rtl w:val="true"/>
          <w:lang w:bidi="fa-IR"/>
        </w:rPr>
        <w:t>واشکل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القذر لا یصدق الا علی المتنجس بعین النجس عرفا؟ بعد کون القذر بالذات هو الاعیان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اجبنا عنه فی انفعال القلیل ان مبدأ ومنشأ القذارة هو الحکم بالنجاسة والتنجس ولزوم الغسل والتطهیر، فکلما حکم علی شیء انه نجس تنجس صدق علیه انه قذر، لکن مع ذلک لا نلتزم بالاطلاق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السرایة فی النجاسات والقذارات بالملاقاة مع الرطوبة لاسیما فی المایعات، وهو یعاضد الاطلاق فی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المحکی من المحقق والقاضی وجماعة من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انها محل نظر وتأمل، أما الاول والثانی فان الارتکاز هو علی تخفف القذارة بالترامی الی حد یحکم العرف بانعدام السرایة، ومن ثم یظهر النظر فی الاطلاق المزعوم وان الانصراف متجه بلحاظ الوسائط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 فقد عرفت ان عبارتی المحقق والقاضی لا اطلاق فیهما ایضا، مضافا الی عدم عنونة المتقدمین للمسألة، فکیف تکون عبارتهما ناظرة الیها أو کاشفة عن تسالم السیرة علیه</w:t>
      </w:r>
      <w:r>
        <w:rPr>
          <w:rFonts w:eastAsia="IRNazanin" w:cs="IRNazanin"/>
          <w:color w:val="111111"/>
          <w:sz w:val="28"/>
          <w:szCs w:val="28"/>
          <w:rtl w:val="true"/>
          <w:lang w:bidi="fa-IR"/>
        </w:rPr>
        <w:t>.</w:t>
      </w:r>
    </w:p>
    <w:p>
      <w:pPr>
        <w:pStyle w:val="Heading3"/>
        <w:numPr>
          <w:ilvl w:val="2"/>
          <w:numId w:val="1"/>
        </w:numPr>
        <w:rPr/>
      </w:pPr>
      <w:bookmarkStart w:id="100" w:name="__RefHeading___Toc983801_1468164448"/>
      <w:bookmarkStart w:id="101" w:name="_Toc37"/>
      <w:bookmarkEnd w:id="100"/>
      <w:r>
        <w:rPr>
          <w:rtl w:val="true"/>
        </w:rPr>
        <w:t>روایات معارضة</w:t>
      </w:r>
      <w:r>
        <w:rPr>
          <w:rtl w:val="true"/>
        </w:rPr>
        <w:t>:</w:t>
      </w:r>
      <w:bookmarkEnd w:id="101"/>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قباله تلک الروایات وردت طائفة أخری ظاهرة فی العدم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التعرض لها فی بحث انفعال القلیل</w:t>
      </w:r>
      <w:r>
        <w:rPr>
          <w:rStyle w:val="FootnoteAnchor"/>
          <w:rtl w:val="true"/>
        </w:rPr>
        <w:footnoteReference w:id="109"/>
      </w:r>
      <w:r>
        <w:rPr>
          <w:rFonts w:ascii="IRNazanin" w:hAnsi="IRNazanin" w:eastAsia="IRNazanin"/>
          <w:color w:val="111111"/>
          <w:sz w:val="28"/>
          <w:sz w:val="28"/>
          <w:szCs w:val="28"/>
          <w:rtl w:val="true"/>
          <w:lang w:bidi="fa-IR"/>
        </w:rPr>
        <w:t>وظهر ضعفها</w:t>
      </w:r>
    </w:p>
    <w:p>
      <w:pPr>
        <w:pStyle w:val="BookText"/>
        <w:rPr/>
      </w:pPr>
      <w:r>
        <w:rPr>
          <w:rFonts w:ascii="IRNazanin" w:hAnsi="IRNazanin" w:eastAsia="IRNazanin"/>
          <w:color w:val="111111"/>
          <w:sz w:val="28"/>
          <w:sz w:val="28"/>
          <w:szCs w:val="28"/>
          <w:rtl w:val="true"/>
          <w:lang w:bidi="fa-IR"/>
        </w:rPr>
        <w:t>ثمة دلالة فی الغالب أو سندا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حکم بن حکیم انه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 فلا أصیب الماء وقد أصاب یدی شیء من البول، فأمسحه بالحائط وبالتراب، ثم تعرق یدی فأمسح وجهی أو بعض جسدی أو یصیب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وذیل صحیح العیص المتقدم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مسح ذکره بیده ثم عرقت یده فأصاب ثوبه یغسل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سلیمان بن رشید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بال فی ظلمة اللیل وانه اصاب کفّه برد نقطة من البول لم یشک انه اصابه ولم یره، وانه مسحه بخرقة ثم نسی ان یغسله وتمسح بدهن فمسح به کفیه ووجهه ورأسه، ثم توضأ وضوء الصلاة فصلی؟ فأجابه بجواب قرأته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توهمت مما أصاب یدک فلیس بشیء الا ما تحقق، فان حققت ذلک کنت حقیقا ان تعید الصلوات اللواتی کنت صلیتهن بذلک الوضوء بعینه ما کان منهن فی وقتها وما فات وقتها فلا اعادة علیک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وتتمته فی الفرق بین نسیان النجاسة الخبثیة والحدثیة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روایة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ابول ثم اتمسح بالاحجار، فیجیء منی البلل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استبرائی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یفسد سراویلی؟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ربما بلت فلا اقدر علی الماء، ویشتد ذلک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وتمسحت فامسح ذکرک بریقک، فان وجدت شیئا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ذاک</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حفص الاعور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 یکون فیه الخمر ثم یجفف یجعل فیه الخل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الکنیف یصب فیه الماء فینتضح علی الثیاب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جافا فلا بأس</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مما هو أضعف دلالة بنحو الایهام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انها لا تنهض علی المعارضة لو تمت، وذلک لکونها فی المتنجس بعین النجس، وقد تقدم ان ما دل علی منجسیته یصل الی التواتر أو الاستفاضة الکثیر جدا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غالبها لیس بتام الدلالة اذ هو متعرض لجهة أخری، فالطائفة الثانیة کالصحیح الاول محتمل للحمل علی ما فی الصحیح الثالث مع ان سیاق السؤال یلوح منه انه عن مطهریة ازالة عین النجاسة عن البدن الذی هو قول الحنفیة من العامة وان ذکر العرق والمسح استعلاما عن حال الید</w:t>
      </w:r>
    </w:p>
    <w:p>
      <w:pPr>
        <w:pStyle w:val="BookText"/>
        <w:rPr/>
      </w:pPr>
      <w:r>
        <w:rPr>
          <w:rFonts w:ascii="IRNazanin" w:hAnsi="IRNazanin" w:eastAsia="IRNazanin"/>
          <w:color w:val="111111"/>
          <w:sz w:val="28"/>
          <w:sz w:val="28"/>
          <w:szCs w:val="28"/>
          <w:rtl w:val="true"/>
          <w:lang w:bidi="fa-IR"/>
        </w:rPr>
        <w:t>بالاثر واللازم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 الثانی فمضافا الی ما تقدم هو مشتمل علی معارضة داخلیة حیث ان صدره المتقدم نقله دال علی المنجسیة لذی الواسطة فضلا عن المباشر، فلعل السؤال هو عن مجرد مس الید للذکر اثناء الاستبراء من دون ملاقاتها للبول، والتردید الحاصل له من جهة العادة الجاریة علی غسل الید بعد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 الثالث فجعله من أدلة منجسیة ذی الواسطة احری، اذ مفاده صحة الوضوء الذی اتی به وابتلاءه بالنجاسة الخبثیة ولعل المراد به نجاسة مثل الرأس ونحوه بسبب الملاقاة مع الید المرطوبة بالدهن، وان الید وبقیة الاعضاء قد طهرت بالوضوء الاول لاشتماله علی غسل الکفین والغسلتین لکل عضو الموجب لطهارتها قبل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مفادها بأنها دالة علی صحة الوضوء، یلزمه عدم منجسیة المتنجس وهی الید لا للماء ولا لبقیة الاعضاء عند الدهن کالرأس اللازم مسحه فی الوضوء، فمن ثم کان خلل صلاته فی النجاسة الخبثیة دون الحدیثة ولزمت علیه الاعادة عند النسیان فی الوقت دون خارجة، وکان الخلل فی الصلوات التی صلاها بذلک الوضوء دون غیره من الوضوء اللاحق لان الید بالوضوء الثانی تطهر بتحقق الغسلتین من النجاسة البولیة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علی ذلک یلزم طهارة الکف فی الوضوء الاول سواء</w:t>
      </w:r>
    </w:p>
    <w:p>
      <w:pPr>
        <w:pStyle w:val="BookText"/>
        <w:rPr/>
      </w:pPr>
      <w:r>
        <w:rPr>
          <w:rFonts w:ascii="IRNazanin" w:hAnsi="IRNazanin" w:eastAsia="IRNazanin"/>
          <w:color w:val="111111"/>
          <w:sz w:val="28"/>
          <w:sz w:val="28"/>
          <w:szCs w:val="28"/>
          <w:rtl w:val="true"/>
          <w:lang w:bidi="fa-IR"/>
        </w:rPr>
        <w:t>افترضت الیمنی او الیسری لانها سوف تغسل بالماء مرتین فی الوضوء الاول ولو افترض انه غسل کل عضو غسلة واحدة فی ذلک الوضوء، حیث ان الکف مما یستعان بها فتلاقی الماء مرتین او اکثر فلا یجب علیه اعادة الصلاة بتاتا، وعلی کل حال فدلالتها لا تتم علی عدم المنجسیة ولا بد من التقدیر فی فرض السؤال او حمل الوضوء فی الجواب علی التمسح بالدهن کما صنعه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سماعة فتحتمل ان المسح بالاحجار هو لموضع النجو لا لموضع البول، وذکره توطئة لما بعده لبیان نحو من السببیة أو لسرد ما یفعله، ونفی البأس عن البلل مقید بالاستبراء کما هو احد نسخ الروایة فی التهذیب، بل انه علی تلک النسخة یتعین هذا الحمل لان التمسح بالاحجار لو کان لموضع البول لما اخّر الاستبراء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ایة حال لو فرض ان التمسح هو لموضع البول فان نفی البأس حینئذ یکون راجعا الیه وهو محمول علی مذهب العامة فی التطهیر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موثق حنان فهو ادل علی منجسیة المتنجس حیث ان الشدة التی یتکلف منها الراوی هی لذلک بتنجس البلل المحکوم بطهارته بملاقاة الموضع، فبلّ الذکر فی غیر موضع البول یوجب بلل الثوب أو الفخذ فاذا وجد شیئا منها متبللا حصل له الشک المحکوم بالطهارة، والا فعلی عدم المنجسیة لا حاجة للبل بالریق بل یکفی الاستبراء فیبقی البلل علی طهارته، بل أن التصریح فی الروایة بالبینونة بین البلل الخارج وبلل الریق ناص علی ان المحذور هو من البلل الخارج کما سبق توضیحه، وخروج البلل علی حالتین تارة یحسّ به بنفس الموضع واخری بتحسس البرودة من</w:t>
      </w:r>
      <w:bookmarkStart w:id="102" w:name="pg13695_150685"/>
    </w:p>
    <w:p>
      <w:pPr>
        <w:pStyle w:val="BookText"/>
        <w:rPr/>
      </w:pPr>
      <w:bookmarkEnd w:id="102"/>
      <w:r>
        <w:rPr>
          <w:rFonts w:ascii="IRNazanin" w:hAnsi="IRNazanin" w:eastAsia="IRNazanin"/>
          <w:color w:val="111111"/>
          <w:sz w:val="28"/>
          <w:sz w:val="28"/>
          <w:szCs w:val="28"/>
          <w:rtl w:val="true"/>
          <w:lang w:bidi="fa-IR"/>
        </w:rPr>
        <w:t>الفخذ، والفرض فی الروایة محمول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حفص الاعور فقد تقرر فی مبحث المیاه من کتاب الطهارة ان اطلاقها مقید بالروایات الاخری الواردة فی نفس الفرض الآمرة بالغسل اولا، وان السؤال فیما هو عن اصل الاستعمال نظرا لورود النهی النبوی عن استعمال ظروف الخمر، ونفی البأس لکون الاستعمال متعلق بالماء لا بما ینبذ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مصحح علی بن جعفر فلیس المراد من الکنیف البالوعة فی فرض السائل بل المراد به بیت الخلاء وموضعه مما قد یکون مسطحا، کما هو الحال فی مصححه الآخر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یتوضأ فی الکنیف بالماء یدخل یده فیه ایتوضأ من فضله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ادخل یده وهی نظیفة فلا بأس ولست أحب ان یتعود ذلک الا ان یغسل یده قبل ذلک، وعلی ذلک فیکون حالها حال ما ورد من عدم تنجس ما یترشح من قطرات من الارض التی یبال علیها، وذلک لتوارد الطهارة والنجاسة علیها فیحکم بالطهارة عند الشک</w:t>
      </w:r>
      <w:r>
        <w:rPr>
          <w:rFonts w:eastAsia="IRNazanin" w:cs="IRNazanin"/>
          <w:color w:val="111111"/>
          <w:sz w:val="28"/>
          <w:szCs w:val="28"/>
          <w:rtl w:val="true"/>
          <w:lang w:bidi="fa-IR"/>
        </w:rPr>
        <w:t>.</w:t>
      </w:r>
    </w:p>
    <w:p>
      <w:pPr>
        <w:pStyle w:val="Heading3"/>
        <w:numPr>
          <w:ilvl w:val="2"/>
          <w:numId w:val="1"/>
        </w:numPr>
        <w:rPr/>
      </w:pPr>
      <w:bookmarkStart w:id="103" w:name="__RefHeading___Toc983803_1468164448"/>
      <w:bookmarkStart w:id="104" w:name="_Toc38"/>
      <w:bookmarkEnd w:id="103"/>
      <w:r>
        <w:rPr>
          <w:rtl w:val="true"/>
        </w:rPr>
        <w:t>فرعان</w:t>
      </w:r>
      <w:r>
        <w:rPr>
          <w:rtl w:val="true"/>
        </w:rPr>
        <w:t>:</w:t>
      </w:r>
      <w:bookmarkEnd w:id="104"/>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علی المتنجس کل احکام النجس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تنجس الاناء بالولوغ یجب تعفیره ولکن اذا تنجس اناء اخر بملاقاة هذا الاناء لایجب تعفیره، وان ذهب الیه جماعة من المتأخرین ومتأخری المتأخرین لدعوی ان السرایة والمنجسیة نحو من توسعة النجاسة الاولی أو تولید نجاسة من سنخ النجاسة الاولی، ومن ثم تترتب</w:t>
      </w:r>
    </w:p>
    <w:p>
      <w:pPr>
        <w:pStyle w:val="BookText"/>
        <w:rPr/>
      </w:pPr>
      <w:r>
        <w:rPr>
          <w:rFonts w:ascii="IRNazanin" w:hAnsi="IRNazanin" w:eastAsia="IRNazanin"/>
          <w:color w:val="111111"/>
          <w:sz w:val="28"/>
          <w:sz w:val="28"/>
          <w:szCs w:val="28"/>
          <w:rtl w:val="true"/>
          <w:lang w:bidi="fa-IR"/>
        </w:rPr>
        <w:t>علی الملاقی کافة الآثار، لکنه استحسان لا استظهار فی الأدلة بعد عدم توسعة أدلة النجاسة الاولی للملاقی ولا اشارة فیها الی المسانخة، فحینئذ یقتصر فی الاثار الخاصة علی مورد الدلیل فی المتنجس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صب ماء الولوغ فی اناء اخر لایجب فیه التعفیر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الیه العلامة والمحقق الثانی فی المحکی، ووجهه ان الموضوع له اذا استظهر انه لعابه الموجود فی الماء الملاقی للاناء الاول فهو بعینه متحقق فی الاناء الثانی، واذا استظهر انه عنوان الولوغ ای بما یشتمل علی ملاقاة لسانه وربما شفاره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لعابه فانه غیر متحقق فی الثانی کما لا یخفی، ولا یبعد الاول نظرا لاخذ عنوان فضله فی الصحیح وان احتمل خصوصیة اناء الولوغ من جهة انه القدر المتیقن من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اطلاق فیه، مضافا الی التزامهم وجوب التعفیر لاناء الولوغ وان لم یلاق جداره بدن الکلب او لسانه، فیظهر من ذلک ان المدار علی الفضل والسؤر، وهذا کله فی صورة الصب دون الملاقاة کما لا یخفی</w:t>
      </w:r>
      <w:r>
        <w:rPr>
          <w:rFonts w:eastAsia="IRNazanin" w:cs="IRNazanin"/>
          <w:color w:val="111111"/>
          <w:sz w:val="28"/>
          <w:szCs w:val="28"/>
          <w:rtl w:val="true"/>
          <w:lang w:bidi="fa-IR"/>
        </w:rPr>
        <w:t>.</w:t>
      </w:r>
      <w:bookmarkStart w:id="105" w:name="pg13695_150687"/>
    </w:p>
    <w:p>
      <w:pPr>
        <w:pStyle w:val="Heading2"/>
        <w:numPr>
          <w:ilvl w:val="1"/>
          <w:numId w:val="1"/>
        </w:numPr>
        <w:rPr/>
      </w:pPr>
      <w:bookmarkStart w:id="106" w:name="__RefHeading___Toc983805_1468164448"/>
      <w:bookmarkStart w:id="107" w:name="_Toc39"/>
      <w:bookmarkEnd w:id="105"/>
      <w:bookmarkEnd w:id="106"/>
      <w:r>
        <w:rPr>
          <w:rtl w:val="true"/>
        </w:rPr>
        <w:t xml:space="preserve">قاعدة </w:t>
      </w:r>
      <w:r>
        <w:rPr>
          <w:rtl w:val="true"/>
        </w:rPr>
        <w:t>:</w:t>
      </w:r>
      <w:r>
        <w:rPr>
          <w:rtl w:val="true"/>
        </w:rPr>
        <w:t>فی تعیین المالک لما یقابل الدین والوصیة من الترکة</w:t>
      </w:r>
      <w:bookmarkEnd w:id="1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983807_1468164448"/>
      <w:bookmarkStart w:id="109" w:name="_Toc40"/>
      <w:bookmarkEnd w:id="108"/>
      <w:r>
        <w:rPr>
          <w:rtl w:val="true"/>
        </w:rPr>
        <w:t>اشارة</w:t>
      </w:r>
      <w:bookmarkStart w:id="110" w:name="pg13695_150689"/>
      <w:bookmarkEnd w:id="109"/>
    </w:p>
    <w:p>
      <w:pPr>
        <w:pStyle w:val="BookText"/>
        <w:rPr/>
      </w:pPr>
      <w:bookmarkEnd w:id="110"/>
      <w:r>
        <w:rPr>
          <w:rFonts w:ascii="IRNazanin" w:hAnsi="IRNazanin" w:eastAsia="IRNazanin"/>
          <w:color w:val="111111"/>
          <w:sz w:val="28"/>
          <w:sz w:val="28"/>
          <w:szCs w:val="28"/>
          <w:rtl w:val="true"/>
          <w:lang w:bidi="fa-IR"/>
        </w:rPr>
        <w:t>فی تعیین المالک لما یقابل الدین والوصیة من الترکة</w:t>
      </w:r>
    </w:p>
    <w:p>
      <w:pPr>
        <w:pStyle w:val="Heading3"/>
        <w:numPr>
          <w:ilvl w:val="2"/>
          <w:numId w:val="1"/>
        </w:numPr>
        <w:rPr/>
      </w:pPr>
      <w:bookmarkStart w:id="111" w:name="__RefHeading___Toc983809_1468164448"/>
      <w:bookmarkStart w:id="112" w:name="_Toc41"/>
      <w:bookmarkEnd w:id="111"/>
      <w:r>
        <w:rPr>
          <w:rtl w:val="true"/>
        </w:rPr>
        <w:t>الأقوال فی المسالة</w:t>
      </w:r>
      <w:r>
        <w:rPr>
          <w:rtl w:val="true"/>
        </w:rPr>
        <w:t>:</w:t>
      </w:r>
      <w:bookmarkEnd w:id="112"/>
    </w:p>
    <w:p>
      <w:pPr>
        <w:pStyle w:val="BookText"/>
        <w:rPr/>
      </w:pPr>
      <w:r>
        <w:rPr>
          <w:rFonts w:ascii="IRNazanin" w:hAnsi="IRNazanin" w:eastAsia="IRNazanin"/>
          <w:color w:val="111111"/>
          <w:sz w:val="28"/>
          <w:sz w:val="28"/>
          <w:szCs w:val="28"/>
          <w:rtl w:val="true"/>
          <w:lang w:bidi="fa-IR"/>
        </w:rPr>
        <w:t>حکی فی الجواهر اختلاف الأقوال</w:t>
      </w:r>
      <w:r>
        <w:rPr>
          <w:rStyle w:val="FootnoteAnchor"/>
          <w:rtl w:val="true"/>
        </w:rPr>
        <w:footnoteReference w:id="117"/>
      </w:r>
      <w:r>
        <w:rPr>
          <w:rFonts w:ascii="IRNazanin" w:hAnsi="IRNazanin" w:eastAsia="IRNazanin"/>
          <w:color w:val="111111"/>
          <w:sz w:val="28"/>
          <w:sz w:val="28"/>
          <w:szCs w:val="28"/>
          <w:rtl w:val="true"/>
          <w:lang w:bidi="fa-IR"/>
        </w:rPr>
        <w:t>، فمن قائل بأنّ المال للمیّت، والآخر أنّ المالک هو الورثة، وثالثا أنّ المقدار المزبور لا مالک له ولکن فی حکم مال المیّت وتفاصیل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فی وصایا السرائر والمحقّق والعلّامة فی الإرشاد وفی وصایا المختلف والشهید ومحکی المقنع والنهایة والخلاف والراوندی والفخر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القواعد والتحریر والتذکرة وقضاء المختلف والفخر فی الحجر ووصایا الایضاح وحواشی الشهید وقضاء المسالک ومواریثه ومواریث کشف اللثام وهو المنقول عن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ولتنقیح الحال یقع الکلام فی جهات</w:t>
      </w:r>
      <w:r>
        <w:rPr>
          <w:rFonts w:eastAsia="IRNazanin" w:cs="IRNazanin"/>
          <w:color w:val="111111"/>
          <w:sz w:val="28"/>
          <w:szCs w:val="28"/>
          <w:rtl w:val="true"/>
          <w:lang w:bidi="fa-IR"/>
        </w:rPr>
        <w:t>:</w:t>
      </w:r>
    </w:p>
    <w:p>
      <w:pPr>
        <w:pStyle w:val="Heading3"/>
        <w:numPr>
          <w:ilvl w:val="2"/>
          <w:numId w:val="1"/>
        </w:numPr>
        <w:rPr/>
      </w:pPr>
      <w:bookmarkStart w:id="113" w:name="__RefHeading___Toc983811_1468164448"/>
      <w:bookmarkStart w:id="114" w:name="_Toc42"/>
      <w:bookmarkEnd w:id="113"/>
      <w:r>
        <w:rPr>
          <w:rtl w:val="true"/>
        </w:rPr>
        <w:t>الجهة الأولی</w:t>
      </w:r>
      <w:r>
        <w:rPr>
          <w:rtl w:val="true"/>
        </w:rPr>
        <w:t xml:space="preserve">: </w:t>
      </w:r>
      <w:r>
        <w:rPr>
          <w:rtl w:val="true"/>
        </w:rPr>
        <w:t>أدلّة الأقوال</w:t>
      </w:r>
      <w:bookmarkEnd w:id="1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یُوصی بِها أَوْ دَیْنٍ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البعدیة تقیّد متعلّق الإرث بغیر مقدار الوصیة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 عبّاد بن صهیب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فرّط فی إخراج زکاته فی حیاته، فلمّا حضرته الوفاة حسب جمیع ما فرّط فیه ممّا لزمه من الزکاة ثمّ أوصی أن یخرج ذلک فیدفع إلی من یجب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یخرج ذلک من جمیع المال إنّما هو بمنزلة الدین لو کان علیه لیس للورثة حتی یؤدّی ما أوصی به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قبل الوصیة، ثمّ الوصیة علی أثر الدین، ثمّ المیراث بعد الوصیة فإنّ أوّل القضاء کتاب الله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سلیمان بن خالد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یرثها الورثة علی کتاب الله وسهامهم إذا لم یکن علی المقتول دین إلّا الاخوة والأخوات من الأمّ فإنّهم لا یرثون من دیته شیئا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15" w:name="pg13695_150691"/>
    </w:p>
    <w:p>
      <w:pPr>
        <w:pStyle w:val="BookText"/>
        <w:rPr/>
      </w:pPr>
      <w:bookmarkEnd w:id="115"/>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تبعیّة النماء للترکة فی وفاء الدین ولو کانت للورثة لما کانت التبعیة فهی دالّة علی کون الترکة علی ملک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للقول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کل من الإجماع علی عدم کون الترکة للغرماء وکما أنّه لیس للمیّت لکون الملک صفة وجودیة لا تقوم بالمعدوم، والمال لا یبقی بلا مالک فیتعیّن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الابن یشارک عمّه لو مات أبوه بعد جدّه فی الإرث بعد حصول الإبراء من الدین إجماعا فلو کانت الترکة قبل إبراء الدین علی ملک المیّت لما ورث ابن الابن من أبوه الذی مات قبل إبراء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الوارث یحلف مع الشاهد لإثبات مال المیّت المتنازع فیه ولو لم یکن مالکا لکان للغرماء إذ هو حینئذ أجنبی عن المال لا یقبل حلفه کما لا یکفی فی قبول الحلف منهم دعوی أنّ لهم نحو حقّ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قائم علی أنّ الورثة أحقّ بأعیان الترکة من غیرهم</w:t>
      </w:r>
      <w:r>
        <w:rPr>
          <w:rFonts w:eastAsia="IRNazanin" w:cs="IRNazanin"/>
          <w:color w:val="111111"/>
          <w:sz w:val="28"/>
          <w:szCs w:val="28"/>
          <w:rtl w:val="true"/>
          <w:lang w:bidi="fa-IR"/>
        </w:rPr>
        <w:t>.</w:t>
      </w:r>
    </w:p>
    <w:p>
      <w:pPr>
        <w:pStyle w:val="Heading3"/>
        <w:numPr>
          <w:ilvl w:val="2"/>
          <w:numId w:val="1"/>
        </w:numPr>
        <w:rPr/>
      </w:pPr>
      <w:bookmarkStart w:id="116" w:name="__RefHeading___Toc983813_1468164448"/>
      <w:bookmarkStart w:id="117" w:name="_Toc43"/>
      <w:bookmarkEnd w:id="116"/>
      <w:r>
        <w:rPr>
          <w:rtl w:val="true"/>
        </w:rPr>
        <w:t>الجهة الثانیة</w:t>
      </w:r>
      <w:r>
        <w:rPr>
          <w:rtl w:val="true"/>
        </w:rPr>
        <w:t xml:space="preserve">: </w:t>
      </w:r>
      <w:r>
        <w:rPr>
          <w:rtl w:val="true"/>
        </w:rPr>
        <w:t>تحقیق الحال فی الأقوال</w:t>
      </w:r>
      <w:r>
        <w:rPr>
          <w:rtl w:val="true"/>
        </w:rPr>
        <w:t>:</w:t>
      </w:r>
      <w:bookmarkEnd w:id="1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تنظر صاحب الجواهر فی أدلّة القول الأوّل بأنّ الإجماع قائم علی أنّ ما زاد من الترکة علی الوصیة والدین هو ملک للورثة بموت المیّت مباشرة وهو قرینة علی أنّ المراد بالبعدیة فی الآیة والروایات لیست بمعنی التقیید</w:t>
      </w:r>
    </w:p>
    <w:p>
      <w:pPr>
        <w:pStyle w:val="BookText"/>
        <w:rPr/>
      </w:pPr>
      <w:r>
        <w:rPr>
          <w:rFonts w:ascii="IRNazanin" w:hAnsi="IRNazanin" w:eastAsia="IRNazanin"/>
          <w:color w:val="111111"/>
          <w:sz w:val="28"/>
          <w:sz w:val="28"/>
          <w:szCs w:val="28"/>
          <w:rtl w:val="true"/>
          <w:lang w:bidi="fa-IR"/>
        </w:rPr>
        <w:t>الزمانی بعد الأداء أو العزل وحمل البعدیة علی الغیریة والتحدید لمورد الإرث لما عدی مورد الوصیة والدین خلاف ظاهر الآیات والروایات، فالأظهر فیها أنّها لتحدید مورد تقدیر السهام أی أنّ الانتفاع الفعلی للورثة بالترکة المملوکة وإجراء القسمة إنّما هو بعد إخراج الدین فلیست الأدلّة فی صدد نفی ملکیّتهم لمقدار ما یقابل الدین ولیس هو ملکا للغرماء إجماعا ولا ملک للمیّت لأنّ ما ترکه المیّت لوارثه غایة الأمر أنّه یستوفی منه الدین واستثنی من ذلک الوصیة حیث إنّ ظاهر الأدلّة فیها إبقاء الموصی به علی ملک المیّت واستثنائه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ما ذکره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یعضد ما ذکره فی الدین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المقیّد فی آیات الإرث بکونه بعد الوصیة والدین هو تحصیص السهام وتوزیع الترکة أی القسمة للترکة، وکذا بعض صریح الروایات المتقدّمة فلیس المقیّد أو المعلّق هو أصل الإرث بل إنّ آیة اولی الأرحام بعضهم اولی ببعض لم تقیّد بذلک وکذا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المیّت فهو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الفراغ عن کون الدیان لا یملکون الأعیان فلا محالة یکون تعلّق حقّهم فی الاستیفاء من الترکة من قبیل سنخ حقّ الرهن أو الجنایة أو نحو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أنّ حقّ الرهانة ونحوه لا یمانع الانتقال بالإرث کما لو</w:t>
      </w:r>
    </w:p>
    <w:p>
      <w:pPr>
        <w:pStyle w:val="BookText"/>
        <w:rPr/>
      </w:pPr>
      <w:r>
        <w:rPr>
          <w:rFonts w:ascii="IRNazanin" w:hAnsi="IRNazanin" w:eastAsia="IRNazanin"/>
          <w:color w:val="111111"/>
          <w:sz w:val="28"/>
          <w:sz w:val="28"/>
          <w:szCs w:val="28"/>
          <w:rtl w:val="true"/>
          <w:lang w:bidi="fa-IR"/>
        </w:rPr>
        <w:t>کانت ترکة المیّت قبل موته مرهونة فإنّه لا یمانع الرهن انتقال العین المرهونة إلی الورثة، وکما عبّر المحقّق النائینی قدّس سرّه أنّ حقّ الرهانة یمانع تبدیل الإضافة الملکیة لا تبدیل المضاف إلیه أی المالک، ففی المعاوضات تبدیلا للاضافة وفی باب الضمانات تبدیلا للأعیان أمّا فی الإرث فتبدیلا للمالک دون الملکیة والمملوک، ومراده قدّس سرّه لیس من حیث الدقّة العقلیة؛ إذ لا یعقل تبدّل أحد الثلاثة من دون تبدّل الإضافة بل المراد بحسب النظر الاعتباری عند العرف والعقلاء والمنظور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فیه سنخ الآثار فلا یعدّون المملوک والملک جدیدا فی باب الإرث بالنسبة للوارث بعد کونه یتلقاه من مورّثه فحق الرهانة لا یمانع الانتقال بالإرث ولکنّه یمانع الانتقال للعین بالمعاوضة، فالوارث یتلقّی الملکیة المحبوسة القدیمة من مورثه، فکذلک الحال فیما نحن فیه، فإنّ حقّ الدیان فی الاستیفاء لا یتدافع مع انتقال المال من إرث المیّت إلی الورثة، غایة الأمر أنّه ملکا محقوق وذلک بعموم ما ترک المیّت لوارثه وعموم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الْأَرْحامِ بَعْضُهُمْ أَوْلی بِبَعْضٍ فِی کِتابِ اللّهِ </w:t>
      </w:r>
      <w:r>
        <w:rPr>
          <w:rStyle w:val="FootnoteAnchor"/>
          <w:rtl w:val="true"/>
        </w:rPr>
        <w:footnoteReference w:id="122"/>
      </w:r>
      <w:r>
        <w:rPr>
          <w:rFonts w:ascii="IRNazanin" w:hAnsi="IRNazanin" w:eastAsia="IRNazanin"/>
          <w:color w:val="111111"/>
          <w:sz w:val="28"/>
          <w:sz w:val="28"/>
          <w:szCs w:val="28"/>
          <w:rtl w:val="true"/>
          <w:lang w:bidi="fa-IR"/>
        </w:rPr>
        <w:t>وقد عرفت فی الوجه الأوّل أنّه ما قد یتوهّم کونه مخصّص لهذا العموم لیس مخصّصا وإنّما هو بصدد بیان ارتهان الترکة بالدیون فتقدّم فی الاستیفاء علی القسمة والتوزیع علی الورثة أی علی الانتفاع الفعلی لهم ولا ما قد یتوهّم أنّ ملک الورثة معلّق علی أداء الدین ولو من الخارج أو أنّه غیر مستقرّ إلّا بعد أداء الدین أو أنّ ملکهم مشروط بشرط متأخّر وهو أداء الدین لاحقا ولو من خارج</w:t>
      </w:r>
    </w:p>
    <w:p>
      <w:pPr>
        <w:pStyle w:val="BookText"/>
        <w:rPr/>
      </w:pPr>
      <w:r>
        <w:rPr>
          <w:rFonts w:ascii="IRNazanin" w:hAnsi="IRNazanin" w:eastAsia="IRNazanin"/>
          <w:color w:val="111111"/>
          <w:sz w:val="28"/>
          <w:sz w:val="28"/>
          <w:szCs w:val="28"/>
          <w:rtl w:val="true"/>
          <w:lang w:bidi="fa-IR"/>
        </w:rPr>
        <w:t>الترکة أو بالإبراء، أو أنّ ملک الورثة وحقّ الدیان من قبیل المتزاحمین والأهمّیة لحقّ الدیان، أو أنّ للورثة حقّ متعلّق بالترکة بأن یتملّکون علی تقدیر فراغ ذمّة المیّت بالإبراء أو أداء الدیون ولو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هذه الوجوه وإن کانت ممکنة إلّا أنّها تکلّفات لا شاهد لها ولا مقتضی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من البعض الالتزام بالجمع بین التزاحم والملک المشروط بالشرط المتأخّر، فإنّ مقتضی التزاحم فعلیة کل منهما وفعلیة موضوعه المنجز بینما یقتضی المشروط بالشرط المتأخّر عدم فعلیة الملک وعدم فعلیة الشرط المتأخّر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 إنّ حقّ الدیان متعلّق بملک الترکة، وأمّا لو قلنا بأنّه متعلّق بمالیّتها کحقّ الجنایة فی العبد فعدم ممانعته حینئذ للانتقال بالإرث أوضح، فإنّ العبد الجانی ینتقل بالمعاوضة فضلا عن انتقاله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الوجه الثالث الذی استدلّ به للقول الأوّل من قیام السیرة بتعلّق حقّ الدیان بنماء الترکة لا یشهد ببقاء ملک المیّت؛ إذ قد یکون حقّ الدیان من قبیل حقّ الخمس المتعلّق بمالیة العین وبنمائها أیضا، وهو لا یمانع انتقال تمام ملکیة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الوجوه التی ذکرها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فیتنظر فی الوجه الأوّل بأنّه لا مانع من فرض ملک المیّت بقاءا وحدوثا کما فی الصید المتجدّد فی شبکته وقضاء الدین من دیته مطلقا؛ لأنّ الملکیة من الاعتبار وهو خفیف المؤنة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المثالین یمکن أن یحملا علی انتقال ملک الشبکة للورثة وأنّ</w:t>
      </w:r>
      <w:bookmarkStart w:id="118" w:name="pg13695_150695"/>
    </w:p>
    <w:p>
      <w:pPr>
        <w:pStyle w:val="BookText"/>
        <w:rPr/>
      </w:pPr>
      <w:bookmarkEnd w:id="118"/>
      <w:r>
        <w:rPr>
          <w:rFonts w:ascii="IRNazanin" w:hAnsi="IRNazanin" w:eastAsia="IRNazanin"/>
          <w:color w:val="111111"/>
          <w:sz w:val="28"/>
          <w:sz w:val="28"/>
          <w:szCs w:val="28"/>
          <w:rtl w:val="true"/>
          <w:lang w:bidi="fa-IR"/>
        </w:rPr>
        <w:t>الصید من قبیل النماء لها وأنّ الدیة ملکا للورثة محکومة بحکم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وهو إرث ابن الابن مع العمّ بعد موت أبیه ثمّ إبراء الدین فتام الدلالة وإن أمکن توجیهه بأنّه یلتأم مع القول بعدم ملک الورثة بل مجرّد استحقاقهم</w:t>
      </w:r>
    </w:p>
    <w:p>
      <w:pPr>
        <w:pStyle w:val="BookText"/>
        <w:rPr/>
      </w:pPr>
      <w:r>
        <w:rPr>
          <w:rFonts w:ascii="IRNazanin" w:hAnsi="IRNazanin" w:eastAsia="IRNazanin"/>
          <w:color w:val="111111"/>
          <w:sz w:val="28"/>
          <w:sz w:val="28"/>
          <w:szCs w:val="28"/>
          <w:rtl w:val="true"/>
          <w:lang w:bidi="fa-IR"/>
        </w:rPr>
        <w:t>للتملّک فیرث ابن الابن استحقاق التملّک من أبیه فیتملّک بإبراء الدین، وذلک لعدم الدلیل علی مثل هذا الاستحقاق إذ أدلّة الإرث کبقیّة أدلّة النواقل إنّما تدلّ علی مجرّد النقل لا علی التصرّف فی المنقول وقلبه من الملک إلی الحقّ والعکس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انتزاع عقلی من قضیة الإرث ولو فی حیاة المورث ینتزعه العقل من أدلّة الإرث وهو مفهوم استحقاق الورثة للملک ولکنّه لیس معنی شرعی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یتّضح تمامیة ما ذکره فی الوجه الثالث وإن بنینا علی الصحّة مع وجود الحقّ بل علی ما بیّناه یکون الورثة أسوء حالا من الغرماء لأنّ الغرماء لهم حقّ الاستیفاء بینما الورثة مع عدم الملک لا دلیل علی ثبوت حق لهم إلّا المعنی الانتزاعی العقلی غیر المجعول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الکلام بعینه فی الوجه الرابع</w:t>
      </w:r>
      <w:r>
        <w:rPr>
          <w:rFonts w:eastAsia="IRNazanin" w:cs="IRNazanin"/>
          <w:color w:val="111111"/>
          <w:sz w:val="28"/>
          <w:szCs w:val="28"/>
          <w:rtl w:val="true"/>
          <w:lang w:bidi="fa-IR"/>
        </w:rPr>
        <w:t>.</w:t>
      </w:r>
    </w:p>
    <w:p>
      <w:pPr>
        <w:pStyle w:val="Heading3"/>
        <w:numPr>
          <w:ilvl w:val="2"/>
          <w:numId w:val="1"/>
        </w:numPr>
        <w:rPr/>
      </w:pPr>
      <w:bookmarkStart w:id="119" w:name="__RefHeading___Toc983815_1468164448"/>
      <w:bookmarkStart w:id="120" w:name="_Toc44"/>
      <w:bookmarkEnd w:id="119"/>
      <w:r>
        <w:rPr>
          <w:rtl w:val="true"/>
        </w:rPr>
        <w:t>الجهة الثالثة</w:t>
      </w:r>
      <w:r>
        <w:rPr>
          <w:rtl w:val="true"/>
        </w:rPr>
        <w:t>:</w:t>
      </w:r>
      <w:bookmarkEnd w:id="1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المقدار الذی یقابل الوصیة باقیا علی ملکیّة المیّت سواء کان بنحو الإشاعة أو المعین شخصا أو الکلّی فی المعیّن فإنّ ذلک هو ظاهر</w:t>
      </w:r>
      <w:bookmarkStart w:id="121" w:name="pg13695_150696"/>
    </w:p>
    <w:p>
      <w:pPr>
        <w:pStyle w:val="BookText"/>
        <w:rPr/>
      </w:pPr>
      <w:bookmarkEnd w:id="121"/>
      <w:r>
        <w:rPr>
          <w:rFonts w:ascii="IRNazanin" w:hAnsi="IRNazanin" w:eastAsia="IRNazanin"/>
          <w:color w:val="111111"/>
          <w:sz w:val="28"/>
          <w:sz w:val="28"/>
          <w:szCs w:val="28"/>
          <w:rtl w:val="true"/>
          <w:lang w:bidi="fa-IR"/>
        </w:rPr>
        <w:t>عدّة من الروایات، کصحیح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یموت ما له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ثلث ماله وللمرأة أیضا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له الولد أیسعه أن یجعل ماله لقرابته؟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یصنع به ما شاء إلی أن یأتیه الموت إنّ لصاحب المال أن یعمل بماله ما شاء ما دام حیّا، إن شاء وهبه وإن شاء تصدّق به وإن شاء ترکه إلی أن یأتیه الموت، فإن أوصی به فلیس له إلّا الثلث إلّا أنّ الفضل فی أن لا یضیع من یموّله ولا یضرّ بورثته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للرجل عند موته ثلث ما له وإن لم یوص فلیس علی الورثة إمضاؤه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للرجل من ماله عند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والثلث کثیر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83817_1468164448"/>
      <w:bookmarkStart w:id="123" w:name="_Toc45"/>
      <w:bookmarkEnd w:id="122"/>
      <w:r>
        <w:rPr>
          <w:rtl w:val="true"/>
        </w:rPr>
        <w:t>الجهة الرابعة</w:t>
      </w:r>
      <w:r>
        <w:rPr>
          <w:rtl w:val="true"/>
        </w:rPr>
        <w:t>:</w:t>
      </w:r>
      <w:bookmarkEnd w:id="1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حقّ الغرماء فی الترکة کما قد تقدّم لیس من قبیل الملک أو الحقّ فی المالیة المشاع بحیث لو طرء التلف علی الترکة ینقص بذلک القدر بل الظاهر من الأدلّة کونه من قبیل الکلّی فی المعیّن، وهو مقتضی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صحیحة محمّد بن قیس</w:t>
      </w:r>
      <w:r>
        <w:rPr>
          <w:rFonts w:eastAsia="IRNazanin" w:cs="IRNazanin"/>
          <w:color w:val="111111"/>
          <w:sz w:val="28"/>
          <w:szCs w:val="28"/>
          <w:rtl w:val="true"/>
          <w:lang w:bidi="fa-IR"/>
        </w:rPr>
        <w:t>.</w:t>
      </w:r>
      <w:bookmarkStart w:id="124" w:name="pg13695_150697"/>
    </w:p>
    <w:p>
      <w:pPr>
        <w:pStyle w:val="BookText"/>
        <w:rPr/>
      </w:pPr>
      <w:bookmarkEnd w:id="124"/>
      <w:r>
        <w:rPr>
          <w:rFonts w:ascii="IRNazanin" w:hAnsi="IRNazanin" w:eastAsia="IRNazanin"/>
          <w:color w:val="111111"/>
          <w:sz w:val="28"/>
          <w:sz w:val="28"/>
          <w:szCs w:val="28"/>
          <w:rtl w:val="true"/>
          <w:lang w:bidi="fa-IR"/>
        </w:rPr>
        <w:t>وکما فی معتبرة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 ثمّ الوصیة ثمّ المیراث</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فإنّ مقتضاها الاستیفاء وإن طرء التلف؛ إذ لیس هو فی عرض ملک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الوصیة فحکمها أیضا کذلک ما دام فی مقدار الثلث إن کانت معیّنة عینا أو قدرا نقدیا ما لم تزید نسبته علی الثلث فی المجموع المتبقی وأمّا انّ کانت غیر معیّنة مقدّرة بکسر مشاع فالظاهر ورود النقصان علیها بالنسبة إلّا أن یکون الکسر المشاع دون الثلث وکان المقصود الإشارة إلی قدر معیّن</w:t>
      </w:r>
      <w:r>
        <w:rPr>
          <w:rFonts w:eastAsia="IRNazanin" w:cs="IRNazanin"/>
          <w:color w:val="111111"/>
          <w:sz w:val="28"/>
          <w:szCs w:val="28"/>
          <w:rtl w:val="true"/>
          <w:lang w:bidi="fa-IR"/>
        </w:rPr>
        <w:t>.</w:t>
      </w:r>
    </w:p>
    <w:p>
      <w:pPr>
        <w:pStyle w:val="Heading3"/>
        <w:numPr>
          <w:ilvl w:val="2"/>
          <w:numId w:val="1"/>
        </w:numPr>
        <w:rPr/>
      </w:pPr>
      <w:bookmarkStart w:id="125" w:name="__RefHeading___Toc983819_1468164448"/>
      <w:bookmarkStart w:id="126" w:name="_Toc46"/>
      <w:bookmarkEnd w:id="125"/>
      <w:r>
        <w:rPr>
          <w:rtl w:val="true"/>
        </w:rPr>
        <w:t>الجهة الخامسة</w:t>
      </w:r>
      <w:r>
        <w:rPr>
          <w:rtl w:val="true"/>
        </w:rPr>
        <w:t>:</w:t>
      </w:r>
      <w:bookmarkEnd w:id="126"/>
    </w:p>
    <w:p>
      <w:pPr>
        <w:pStyle w:val="BookText"/>
        <w:rPr/>
      </w:pPr>
      <w:r>
        <w:rPr>
          <w:rFonts w:ascii="IRNazanin" w:hAnsi="IRNazanin" w:eastAsia="IRNazanin"/>
          <w:color w:val="111111"/>
          <w:sz w:val="28"/>
          <w:sz w:val="28"/>
          <w:szCs w:val="28"/>
          <w:rtl w:val="true"/>
          <w:lang w:bidi="fa-IR"/>
        </w:rPr>
        <w:t>الظاهر جواز تصرّف الورثة غیر الناقل للملک بنحو لا یفوّت علی الغرماء إمکان استیفائهم، کأن ینتفع من منافع الترکة غیر العینیة کالجلوس فی البیت أو استخدام الدابة ونحو ذلک، وکذا الحال بالإضافة إلی الوصیة فإنّ غایة ما یستفاد من الروایات المتقدّمة هو منع الورثة من أکل الترکة بالتصرّف الناقل أو التوزیع أو القسمة، بل انّ ظاهر صحیحة أبی نصر أنّه سئل عن رجل یموت ویترک عیالا وعلیه دین أینفق علیهم من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استیقن إنّ الذی علیه یحیط بجمیع المال فلا ینفق علیهم وإن لم یستیقن فلینفق علیهم من وسط المال</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عبد الرحمن بن الحجّاج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یستیقن أنّ الذی ترک یحیط بجمیع دینه فلا ینفق علیهم وإن لم یکن یستیقن فلینفق علیهم من وسط المال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جواز التصرّف مطلقا فی ما زاد علی الوصیة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السرائر فی کتاب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اصول مذهبنا تقتضی أنّ الورثة لا یستحقّون شیئا من الترکة دون قضاء جمیع الدیون ولا یسوغ ولا یحلّ لهم التصرّف فی الترکة دون القضاء إذا کانت بقدر الدین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 فشرط صحّة المیراث وانتقاله أن یکون ما یفضل عن الدین فلا یملک الوارث إلّا بعد قضاء الدین</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میراث القواعد وحجر الایضاح ورهنه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صاحب الجواهر عن قضاء الایضاح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الکلّ علی أنّه إذا مات من علیه دین یحیط بجمیع ترکته لا یجوز للوارث التصرّف فیها إلّا بعد قضاء الدین أو إذن الغرماء</w:t>
      </w:r>
      <w:r>
        <w:rPr>
          <w:rStyle w:val="FootnoteAnchor"/>
          <w:rtl w:val="true"/>
        </w:rPr>
        <w:footnoteReference w:id="130"/>
      </w:r>
      <w:r>
        <w:rPr>
          <w:rFonts w:ascii="IRNazanin" w:hAnsi="IRNazanin" w:eastAsia="IRNazanin"/>
          <w:color w:val="111111"/>
          <w:sz w:val="28"/>
          <w:sz w:val="28"/>
          <w:szCs w:val="28"/>
          <w:rtl w:val="true"/>
          <w:lang w:bidi="fa-IR"/>
        </w:rPr>
        <w:t>ونحوه عن المسالک بل فی مفتاح الکرامة أنّه کذلک یشهد له التتبّع،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التتبّع شاهد بخلافه کما لا یخفی علی من لاحظ القواعد وجامع المقاصد فی باب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یستظهر أنّ الأخبار المتقدّمة قد علّقت قسمة المیراث علی قضاء الدین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عباد بن صهیب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للورثة شیء حتی یؤدوا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قول ثالث حکاه فی الجواهر عن المحقّق الثانی بنفوذ تصرّف الورثة فی الترکة مطلقا حتی فیما یقابل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بعد ثبوت التسلّط لذی الحق علی الفسخ إن لم یدفع له ففی الصحّة حینئذ جمع للحقّین، وتحتّم الأداء علی الوارث حکمة التعلّق کما أنّ سلطنة الغریم علی الفسخ تنفی الضیاع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التحقیق بالنفوذ أقوی،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ویظهر منه المیل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المعلّق فی آیات الإرث والروایات هو القسمة والتوزیع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الموجود فی صحیح عبد الرحمان بن الحجّاج وروایة البزنطی وهو مقیّد لإطلاق المنع عن التصرّف فی الروایات المتقدّمة وأمّا فی المقدار المقابل الذی یقابل الدین والوصیة فکل من الروایتین مع الروایات المتقدّمة دالّة علی منع التصرّف مطلقا عدی ما ذکرناه من الانتفاعات فی السیرة الجاریة غیر المنافیة لحقّ الدیان بل إنّ هذا الاستثناء منقطع إذ لیس مدلول المنع من الروایات السابقة شاملا لمثل هذه الانتفاعات الیسیرة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للورثة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لانسباق العین ونحوها من لفظة شیء وبذلک فلا یبقی ثمرة للبحث عن کون حقّ الدیان فی الترکة من قبیل حقّ الرهن أو حقّ الخمس أو حقّ أرش الجنابة أو تعلّقا مستقلّ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والروایات فی صدد الحجر علی الورثة فی ما یقابل الدین لا فی ما زاد فی قبال ظاهر مطلقات الإرث الدالّة علی الملک</w:t>
      </w:r>
    </w:p>
    <w:p>
      <w:pPr>
        <w:pStyle w:val="BookText"/>
        <w:rPr/>
      </w:pPr>
      <w:r>
        <w:rPr>
          <w:rFonts w:ascii="IRNazanin" w:hAnsi="IRNazanin" w:eastAsia="IRNazanin"/>
          <w:color w:val="111111"/>
          <w:sz w:val="28"/>
          <w:sz w:val="28"/>
          <w:szCs w:val="28"/>
          <w:rtl w:val="true"/>
          <w:lang w:bidi="fa-IR"/>
        </w:rPr>
        <w:t>المقتضی لمطلق التصرّف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ضمن الورثة أو بعضهم دین المیّت للغرماء انتقل الدین من ذمّة المیّت إلی ذمّة الورثة إذا رضی الدیان بالضمان وکذا الحال لو أذن الغرماء بالتصرّف لأنّهم ذوی الحقّ، سواء کان بمعنی الاسقاط لحقّهم فی استیفاء الدین من الترکة أو لا</w:t>
      </w:r>
      <w:r>
        <w:rPr>
          <w:rFonts w:eastAsia="IRNazanin" w:cs="IRNazanin"/>
          <w:color w:val="111111"/>
          <w:sz w:val="28"/>
          <w:szCs w:val="28"/>
          <w:rtl w:val="true"/>
          <w:lang w:bidi="fa-IR"/>
        </w:rPr>
        <w:t>.</w:t>
      </w:r>
      <w:bookmarkStart w:id="127" w:name="pg13695_150701"/>
    </w:p>
    <w:p>
      <w:pPr>
        <w:pStyle w:val="Heading2"/>
        <w:numPr>
          <w:ilvl w:val="1"/>
          <w:numId w:val="1"/>
        </w:numPr>
        <w:rPr/>
      </w:pPr>
      <w:bookmarkStart w:id="128" w:name="__RefHeading___Toc983821_1468164448"/>
      <w:bookmarkStart w:id="129" w:name="_Toc47"/>
      <w:bookmarkEnd w:id="127"/>
      <w:bookmarkEnd w:id="128"/>
      <w:r>
        <w:rPr>
          <w:rtl w:val="true"/>
        </w:rPr>
        <w:t xml:space="preserve">قاعدة </w:t>
      </w:r>
      <w:r>
        <w:rPr>
          <w:rtl w:val="true"/>
        </w:rPr>
        <w:t>:</w:t>
      </w:r>
      <w:r>
        <w:rPr>
          <w:rtl w:val="true"/>
        </w:rPr>
        <w:t>شرطیة إذن الأب فی أعمال الصبی</w:t>
      </w:r>
      <w:bookmarkEnd w:id="1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983823_1468164448"/>
      <w:bookmarkStart w:id="131" w:name="_Toc48"/>
      <w:bookmarkEnd w:id="130"/>
      <w:r>
        <w:rPr>
          <w:rtl w:val="true"/>
        </w:rPr>
        <w:t>اشارة</w:t>
      </w:r>
      <w:bookmarkStart w:id="132" w:name="pg13695_150703"/>
      <w:bookmarkEnd w:id="131"/>
    </w:p>
    <w:p>
      <w:pPr>
        <w:pStyle w:val="BookText"/>
        <w:rPr/>
      </w:pPr>
      <w:bookmarkEnd w:id="132"/>
      <w:r>
        <w:rPr>
          <w:rFonts w:ascii="IRNazanin" w:hAnsi="IRNazanin" w:eastAsia="IRNazanin"/>
          <w:color w:val="111111"/>
          <w:sz w:val="28"/>
          <w:sz w:val="28"/>
          <w:szCs w:val="28"/>
          <w:rtl w:val="true"/>
          <w:lang w:bidi="fa-IR"/>
        </w:rPr>
        <w:t>شرطیة إذن الأب فی أعمال الصبی</w:t>
      </w:r>
    </w:p>
    <w:p>
      <w:pPr>
        <w:pStyle w:val="Heading3"/>
        <w:numPr>
          <w:ilvl w:val="2"/>
          <w:numId w:val="1"/>
        </w:numPr>
        <w:rPr/>
      </w:pPr>
      <w:bookmarkStart w:id="133" w:name="__RefHeading___Toc983825_1468164448"/>
      <w:bookmarkStart w:id="134" w:name="_Toc49"/>
      <w:bookmarkEnd w:id="133"/>
      <w:r>
        <w:rPr>
          <w:rtl w:val="true"/>
        </w:rPr>
        <w:t>ادلة القاعدة</w:t>
      </w:r>
      <w:r>
        <w:rPr>
          <w:rtl w:val="true"/>
        </w:rPr>
        <w:t>:</w:t>
      </w:r>
      <w:bookmarkEnd w:id="134"/>
    </w:p>
    <w:p>
      <w:pPr>
        <w:pStyle w:val="BookText"/>
        <w:rPr/>
      </w:pPr>
      <w:r>
        <w:rPr>
          <w:rFonts w:ascii="IRNazanin" w:hAnsi="IRNazanin" w:eastAsia="IRNazanin"/>
          <w:color w:val="111111"/>
          <w:sz w:val="28"/>
          <w:sz w:val="28"/>
          <w:szCs w:val="28"/>
          <w:rtl w:val="true"/>
          <w:lang w:bidi="fa-IR"/>
        </w:rPr>
        <w:t>تمهید فی اصل مشروعیة اعمال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نفس عمومات مشروعیة عباداته کالحجّ واستحبابه بناء علی القول الثانی والثالث فی حدیث رفع القلم عن الصبی من أنّه رفع الفعلیة التامّة أو التنجیز والمؤاخذة لا أصل المشروعیة، ویرشد إلی ذلک ما ذکرناه من الروایات فی بحث سند الحج</w:t>
      </w:r>
      <w:r>
        <w:rPr>
          <w:rStyle w:val="FootnoteAnchor"/>
          <w:rtl w:val="true"/>
        </w:rPr>
        <w:footnoteReference w:id="132"/>
      </w:r>
      <w:r>
        <w:rPr>
          <w:rFonts w:ascii="IRNazanin" w:hAnsi="IRNazanin" w:eastAsia="IRNazanin"/>
          <w:color w:val="111111"/>
          <w:sz w:val="28"/>
          <w:sz w:val="28"/>
          <w:szCs w:val="28"/>
          <w:rtl w:val="true"/>
          <w:lang w:bidi="fa-IR"/>
        </w:rPr>
        <w:t>من لزوم إعادة حجّه بعد بلوغه الدالّ علی ارتکاز مشروعیة الحجّ للصبی لدی الرواة، وأیّاً ما کان فالروایات المزبورة هی وجه مستقلّ فی الدلالة علی الاستحباب، کما یمکن الاستدلال علی المشروعیة بما ورد من روایات عدیدة من استحباب احجاج الأولیاء للصبیان</w:t>
      </w:r>
      <w:r>
        <w:rPr>
          <w:rStyle w:val="FootnoteAnchor"/>
          <w:rtl w:val="true"/>
        </w:rPr>
        <w:footnoteReference w:id="133"/>
      </w:r>
      <w:r>
        <w:rPr>
          <w:rFonts w:ascii="IRNazanin" w:hAnsi="IRNazanin" w:eastAsia="IRNazanin"/>
          <w:color w:val="111111"/>
          <w:sz w:val="28"/>
          <w:sz w:val="28"/>
          <w:szCs w:val="28"/>
          <w:rtl w:val="true"/>
          <w:lang w:bidi="fa-IR"/>
        </w:rPr>
        <w:t>بضمیمة أنّ الاعمال یأتی بها الممیّز بنفسه لا بحمل الولی له علیها کما هو الحال فی الرضیع وغیر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أصل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اشتراط إذن الأب فی حج الصبی فقد یستدلّ بوجوه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مثل الحج للتصرّف المالی، أو أنّه بنفسه تصرّف مالی، وهو ضعیف کما أشار إلی وجه ضعفه السید الیزدی 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مشروعیة الاستحباب هی القدر المتیقّن من الأدلّة فلا تشمل العمل العبادی من دون اذن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ضعیف أیضا لأنّ الأدلّة کما ذکرنا فی محله مطلقة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اشتراط الإذن فی حج الصبی منه فی البالغ وحیث انّ فی البالغ یشترط ذلک للنصّ المعتبر الوارد وهو معتبرة هشام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سیأتی ضعف الاستشهاد بتلک الروایة فی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مقتضی ولایة الأب علی الصبی فی أمواله بل وکافّة اموره من نکاحه وتربیته وتأدیبه مقتضاها أنّ حرکات الطفل وسفره وترحاله یکون بید الأب؛ إذ هو المسئول عن أمن الصبی ومصیره، فجعل مثل تلک السلطة والولایة العامّة ینافیها کون الصبی مالک الاختیار بنحو مطلق لا سیّما فی فعل مثل الحجّ المستلزم للسفر حتی لحاضری المسجد الحرام لا العبادة المحضة کالصوم والصلاة من حیث هما اللتان لا تستلزمان کون الصبی مطلق الاختیار فی ما یکون الأب مولی فیه بخلاف ما إذا کثرت صلاته الندبیة وکثر صومه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المحصل من هذا الوجه لیس هو شرطیة إذن الأب علی وزان شرطیة الشروط فی الماهیّات کشرطیة الطهارة فی الصلاة بل هو من قبیل العناوین الطارئة أو المزاحمة الرافعة للرخصة فی الفعل، وعلی هذا فلو حجّ الصبی من دون إذن أبیه لکان فساد حجّه من جهة المبغوضیة المجتمعة مع</w:t>
      </w:r>
    </w:p>
    <w:p>
      <w:pPr>
        <w:pStyle w:val="BookText"/>
        <w:rPr/>
      </w:pPr>
      <w:r>
        <w:rPr>
          <w:rFonts w:ascii="IRNazanin" w:hAnsi="IRNazanin" w:eastAsia="IRNazanin"/>
          <w:color w:val="111111"/>
          <w:sz w:val="28"/>
          <w:sz w:val="28"/>
          <w:szCs w:val="28"/>
          <w:rtl w:val="true"/>
          <w:lang w:bidi="fa-IR"/>
        </w:rPr>
        <w:t>المحبوبیة نظیر اجتماع الأمر والنهی، وعلی هذا نخرج بقاعدة فقهیة کلّیة وهی اختلاف الحال فی غیر البالغ عن البالغ من اشتراط إذن الأب فی امور الأوّل مطلقا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یوقع البحث فی تصرّفات غیر البالغ من زاویة العقوق والبرّ فقط کما فی البالغ بل یجب الالتفات والتفطّن إلی ولایة الأب عموما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 من هذا الوجه کون الإذن بمقتضی ولایته شرطا طارئا لا علی نسق شروط الماهیة الوضعیة بل علی وزان الشرط التکلیفی المتولّد من ولایة الأبّ الوضعیة والتکلیفیة علی الصبی، ویشهد له ما ذکروه من الفراغ فی موجبات الضمان فی القصاص من ضمان الآمر للصبی بالرکوب علی مرکب فی موضع الخطر حیث قیّدوا الضمان بکونه من دون إذن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الأبوین وهو عنوان ثانوی طارئ ملاکه مقدّم علی المستحبّات، إلّا أنّ المسلم بین غیر المتقدّمین من الفقهاء هو حرمة عقوقهما أی وجوب الطاعة بالدرجة التی یلزم من عدمها العقوق لا مطلق طاعتهما وبرّهما فإنّه أمر راجح لکن لیس بلازم، ومن ثمّ إذا فرض التزاحم بین برّهما وإطاعتهما بالقدر المستحبّ وبقیّة المستحبّات العبادیة التی منها الحجّ بنحو یتعیّن التزاحم أی لم یتمکّن من إرضائهما بها حینئذ ینظر إلی الأهمّ ملاکا فیکون من الأولی مراعاته لا تعیّنه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یتحصّل عدم لزوم إذنهما فی مشروعیة ورجحان مثل الحجّ المستحبّ إلّا إذا استلزم عقوقهما فإنّه حینئذ یحرم العقوق، وأمّا صحّة الحجّ علی فرض العصیان فلا إشکال فیها لأنّه لیس الفعل غیر المرضی</w:t>
      </w:r>
    </w:p>
    <w:p>
      <w:pPr>
        <w:pStyle w:val="BookText"/>
        <w:rPr/>
      </w:pPr>
      <w:r>
        <w:rPr>
          <w:rFonts w:ascii="IRNazanin" w:hAnsi="IRNazanin" w:eastAsia="IRNazanin"/>
          <w:color w:val="111111"/>
          <w:sz w:val="28"/>
          <w:sz w:val="28"/>
          <w:szCs w:val="28"/>
          <w:rtl w:val="true"/>
          <w:lang w:bidi="fa-IR"/>
        </w:rPr>
        <w:t>سبب للعقوق کما حرّر فی محلّه بشهادة أنّه یمکن إتیان الحجّ المستحبّ مع إغفالهما فلا یحصل عقوق ممّا یدلّ علی انفکاکهما وعدم السببیة التولیدیة بینهما، والمحرم من المقدّمات خصوص المقدّمة السببیة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صاحب الحدائق من معتبرة هشام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فقه الضیف أن لا یصوم تطوّعا إلّا بإذن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 الولد أن لا یصوم تطوّعا ولا یحجّ تطوّعا ولا یصلّی تطوّعا إلّا بإذن أبویه وأمرهما وإلّا کان الضیف جاهلا وکانت المرأة عاصیة وکان العبد فاسقا عاصیا وکان الولد عاقّا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وإن کان فیه أحمد بن هلال العبرتائی إلّا أنّا قد ذکرنا مرارا أنّ انحرافه کان فی الغیبة الصغری وأنّ التوقیعین الصادرین هما من الناحیة المقدّسة لا من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الطائفة قد قاطعته بعد انحرافه فما ترویه عنه هو أیام استقامته کما هو الحال فی علیّ بن أبی حمزة البطائنی، وأمّا الدلالة فهی وإن بنی صاحب الحدائق وغیره من أعلام متأخّری العصر علی کون دلالتها علی اللزوم تامّة وانّ خدش الثانی فیها بوجوه ثلاثة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السند وقطعیّة بطلان المضمون لدلالتها علی توقّف الصلاة المستحبة علی إذن الأبوین، وتوقّف صحّة الصوم والصلاة المستحبّین علی أمرهما لعدم قول قائل بالأوّل وعدم توقّف الصحّة علی الأمر وإنّما علی</w:t>
      </w:r>
    </w:p>
    <w:p>
      <w:pPr>
        <w:pStyle w:val="BookText"/>
        <w:rPr/>
      </w:pPr>
      <w:r>
        <w:rPr>
          <w:rFonts w:ascii="IRNazanin" w:hAnsi="IRNazanin" w:eastAsia="IRNazanin"/>
          <w:color w:val="111111"/>
          <w:sz w:val="28"/>
          <w:sz w:val="28"/>
          <w:szCs w:val="28"/>
          <w:rtl w:val="true"/>
          <w:lang w:bidi="fa-IR"/>
        </w:rPr>
        <w:t>الإذن والرضا لو قیل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عدم دلالة الروایة علی ذلک بل هی إمّا محمولة علی الاستحباب نظرا للتعبیر بالبر وهو أمر ندبی عموما، وأمّا العقوق المعتبر فی الروایة فهو درجة تنزیلیة لا العقوق الحقیقی کما ورد التعبیر بالعقوق فی ترک الابن لإهداء الثواب لوالدیه المیّتین مع أنّه من الواضح أنّه لیس بمرتبة الحرمة؛ إذ قد عرف العقوق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فاستعیرها هنا بمعنی شقّ عصی الطاعة والإحسان والبرّ أو قطع الصلة فلا یصدق حقیقة من دون ذلک، إلّا إذا علم للشارع تعبّد تنزیلی إلحاقی فی مصداق معیّن بتلک الماهیة ولا یمکن دعواها هاهنا لأنّ التنزیل فی الروایة صالح أن یکون بعنایة الاستحباب، أو أنّها تحمل علی موارد حصول العقوق کما لو کانا یتأذان بذلک وإن کان الوجه الأوّل أظهر لارداف الصلاة والصیام بذلک مع أنّه من الواضح عدم حصول العقوق حقیقة کما لا یراد تنزیلا فی هذه الروایة فالسیاق والارداف للحجّ معهما قرینة علی تعیّن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الخدشة فی السند فقد عرفت حالها، وأمّا دعوی القطع ببطلان توقّف الصلاة علی الأمر فمدفوعة بأنّ دلالة الروایة لیست توقّف مشروعیّة الصلاة المستحبّة علی أمرهما وإنّما دلالتها هو ما ذکرناه من کون طاعتهما أو عقوقهما عنوان تکلیفی طارئ لا شرط وضعی کما هو الحال فی قاعدة ولایة الأب علی الصبی المشار الیها آنفا، وإنّما هو عنوان طارئ کما لو طرأ عنوان العقوق علی الصلاة المستحبّة من البالغ</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الخدشة الثالثة فضعیفة للغایة؛ إذ المراد من الأمر هاهنا الکنایة عن الإذن والرضا</w:t>
      </w:r>
      <w:r>
        <w:rPr>
          <w:rFonts w:eastAsia="IRNazanin" w:cs="IRNazanin"/>
          <w:color w:val="111111"/>
          <w:sz w:val="28"/>
          <w:szCs w:val="28"/>
          <w:rtl w:val="true"/>
          <w:lang w:bidi="fa-IR"/>
        </w:rPr>
        <w:t>.</w:t>
      </w:r>
      <w:bookmarkStart w:id="135" w:name="pg13695_150708"/>
    </w:p>
    <w:p>
      <w:pPr>
        <w:pStyle w:val="Heading3"/>
        <w:numPr>
          <w:ilvl w:val="2"/>
          <w:numId w:val="1"/>
        </w:numPr>
        <w:rPr/>
      </w:pPr>
      <w:bookmarkStart w:id="136" w:name="__RefHeading___Toc983827_1468164448"/>
      <w:bookmarkStart w:id="137" w:name="_Toc50"/>
      <w:bookmarkEnd w:id="135"/>
      <w:bookmarkEnd w:id="136"/>
      <w:r>
        <w:rPr>
          <w:rtl w:val="true"/>
        </w:rPr>
        <w:t>استطراد فی تولیة الولی فی اعمال الصبی</w:t>
      </w:r>
      <w:r>
        <w:rPr>
          <w:rtl w:val="true"/>
        </w:rPr>
        <w:t>:</w:t>
      </w:r>
      <w:bookmarkEnd w:id="137"/>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الاحرام بالصبی غیر الممیز من قبل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علیه روایات عدیدة فی أبواب متفرقة</w:t>
      </w:r>
      <w:r>
        <w:rPr>
          <w:rStyle w:val="FootnoteAnchor"/>
          <w:rtl w:val="true"/>
        </w:rPr>
        <w:footnoteReference w:id="136"/>
      </w:r>
      <w:r>
        <w:rPr>
          <w:rFonts w:ascii="IRNazanin" w:hAnsi="IRNazanin" w:eastAsia="IRNazanin"/>
          <w:color w:val="111111"/>
          <w:sz w:val="28"/>
          <w:sz w:val="28"/>
          <w:szCs w:val="28"/>
          <w:rtl w:val="true"/>
          <w:lang w:bidi="fa-IR"/>
        </w:rPr>
        <w:t>تم استعراض نماذج منها فی کتاب الحج وحدود دلالتها ولم یحک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یستحب الاحرام بالصبیة کالصبی؟</w:t>
      </w:r>
    </w:p>
    <w:p>
      <w:pPr>
        <w:pStyle w:val="BookText"/>
        <w:rPr/>
      </w:pPr>
      <w:r>
        <w:rPr>
          <w:rFonts w:ascii="IRNazanin" w:hAnsi="IRNazanin" w:eastAsia="IRNazanin"/>
          <w:color w:val="111111"/>
          <w:sz w:val="28"/>
          <w:sz w:val="28"/>
          <w:szCs w:val="28"/>
          <w:rtl w:val="true"/>
          <w:lang w:bidi="fa-IR"/>
        </w:rPr>
        <w:t>نعم کما هو المحکیّ عن المشهور وأشکله النراقی واستدلّ له بصحیحتین ذکرناهما فی سند الحج فی المسالة التی فرض فیها حجّ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بأنّ فرض الروایتین هو فی الصبیة الممیّزة لمکان إسناد الحجّ بنحو الإطلاق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له أیضا بما ورد فی بعض الروایات</w:t>
      </w:r>
      <w:r>
        <w:rPr>
          <w:rStyle w:val="FootnoteAnchor"/>
          <w:rtl w:val="true"/>
        </w:rPr>
        <w:footnoteReference w:id="137"/>
      </w:r>
      <w:r>
        <w:rPr>
          <w:rFonts w:ascii="IRNazanin" w:hAnsi="IRNazanin" w:eastAsia="IRNazanin"/>
          <w:color w:val="111111"/>
          <w:sz w:val="28"/>
          <w:sz w:val="28"/>
          <w:szCs w:val="28"/>
          <w:rtl w:val="true"/>
          <w:lang w:bidi="fa-IR"/>
        </w:rPr>
        <w:t xml:space="preserve">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جمع مکسر للصبی إلّا أنّه یطلق فی الاستعمال علی موارد الجمع من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عنوان الصغار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ذلک حتی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أنّ مرادنا من</w:t>
      </w:r>
      <w:bookmarkStart w:id="138" w:name="pg13695_150709"/>
    </w:p>
    <w:p>
      <w:pPr>
        <w:pStyle w:val="BookText"/>
        <w:rPr/>
      </w:pPr>
      <w:bookmarkEnd w:id="138"/>
      <w:r>
        <w:rPr>
          <w:rFonts w:ascii="IRNazanin" w:hAnsi="IRNazanin" w:eastAsia="IRNazanin"/>
          <w:color w:val="111111"/>
          <w:sz w:val="28"/>
          <w:sz w:val="28"/>
          <w:szCs w:val="28"/>
          <w:rtl w:val="true"/>
          <w:lang w:bidi="fa-IR"/>
        </w:rPr>
        <w:t xml:space="preserve">ذلک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بل مرادنا إطلاقه فی الاستعمال العرفی علی موارد الاجتماع من الجنسین تغلیبا لجانب الذکور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درج الفقهاء فی استظهار الأعمّ من الجنسین فی موارد الخطاب بضمیر الجمع المذکر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ممّا یراد فی مثل هذه الموارد جنس المکلّف ویؤتی بلفظ المذکّر من باب التغلیب</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983829_1468164448"/>
      <w:bookmarkStart w:id="140" w:name="_Toc51"/>
      <w:bookmarkEnd w:id="139"/>
      <w:r>
        <w:rPr>
          <w:rtl w:val="true"/>
        </w:rPr>
        <w:t>المراد من احرام الصبی</w:t>
      </w:r>
      <w:r>
        <w:rPr>
          <w:rtl w:val="true"/>
        </w:rPr>
        <w:t>:</w:t>
      </w:r>
      <w:bookmarkEnd w:id="140"/>
    </w:p>
    <w:p>
      <w:pPr>
        <w:pStyle w:val="BookText"/>
        <w:rPr/>
      </w:pPr>
      <w:r>
        <w:rPr>
          <w:rFonts w:ascii="IRNazanin" w:hAnsi="IRNazanin" w:eastAsia="IRNazanin"/>
          <w:color w:val="111111"/>
          <w:sz w:val="28"/>
          <w:sz w:val="28"/>
          <w:szCs w:val="28"/>
          <w:rtl w:val="true"/>
          <w:lang w:bidi="fa-IR"/>
        </w:rPr>
        <w:t>قال الفقهاء ومهم السید الیزدی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بالاحرام جعله محرما لا ان یحرم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ورد التعبیر فی کثیر من کلمات الأصحاب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ولتنقیح الحال فی فعل العبادة الاحرام ونیّته وکذا التلبیة وبقیّة أفعال مثل الحجّ لابدَّ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الأفعال العبادیة یتصوّر الإتیان بها نیابة علی أربعة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 النائب بمجموع العمل عن المنوب عنه کما فی الحجّ أو العمرة أو الصلاة النیابیة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 النائب بجزء من العمل عن المنوب عنه لا مجموعه،</w:t>
      </w:r>
    </w:p>
    <w:p>
      <w:pPr>
        <w:pStyle w:val="BookText"/>
        <w:rPr/>
      </w:pPr>
      <w:r>
        <w:rPr>
          <w:rFonts w:ascii="IRNazanin" w:hAnsi="IRNazanin" w:eastAsia="IRNazanin"/>
          <w:color w:val="111111"/>
          <w:sz w:val="28"/>
          <w:sz w:val="28"/>
          <w:szCs w:val="28"/>
          <w:rtl w:val="true"/>
          <w:lang w:bidi="fa-IR"/>
        </w:rPr>
        <w:t>کما فی الطواف نیابة أو السعی أو الرمی أو الذبح کذلک، نیابة عمّن عجز عن الطواف أو السعی أو الرمی أو الذبح دون بقیّة الأعمال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یوقع النائب العمل کفاعل وموجد فی بدن المنوب عنه فیکون المنوب عنه قابلا للعمل والفعل ویسند إلیه إسناد القابل، کما فی غسل المیّت أو تیمّمه وکذا فی توضئة المریض أو تیمیمه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احجاج الصبی وإحرامه والإطافة به والسعی به کما سیتّضح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قد یقال بلزوم نیّة کلّ منهما أو نیّة خصوص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فنیّة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 فی النیابة لزوم نیّة کلّ منهما فیما إذا أمکن ذلک من المنوب عنه، ثمّ إنّ فی هذا القسم الأقوی أن ینوی النائب أیضا لأنّه نائب حقیقة للجهة الفاعلیة للفعل عن المنوب عنه فلابدَّ من نیّته کما لابدَّ من نیّة المنوب عنه إن أمکن لکونه قابلا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بحث لزوم واجدیة النائب فی هذا القسم لشرائط الأداء أو عدم لزومها کما هو الصحیح وقد 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ینوب النائب فی الشرط العبادی للعبادة دون نفس العبادة المشروطة وهو وإن لم نجد له مثالا لکنّه ممکن ثبوتا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یستفاد من روایتی جمیل بن درّاج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تعذّر علیه الاحرام لمرض أنّه یحرم عنه، فإذا أفاق أتی ببقیّة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إجزاء ذلک عن حجّة الإسلام فیما لو کان مستطیعا قبل طروّ المرض کلام أفتی المحقّق بعدم إجزائه فی بحث المواقیت وتمام الحدیث عنه حررناه فی بحث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أنّ هذا مثال للقسم الثالث لا الرابع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الصبی غیر البالغ علی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الممیّز وقد عرّفوا التمییز بادراکه واستشعاره لقبح کشف العورة، ومرادهم کون 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بالملکة وقریب من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الممیز ولکنّه یحسن التلفّظ ویدرک معانی الکلمات فی الجملة، فهذا صار عقله العملی بالقوّة وعقله النظری بالملکة القریب من الفعلیة والقوّة المحرّکة له العملیة لیست هی العقل العملی بل الغرائز السفلیة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یقع الکلام فی مثل هذه الدرجة من الصباوة أنّه هل تتأتّی منه النیّة والتلبیة فی الحجّ ونیّة غیره من الأفعال العبادیة أو 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بتأتّیها منه نظرا لأنّه یدرک معناها کما هو الفرض، والتحریک وإن لم یکن بعقله العملی، بل یکون بغرائزه الاخری، إلّا أنّ ذلک لا ینافی کون حرکته العملیة الغریزیة هی باتّجاه الله تعالی فتکون 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من یأتی من البالغین بصلاة اللیل لزیادة الرزق أو من یعبدالله لأجل الفوز بالجنة أو الخلاص من النار فإنّ محرکیة مثل هذه المحرّکات لا تنافی القرب؛ لأنّ القرب علی درجات وإن کان قد یفرّق بأن فی البالغ القوّة العاقلة العملیة هی المحرّکة نحو تلک الدواعی بخلاف الصبی غیر الممیز إلّا أنّه لیس بفارق حیث انّ التحریک فی المآل یسند إلی العلّة الغائیة التی هی غایة</w:t>
      </w:r>
    </w:p>
    <w:p>
      <w:pPr>
        <w:pStyle w:val="BookText"/>
        <w:rPr/>
      </w:pPr>
      <w:r>
        <w:rPr>
          <w:rFonts w:ascii="IRNazanin" w:hAnsi="IRNazanin" w:eastAsia="IRNazanin"/>
          <w:color w:val="111111"/>
          <w:sz w:val="28"/>
          <w:sz w:val="28"/>
          <w:szCs w:val="28"/>
          <w:rtl w:val="true"/>
          <w:lang w:bidi="fa-IR"/>
        </w:rPr>
        <w:t>الغایات ویکون دور قوّة العقل العملی مجرّد الوساطة فی العلیة، وعلی أیّة حال فیستفاد من صحیحة زرارة عن أحدهما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وهو صغیر فإنّه یأمره أن یلبی ویفرض الحجّ فإن لم یحسن أن یلبّی لبّوا عنه ویطاف به ویصلّی عنه</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أمر الأب للابن بأن یلبّی الابن ویفرض الحجّ، وفرض الحجّ نیّته، وإنشاء النیّة فهی من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 لغیر الممیّز بشهادة استثناء خصوص من لم یحسن التلبیة أی التلفّظ بها، فتکون هذه الروایة مفسّرة لروایات الباب ومقیّدة للاطلاقات الواردة بالاحرام عن الصبیان، أی المطلقة للأمر بجعل الصبیان محرمین بایقاع الاحرام فیهم مع النیابة عنهم فی النیّة والتلبیة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عبّر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بقرینة تجریده من الثیاب وغسله وإلباسه ثوبی الاحرام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النیابة من القسم الثالث الذی تقدّم فی الأقسام الثلاثة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متن صحیحة زرارة یکون مقیّدا لتلک الاطلاقات ومفصّلا مؤلّفا بینها وبین الاطلاقات الاخری الواردة فی الباب الآمرة باحرام الصبیان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هذا التفصیل لیس فی خصوص نیّة الاحرام والاحرام والتلبیة، بل فی کلّ أفعال الحجّ</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الأحوط مع کلّ ذلک نیّة الولی، بل هو الأقوی فیما یوقعه الولی</w:t>
      </w:r>
    </w:p>
    <w:p>
      <w:pPr>
        <w:pStyle w:val="BookText"/>
        <w:rPr/>
      </w:pPr>
      <w:r>
        <w:rPr>
          <w:rFonts w:ascii="IRNazanin" w:hAnsi="IRNazanin" w:eastAsia="IRNazanin"/>
          <w:color w:val="111111"/>
          <w:sz w:val="28"/>
          <w:sz w:val="28"/>
          <w:szCs w:val="28"/>
          <w:rtl w:val="true"/>
          <w:lang w:bidi="fa-IR"/>
        </w:rPr>
        <w:t>من الأفعال فی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الذی لا یدرک معانی الألفاظ ولا الکلام، أی أنّ عقله النظری بالقوّة فضلا عن العملی، وهذا القسم لا إشکال فی أنّ الولیّ یوقع الاحرام فیه وینوی عنه نیابة ویلبّی عنه کذلک وکذا بقیّة أفعال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والشرائط المأخوذة فی الماهیّة العبادیة یتصوّر أخذها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ذکروا کلّ ذلک فی بحث مقدّمة الواجب فی مسألة 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عبادیة، والمراد من الأخذ تقیّد الماهیة بها وتقوّمها بها، کما أنّ الشیء المأخوذ جزءا أو شرطا قد یکون فی نفسه عبادیا وقد یکون توصّلیا، کالرکوع الذی هو ذاته عبادی وکیفیّة أخذه فی الصلاة أیضا عبادیة أی یجب أن یؤتی به بقصد الصلاة مع أنّه خضوع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والقیام الذی هو ذاته غیر عبادی لکن کیفیّة أخذه عبادیة أی یجب أن یؤتی به بقصد الأمر وإن کان هو فی نفسه لیس بعبادة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توصّلیا أی تقیّد الماهیة به وکیفیّة أخذه فیها، فلا یجب إتیانه بقصد أمر تلک الماهیة أعمّ من کونه هو فی نفسه عبادیا أو توصّلیا کالطهارة والستر فی الصلاة حیث انّ الأوّل فی نفسه عبادی لکنّه إذا أتی به لعبادة اخری یکتفی به فی عبادة مغایرة لکون أخذه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الستر والتستّر فهو فی نفسه لیس بعبادی ولا یجب إتیانه بداعی الأمر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فائدة هذا البحث فی القسم الثانی من النائب ومثاله احجاج</w:t>
      </w:r>
    </w:p>
    <w:p>
      <w:pPr>
        <w:pStyle w:val="BookText"/>
        <w:rPr/>
      </w:pPr>
      <w:r>
        <w:rPr>
          <w:rFonts w:ascii="IRNazanin" w:hAnsi="IRNazanin" w:eastAsia="IRNazanin"/>
          <w:color w:val="111111"/>
          <w:sz w:val="28"/>
          <w:sz w:val="28"/>
          <w:szCs w:val="28"/>
          <w:rtl w:val="true"/>
          <w:lang w:bidi="fa-IR"/>
        </w:rPr>
        <w:t>الولی للصبی فی الأفعال التی ینوب فیها الولی عن الصبی بالنیابة التی من القسم الثانی کأن یطوف عنه أو یرمی عنه فیما إذا لم یتمکّن، أو یصلّی عنه فیما لو بنی علی ان الأفعال مشروطة بالاحرام، والاحرام وإن کان فی نفسه تعبّدیا إلّا أنّ أخذه فی الحجّ توصّلی فحینئذ یکفی إحرام الولیّ لحجّ نفسه لوقوع تلک الأفعال النیابیة عن الصبی وقوعا مع الشرط وإن لم یوقع الشرط بقصد الأمر النیابی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کون الصبی محرما أیضا، وما ینسب إلی المشهور فی المسألة الثالثة من عدم لزوم کون الولیّ محرما إنّما یتمّ فی النیابة التی من القسم الثالث لا القسم الثانی، فإطلاق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القسم الثالث من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والاجزاء المأخوذة فی الماهیة العبادیة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شرائط واجزاء الماهیّة بما هی هی، فتعمّ أصناف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شرائط واجزاء المؤدّی، أو یعبّر عنها بشرائط الأداء، وتستعلم إثباتا فی لسان الأدلّة بتوسّط أخذ عنوان صنف خاصّ من المکلّف فی موضوع ذلک الشرط، کما إذا ورد فی اللسان الرجل یجهر فی صلاة الصبح، أو الرجل یلبس ثوبی الاحرام، والمرأة تتستّر فی حال الصلاة، بخلاف لسان نمط الأوّل فإنّه أخذ الشرط فی الماهیة بما هی 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قبیل لسان الأوّل اشتراط الاحرام فی الحجّ والعمرة حیث انّه من شرائط الماهیة لا من شرائط المؤدّی، وعلی ذلک یشترط فی الولی عن الصبی إذا أتی بالنیابة عن الصبی من القسم الثانی من أفعال الصبی یشترط</w:t>
      </w:r>
    </w:p>
    <w:p>
      <w:pPr>
        <w:pStyle w:val="BookText"/>
        <w:rPr/>
      </w:pPr>
      <w:r>
        <w:rPr>
          <w:rFonts w:ascii="IRNazanin" w:hAnsi="IRNazanin" w:eastAsia="IRNazanin"/>
          <w:color w:val="111111"/>
          <w:sz w:val="28"/>
          <w:sz w:val="28"/>
          <w:szCs w:val="28"/>
          <w:rtl w:val="true"/>
          <w:lang w:bidi="fa-IR"/>
        </w:rPr>
        <w:t>أن یکون محرما ومن ثمّ حکمنا بلزوم کون الذابح عن البالغ محرما مضافا إلی شرط الإیمان؛ لأنّ الذبح من المباشر عبادة نیابیة عن المذبوح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غایة الأمر بمقتضی ما قدّمناه فی الأمر الثالث أنّ الاحرام وإن کان عبادیا إلّا أنّ أخذه فی الحجّ توصّلی فیکتفی الولی باحرام حجّ نفسه فی تحقیق شرط الاحرام المأخوذ فی الفعل النیابی کالطواف عن الصبی أو یرمی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النیابة من القسم الثالث وهو أن یوقع النائب العمل فی المنوب عنه کما فی احجاج الصبی فمن الواضح عدم عموم أدلّة شرائط الماهیة ولا شرائط الأداء لهذا النائب؛ لأنّ شرائط الماهیة وأجزائها المفروض تحقّقها بواجدیة الصبی لها، وأمّا شرائط الأداء فلسانها فیما کان المؤدّی فاعلا وقابلا للفعل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استشکل السیّد الشاهرودی قدّس سرّه فی تقریراته فی الصبی الذی لم یثغر حیث انّه ورد فی صحیح محمّد بن الفضیل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متی یحرم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واستظهر أنّه فی مقام التحدید فیقیّد المطلقات، وتنبّه إلی معارضته بصحیح</w:t>
      </w:r>
      <w:r>
        <w:rPr>
          <w:rStyle w:val="FootnoteAnchor"/>
          <w:rtl w:val="true"/>
        </w:rPr>
        <w:footnoteReference w:id="140"/>
      </w:r>
      <w:r>
        <w:rPr>
          <w:rFonts w:ascii="IRNazanin" w:hAnsi="IRNazanin" w:eastAsia="IRNazanin"/>
          <w:color w:val="111111"/>
          <w:sz w:val="28"/>
          <w:sz w:val="28"/>
          <w:szCs w:val="28"/>
          <w:rtl w:val="true"/>
          <w:lang w:bidi="fa-IR"/>
        </w:rPr>
        <w:t>عبد الرحمن بن الحجّاج حیث انّ فیه الصبی المولود وهو الذی لم یثغر، ثمّ بعد ذلک ذهب إلی استحکام التعارض وحیث انّ الاثغار مردّد بین من یقرب من ستّة أشهر أو ستّ سنین لکون الثغر هو إنبات القواطع أو سقوط الثنایا، وحیث انّ الاثغار مردّد تکون دائرة المعارضة إلی الصبی ذی الستّ سنین فیحجّ به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أفاده نقاط مواضع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فی باب المستحبّات انه لا یرتکب التخصیص ولا التقیید ولا حمل المطلق علی المقیّد ولا العام علی الخاصّ لکون بابها موضوعا علی تعدّد المطلوب، بل انّهم یرتکبون ذلک فی الدلیل الواحد واللسان الواحد المشتمل علی الماهیة الترکیبیة أنّهم یجعلون القیود مع المقیّد من باب تعدّد المطلوب فهذه قرینة عامّة فی باب المستحبّات فمن ثمّ لا تقیّد المطلقات بصحیح ابن الفضیل، کما لا معارضة مع صحیح 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فی المستحبّات کما یبنی فی الالزامیات من نحو الجمع بین الأدلّة لکان مقتضی القاعدة عند تعارض الخاصّتین هو الرجوع إلی العموم الفوقانی أی مطلقات المشروعیة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أعرض عن ما سبق أیضا لکان مقتضی القاعدة هو کون التعارض فی القدر المتیقّن من صحیح الفضیل وهو من لم یبلغ الستّة أشهر فهو مقدار التعارض لا الأکثر؛ لأنّ الفرض أنّ صحیح الفضیل خاصّ منفصل مجمل فلا یکون حجّة فی نفسه إلّا بمقدار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فی بعض الاعمال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الأمر الثانی أنّ ضابطة قابلیّته کونه یحسن الکلام ویلتفت إلی معنی الکلام وإن لم یکن ممیّزا کما دلّت علی ذلک صحیحة زرارة المتقدّمة وهو مقتضی القاعدة کما بیّنا، لا سیّما فی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النیّة</w:t>
      </w:r>
    </w:p>
    <w:p>
      <w:pPr>
        <w:pStyle w:val="BookText"/>
        <w:rPr/>
      </w:pPr>
      <w:r>
        <w:rPr>
          <w:rFonts w:ascii="IRNazanin" w:hAnsi="IRNazanin" w:eastAsia="IRNazanin"/>
          <w:color w:val="111111"/>
          <w:sz w:val="28"/>
          <w:sz w:val="28"/>
          <w:szCs w:val="28"/>
          <w:rtl w:val="true"/>
          <w:lang w:bidi="fa-IR"/>
        </w:rPr>
        <w:t>قد ذکرنا أنّ الأقوی هو نیّة کلّ من النائب والمنوب عنه حتی فی القسم الثالث من النیابة، بل فی کلّ أقسام النیابة یجب الجمع بین النیّتین، ووجه ذلک فی خصوص الثالث ما تقدّم فی الأمر الأوّل وهو أنّ النائب فیه وإن کان فاعلا لا قابلا إلّا أنّ الحیثیّة الفاعلیة فی الفعل حیث انّها عبادیة أیضا فیجب نیّة النائب فیها ومن ثمّ یجب علی الموضئ للمریض أو المیمّم للمریض النیّة مضافا إلی نیّة المریض ولیس ذلک من باب الاحتیاط، بل فی غسل المیّت لیس من الجزاف القول بأنّ الغاسل یجب علیه إیقاع النیّة نیابة عن المیّت فی کلا الحیثیّتین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التنبیه هاهنا علی أنّ الوقوف بالصبی فی المشعر غیر الممیّز یجب علی الولی النیّة؛ لأنّه نائب عنه من القسم الثالث حیث انّه یوقع الوقوف فیه بخلاف الممیّز، غایة الأمر الصبی الممیّز إن أحسن الکلام والنیّة فیکون حاله حال المریض الذی یوضئ، وإن کان لم یحسن الکلام والنیّة کالمولود فحاله حال المیّت فی النیّة الذی ذکر آنفا، وأهمّیة التنبیه علی النیّة فی هذا الموضع لرکنیّة الوقوف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کلمات الأصحاب فی توضّئة الصبی لأجل الطواف، فمنهم من ذهب إلی جمع الولیّ بین وضوئه وتوضئة الصبی، ومن ذاهب إلی وضوء الولیّ دون الصبی إن لم یمکن توضّئه بنفسه، ومن قائل بلزوم أمر الولی للصبی بأن یتوضّأ إن أمکن وإلّا فیسقط الوضوء کما ذهب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قائل بلزوم توضّؤ الصبی إمّا بنفسه أو بتوضئة الولیّ له، وعبّروا عن ذلک بصورة الوضوء وهو الأقوی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وتنقیح الحال فی المقام یتّضح من الالمام بالامور الأربعة المتقدّمة فی صدر المسألة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شرائط الماهیة أو شرائط الأداء لا تشمل النائب من القسم الثالث؛ لأنّ ظاهرها هو فی المؤدّی الذی یکون قابلا مضافا إلی کونه فاعلا لا ما إذا کان فاعلا فقط کما فی النیابة من القسم الثالث، فلا وجه لاشتراط الوضوء فی الولی إذا طاف بالصبی ولو کان مولودا، وأمّا توضئة الولیّ للصبی الذی لا یحسن الکلام کالمولود، أی النیابة فی الوضوء من القسم الثالث فهی وإن کان علی خلاف القاعدة إلّا أنّه یستفاد مشروعیّتها فی المقام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العنوان الوارد فی المقام وهو الإحجاج بالصبی أو الحجّ بالصبی هو کون مجموع أفعال الحجّ یشرع فیها النیابة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صحیحة عبد الرحمن بن الحجّاج فی حدیث عن أبی عبدالله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الترویة فأحرموا عنه وجرّدوه وغسّلوه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انّه من الظاهر فی الروایة أنّ تغسیل الصبی غسل الاحرام هو من النیابة من القسم الثالث مع أنّ غسل الاحرام فی الحجّ لیس شرطا فی صحّة الاحرام ولا یتوهّم الخصوصیة فی غسل الاحرام دون طهارة الطواف لما ذکرناه فی الوجه الأوّل، ومن ذلک یظهر الحال فی الحلق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اتّضح من الامور الأربعة السابقة أنّ الولیّ إن کان نائبا من</w:t>
      </w:r>
      <w:bookmarkStart w:id="141" w:name="pg13695_150719"/>
    </w:p>
    <w:p>
      <w:pPr>
        <w:pStyle w:val="BookText"/>
        <w:rPr/>
      </w:pPr>
      <w:bookmarkEnd w:id="141"/>
      <w:r>
        <w:rPr>
          <w:rFonts w:ascii="IRNazanin" w:hAnsi="IRNazanin" w:eastAsia="IRNazanin"/>
          <w:color w:val="111111"/>
          <w:sz w:val="28"/>
          <w:sz w:val="28"/>
          <w:szCs w:val="28"/>
          <w:rtl w:val="true"/>
          <w:lang w:bidi="fa-IR"/>
        </w:rPr>
        <w:t>القسم الثالث فلا یشترط فیه الاحرام بخلاف ما إذا کان نائبا من القسم الثانی، أی لا یوقع العمل فی الصبی وإنّما یأتی به هو نیابة عن الصبی فی فرض عجزه</w:t>
      </w:r>
      <w:r>
        <w:rPr>
          <w:rFonts w:eastAsia="IRNazanin" w:cs="IRNazanin"/>
          <w:color w:val="111111"/>
          <w:sz w:val="28"/>
          <w:szCs w:val="28"/>
          <w:rtl w:val="true"/>
          <w:lang w:bidi="fa-IR"/>
        </w:rPr>
        <w:t>.</w:t>
      </w:r>
    </w:p>
    <w:p>
      <w:pPr>
        <w:pStyle w:val="Heading3"/>
        <w:numPr>
          <w:ilvl w:val="2"/>
          <w:numId w:val="1"/>
        </w:numPr>
        <w:rPr/>
      </w:pPr>
      <w:bookmarkStart w:id="142" w:name="__RefHeading___Toc983831_1468164448"/>
      <w:bookmarkStart w:id="143" w:name="_Toc52"/>
      <w:bookmarkEnd w:id="142"/>
      <w:r>
        <w:rPr>
          <w:rtl w:val="true"/>
        </w:rPr>
        <w:t>فائدة</w:t>
      </w:r>
      <w:r>
        <w:rPr>
          <w:rtl w:val="true"/>
        </w:rPr>
        <w:t xml:space="preserve">: </w:t>
      </w:r>
      <w:r>
        <w:rPr>
          <w:rtl w:val="true"/>
        </w:rPr>
        <w:t>ما المراد من الولی ؟</w:t>
      </w:r>
      <w:bookmarkEnd w:id="143"/>
    </w:p>
    <w:p>
      <w:pPr>
        <w:pStyle w:val="BookText"/>
        <w:rPr/>
      </w:pPr>
      <w:r>
        <w:rPr>
          <w:rFonts w:ascii="IRNazanin" w:hAnsi="IRNazanin" w:eastAsia="IRNazanin"/>
          <w:color w:val="111111"/>
          <w:sz w:val="28"/>
          <w:sz w:val="28"/>
          <w:szCs w:val="28"/>
          <w:rtl w:val="true"/>
          <w:lang w:bidi="fa-IR"/>
        </w:rPr>
        <w:t>المشهور انه الاب او الجد او الوصی من قبلهما اوالحاکم ولو 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وقد اختلف فی کیفیّة تحریر هذه المسألة ففی بعض العبائر حرّرت بأنّها نحو ولایة علی الصبی لکون الإحجاج به تصرّف فیه، فاستظهر من لسان الأدلّة الواردة أنّها جعل للولایة المزبورة ومن ثمّ خصّوا لسانها علی القدر المتیقّن من الأولیاء الشرعیّین، وحرّرت بنحو آخر بأنّ لسان الأدلّة الواردة هو فی مشروعیة النیابة من القسم الثالث والثانی من البالغ، سواء کان ولیّا شرعیّا أو عرفیا، بالإضافة إلی الصبی، ومن ثم استظهر من لسان الأدلّة عموم مشروعیة نیابة البالغ عن الصبی بنحوی النیابة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ذهب بعض من حرّر المسألة بالنحو الثانی إلی عدم التعمیم لکون الأصل فی النیابة والعبادة عدم المشروعیة والاقتصار علی القدر المتیقّن والصحیح هو تحریر المسألة علی النحو الثانی؛ لأنّه لا نظر فی روایات الباب إلی جعل الولایة، وإنّما هی ناظرة إلی تشریع الإحجاج بالصبی بنحوی النیابة، ومن الظاهر حینئذ أنّ مثل تلک المشروعیة لا خصوصیة فیها للولیّ الشرعی لأنّها لیست غایتها التأدیب والتمرین کی یکون الخطاب مختصّا به، بل مفادها رجحان العمل لکلّ من البالغ والصبی کما 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 آله برویثة</w:t>
      </w:r>
    </w:p>
    <w:p>
      <w:pPr>
        <w:pStyle w:val="BookText"/>
        <w:rPr/>
      </w:pPr>
      <w:r>
        <w:rPr>
          <w:rFonts w:ascii="IRNazanin" w:hAnsi="IRNazanin" w:eastAsia="IRNazanin"/>
          <w:color w:val="111111"/>
          <w:sz w:val="28"/>
          <w:sz w:val="28"/>
          <w:szCs w:val="28"/>
          <w:rtl w:val="true"/>
          <w:lang w:bidi="fa-IR"/>
        </w:rPr>
        <w:t>وهو حاج فقامت إلیه امرأة ومعها صبی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یحجّ عن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نعم‌و لک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وإن وردت فی خصوص الامّ إلّا أنّ مسألة الامّ ظاهر منها أنّها لیس عن الحکم کأدب شرعی ووظیفة ملقاة علی الولیّ، بل سؤالها عن مشروعیة الحجّ والإحجاج للصبی والإحجاج به، وکذا مفاد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أجره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الأجر الخاصّ للحجّ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له أیضا بالعموم فی صحیحة معاویة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من کان معکم من الصبیان فقدّموه إلی الجحفة أو إلی بطن مر ویصنع بهم ما یصنع بالمحرم ویطاف بهم ویرمی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 من الظاهر البیّن أنّ الصبیة التی معهم فی المعتاد والمتعارف خارجا واستعمالا لیس بمختصّ بالصبیة الصلبیّین للمخاطب، بل کلّ من یتکفّلهم من صبیة الأقرباء ونحوهم، بل لو سلم اختصاصها بالصلبیّین فحیث انّ الروایة کما ذکرنا أنّ لسانها فی المشروعیة لا جعل الولایة فلا تختص بالولی الشرعی، وکذا یظهر من صحیحة عبد الرحمن بن الحجاج المتقدّمة حیث فیها احرام حمیدة رضوان الله علیها بالصبیة، ومثلها ما رواه</w:t>
      </w:r>
      <w:bookmarkStart w:id="144" w:name="pg13695_150721"/>
    </w:p>
    <w:p>
      <w:pPr>
        <w:pStyle w:val="BookText"/>
        <w:rPr/>
      </w:pPr>
      <w:bookmarkEnd w:id="144"/>
      <w:r>
        <w:rPr>
          <w:rFonts w:ascii="IRNazanin" w:hAnsi="IRNazanin" w:eastAsia="IRNazanin"/>
          <w:color w:val="111111"/>
          <w:sz w:val="28"/>
          <w:sz w:val="28"/>
          <w:szCs w:val="28"/>
          <w:rtl w:val="true"/>
          <w:lang w:bidi="fa-IR"/>
        </w:rPr>
        <w:t>یونس بن یعقوب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صبیة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هذه الروایات لا تتعرّض إلی عدم لزوم الاستئذان من الولیّ الشرعی فیما لو حجّ به غیره فلابدَّ من الاستئذان</w:t>
      </w:r>
      <w:r>
        <w:rPr>
          <w:rFonts w:eastAsia="IRNazanin" w:cs="IRNazanin"/>
          <w:color w:val="111111"/>
          <w:sz w:val="28"/>
          <w:szCs w:val="28"/>
          <w:rtl w:val="true"/>
          <w:lang w:bidi="fa-IR"/>
        </w:rPr>
        <w:t>.</w:t>
      </w:r>
    </w:p>
    <w:p>
      <w:pPr>
        <w:pStyle w:val="Heading3"/>
        <w:numPr>
          <w:ilvl w:val="2"/>
          <w:numId w:val="1"/>
        </w:numPr>
        <w:rPr/>
      </w:pPr>
      <w:bookmarkStart w:id="145" w:name="__RefHeading___Toc983833_1468164448"/>
      <w:bookmarkStart w:id="146" w:name="_Toc53"/>
      <w:bookmarkEnd w:id="145"/>
      <w:r>
        <w:rPr>
          <w:rtl w:val="true"/>
        </w:rPr>
        <w:t>فرع</w:t>
      </w:r>
      <w:r>
        <w:rPr>
          <w:rtl w:val="true"/>
        </w:rPr>
        <w:t xml:space="preserve">: </w:t>
      </w:r>
      <w:r>
        <w:rPr>
          <w:rtl w:val="true"/>
        </w:rPr>
        <w:t>النفقة الزائدة فی احجاج الصبی</w:t>
      </w:r>
      <w:r>
        <w:rPr>
          <w:rtl w:val="true"/>
        </w:rPr>
        <w:t>:</w:t>
      </w:r>
      <w:bookmarkEnd w:id="146"/>
    </w:p>
    <w:p>
      <w:pPr>
        <w:pStyle w:val="BookText"/>
        <w:rPr/>
      </w:pPr>
      <w:r>
        <w:rPr>
          <w:rFonts w:ascii="IRNazanin" w:hAnsi="IRNazanin" w:eastAsia="IRNazanin"/>
          <w:color w:val="111111"/>
          <w:sz w:val="28"/>
          <w:sz w:val="28"/>
          <w:szCs w:val="28"/>
          <w:rtl w:val="true"/>
          <w:lang w:bidi="fa-IR"/>
        </w:rPr>
        <w:t>البحث فی هذه المسألة علی مقتضی القاعدة من أنّ تصرّف الولی فی مال الصبی إنّما یکون بحسب المصلحة للصبی فی ماله أو بشرط أن لا یکون مضرّة علی الاختلاف المحرّر فی محلّه فی أحکام الصبی، هذا من جهة ومن جهة اخری نفقة العیال تکون من أموالهم إذا کانوا واجدین وحینئذ یفصل فی المقام بینما إذا کان السفر بالصبی من مصلحته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النفقات الزائدة علی أصل السفر ولو کانت مصلحة التی یستلزمها الحجّ فالکلام عنها فی بحث الحج</w:t>
      </w:r>
      <w:r>
        <w:rPr>
          <w:rFonts w:eastAsia="IRNazanin" w:cs="IRNazanin"/>
          <w:color w:val="111111"/>
          <w:sz w:val="28"/>
          <w:szCs w:val="28"/>
          <w:rtl w:val="true"/>
          <w:lang w:bidi="fa-IR"/>
        </w:rPr>
        <w:t>.</w:t>
      </w:r>
    </w:p>
    <w:p>
      <w:pPr>
        <w:pStyle w:val="Heading3"/>
        <w:numPr>
          <w:ilvl w:val="2"/>
          <w:numId w:val="1"/>
        </w:numPr>
        <w:rPr/>
      </w:pPr>
      <w:bookmarkStart w:id="147" w:name="__RefHeading___Toc983835_1468164448"/>
      <w:bookmarkStart w:id="148" w:name="_Toc54"/>
      <w:bookmarkEnd w:id="147"/>
      <w:r>
        <w:rPr>
          <w:rtl w:val="true"/>
        </w:rPr>
        <w:t>فرع</w:t>
      </w:r>
      <w:r>
        <w:rPr>
          <w:rtl w:val="true"/>
        </w:rPr>
        <w:t xml:space="preserve">: </w:t>
      </w:r>
      <w:r>
        <w:rPr>
          <w:rtl w:val="true"/>
        </w:rPr>
        <w:t>ان الهدی علی الولی</w:t>
      </w:r>
      <w:r>
        <w:rPr>
          <w:rtl w:val="true"/>
        </w:rPr>
        <w:t>:</w:t>
      </w:r>
      <w:bookmarkEnd w:id="148"/>
    </w:p>
    <w:p>
      <w:pPr>
        <w:pStyle w:val="BookText"/>
        <w:rPr/>
      </w:pPr>
      <w:r>
        <w:rPr>
          <w:rFonts w:ascii="IRNazanin" w:hAnsi="IRNazanin" w:eastAsia="IRNazanin"/>
          <w:color w:val="111111"/>
          <w:sz w:val="28"/>
          <w:sz w:val="28"/>
          <w:szCs w:val="28"/>
          <w:rtl w:val="true"/>
          <w:lang w:bidi="fa-IR"/>
        </w:rPr>
        <w:t>کما هو المشهور، وخالف فی ذلک فی التذکرة فأوجبه من مال الصبی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یقع تارة بحسب مقتضی القاعدة واخری بحسب الروایات الخاصّة الواردة، کما أنّ الکلام تارة یقع فی الصبی غیر الممیّز واخری فی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بحسب القاعدة فلابدَّ من ذکر عدّة من النقاط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فی الواجب الذی فیه مقدّمة مالیة أن تکون المقدّمة وجودیة فیجب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بمتعلّق ذی مقدّمة مالیة یرجع نفعها إلی الغیر بحیث کان ذلک الأمر لیس من باب النفقة الواجبة المعهودة، ولا من الصدقة الواجبة ونحوها فحینئذ تکون تلک المقدّمة المالیة قید وجوب فی الأمر لا مقدّمة وجود کما هو الحال بالأمر بتغسیل المیّت بالماء وتکفینه بالکفن وتحنیطه بالحنوط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النفقات الواجبة علی ذی الرحم إنّما هی فی المسکن واللباس والغذاء ونحوها من الحاجیات الضروریة المعاشیة دون الواجبات المالیة المتعلّقة بذی الرحم ککونه مدیونا فی الخمس أو الزکاة أو الکفّارات ونحوها کالغرامات المالیة فی غیر المؤنة فحینئذ أی واجب مالی یتعلّق بذی الرحم العادم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الواجد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ذی الرحم الغنی النفقة علیه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التسبیب موجب للضمان فی الغرامات المالیة المحضة کالاتلاف والتلف ونحوها دون التسبیب فی الواجبات المالیة، کأن یسبّب شخص لآخر تعلّق الخمس به أو الزکاة أو غیرها من الواجبات المالیة فإنّه لا یوجب الضمان علی المسبّب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استحباب الإحجاج الوارد فی روایات المقام إنّما هو</w:t>
      </w:r>
    </w:p>
    <w:p>
      <w:pPr>
        <w:pStyle w:val="BookText"/>
        <w:rPr/>
      </w:pPr>
      <w:r>
        <w:rPr>
          <w:rFonts w:ascii="IRNazanin" w:hAnsi="IRNazanin" w:eastAsia="IRNazanin"/>
          <w:color w:val="111111"/>
          <w:sz w:val="28"/>
          <w:sz w:val="28"/>
          <w:szCs w:val="28"/>
          <w:rtl w:val="true"/>
          <w:lang w:bidi="fa-IR"/>
        </w:rPr>
        <w:t>بلحاظ الصبی غیر الممیّز أو الممیّز العاجز عن الاستقلال فی الأفعال، وأمّا الصبی الممیّز الذی یستقلّ بالفعل فلا یکون أمر الولی له بالحجّ احجاجا أو حجّا به، أی لا یکون نیابة من القسمین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یستظهر من الأمر الوارد بتوقیتهم عن تروک الاحرام أنّ ذلک نحو من احجاج الولی للممیّز، وأیّا ما کان فإنّ فی صورة استقلال الصبی الممیّز بالحجّ لا یکون ذلک من باب الإحجاج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الأمر بالاحجاج هو عین مقتضی الأمر الاستحبابی بالبذل لبالغ آخر لیحجّ من کون مقتضاهما هو وقوع نفقات الحجّ من السفر والهدی وثوبی الاحرام وغیرها من المؤن المالیة وغیرها هی علی المأمور بالاحجاج والبذل؛ إذ الأمر تعلّق بمجموع ماهیّة الحجّ والذی فیه یکون مال الهدی مقدّمة وجودیة لا سیّما وأنّ هذین الأمرین هما بعنوان الإحسان إلی الصبی والبالغ، وهذا بخلاف ما إذا لم یخاطب المکلّف أو الولی بالاحجاج کما إذا استقلّ الصبی الممیّز بالعمل فإنّ مقتضی القاعدة إذا خوطب بالذبح عنه بمقتضی ما تقدّم فی النقطة الثانیة هو علی الصبی دون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ممّا تقدّم من النقاط أنّ مقتضی القاعدة هو تحمّل الولی مال الهدی فی غیر الممیّز دون الممیّز المستقلّ بأعمال الحجّ</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بالنسبة إلی الصبی الممیّز قد اتّضح من المسألة السابقة أنّ نفقة الحجّ والسفر إنّما تکون من مال الصبی إذا کان مصلحة له، وأمّا إذا لم یکن مصلحة له فیکون الولی ضامنا لتلک النفقات من باب التسبیب لتصرّف</w:t>
      </w:r>
    </w:p>
    <w:p>
      <w:pPr>
        <w:pStyle w:val="BookText"/>
        <w:rPr/>
      </w:pPr>
      <w:r>
        <w:rPr>
          <w:rFonts w:ascii="IRNazanin" w:hAnsi="IRNazanin" w:eastAsia="IRNazanin"/>
          <w:color w:val="111111"/>
          <w:sz w:val="28"/>
          <w:sz w:val="28"/>
          <w:szCs w:val="28"/>
          <w:rtl w:val="true"/>
          <w:lang w:bidi="fa-IR"/>
        </w:rPr>
        <w:t>الصبی أو الولی فی المال فی غیر المورد المرخّص، وهذا هو المحمل الصحیح لما ذکره الفقهاء من أنّ الولی ضامن لمال الهدی لأنّه المسبّب، فإنّ المراد من التسبیب هو ذلک لا ما تقدّم فی النقطة الرابعة من التسبیب للواجب المالی، بل التسبیب للتصرّف فی مال الصبی فی غیر ما هو مصلحة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لابدَّ أن یحرّر الحال فی المصلحة التی هی شرط فی التصرّفات المالیة فی أموال الصبی هل هی خصوص المصلحة المالیة أو الأعمّ الشاملة لمثل الآداب الشرعیة المعتدّ بنفعها للصبی، ولا یبعد الثانی وتحریره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بحسب مقتضی القاعدة فی الصبی الممیّز المستقلّ فی الحجّ بناء علی المشروعیة أن یکون الخطاب بالذبح متوجّها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ینافی عدم جواز صرف مال الصبی فی الهدی فیما لم یکن الحجّ مصلحة له؛ إذ غایة الأمر أنّ الصبی لو امتثل ذلک فی ماله یکون الغرم علی الولی، أو أنّ الولی یبذل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مانع الولی من تصرّف الصبی فی ماله ولم یبذل له مقتضی القاعدة حینئذ هو خطاب الممیّز بالصوم بدلا عن الهدی، هذا کلّه بحسب مقتضی القاعدة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بحسب الروایات الخاصّة الواردة الاولی صحیحة معاویة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ویصنع بهم ما یصنع بالمحرم، ویطاف بهم ویرمی عنهم ومن لا یجد الهدی منهم فلیصم عنه ولیّه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الصحیحة من حیث الموضوع وإن کان قد یتراءی أنّه مطلق الصبی إلّا أنّه بقرینة التعبیر ویصنع بهم یکون فی خصوص الإحجاج لا حجّ الصبی بالاستقلال وإن عبّر فی الروایة ما یصنع بالمحرم ممّا قد یوهم أنّ المراد من الصنع بهم هاهنا الأمر بالاحرام کأمر البالغ المحرم، حیث انّ المراد بالمحرم هاهنا أنّه یفرض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المحمول فی الروایة فظاهرها ابتداءً تعلیق وجوب الصوم علی الولی عن الصبی علی عدم وجدان الصبیان للهدی بناء علی رجوع الضمیر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الصبیان فتکون حینئذ دالّة علی أنّ الهدی یجب فی مال الصبی فإن لم یجد فیجب علی الولیّ الصوم عنه لا سیّما وأنّ ضمیر الجمع هنا ضمیر الغائب حیث انّه لو ارید منه الأعمّ من الصبیان ومن الکبار الأولیاء لأتی بضمیر المخاطب کما فی صدر الروایة، لکن قد یحتمل عود الضمیر إلی المجموع بقرینة التعبیر بولیّه بعد ذلک الذی هو فی قوّة الغائب فیکون من الغیبة بعد الالتفات الذی سبق فی الصدر، لکن الأوجه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المستمسک من تفسیر عدم وجدان الصبیان للهدی بعدم وجدان الکبار الهدی لهم لأنّ مال الصبی إنّما یکون من مال ولیّه لتعارف ذلک التعبیر عرفا وإن کان لا یخلوا من وجه إلّا أنّ الأوجه أخذ الاسناد حقیقیا فیما هو قید لموضوع حکم صیام الولی عنه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مفاد صحیحة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وهو صغیر فإنّه یأمره أن یلبّی ویفرض الحجّ، فإن لم یحسن أن یلبّی لبّوا عنه ویطاف به ویصلّی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w:t>
      </w:r>
    </w:p>
    <w:p>
      <w:pPr>
        <w:pStyle w:val="BookText"/>
        <w:rPr/>
      </w:pPr>
      <w:r>
        <w:rPr>
          <w:rFonts w:ascii="IRNazanin" w:hAnsi="IRNazanin" w:eastAsia="IRNazanin"/>
          <w:color w:val="111111"/>
          <w:sz w:val="28"/>
          <w:sz w:val="28"/>
          <w:szCs w:val="28"/>
          <w:rtl w:val="true"/>
          <w:lang w:bidi="fa-IR"/>
        </w:rPr>
        <w:t>الصغار، ویصوم الکبار، ویتّقی علیهم ما یتّقی علی المحرم من الثیاب والطیب، وإن قتل صیدا فعلی أبیه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صحیحة من حیث الموضوع أعمّ من الممیّز وغیره، أی أعمّ من الحجّ حجّ الصبی وإحجاجه، وأمّا المحمول فالظاهر من ضمیر الجمع أنّه عائد لضمیر الجمع السابق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العائد للکبار، فیکون مفادها أنّه إن لم یکن للکبار ما یذبحون عن الجمیع أی عن أنفسهم وعن الصغار،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یحتمل عود الضمیر إلی الصغار کما هو متعیّن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وأنّ فی نسخة الکافی لم یتقدّم ضمیر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فیتّفق مفادها علی هذا الاحتمال مع مفاد صحیحة معاویة بن عمّار، غایة الأمر أنّ فی هذه الصحیحة قد أوجبت الذبح عن الصغار وصوم الکبار عن أنفسهم وکأنّه للتزاحم بین الواجبین المخاطب بهما الولی فیقدّم غیر ذی البدل علی ذی البدل وعلی أیّة حال إیجاب الذبح علی الولی فی هذه الصحیحة وإیجاب الصیام علیه فی صحیحة معاویة المتقدّمة بعد تقیید إطلاق الاولی بالثانیة دالّ علی أنّ الهدی للصبی واجب علی الولی فی الجملة فإن لم یتمکّن من الهدی فیصوم عن الصبی، فلو بنی علی إجمال مرجع الضمیر فی الروایتین الذی أخذ موضوعا لوجوب الهدی أو بدله علی الولی فیکون المحصّل من هاتین الصحیحتین کقدر متیقّن هو وجوب الهدی علی الولی عند عدم وجدان الصبی له أعمّ من کونه ممیّزا أو غیر ممیّز</w:t>
      </w:r>
    </w:p>
    <w:p>
      <w:pPr>
        <w:pStyle w:val="BookText"/>
        <w:rPr/>
      </w:pPr>
      <w:r>
        <w:rPr>
          <w:rFonts w:ascii="IRNazanin" w:hAnsi="IRNazanin" w:eastAsia="IRNazanin"/>
          <w:color w:val="111111"/>
          <w:sz w:val="28"/>
          <w:sz w:val="28"/>
          <w:szCs w:val="28"/>
          <w:rtl w:val="true"/>
          <w:lang w:bidi="fa-IR"/>
        </w:rPr>
        <w:t>إلّا أنّ مقتضی القاعدة فی الإحجاج علی الولی مطلقا ولا ینافیه الإجمال فی الصحیحتین، بخلاف ما لو بنی علی ظهورهما فی تقیید الوجوب المزبور بقید عدم وجدان الصبی فإنّه یرتکب التخصیص فی مقتضی القاعدة فی خصوص الإحجاج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موثّق إسحاق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غلمان لنا دخلوا معنا مکّة بعمرة وخرجوا معنا إلی عرفات بغیر 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یغتسلون ثمّ یحرمون واذبحوا عنهم کما تذبحون عن أنفسکم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أنّه فی المملوک المبذول له الحجّ کما وردت روایات عدیدة فی ذلک</w:t>
      </w:r>
      <w:r>
        <w:rPr>
          <w:rStyle w:val="FootnoteAnchor"/>
          <w:rtl w:val="true"/>
        </w:rPr>
        <w:footnoteReference w:id="148"/>
      </w:r>
      <w:r>
        <w:rPr>
          <w:rFonts w:ascii="IRNazanin" w:hAnsi="IRNazanin" w:eastAsia="IRNazanin"/>
          <w:color w:val="111111"/>
          <w:sz w:val="28"/>
          <w:sz w:val="28"/>
          <w:szCs w:val="28"/>
          <w:rtl w:val="true"/>
          <w:lang w:bidi="fa-IR"/>
        </w:rPr>
        <w:t>، ولا أقلّ من إجمال المراد فیها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بقرینة ما فی صحیح زرارة من إطلاق ثبوت کفّارة الصید علی الولی أعمّ من کونه ممیّزا أو غیر ممیّز مع أنّ الکفّارة لیست من أجزاء الحجّ فی الإحجاج ولذا یلزم بها الباذل فی الحجّ البذلی یظهر قرینیة هذا الاطلاق علی عود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الکبار وکذا کفّارة الصید کما تفید ذلک صحیحة زرارة التی هی فی مطلق الصبی کما تقدّم ولا یعارضه ما فی مصحّحة علی بن جعفر ؛ لأنّ مفادها نفی تعلّق الکفّارة علی الصبی لا مطلقا فلا تنافی صحیحة زرارة </w:t>
      </w:r>
      <w:r>
        <w:rPr>
          <w:rFonts w:eastAsia="IRNazanin" w:cs="IRNazanin"/>
          <w:color w:val="111111"/>
          <w:sz w:val="28"/>
          <w:szCs w:val="28"/>
          <w:rtl w:val="true"/>
          <w:lang w:bidi="fa-IR"/>
        </w:rPr>
        <w:t>.</w:t>
      </w:r>
      <w:bookmarkStart w:id="149" w:name="pg13695_150729"/>
    </w:p>
    <w:p>
      <w:pPr>
        <w:pStyle w:val="Heading2"/>
        <w:numPr>
          <w:ilvl w:val="1"/>
          <w:numId w:val="1"/>
        </w:numPr>
        <w:rPr/>
      </w:pPr>
      <w:bookmarkStart w:id="150" w:name="__RefHeading___Toc983837_1468164448"/>
      <w:bookmarkStart w:id="151" w:name="_Toc55"/>
      <w:bookmarkEnd w:id="149"/>
      <w:bookmarkEnd w:id="150"/>
      <w:r>
        <w:rPr>
          <w:rtl w:val="true"/>
        </w:rPr>
        <w:t xml:space="preserve">قاعدة </w:t>
      </w:r>
      <w:r>
        <w:rPr>
          <w:rtl w:val="true"/>
        </w:rPr>
        <w:t>:</w:t>
      </w:r>
      <w:r>
        <w:rPr>
          <w:rtl w:val="true"/>
        </w:rPr>
        <w:t>من أدرک المشعر فقد أدرک الحج</w:t>
      </w:r>
      <w:bookmarkEnd w:id="1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983839_1468164448"/>
      <w:bookmarkStart w:id="153" w:name="_Toc56"/>
      <w:bookmarkEnd w:id="152"/>
      <w:r>
        <w:rPr>
          <w:rtl w:val="true"/>
        </w:rPr>
        <w:t>اشارة</w:t>
      </w:r>
      <w:bookmarkStart w:id="154" w:name="pg13695_150731"/>
      <w:bookmarkEnd w:id="153"/>
    </w:p>
    <w:p>
      <w:pPr>
        <w:pStyle w:val="BookText"/>
        <w:rPr/>
      </w:pPr>
      <w:bookmarkEnd w:id="154"/>
      <w:r>
        <w:rPr>
          <w:rFonts w:ascii="IRNazanin" w:hAnsi="IRNazanin" w:eastAsia="IRNazanin"/>
          <w:color w:val="111111"/>
          <w:sz w:val="28"/>
          <w:sz w:val="28"/>
          <w:szCs w:val="28"/>
          <w:rtl w:val="true"/>
          <w:lang w:bidi="fa-IR"/>
        </w:rPr>
        <w:t>من أدرک المشعر فقد أدرک الحج</w:t>
      </w:r>
    </w:p>
    <w:p>
      <w:pPr>
        <w:pStyle w:val="Heading3"/>
        <w:numPr>
          <w:ilvl w:val="2"/>
          <w:numId w:val="1"/>
        </w:numPr>
        <w:rPr/>
      </w:pPr>
      <w:bookmarkStart w:id="155" w:name="__RefHeading___Toc983841_1468164448"/>
      <w:bookmarkStart w:id="156" w:name="_Toc57"/>
      <w:bookmarkEnd w:id="155"/>
      <w:r>
        <w:rPr>
          <w:rtl w:val="true"/>
        </w:rPr>
        <w:t>أولا</w:t>
      </w:r>
      <w:r>
        <w:rPr>
          <w:rtl w:val="true"/>
        </w:rPr>
        <w:t xml:space="preserve">: </w:t>
      </w:r>
      <w:r>
        <w:rPr>
          <w:rtl w:val="true"/>
        </w:rPr>
        <w:t>الأقوال فی القاعدة</w:t>
      </w:r>
      <w:r>
        <w:rPr>
          <w:rtl w:val="true"/>
        </w:rPr>
        <w:t>:</w:t>
      </w:r>
      <w:bookmarkEnd w:id="156"/>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المشهور من القول بالاجزاء إلحاقا بما ورد فی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فی المعتبر والعلّامة فی بعض أقواله التردّد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واستشکله فی الحدائق وأکثر متأخّری هذا العصر، وذکر السید الیزدی فی حج العروة ثلاثة وجوه للاجزاء وأشکل علیها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وهو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علی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للاجزاء وجهین تامّین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ویترتّب من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توسعة موضوع وجوب الاستطاعة وبقیّة شرائط الوجوب إلی أو عند أحد الموقفین بمقتضی توسعة الواجب بقاعدة من أدرک أحد الموقفین فقد أدرک الحجّ، کما أشار إلی ذلک کاشف اللثام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أداء الواجب مع کون الصبی الذی بلغ مرتهن باحرام لحجّ مستحبّ، وذلک امّا بدعوی بطلان إحرامه السابق أو</w:t>
      </w:r>
    </w:p>
    <w:p>
      <w:pPr>
        <w:pStyle w:val="BookText"/>
        <w:rPr/>
      </w:pPr>
      <w:r>
        <w:rPr>
          <w:rFonts w:ascii="IRNazanin" w:hAnsi="IRNazanin" w:eastAsia="IRNazanin"/>
          <w:color w:val="111111"/>
          <w:sz w:val="28"/>
          <w:sz w:val="28"/>
          <w:szCs w:val="28"/>
          <w:rtl w:val="true"/>
          <w:lang w:bidi="fa-IR"/>
        </w:rPr>
        <w:t>جواز العدول به إلی الحجّ الواجب أو کونه مجزئا عن الواجب من دون عدول وجوه، وما ورد فی العبد من الروایات الخاصّة بعد حملها علی مقتضی القاعدة لما تقدّم فی المقدّمة الاولی تکون دالّة علی عدم إعاقة وعدم معارضة الاحرام السابق لأداء الواجب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بیان المقدّمتین تفصیلا فنقول إنّه یستدلّ علی المقدّمة الاولی بما حرّر فی الاصول من أنّه توسعة الواجب یلزمه توسعة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من أدرک رکعة من الوقت فقد أدرک الوقت فإنّه یوسّع الوجوب للحائض التی حصل لها النقاء من الحیض واقتدرت علی أداء رکعة، فکذا الحال فیما نحن فیه حیث 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المشعر فقد أدرک الحجّ موسّع لأداء الواجب وهو یوسّع الوجوب وموضوعه بتبع ذلک فی تمام قیوده، وما أشکله غیر واحد من النقض بحجّ المتسکّع الذی تحدث لدیه الاستطاعة عند أحد الموقفین من أنّه لا یجزأ عن حجّة الإسلام غیر مسلّم، مع أنّهم قد ذهبوا إلی الاجزاء فی من حجّ متسکّعا وأحرم من المیقات ثمّ تجدّدت له الاستطاعة وکان أمامه میقات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ذکرناه فی سند العروة بحث الحج 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الاستطاعة</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ولا خصوصیة للمیقات الآخر فی فرضهم؛ لأنّ المضطرّ میقاته حیث أمکنه فینطبق حینئذ کبری تلک المسألة علی ما نحن فیه أیضا، والعمدة فی وجه الالتزام بتلک المسألة هو کون الاستطاعة المشروطة فی وجوب الحجّ هی بلحاظ کون ومکان المکلّف لا من بلده، وبلحاظ إمکان أداء الواجب والمفروض تحقّق</w:t>
      </w:r>
    </w:p>
    <w:p>
      <w:pPr>
        <w:pStyle w:val="BookText"/>
        <w:rPr/>
      </w:pPr>
      <w:r>
        <w:rPr>
          <w:rFonts w:ascii="IRNazanin" w:hAnsi="IRNazanin" w:eastAsia="IRNazanin"/>
          <w:color w:val="111111"/>
          <w:sz w:val="28"/>
          <w:sz w:val="28"/>
          <w:szCs w:val="28"/>
          <w:rtl w:val="true"/>
          <w:lang w:bidi="fa-IR"/>
        </w:rPr>
        <w:t xml:space="preserve">ذلک فی المسألة المزبورة وفی المقام أیضا حیث انّه فی المقام قد تحقّقت جمیع شرائط الوجوب من الاستطاعة والبلوغ والحریة، کما أنّه یمکنه أداء الواجب ببرکة من أدرک أحد الموقفین فقد أدرک الحجّ، ومن ثمّ تقرر تلک القاعدة ان الجهة الموسّعة للواجب موسّعة لموضوع الوجوب أیضا، ومن ذلک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المشهور من الروایات الخاصّة الواردة فی العبد إلی غیره من الصبی وغیره من المکلّفین إذا استتمّت لدیهم الشرائط کمن حجّ حجّا تطوّعا أجیرا فی خدمة أحد القوافل فتجدّد له حصول الاستطاعة بعد إحرامه قبیل أحد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حملوا ما ورد فی العبد علی الإشارة لمقتضی القاعدة بالبیان المتقدّم لا أنّه تعبّد خاصّ فی حدوث الوجوب فی مورد العبد خاصّ به کی یستشکل بما ذکره أکثر متأخّری العصر بأنّ التعدّی قیاس من غیر علّة مصرّح بها فی الروایات، فنکتة حمل تلک الروایات علی القاعدة هی هذه المقدّمة الاولی التی بیّناها، وقد أشار إلیها کاشف اللثام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إشکال السید الیزدی علی قاعدة من أدرک أحد الموقفین فقد أدرک الحجّ من أنّ هذه القاعدة إنّما هی واردة فی من لم یحرم لا فی من أحرم کما فی المقام، وأجاب غیر واحد عنه بأنّ القاعدة واردة فی الأعمّ من الذی أحرم أو من لم یحرم لکن الظاهر أنّ نظر السید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الإشکال هو ما سنتعرّض له فی المقدّمة الثانیة من وجود المانع عن أداء الواجب وهو التلبّس بالاحرام السابق ولو فرض تحقّق موضوع الوجوب بمقتضی المقدّمة الاولی وإلّا فلا یخفی علی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قاعدة من أدرک أغلبها</w:t>
      </w:r>
    </w:p>
    <w:p>
      <w:pPr>
        <w:pStyle w:val="BookText"/>
        <w:rPr/>
      </w:pPr>
      <w:r>
        <w:rPr>
          <w:rFonts w:ascii="IRNazanin" w:hAnsi="IRNazanin" w:eastAsia="IRNazanin"/>
          <w:color w:val="111111"/>
          <w:sz w:val="28"/>
          <w:sz w:val="28"/>
          <w:szCs w:val="28"/>
          <w:rtl w:val="true"/>
          <w:lang w:bidi="fa-IR"/>
        </w:rPr>
        <w:t>ورد فی من أحرم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روایات العبد لیس تعبّدا خاصّا بلحاظ حدوث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التخلّص من الاحرام الذی تلبّس به والنسک الذی أنشأه وعقده وفرضه علی نفسه بالتلبیة فیمکن بیان الحلّ والعلاج لذلک ببیان إجمالی وآخر تفصیلی علی مقتضی إحدی قواعد عدّة علی نحو البدل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ببرکة الروایات الواردة فی العبد حیث انّها دلّت إجمالا علی عدم ممانعة ما تلبّس به من إحرام ونسک عن أداء الواجب الذی تجدّد وجوبه، وظاهرها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مسألة حج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شهاب بطریق الصدوق والکلینی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 ما وقع من إحرام یجزء عن الواجب وأنّ ما وقع من أعمال العبد مجز عن الواجب کذلک، أی أنّ طبیعة المستحبّ المأتی بها تنطبق علیها طبیعة الواجب عند حدوث الوجوب فی الأثناء عند أحد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فی مفاد هذه الروایات من أنّها غیر دالّة علی تلبّس العبد بالاحرام؛ إذ من المحتمل أنّه أعتق ولم یکن محرما ثمّ أدرک أحد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الصحیح المتقدّم حیث انّ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 العبد حجّة الإسلام دالّ علی تحقّق عمل فی الخارج یکون هو مجزیا عن أداء الواجب، کما أنّ التعبیر فیها بأنّ للسیّد ثواب الحجّ دالّ علی مفروغیة بذل السیّد الحجّ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صرّح فیها بکبری من أدرک أحد الموقفین الدالّ علی أنّ حکم العبد فی المقام هو بمقتضی تلک الکبری، بل انّ هذه الروایات هی بعض روایات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ما تلبّس به من إحرام تطوّعی یقع مجز عن الواجب لانطباق الماهیّة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الاستدلال بتلک الروایات علی المقدّمة الثانیة بأنّها خاصّة فی العبد وأنّه الذی یقع إحرامه التطوّعی مجز عن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کیفیّة أداء الواجب من جهة ممانعة التلبّس بالنسک التطوّعی لا فرق فیه بین المکلّف الذی کان عبدا أو الذی کان صبیا أو غیر مستطیع بعد فرض تحقّق جمیع شرائط الوجوب عند أحد الموقفین علی استواء فی الموارد الثلاثة وکون الاحرام السابق لهم تطوّعی،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فیها لیس بلحاظ موضوع الوجوب کیف وهی تعلّل بالکبری المزبورة، وإنّما التعبّد فیها بلحاظ کیفیّة أداء الواجب للوجوب المتجدّد بانطباق طبیعة الواجب علی طبیعة التطوّع، ولک أن تقول إنّ التعلیل فیها بکبری من أدرک شاهد علی العموم فی کیفیّة أداء الواجب مع الابتلاء بذلک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نخرج بکبری اخری من الروایات الواردة فی العبد وذلک بقرینة تعلیلها بحدوث الوجوب بتوسعة الواجب، هی أنّ طبیعة الحجّ التطوّعی ینطبق علیه طبیعة الحجّ الواجب إذا تحقّق موضوع الوجوب قبل انقضاء أحد الموقفین، وسیأتی ویقرر ایضا فی الوجه الثانی فی المقام أنّ روایات اجزاء حجّ الصبی المتقدّمة خاصّة بما بعد الموقفین فیستفاد منها هذه الکبری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البیان التفصیلی فی المقدّمة الثانیة بمقتضی إحدی القواعد علی نحو البدل وهو أن یتمسّک بذیل، أمّا قاعدة أنّ الأمر الندبی لا یشرع مع وجود الأمر الوجوبی فیقتضی ذلک فی العبد أو الصبی أو غیر المستطیع أنّ ما أتوا به من إحرام لنسک تطوّعی یقع باطلا، فحینئذ لا یکون المکلّف الذی تجدّدت له شرائط الوجوب مبتلا بمانع الاحرام التطوّعی ونسکه، وذکرنا فی 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 فی هذه القاعدة وأنّ الأظهر مشروعیة التطوّع لعموم أدلّة استحباب الحجّ ومشروعیّته ورجحانه، بناء علی أخذ الاستطاعة قیدا فی الوجوب والملاک کما هو قول المشهور، وأمّا علی أنّ الاستطاعة قید فی التنجیز فلا یختلف موضوع مشروعیة الوجوب حینئذ عن موضوع الندب فلا یتعقّل تحقق أمرین بموضوع واحد علی متعلّق واحد بنحو الدوام فلا یکون فی البین إلّا أمر مشروعیّة الفریضة هذا بالنسبة للبالغین بلحاظ قید الاستطاعة وأمّا بلحاظ قید البلوغ فیتصوّر الأمرین لاختلاف الموضوعین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سنبیّن فی المسألتین الأوّلیتین انطباق الواجب علی ما أتی به من التطوّع بدلالة ما ورد فی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العدول بالاحرام فی نسک إلی نسک قبل التلبّس بجزء النسک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سیأتی فی محلّه أنّ الأقوی وجوب إتمام النسک المنوی عند التلبیة لما ورد فی روایات التلبیة من التعبیر فیها بإنشاء الحجّ بالتلبیة وعقد الحجّ والنسک أو فرضه ولکنّها دالّة علی أنّ التلبیة مع نیّة أحد النسک سبب</w:t>
      </w:r>
    </w:p>
    <w:p>
      <w:pPr>
        <w:pStyle w:val="BookText"/>
        <w:rPr/>
      </w:pPr>
      <w:r>
        <w:rPr>
          <w:rFonts w:ascii="IRNazanin" w:hAnsi="IRNazanin" w:eastAsia="IRNazanin"/>
          <w:color w:val="111111"/>
          <w:sz w:val="28"/>
          <w:sz w:val="28"/>
          <w:szCs w:val="28"/>
          <w:rtl w:val="true"/>
          <w:lang w:bidi="fa-IR"/>
        </w:rPr>
        <w:t>وصیغة لإیجاب أحد النسکین کصیغة النذر مع وجوب النذر فیجب علیه إتمام ذلک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الاحرام شرطا فی نسک والشرط أخذه توصّلی، بخلاف الجزء فإنّ أخذه تعبّدی، وهذا لا غبار علیه کما سیأتی فی مواضع متعدّدة وإن ذهب جماعة کثیرة إلی أنّه جزء فی مسألة کیفیّة الاحرام ورتّبوا علی ذلک نیّة النسک حین تلبیة الاحرام کما فی الجواهر وأکثر المتأخّرین 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فصل کیفیّة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 فی نیّة تعیین النسک للاحرام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من المبسوط والوسیلة والمهذّب والتذکرة أنّه شرط فیجوز إنشاء الاحرام من دون تعیین، ثمّ صرفه إلی نسک معیّن وهکذا فی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الاحرام أو جزئیّته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عدیدة فی مسائل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تعیین النسک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النائب فی بعض أعمال الحجّ أداء أو قضاء، محرما کالنائب فی الطواف أو السعی أو الرمی أو الذبح، بناء علی الشرطیة بخلافه علی الجزئیة فإنّه لا یشترط کونه محرما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إتیان النسک مهما طالت المدّة بین عقد الاحرام والنسک بناء علی الشرطیة بخلافه علی الجزئیة فإنّه یبطل بعدم تعقّب بقیّة الاجزاء</w:t>
      </w:r>
    </w:p>
    <w:p>
      <w:pPr>
        <w:pStyle w:val="BookText"/>
        <w:rPr/>
      </w:pPr>
      <w:r>
        <w:rPr>
          <w:rFonts w:ascii="IRNazanin" w:hAnsi="IRNazanin" w:eastAsia="IRNazanin"/>
          <w:color w:val="111111"/>
          <w:sz w:val="28"/>
          <w:sz w:val="28"/>
          <w:szCs w:val="28"/>
          <w:rtl w:val="true"/>
          <w:lang w:bidi="fa-IR"/>
        </w:rPr>
        <w:t>بمدّة طویلة وهذه الفائدة یترتّب علیها أکثر فروعات الخلل فی 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الاحرام مع فساد النسک أو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أخذ الاحرام توصّلیا علی الشرطیة لا تعبّدیا فی المرکب کما هو علی القول بالجزئیة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العلّامة الحلّی من أنّ النسکین غایتان للاحرام ولذا لم تختلف ماهیّته فی النسکین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ذلک بما تقرّر فی علم الاصول فی بحث مقدّمة الواجب من أنّ الأشیاء التی تؤخذ عنوانا وصفیا للمکلّف أو کوصف لموضوع أو لمتعلّق التکلیف، کمستقبل القبلة أو المتطهّر أو طهارة ما یسجد علیه، أنّها تکون شروطا فی المرکّب لا أجزاء؛ لأنّ المفروض أخذ تقیّدها، أی أخذها بنحو الوصف وما نحن فیه فی المقام کذلک، حیث انّ الاحرام أخذه وصفا للمکلّف، أی عنوان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لما ذکروه هناک فی نیّة العبادات من أنّها شرط لمقارنتها واتّصالها مع کلّ الاجزاء بنحو مستمرّ وهو من خواص الشرط لا الجزء والأبعاض المتعاقبة بعضها البعض وکذلک فی الاحرام فی المقام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العلّامة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بسط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الاحرام فی الحجّ یغایر الاحرام فی بقیّة العبادات کالصلاة؛ فإنّ فیها الاحرام بالتکبیرة یبطل</w:t>
      </w:r>
    </w:p>
    <w:p>
      <w:pPr>
        <w:pStyle w:val="BookText"/>
        <w:rPr/>
      </w:pPr>
      <w:r>
        <w:rPr>
          <w:rFonts w:ascii="IRNazanin" w:hAnsi="IRNazanin" w:eastAsia="IRNazanin"/>
          <w:color w:val="111111"/>
          <w:sz w:val="28"/>
          <w:sz w:val="28"/>
          <w:szCs w:val="28"/>
          <w:rtl w:val="true"/>
          <w:lang w:bidi="fa-IR"/>
        </w:rPr>
        <w:t>بعدم تعقّب بقیّة الاجزاء الصلاتیة لها مدّة طویلة لجهة الارتباط، ممّا یدلّ علی جزئیة الاحرام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الاحرام فی الحجّ فإنّه إذا فسد الحجّ لم یفسد الاحرام، کما أنّه إذا عجز عن إدراک الموقفین فی الحجّ لم یفسد الاحرام کما فی المصدود والمحصور حیث انّ إحرامهما بقاء یتحلّلان منه بالذبح وإن امتنع أدائهما للنسک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صاحب الجواهر من أنّهم لم یکتفوا بنیّة المرکب والنسک عن نیّة الاحرام تفصیلا مع أنّ مقتضی القاعدة أنّه یکتفی بنیّة الماهیّة عن نیّة الاجزاء وإن کانت أجزاء ماهیّة الحجّ تختلف عن بقیّة المرکبات من أنّ لها صورا مستقلّة متباعدة زمنا بعضها عن البعض فی عین ارتباطیّتها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النصّ والفتوی من صحّة من حجّ ناسیا للاحرام فی کلّ أعمال الحجّ وعدم لزوم إتیان الاحرام بعد الاعمال فی ذلک الفرض بخلاف بقیّة الاجزاء فإنّها تتدارک مع الخلل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المصدود والمحصور ومن لم یدرک الموقفین وغیرهم من أنّهم یتحلّلون أمّا بالهدی أو بعمرة ممّا یدلّ علی عدم بطلان الاحرام فإنّ حاله حال التیمّم الذی أوقع للصلاة ثمّ قرأ به القرآن دون الصلاة؛ إذ صحّة الشرط مستقلّة عن صحّة المشروط وإن بنی علی المقدّمة الموصلة 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أبواب الاحرام من الروایات الدالّة علی لزوم التعیین واشتراط العدول حیث أنّ ظاهرها لزوم قصد ماهیّة النسک عند الاحرام ممّا یظهر منها أنّ الاحرام جزء؛ إذ هذه خاصّیة الجزئیة لا الشرطیة فإنّها حیث کانت توصّلیة، لا تلزم نیّة المشروط عند إتیان ذات الشرط وإن کان تعبّدیا کالوضوء والغسل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عبادیة الاحرام متوقّفة علی قصد أمر النسک أی أنّه لا أمر به فی نفسه کما هو الحال فی الوضوء والغسل ممّا یدلّ علی أنّ الأمر به ارتباطی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ویخدش فیهما بأنّ لزوم قصد الأمر بأحد النسکین وإن کان لابدَّ منه لکی یقع الاحرام عبادیا، لکن ذلک أعمّ من الجزئیة والشرطیة کما هو الحال فی التیمّم حیث أنّه لم یؤمر به فی نفسه فلا یقع عبادیا إلّا بقصد الأمر بالمشروط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ذکروا فی بحث مقدّمة الواجب أنّ المقدّمة العبادیة إذا لم یکن لها أمر مستقل فی نفسها فلابدَّ حینئذ من قصد الأمر بذیها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یقلبها عن کونها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القول بکون المقدّمة الواجبة هی مطلق المقدّمة دون التوصّلیة تصحّ وتقع المقدّمة عبادیة وإن لم یأت بالمشروط بالإتیان بمشروط آخر لوقوعها عبادیا بقصد الأمر بالمشروط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تقع عبادیا حتی علی المختار من المقدّمة التوصّلیة حیث انّ الواجب علی ذلک القول وإن کان هو خصوص المقدّمة الموصلة</w:t>
      </w:r>
    </w:p>
    <w:p>
      <w:pPr>
        <w:pStyle w:val="BookText"/>
        <w:rPr/>
      </w:pPr>
      <w:r>
        <w:rPr>
          <w:rFonts w:ascii="IRNazanin" w:hAnsi="IRNazanin" w:eastAsia="IRNazanin"/>
          <w:color w:val="111111"/>
          <w:sz w:val="28"/>
          <w:sz w:val="28"/>
          <w:szCs w:val="28"/>
          <w:rtl w:val="true"/>
          <w:lang w:bidi="fa-IR"/>
        </w:rPr>
        <w:t>و إنّ غیر الموصلة لا أمر بها إلّا أنّ المقدّمة بلحاظ المشروط ذی المقدّمة الآخر حیث کان تقیّده به توصّلیا فیمکن وقوع المقدّمة عبادیة بالإضافة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أنّهم ذکروا أنّ العبادة إذا تعلّق بها أمران وقصد أحدهما فإنّه یکون امتثالا له وأداء للآخر غیر المقصود وهذا ما یقال من أنّ الواجب العبادی فی عین کونه عبادیا، إلّا أنّه بلحاظ أمره، لو أمکن تحقّق عبادیّته بغیره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لزوم قصد النسک فی نیّة الاحرام لا یدلّ علی الجزئیة ولا یبطل الاحرام فیما لو لم یأت بالنسک المنوی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قاعدة أنّ الاحرام شرط لا جزء، لکن مع ذلک هذه القاعدة مع تمامیّتها لا تفید فی المقام بمفردها؛ لأنّها تحلّ جهة الإشکال فی المقدّمة الثانیة فی المقام من زاویة الاحرام أنّه لیس جزءا بل شرطا صالحا بأن یتعلّق بأیّ 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الزاویة الاخری من الإشکال من المقدّمة الثانیة فی المقام من اشتغال الذمّة بإنشاء نسک وعقده وفرضه فیجب علیه الاتمام فلا تنفع شرطیة الاحرام فی حلّه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یحلّ الاشکال فی المقدّمة الثانیة بالقاعدة الثالثة من عدم وجوب اتمام النسک للتلبّس به فیعدل فی المقام من النسک المستحبّ إلی الواجب عند البلوغ والحریة فی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الصحیح هو وجوب إتمام</w:t>
      </w:r>
    </w:p>
    <w:p>
      <w:pPr>
        <w:pStyle w:val="BookText"/>
        <w:rPr/>
      </w:pPr>
      <w:r>
        <w:rPr>
          <w:rFonts w:ascii="IRNazanin" w:hAnsi="IRNazanin" w:eastAsia="IRNazanin"/>
          <w:color w:val="111111"/>
          <w:sz w:val="28"/>
          <w:sz w:val="28"/>
          <w:szCs w:val="28"/>
          <w:rtl w:val="true"/>
          <w:lang w:bidi="fa-IR"/>
        </w:rPr>
        <w:t>النسک بإنشائه لفظا ونیّة وعقده وفرضه لورود هذا التعبیر فی روایات أبواب الاحرام المشار إلیها فیما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ومقتضی هذا التعبیر کون الإنشاء اللفظی للنسک أو الإنشاء لنیّة أنّه سبب لوجوبه وفرضه فیکون محقّق الصغری لکبری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51"/>
      </w:r>
      <w:r>
        <w:rPr>
          <w:rFonts w:ascii="IRNazanin" w:hAnsi="IRNazanin" w:eastAsia="IRNazanin"/>
          <w:color w:val="111111"/>
          <w:sz w:val="28"/>
          <w:sz w:val="28"/>
          <w:szCs w:val="28"/>
          <w:rtl w:val="true"/>
          <w:lang w:bidi="fa-IR"/>
        </w:rPr>
        <w:t>وظاهر الروایات والآیة هو الاختصاص الوضعی لذلک الاحرام بذلک النسک المنوی فضلا عن وجوب الاتمام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یحلّ ب القاعدة الرابعة وهی کون الحجّ المستحبّ مع الحجّ الواجب طبیعة وحقیقة واحدة منطبق أحدهما علی الاخری فی تمام أجزاء الماهیّة وشرائطها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یقصد أمر کلّ منهما لأجل التمییز فی الامتثال کما هو الحال فی رکعتی نافلة الصبح وفریضته وحینئذ فهل یکون ما أتی به العبد والصبی وغیرهما من الحجّ التطوّعی مصداقا للطبیعة الواجبة بعد تجدّد شرائط الوجوب عند الموقفین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لما ورد فی روایات العبد کما فی صحیح شهاب المشار إلیها سابقا والروایات الواردة فی نفی اجزاء حجّ الصبی عن حجّة الإسلام المختصّة بما إذا لم یبلغ عند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أحد الموقفین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تحقّق موضوع الوجوب، مضافا إلی انصرافها عن فرض المقام باختصاصها بغیره کما سنبیّنه فی الوجه الثانی انّ طبیعة الحجّ التطوّعی متّحدة مع الواجب فیما إذا فرض تحقّق موضوع</w:t>
      </w:r>
    </w:p>
    <w:p>
      <w:pPr>
        <w:pStyle w:val="BookText"/>
        <w:rPr/>
      </w:pPr>
      <w:r>
        <w:rPr>
          <w:rFonts w:ascii="IRNazanin" w:hAnsi="IRNazanin" w:eastAsia="IRNazanin"/>
          <w:color w:val="111111"/>
          <w:sz w:val="28"/>
          <w:sz w:val="28"/>
          <w:szCs w:val="28"/>
          <w:rtl w:val="true"/>
          <w:lang w:bidi="fa-IR"/>
        </w:rPr>
        <w:t>الوجوب ولو عند أحد الموقفین لا ما إذا تحقّق بعدهما فإنّ طبیعة الحجّ المستحبّ مباینة بمقتضی تلک الطائفتین من الروایات وعلی ذلک فینجع فی حلّ الإشکال فی المقام وهو ظاهر من روایات العبد ومحملها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المقدّمة الثانیة من مقدّمتی الوجه الأوّل لإجزاء حجّ الصبی بالبلوغ قبل أحد الموقفین، وإنّما أطلنا فی بیان المقدّمة الثانیة مع أنّ الوجه الإجمالی کان مجزئا لما فی التفصیل من تحریر قواعد یبتنی علیها أکثر فروعات الحجّ وشرائط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فبناء علی التمسّک بالعمومات المشروعة للعبادات وأنّها یستدلّ بها لمشروعیة حجّ الصبی وأنّه واجد لعین ملاک حجّ الکبار فی فرض توفّر بقیّة الشرائط من الاستطاعة وغیرها کما تقدّم بیانه فی نسبة حدیث الرفع إلی العمومات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قد دلّت الروایات الخاصّة علی عدم إجزاء حجّ الصبی کدلیل مخصّص رافع للید عن العمومات إلّا أنّ المقدار المخصّص بها فیما إذا استمرّ صباه إلی ما بعد الموقفین أو ما بعد الحجّ ولا یخفی انصرافها إلی ذلک لمن تدبّر، بل لک أن تقول إنّ قاعدة من أدرک أحد الموقفین فقد أدرک الحجّ الدالّة علی توسعة موضوع الوجوب کما تقدّم مقیّدة لتلک الروایات الخاصّة بغیر ما إذا بلغ قبل الموقفین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والمتسکّع والعبد وکلّ من کان غیر واجد الشرائط فتوفّرت لدیه الشرائط عند أحد الموقفین فإنّ ذلک یجزیه عن حجّة الإسلام</w:t>
      </w:r>
      <w:r>
        <w:rPr>
          <w:rFonts w:eastAsia="IRNazanin" w:cs="IRNazanin"/>
          <w:color w:val="111111"/>
          <w:sz w:val="28"/>
          <w:szCs w:val="28"/>
          <w:rtl w:val="true"/>
          <w:lang w:bidi="fa-IR"/>
        </w:rPr>
        <w:t>.</w:t>
      </w:r>
      <w:bookmarkStart w:id="157" w:name="pg13695_150745"/>
    </w:p>
    <w:p>
      <w:pPr>
        <w:pStyle w:val="Heading2"/>
        <w:numPr>
          <w:ilvl w:val="1"/>
          <w:numId w:val="1"/>
        </w:numPr>
        <w:rPr/>
      </w:pPr>
      <w:bookmarkStart w:id="158" w:name="__RefHeading___Toc983843_1468164448"/>
      <w:bookmarkStart w:id="159" w:name="_Toc58"/>
      <w:bookmarkEnd w:id="157"/>
      <w:bookmarkEnd w:id="158"/>
      <w:r>
        <w:rPr>
          <w:rtl w:val="true"/>
        </w:rPr>
        <w:t xml:space="preserve">قاعدة </w:t>
      </w:r>
      <w:r>
        <w:rPr>
          <w:rtl w:val="true"/>
        </w:rPr>
        <w:t>:</w:t>
      </w:r>
      <w:r>
        <w:rPr>
          <w:rtl w:val="true"/>
        </w:rPr>
        <w:t>الشعائر الدینیة</w:t>
      </w:r>
      <w:bookmarkEnd w:id="1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983845_1468164448"/>
      <w:bookmarkStart w:id="161" w:name="_Toc59"/>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الشعائر الدینیة</w:t>
      </w:r>
    </w:p>
    <w:p>
      <w:pPr>
        <w:pStyle w:val="BookText"/>
        <w:rPr/>
      </w:pPr>
      <w:r>
        <w:rPr>
          <w:rFonts w:ascii="IRNazanin" w:hAnsi="IRNazanin" w:eastAsia="IRNazanin"/>
          <w:color w:val="111111"/>
          <w:sz w:val="28"/>
          <w:sz w:val="28"/>
          <w:szCs w:val="28"/>
          <w:rtl w:val="true"/>
          <w:lang w:bidi="fa-IR"/>
        </w:rPr>
        <w:t>من القواعد المهمة التی لم یحرر فیها الأعلام بحثا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الشعائر الدینیة اذ بحثوها استطرادا وبشکل متناثر بحسب مناسبات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البحث الاستطرادی لا یسلط الضوء علی کل حیثیات البحث بل یبحث بشکل متوسط وإجمالی دون الغور فی المطالب التفصیلیة والتحلیلیة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تنشأ رؤی غیر مکتملة تحتاج الی تنقیح وتجمیع للخروج بقاعدة متکاملة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وتحریر البحث فی هذه القاعدة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علماء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مفسرین ومتکلمین ومحدثین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الشعیرة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الشعیرة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تحقق موضوع الشعائر ومعالجة بعض قواعد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الحکم فی قاعدة الشعائر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قاعدة الشعائر والأحکام الأولیة والثانویة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تطبیق قاعدة الشعائر </w:t>
      </w:r>
      <w:r>
        <w:rPr>
          <w:rFonts w:eastAsia="IRNazanin" w:cs="IRNazanin"/>
          <w:color w:val="111111"/>
          <w:sz w:val="28"/>
          <w:szCs w:val="28"/>
          <w:rtl w:val="true"/>
          <w:lang w:bidi="fa-IR"/>
        </w:rPr>
        <w:t>.</w:t>
      </w:r>
      <w:bookmarkStart w:id="162" w:name="pg13695_150748"/>
    </w:p>
    <w:p>
      <w:pPr>
        <w:pStyle w:val="BookText"/>
        <w:rPr/>
      </w:pPr>
      <w:bookmarkEnd w:id="162"/>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تطبیقات قاعدة الشعائر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 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 العامة والخاصة حول قاعدة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هذه الجهة فی مقامین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983847_1468164448"/>
      <w:bookmarkStart w:id="164" w:name="_Toc60"/>
      <w:bookmarkEnd w:id="163"/>
      <w:r>
        <w:rPr>
          <w:rtl w:val="true"/>
        </w:rPr>
        <w:t>أقوال العامّة</w:t>
      </w:r>
      <w:r>
        <w:rPr>
          <w:rtl w:val="true"/>
        </w:rPr>
        <w:t>:</w:t>
      </w:r>
      <w:bookmarkEnd w:id="164"/>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بعض المفسرین من ان عطاء فسّر الشعائر فی الآیتین التالیتین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جمیع ما أمر اللَّه به ونهی‌عنه ، أی جمیع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یخصّصه ببابٍ دون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فی الآیة وَ مَنْ یُعَظِّمْ شَعائِرَ اللّهِ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ولا تُحِلُّوا شَعائِرَ اللّهِ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نقل ابن الجوزی عن عکرمة بأنه فسر الشعائر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الله هی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بعض المفسرین عن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الدین کلّه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أیضاً قولٌ بالتعمیم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تعمیم فی الموضوع ، وعلیه فهذان القولان یتّفقان علی تعمیم موضوع الشعائر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القرطبیّ فی تفسیره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w:t>
      </w:r>
    </w:p>
    <w:p>
      <w:pPr>
        <w:pStyle w:val="BookText"/>
        <w:rPr/>
      </w:pPr>
      <w:r>
        <w:rPr>
          <w:rFonts w:ascii="IRNazanin" w:hAnsi="IRNazanin" w:eastAsia="IRNazanin"/>
          <w:color w:val="111111"/>
          <w:sz w:val="28"/>
          <w:sz w:val="28"/>
          <w:szCs w:val="28"/>
          <w:rtl w:val="true"/>
          <w:lang w:bidi="fa-IR"/>
        </w:rPr>
        <w:t xml:space="preserve">إلی أنّ المراد من الشعائر هی جمیع‌العبادات ولم یعمّمها لجمیع أحکام الدین، وإنّما خصّصها بالعبادات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المتعبّدات الّتی أشعَرها اللَّه تعالی، أی جعلها أعلاماً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قول آخر قد حدّد فیه دائرة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بعض مفسری العامة من أنّ المراد من شعائر اللَّه مناسک الحج خاصة دون غیرها من الاعمال او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بقرینة السیاق فی‌الآیات الواردة فی سورة الحجّ وفی أوائل سورة المائدة ، وتلک التی فی سورة البقرة اذ کلّها فی سیاق أعمال 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ذهب هذا القائل الی أنّ المراد منها جمیع مناسک الحجّ لیس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 هذه القاعدة بقیّة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زاد المسیر عن الماوردی والقاضی ابی یعلی من ان الشعائر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أعلام الحرم نهاهم ان یتجاوزوها غیر محرمین اذا ارادوا دخول مکة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بعض او اهم أقوال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الخاصّة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لأقوال الخاصّة ، فلم نعثر علی قول من أقوال الخاصّة یقیِّد القاعدة بمناسک الحجّ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یُخصّصها بالعبادات ، عدا ما قد یظهر من الشیخ النراقیّ فی عوائده ، بل دیدن علماء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بالتعمیم ،فمثلاً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الکبیر کاشف الغطاء فی کتابه کشف الغطاء ذهب إلی أنّ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شُعِّرت ، فهی مشاعِر ، ومن ثَمّ تجری علیها أحکام المساجد ،ذکر ذلک فی بحث الطهارة ، فی مناسبة معینة ، فی تطهیر المسجد وحُرمة تنجیسه‌وما 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تمیّز الشیخ الکبیر کاشف الغطاء بهذا الإستدلال عن بقیّة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بالإشارة إلی أنّ وجه إلحاق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بالمساجد هو کونها شُعِّرت‌مشاعر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إذن یذهب إلی أنّ المشاعر لا تختصّ بأفعال الحجّ ، ولا تختصّ‌بالعبادات ، بل تشمل دائرةً أوسع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فی کتاب منهاج الرشاد لمن أراد السداد یشیر الشیخ الأکبر کاشف الغطاء إلی هذه النکتة، وهی تشعیر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وکذلک یشیر أیضاً إلی أنّ حُرمة المؤمن أیضاً من شعائر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یعمّم‌موضوع الشعائر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إلی التعمیم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 فی بحث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موضع‌حرمة تنجیس القرآن، أو وجوب تطهیر القرآن إذا وقعت علیه 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ویشیر إلی أنّ حرمة الهتک ووجوب التعظیم شاملان لکلّ حُرُمات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ما عُلم من الشریعة وجوب تعظیمه وحُرمة إهانته وتحقیره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کنس المساجد قطعا بمعنی جمع کناستها بضم الکاف و إخراجها لما فیه من تعظیم الشعائر و ترغیب المترددین</w:t>
      </w:r>
    </w:p>
    <w:p>
      <w:pPr>
        <w:pStyle w:val="BookText"/>
        <w:rPr/>
      </w:pPr>
      <w:r>
        <w:rPr>
          <w:rFonts w:ascii="IRNazanin" w:hAnsi="IRNazanin" w:eastAsia="IRNazanin"/>
          <w:color w:val="111111"/>
          <w:sz w:val="28"/>
          <w:sz w:val="28"/>
          <w:szCs w:val="28"/>
          <w:rtl w:val="true"/>
          <w:lang w:bidi="fa-IR"/>
        </w:rPr>
        <w:t xml:space="preserve">المفضی إلی عدم خرابه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التعبیر فی النصین کأنّما اقتبسه صاحب الجواهر من الآیة فی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الکلمات الّتی یستفاد منها التعمیم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الراوندی فی فقه القرآن قال الله إِنَّ الصَّفا وَ الْمَرْوَةَ مِنْ شَعائِرِ اللّهِ وهما جبلان معروفان بمکة وهما من الشعائر أی معالم الله وشعائر الله أعلام متعبداته من موقف أو مسعی أو منحر مأخوذ من شعرت به أی علمت وکل معلم لعبادة من دعاء أو صلاة وأداء فریضة فهو مشعر لتلک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المجلسی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والشعائر جمع الشعیرة وهی البدنة تهدی وکذا أعمال الحج وکل ما جعل علما لطاعة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العاملی فی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جامع المقاصد أنّ کراهیّة التجصیص والتجدید فیما عدا قبور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لإطباق السلف والخلف علی فعل ذلک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قال فی المسالک والمدارک ومجمع البرهان والمفاتیح مع زیادة استفاضة الروایات بالترغیب فی ذلک فی المدارک بل فی الأربعة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استثناء قبور العلماء والصلحاء أیضاً استضعافاً لخبر المنع والتفاتاً إلی تعظیم الشعائر لکثیر من المصالح الدینیة، بل فی مجمع البرهان أنّ ذلک معروف بین الخاصّة والعامّة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وفتوی المحقق الکبیر المیرزا النائینیّ، الّتی صَدرت حول الشعائر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عبّر عَن الشعائر الحسینیّة بأنّها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واستدلاله بالآیة</w:t>
      </w:r>
    </w:p>
    <w:p>
      <w:pPr>
        <w:pStyle w:val="BookText"/>
        <w:rPr/>
      </w:pPr>
      <w:r>
        <w:rPr>
          <w:rFonts w:ascii="IRNazanin" w:hAnsi="IRNazanin" w:eastAsia="IRNazanin"/>
          <w:color w:val="111111"/>
          <w:sz w:val="28"/>
          <w:sz w:val="28"/>
          <w:szCs w:val="28"/>
          <w:rtl w:val="true"/>
          <w:lang w:bidi="fa-IR"/>
        </w:rPr>
        <w:t>یعمّم هذه القاعدة الفقهیّة، ولا یخصّصها بالمناسک ولا بالعبادات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حسین کاشف الغطاء، قال بالتعمیم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فی‌فتاواه وفی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رسائل الأسئلة والأجوبة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یذکر دخول الشعائر الحسینیّة فی عنوان شعائر اللَّه، وفی شعائر الدین، ووجوب تعظیمها بنفس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فی بحث 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تمایل إلی وجوب 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الأذان والإقامة، لا من باب الجزئیّة، بل من باب استحباب الأمر باقترانها بالشهادة الثانیة، ومن ثمّ‌طبّق علیها عنوان شعائر الله، وبالتالی ذهب إلی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فباعتبار أنّ الحکم الأوّلیّ لها هو الاستحباب، وإن کان بنحو التعمیم إلّا أنّها اتُّخذت شعاراً للمذهب والطائفة، فذهب إلی حصول وتحقّق الشعیرة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فالّذی‌یظهر منه ذهابه إلی تعمیم شعائر الله، وعدم تخصیصها بمناسک الحجّ، ولا بالعبادات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أقوال الخاصّة الّتی تعرَّضَتْ صریحاً إلی تعمیم شعائر الله، ولم‌نجد من یخصّص الشعائر بخصوص مناسک الحجّ، أو خصوص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بل‌الجمیع یعمّم الشعائر إلی مطلق ما یُظهر المعالم الرئیسیّة للشریعة ویَنشُر أحکام الدین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والمتتبّع لفتاوی المتأخّرین فی الشعائر الحسینیّة یلاحظ تعمیم عنوان وقاعدة شعائر الله، إلی عموم أبواب وأحکام الدین</w:t>
      </w:r>
      <w:r>
        <w:rPr>
          <w:rFonts w:eastAsia="IRNazanin" w:cs="IRNazanin"/>
          <w:color w:val="111111"/>
          <w:sz w:val="28"/>
          <w:szCs w:val="28"/>
          <w:rtl w:val="true"/>
          <w:lang w:bidi="fa-IR"/>
        </w:rPr>
        <w:t>..</w:t>
      </w:r>
      <w:bookmarkStart w:id="165" w:name="pg13695_150753"/>
    </w:p>
    <w:p>
      <w:pPr>
        <w:pStyle w:val="BookText"/>
        <w:rPr/>
      </w:pPr>
      <w:bookmarkEnd w:id="165"/>
      <w:r>
        <w:rPr>
          <w:rFonts w:ascii="IRNazanin" w:hAnsi="IRNazanin" w:eastAsia="IRNazanin"/>
          <w:color w:val="111111"/>
          <w:sz w:val="28"/>
          <w:sz w:val="28"/>
          <w:szCs w:val="28"/>
          <w:rtl w:val="true"/>
          <w:lang w:bidi="fa-IR"/>
        </w:rPr>
        <w:t xml:space="preserve">وقد نبّه الفقهاء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استدلالهم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القاعدة، إلی حقیقة وجود أدلّة أخری بلسان آخر یُرادف معنی ومدلول قاعدة الشعائر الدینیّة ، فآیات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یُعَظِّمْ شَعائِرَ اللّهِ فَإِنَّها مِنْ تَقْوَی الْقُلُوبِ یرادفها من الآیات القرآنیّة کثیر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نذکر بعض الایات فی جهة لاحقة وان بعض الایات تدل علی نفس مضمون قاعدة الشعائر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983849_1468164448"/>
      <w:bookmarkStart w:id="167" w:name="_Toc61"/>
      <w:bookmarkEnd w:id="166"/>
      <w:r>
        <w:rPr>
          <w:rtl w:val="true"/>
        </w:rPr>
        <w:t>فائدة</w:t>
      </w:r>
      <w:r>
        <w:rPr>
          <w:rtl w:val="true"/>
        </w:rPr>
        <w:t>:</w:t>
      </w:r>
      <w:bookmarkEnd w:id="1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تتبّع الفقهاء للعثور علی ألْسِنة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کانت‌مسألة وقاعدة فقهیّة، أو قاعدة کلامیّة إنّما یحصل من أجل إعطاء الباحث الفقهیّ ،أو المستنبط الفقهیّ سعة فی البحث، ما لا یعطیه اللسان الواحد والدلیل الفارد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یحصل الاختلاف فی اللسان الواحد، هل هو باق علی حقیقته اللغویّة أو نُقل إلی الحقیقة الشرعیّة مثلاً ؟ هل هو مبهم أم مجمل أم مبیّن ؟ هل فیه إطلاق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غیر ذلک من الحالات التی تعرض علی اللسان الواحد فی الأدلّة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عثر الباحث أو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حتّی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أدلّة متعددة محتویة علی ألسنة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تلک الألسنة متضمّنة لبیانات ومفادات أجلی وأوضح، بحیث‌لا یقع الإختلاف فیها، وتختصر علی الباحث الطریق للوصول إلی ضالّته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ثمّ نری أنّ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والایة فِی بُیُوتٍ أَذِنَ اللّهُ أَنْ تُرْفَعَ وَ یُذْکَرَ فِیهَا اسْمُهُ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استند إلیهما الفقهاء، لیس فی بحث الشعائر فحسب، بل فی مسائل فقهیّة وعقائدیّة وتاریخیّة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وقائع تحتاج لمواقف شرعیّة حازمة وصارمة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وجوب نشر نور الدین ونور الإسلام، ونور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وسیاتی لاحقا أنّ الفقهاء یلاحظون فی کلّ دلیل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الموضوع، ومحور المحمول، ومحور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فسوف یکون البحث‌عقیماً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تمییز هذه المحاور الثلاثة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عناوین هذه المحاور تختلف من لسان إلی لسان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فلابدَّمن تمییز الألسنة وتصنیفها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قیام الأدلة المختلفة وتمامیّتها یمکن القول أنّ قاعدة الشعائر الدینیّة عبارة عن جملة من قوانین الإعلام والنشر فی الدین الإسلامیّ لها أهمّیّتها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حکمها المتمیّز والمغایر للأحکام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کما فُسِّرت من أنّ حکمها هو عین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الشعائر هی الدین کلّه کما مر فی بعض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تختصّ بمناسک‌الحجّ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فالشعائر لها حکم مغایر للأحکام الأخری، ومتعلّقها مغایر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ارتبط وتعلّق بنحوٍ أو بآخر بالأحکام الأوّلیّة بل هو حکم آخر وهو نشر الدین وإعلام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ذکرنا أنّ قاعدة الشعائر هی بمثابة فقرة الإعلام فی الفقه أو فی‌الدین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جانب النشر والإعلام للأحکام علی غرار الإنذار فی آیة النفر، حیث إنّ الإنذار واجب مستقل غیر وجوب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 بالصلاة غیر 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والإنذار بالحجّ لیس هو نفس مناسک الحجّ ؛فبالإجمال نستنتج أنّ الشعائر لها موضوع ومتعلّق وحُکم یتمیّز ویختلف عن بقیّة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الغایة الأخری التی دلّت علیها الآیات الشریفة، وهی إعلاء الدین وإقامة معالمه فی النفوس والسلوک الاجتماعیّ ولا خفاء فی الأثر التربویّ البالغ لأسلوب الشعیرة وممارستها فی إعطاء هاتین الغایتَین السامیتَین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قاعدة الشعائر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الرؤیة القرآنیة أو العمومات الفوقانیة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دلیل لابد ان یبحث الفقیه او المستنبط عن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وهو قیود الحکم سواء اکان حکما تکلیفیا ام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وهو الحکم الشرعی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والمتعلق وهو المطلوب حصوله خارجا فیما لو کان</w:t>
      </w:r>
    </w:p>
    <w:p>
      <w:pPr>
        <w:pStyle w:val="BookText"/>
        <w:rPr/>
      </w:pPr>
      <w:r>
        <w:rPr>
          <w:rFonts w:ascii="IRNazanin" w:hAnsi="IRNazanin" w:eastAsia="IRNazanin"/>
          <w:color w:val="111111"/>
          <w:sz w:val="28"/>
          <w:sz w:val="28"/>
          <w:szCs w:val="28"/>
          <w:rtl w:val="true"/>
          <w:lang w:bidi="fa-IR"/>
        </w:rPr>
        <w:t>الحکم هو الوجوب او عدم حصوله فیما لو کان الحکم 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ولنطبق ذلک علی ادلة الشعائر ومنها الآیتان الکریمتان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الموضوع فی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حیث أُخذ متعلق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والمتعلق فی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الإحلال والإهانة والابتذال، أو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المتعلق هو التعظیم ان کان الحکم ایجابیا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والتهاون ان کان الحکم سلبیا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المحمول او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الإحلال أو وجوب التعظیم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یُعَظِّمْ حُرُماتِ اللّهِ فَهُوَ خَیْرٌ لَهُ عِنْدَ رَبِّهِ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یؤخذ الموضوع فیها الشعائر وإنما الحرمات، ومع ذلک فقد صنّفها کثیر فی عمومات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الاعتماد علی قاعدة معروفة ومشهورة لدی أساطین الفقه وهی أنّ الموضوع أو المتعلّق کما یمکن الإستدلال له بالأدلّة الوارد فیهاالعنوان نفسه أو المتضمّنة له، أو مرادفاته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یمکن الإستدلال له بما یشترک‌معه فی الماهیّة النوعیّة أو الجنسیّة، أی المماثل أو المجانس ؛ بشرط أن یکون‌الحُکم مُنصبّاً علی تلک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 التّعدی قیاساً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یمکن‌الاستدلال له بالدلیل الذی یتضمّن جزء الماهیّة، کذلک یمکن الاستدلال له بمایدلّ علی اللازم</w:t>
      </w:r>
    </w:p>
    <w:p>
      <w:pPr>
        <w:pStyle w:val="BookText"/>
        <w:rPr/>
      </w:pPr>
      <w:r>
        <w:rPr>
          <w:rFonts w:ascii="IRNazanin" w:hAnsi="IRNazanin" w:eastAsia="IRNazanin"/>
          <w:color w:val="111111"/>
          <w:sz w:val="28"/>
          <w:sz w:val="28"/>
          <w:szCs w:val="28"/>
          <w:rtl w:val="true"/>
          <w:lang w:bidi="fa-IR"/>
        </w:rPr>
        <w:t>له أو الملزوم له، فتتوسع دائرة دلالة الأدلّة الدالّة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من أوضح الآیات علی إثبات المطلوب، حیت تدلّ علی محبوبیّة ورجحان التعظیم لشعائر الله حسب التقسیم الثلاثیّ المذکور من الموضوع والمتعلّق والحکم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لَکُمْ مِنْ شَعائِرِ اللّهِ لَکُمْ فِیها خَیْرٌ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فالایة ذکرت البدن من مصادیق الشعائر لذا عبرت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فهمه جملة من الاعلام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کلام المفسر الراوندی فی الایة وحمل الصفا والمروة 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اخری ثانیة من الادلة تمسک بها بعض الفقهاء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تمسک عدة من کبار علماء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کالمیرزا القمی فی فتواه فی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العروة، والسید جمال الکلبایکانی النجفی بعدة ادلة اخری ولم یقفوا عند العمومات المتقدمة التی أُخذ فیها لفظ</w:t>
      </w:r>
      <w:bookmarkStart w:id="168" w:name="pg13695_150758"/>
    </w:p>
    <w:p>
      <w:pPr>
        <w:pStyle w:val="BookText"/>
        <w:rPr/>
      </w:pPr>
      <w:bookmarkEnd w:id="168"/>
      <w:r>
        <w:rPr>
          <w:rFonts w:ascii="IRNazanin" w:hAnsi="IRNazanin" w:eastAsia="IRNazanin"/>
          <w:color w:val="111111"/>
          <w:sz w:val="28"/>
          <w:sz w:val="28"/>
          <w:szCs w:val="28"/>
          <w:rtl w:val="true"/>
          <w:lang w:bidi="fa-IR"/>
        </w:rPr>
        <w:t>الشعیرة، وإنما استدلوا بعمومات أخری، من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یُرِیدُونَ أَنْ یُطْفِؤُا نُورَ اللّهِ بِأَفْواهِهِمْ وَ یَأْبَی اللّهُ إِلاّ أَنْ یُتِمَّ نُورَهُ وَ لَوْ کَرِهَ الْکافِرُونَ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ما فیه نشر لنور الله فی مقابل الإطفاء فهو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فِی بُیُوتٍ أَذِنَ اللّهُ أَنْ تُرْفَعَ وَ یُذْکَرَ فِیهَا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عامة لکل بیت وموطن فیه رفع لکلمة الله ونشر حکمه فإنه واجب لوضوح أن الإذن فی الآیة ظاهر فی الوجوب لا الجواز، مع الإذعان بأن المصداق التام منحصر فی المعصوم کما یبدو ذلک من سیاق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وَ جَعَلَ کَلِمَةَ الَّذِینَ کَفَرُوا السُّفْلی وَ کَلِمَةُ اللّهِ هِیَ الْعُلْیا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عمومات قرآنیة تدل علی وجوب تعظیم الشعائر الدینیة عموماً وحرمة ابتذالها وإهانتها تحت أکثر من عنوان، کعنوان الشعائر وعنوان بثّ ونشر کلمة الله تعالی ونوره</w:t>
      </w:r>
      <w:r>
        <w:rPr>
          <w:rFonts w:eastAsia="IRNazanin" w:cs="IRNazanin"/>
          <w:color w:val="111111"/>
          <w:sz w:val="28"/>
          <w:szCs w:val="28"/>
          <w:rtl w:val="true"/>
          <w:lang w:bidi="fa-IR"/>
        </w:rPr>
        <w:t>.</w:t>
      </w:r>
    </w:p>
    <w:p>
      <w:pPr>
        <w:pStyle w:val="Heading3"/>
        <w:numPr>
          <w:ilvl w:val="2"/>
          <w:numId w:val="1"/>
        </w:numPr>
        <w:rPr/>
      </w:pPr>
      <w:bookmarkStart w:id="169" w:name="__RefHeading___Toc983851_1468164448"/>
      <w:bookmarkStart w:id="170" w:name="_Toc62"/>
      <w:bookmarkEnd w:id="169"/>
      <w:r>
        <w:rPr>
          <w:rtl w:val="true"/>
        </w:rPr>
        <w:t>الدراسة التفصیلیة لموضوع العمومات</w:t>
      </w:r>
      <w:r>
        <w:rPr>
          <w:rtl w:val="true"/>
        </w:rPr>
        <w:t>:</w:t>
      </w:r>
      <w:bookmarkEnd w:id="1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قاعدة أصولیة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العناوین المأخوذة فی الأدلة الشرعیة من دون فرق بین أن تکون موضوعاً أم‌متعلقاً هو الحمل</w:t>
      </w:r>
    </w:p>
    <w:p>
      <w:pPr>
        <w:pStyle w:val="BookText"/>
        <w:rPr/>
      </w:pPr>
      <w:r>
        <w:rPr>
          <w:rFonts w:ascii="IRNazanin" w:hAnsi="IRNazanin" w:eastAsia="IRNazanin"/>
          <w:color w:val="111111"/>
          <w:sz w:val="28"/>
          <w:sz w:val="28"/>
          <w:szCs w:val="28"/>
          <w:rtl w:val="true"/>
          <w:lang w:bidi="fa-IR"/>
        </w:rPr>
        <w:t>علی المعنی اللغوی حتی نتوفر علی مؤشرات کافیة علی النقل لمعنی شرعی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فی حالة ظهورها فی المعنی اللغوی یمکن التمسک بإطلاق ماهیاتها، وإلّا لابد من اقتناص حدود المعنی‌الشرعی من مجموع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مقام التطبیق بع تنقیح مقام قالب التنظیر فی کیفیة وجود العناوین ومصادیقها هو الحمل علی الکیفیة المألوفة فی وسط العرف أو العقلاءأو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طبیعة العنوان وأنه شأن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یثبت بالدلیل أن للشارع تعبدا خاصا فی المصداق والمصادیق والآلیات والوجود بنحو خاص کما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وعمومات الشعائر لا تستثنی من هذه القاعدة، ومن ثم کان من المنهجی تحدید المعنی اللغوی أولًا للتعرف علی‌مساحة العموم إن تمّ حملها علی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خطوة لاحقة نتعرف علی طبیعة وجودها لیتمّ الحمل علیه إن‌لم یکن للشارع تحدید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للشعیرة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کتاب العین للخلیل بن أحمد الفراهیدیّ ؛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الشِّعار دون الدِّثار، تصفه بالقُرب والمودة ،وأَشْعَرَ فلانٌ قلبی همّاً، ألبسه بالهمّ حتی جعله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أی‌عِلمی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یُشْعِرُکَ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عقلتُه وفهمتُه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المنسک من مشاعر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الشعار من شعائر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والشعیرة من شعائر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فالخلیل بن أحمد أثبت کلتا اللغتَین فی اللفظة المفردة، مفرد الشعائر ،فجعلها شعیرة، وجعلها أیضاً شعاراً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والشعیرة البُدن، وأشعرتُ هذه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جعلتُها شعیرة تُهدی ،وإشعارها أن یُوجأ سِنامها بسکّین فیسیل الدم علی جانبها فتُعرف أنّها بدنةُ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تسمیة البُدن بالشعیرة أو بالشعار أنّها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یُعلم‌أنّها بُدن للهَدی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أنَّ هناک معنی مشترکاً بین موارد استعمال الشعائر، حیث نراها تستعمل بکثرة بمعنی العلامة والاستعلام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والشعائر أعمال الحجّ، وکلّ ما جُعل عَلَماً لطاعة الله تعالی، والمشاعر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المناسک، والمشاعر الحواسّ ؛ والشَعار ما ولی الجسد من الثیاب، وشعار القوم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علامتهم لیعرف بعضهم بعضاً ،وأشعر الرجل هماً، إذا لزق بمکان الشعار من الثیاب فی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وأشعرتُه فشَعر ،أی أدریتُه فدری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أیضاً لم یزد علی ما ذکره الخلیل، والجوهریّ فی صحاحه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الفیروز آبادیّ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أشعَرَه الأمر أی أعلمه، وأشعرَها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لها شعیرة، وشعار الحجّ مناسکه وعلاماته، والشعیرة والشعارة والمشعر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شعائره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 الّتی ندب الله الیها وأمر</w:t>
      </w:r>
      <w:bookmarkStart w:id="171" w:name="pg13695_150761"/>
    </w:p>
    <w:p>
      <w:pPr>
        <w:pStyle w:val="BookText"/>
        <w:rPr/>
      </w:pPr>
      <w:bookmarkEnd w:id="171"/>
      <w:r>
        <w:rPr>
          <w:rFonts w:ascii="IRNazanin" w:hAnsi="IRNazanin" w:eastAsia="IRNazanin"/>
          <w:color w:val="111111"/>
          <w:sz w:val="28"/>
          <w:sz w:val="28"/>
          <w:szCs w:val="28"/>
          <w:rtl w:val="true"/>
          <w:lang w:bidi="fa-IR"/>
        </w:rPr>
        <w:t>بالقیام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فارس فی مقاییس اللغة لدیه هذا التعبیر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للواحدة شعارَة وهو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یدلّ علی أنّ شعیرة صحیحة، ولکن الأصحّ والأحسن شعارة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من طریق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،واحدها مَشعر، وهی المواضع التی قد أُشعرت بعلامات ؛ ومنه الشعر، لأنّه بحیث‌یقع الشعور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یعنی‌التحسّس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 الشاعر، لأنّه یشعر بفطنته بما لا یفطن له‌غیره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القرطبیّ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للَّه تعالی فیه أمرٌ أشعَر به وأعلم یقال له‌شعاره، أو 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وأشعرتُ أعلمتُ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الشعیرة العلامة، وشعائر الله أعلام دینه </w:t>
      </w:r>
      <w:r>
        <w:rPr>
          <w:rFonts w:eastAsia="IRNazanin" w:cs="IRNazanin"/>
          <w:color w:val="111111"/>
          <w:sz w:val="28"/>
          <w:szCs w:val="28"/>
          <w:rtl w:val="true"/>
          <w:lang w:bidi="fa-IR"/>
        </w:rPr>
        <w:t>..</w:t>
      </w:r>
    </w:p>
    <w:p>
      <w:pPr>
        <w:pStyle w:val="Heading3"/>
        <w:numPr>
          <w:ilvl w:val="2"/>
          <w:numId w:val="1"/>
        </w:numPr>
        <w:rPr/>
      </w:pPr>
      <w:bookmarkStart w:id="172" w:name="__RefHeading___Toc983853_1468164448"/>
      <w:bookmarkStart w:id="173" w:name="_Toc63"/>
      <w:bookmarkEnd w:id="172"/>
      <w:r>
        <w:rPr>
          <w:rtl w:val="true"/>
        </w:rPr>
        <w:t>نتیجة المطاف</w:t>
      </w:r>
      <w:r>
        <w:rPr>
          <w:rtl w:val="true"/>
        </w:rPr>
        <w:t>:</w:t>
      </w:r>
      <w:bookmarkEnd w:id="173"/>
    </w:p>
    <w:p>
      <w:pPr>
        <w:pStyle w:val="BookText"/>
        <w:rPr/>
      </w:pPr>
      <w:r>
        <w:rPr>
          <w:rFonts w:ascii="IRNazanin" w:hAnsi="IRNazanin" w:eastAsia="IRNazanin"/>
          <w:color w:val="111111"/>
          <w:sz w:val="28"/>
          <w:sz w:val="28"/>
          <w:szCs w:val="28"/>
          <w:rtl w:val="true"/>
          <w:lang w:bidi="fa-IR"/>
        </w:rPr>
        <w:t>تحصّل من مجموع کلمات اللغویّین والمفسّرین أنّ موارد استعمال هذه‌المادّة وهذه اللفظة فی موارد الإعلام الحسّیّ وهی جنبة إعلامیّة کما یظهر من‌أدلّة اللسان الثانی للأدلة القرآنیّة الواردة بغیر لفظة الشعائر، وهی ترکّز علی‌جانب الإعلام الدینیّ، أو نشر الدین وبثّ نور الله سبحانه وعدم إطفائه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التعابیر کلّها تبین زوایا من المراد من الآیات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جنبة أخری فی الشعائر، وهی جنبة الإعلاء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موجودة‌فی لسان الأدلّة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أنّها غیر موجودة فی ماهیّة الشعائر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هی‌موجودة فی ماهیّة المتعلّق الّذی تعلّق بالشعائر ذلِکَ وَ مَنْ یُعَظِّمْ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التعظیم هو العلوّ والرفعة والسموّ لا تُحِلُّوا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تبتذلوها، ولا تستهینوا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قوله تعالی فِی بُیُوتٍ أَذِنَ اللّهُ أَنْ تُرْفَعَ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هذا اللسان الأوّل الّذی ورد فیه لفظة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رکّز علی‌جنبة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استخلصناه من أنّ معنی الشعیرة والشعائر عند اللغویین هو الإعلام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الإعلام الفکریّ المحض الّذی یکون من‌وراء الستار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فالإعلام الفکری لا یسمّی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العلامة الحسّیّة الموضوعة الّتی تشیر وتُنبیء عن معنی دینیّ له نسبةٌ ما إلی الله عَزَّ وَجَلَّ وإلی‌الدین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جنبة الإعلام الموجودة فی اللسان الأوّل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والجَنبة الثانیة الّتی تظهر من خلال لسان الدلیل الثانی، وهی جنبة الإعلاء وَ کَلِمَةُ اللّهِ هِیَ الْعُلْیا ولَنْ یَجْعَلَ اللّهُ لِلْکافِرِینَ عَلَی الْمُؤْمِنِینَ سَبِیلاً وما شابه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ویمکن القول أنّ کلتا الجنبتَین، حاصلتان فی اللسان الأوّل ؛ غایة الأمر أنّ‌جنبة الإعلام والنشر والبثّ ظاهرة فی موضوع الدلیل وهو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وجنبة الإعلاء والتعظیم وعدم الاستهانة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مطویّة فی متعلّق الدلیل وهو التعظیم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خُلّینا وهذا المعنی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عامّ ؛ کما ذکر القرطبی أیضاً تبعاًلبعض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أعلَمَ بالله عَزَّ وَجَلَّ أو أعلَم بمعنیً من المعانی المنتسِبة‌إلی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شعار، وشعائر</w:t>
      </w:r>
      <w:r>
        <w:rPr>
          <w:rFonts w:eastAsia="Amiri" w:cs="Amiri" w:ascii="Amiri" w:hAnsi="Amiri"/>
          <w:color w:val="111111"/>
          <w:sz w:val="28"/>
          <w:szCs w:val="28"/>
          <w:rtl w:val="true"/>
          <w:lang w:bidi="ar-SA"/>
        </w:rPr>
        <w:t>..</w:t>
      </w:r>
      <w:bookmarkStart w:id="174" w:name="pg13695_150763"/>
    </w:p>
    <w:p>
      <w:pPr>
        <w:pStyle w:val="BookText"/>
        <w:rPr/>
      </w:pPr>
      <w:bookmarkEnd w:id="174"/>
      <w:r>
        <w:rPr>
          <w:rFonts w:ascii="IRNazanin" w:hAnsi="IRNazanin" w:eastAsia="IRNazanin"/>
          <w:color w:val="111111"/>
          <w:sz w:val="28"/>
          <w:sz w:val="28"/>
          <w:szCs w:val="28"/>
          <w:rtl w:val="true"/>
          <w:lang w:bidi="fa-IR"/>
        </w:rPr>
        <w:t>فمن حیث الوضع اللغویّ، والماهیّة اللغویّة فإنّ الشعائر والشعار والشَعارة‌هو کلّ ما له إعلام حسّیّ بمعنی من المعانی الدینیّة، وله إضافة ما بالله عَزَّ وَجَلَّ ،وبدینه وبأمره وبإرادته وبأحکامه وبمراضیه</w:t>
      </w:r>
      <w:r>
        <w:rPr>
          <w:rFonts w:eastAsia="IRNazanin" w:cs="IRNazanin"/>
          <w:color w:val="111111"/>
          <w:sz w:val="28"/>
          <w:szCs w:val="28"/>
          <w:rtl w:val="true"/>
          <w:lang w:bidi="fa-IR"/>
        </w:rPr>
        <w:t>..</w:t>
      </w:r>
    </w:p>
    <w:p>
      <w:pPr>
        <w:pStyle w:val="Heading3"/>
        <w:numPr>
          <w:ilvl w:val="2"/>
          <w:numId w:val="1"/>
        </w:numPr>
        <w:rPr/>
      </w:pPr>
      <w:bookmarkStart w:id="175" w:name="__RefHeading___Toc983855_1468164448"/>
      <w:bookmarkStart w:id="176" w:name="_Toc64"/>
      <w:bookmarkEnd w:id="175"/>
      <w:r>
        <w:rPr>
          <w:rtl w:val="true"/>
        </w:rPr>
        <w:t>الفرق بین النُسک والشعائر</w:t>
      </w:r>
      <w:r>
        <w:rPr>
          <w:rtl w:val="true"/>
        </w:rPr>
        <w:t>:</w:t>
      </w:r>
      <w:bookmarkEnd w:id="176"/>
    </w:p>
    <w:p>
      <w:pPr>
        <w:pStyle w:val="BookText"/>
        <w:rPr/>
      </w:pPr>
      <w:r>
        <w:rPr>
          <w:rFonts w:ascii="IRNazanin" w:hAnsi="IRNazanin" w:eastAsia="IRNazanin"/>
          <w:color w:val="111111"/>
          <w:sz w:val="28"/>
          <w:sz w:val="28"/>
          <w:szCs w:val="28"/>
          <w:rtl w:val="true"/>
          <w:lang w:bidi="fa-IR"/>
        </w:rPr>
        <w:t>فإذن الشعار لیس هو النُسک من حیث هو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سُمّیت النُسک مشاعر لأنّ فیها جنبة 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 الحجّ تسمّی مشاعر بتطبیق المعنی اللغویّ علیها، من‌جهة أنّ الحجّ یمثّل مؤتمراً ومَجمَعاً ومحلاًّ لالتقاء وتقارب الأهداف المشترکة والغایات الموحّدة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کلّ ما یمارسوه من أعمال بالرسم المجموعیّ یکون فیه جنبة إعلان للدین ولعظمة الدین، وفیه دلالة واضحة للوحدة والألفة‌للأمّة الإسلامیّة ؛ ومن ثمّ سمّیت 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غیرها من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فیها جنبة الإعلام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تسمّی صلاة الجماعة أیضاً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مساجد الله، بالمشعر، والسرّ فی ذلک هو ما ذکرنا من أنّ‌هذه القاعدة الشرعیّة الفقهیّة، لها حکمٌ متمیز ومغایر لبقیّة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کما قال بعض علماء العامّة بأنّ الشعائر تعنی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الشعائر هی الإعلام لدین الله، وإعلاءُ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إحیاء معالم الدین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فلها متعلّق خاصّ وحکم خاصّ وموضوع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وسیتبیّن أیضاً أن جعل‌الشعائر وحکمها لیس ثانویّاً وان کان الموضوع ثانویا علی المصداق</w:t>
      </w:r>
      <w:r>
        <w:rPr>
          <w:rFonts w:eastAsia="IRNazanin" w:cs="IRNazanin"/>
          <w:color w:val="111111"/>
          <w:sz w:val="28"/>
          <w:szCs w:val="28"/>
          <w:rtl w:val="true"/>
          <w:lang w:bidi="fa-IR"/>
        </w:rPr>
        <w:t>..</w:t>
      </w:r>
      <w:bookmarkStart w:id="177" w:name="pg13695_150764"/>
    </w:p>
    <w:p>
      <w:pPr>
        <w:pStyle w:val="Heading3"/>
        <w:numPr>
          <w:ilvl w:val="2"/>
          <w:numId w:val="1"/>
        </w:numPr>
        <w:rPr/>
      </w:pPr>
      <w:bookmarkStart w:id="178" w:name="__RefHeading___Toc983857_1468164448"/>
      <w:bookmarkStart w:id="179" w:name="_Toc65"/>
      <w:bookmarkEnd w:id="177"/>
      <w:bookmarkEnd w:id="178"/>
      <w:r>
        <w:rPr>
          <w:rtl w:val="true"/>
        </w:rPr>
        <w:t>المعنی الجامع بین اللغویّین</w:t>
      </w:r>
      <w:r>
        <w:rPr>
          <w:rtl w:val="true"/>
        </w:rPr>
        <w:t>:</w:t>
      </w:r>
      <w:bookmarkEnd w:id="179"/>
    </w:p>
    <w:p>
      <w:pPr>
        <w:pStyle w:val="BookText"/>
        <w:rPr/>
      </w:pPr>
      <w:r>
        <w:rPr>
          <w:rFonts w:ascii="IRNazanin" w:hAnsi="IRNazanin" w:eastAsia="IRNazanin"/>
          <w:color w:val="111111"/>
          <w:sz w:val="28"/>
          <w:sz w:val="28"/>
          <w:szCs w:val="28"/>
          <w:rtl w:val="true"/>
          <w:lang w:bidi="fa-IR"/>
        </w:rPr>
        <w:t xml:space="preserve">فحینئذٍ، المعنی الجامع العامّ الّذی یقف عنده اللغویّون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ماهیّة الشعائر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جنبة الإعلام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 شیء أو أمر تظهر فیه بروز لمبرز دینی وفیه جنبة إعلام عن معنی من المعانی الدینیّة، أو حکمٍ من الأحکام الدینیّة ،أو سلوکٍ من القیم الدینیّة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شعاراً أو شعائر</w:t>
      </w:r>
      <w:r>
        <w:rPr>
          <w:rFonts w:eastAsia="IRNazanin" w:cs="IRNazanin"/>
          <w:color w:val="111111"/>
          <w:sz w:val="28"/>
          <w:szCs w:val="28"/>
          <w:rtl w:val="true"/>
          <w:lang w:bidi="fa-IR"/>
        </w:rPr>
        <w:t>..</w:t>
      </w:r>
    </w:p>
    <w:p>
      <w:pPr>
        <w:pStyle w:val="Heading3"/>
        <w:numPr>
          <w:ilvl w:val="2"/>
          <w:numId w:val="1"/>
        </w:numPr>
        <w:rPr/>
      </w:pPr>
      <w:bookmarkStart w:id="180" w:name="__RefHeading___Toc983859_1468164448"/>
      <w:bookmarkStart w:id="181" w:name="_Toc66"/>
      <w:bookmarkEnd w:id="180"/>
      <w:r>
        <w:rPr>
          <w:rtl w:val="true"/>
        </w:rPr>
        <w:t>بعد آخر فی الموضوع</w:t>
      </w:r>
      <w:r>
        <w:rPr>
          <w:rtl w:val="true"/>
        </w:rPr>
        <w:t>:</w:t>
      </w:r>
      <w:bookmarkEnd w:id="181"/>
    </w:p>
    <w:p>
      <w:pPr>
        <w:pStyle w:val="BookText"/>
        <w:rPr/>
      </w:pPr>
      <w:r>
        <w:rPr>
          <w:rFonts w:ascii="IRNazanin" w:hAnsi="IRNazanin" w:eastAsia="IRNazanin"/>
          <w:color w:val="111111"/>
          <w:sz w:val="28"/>
          <w:sz w:val="28"/>
          <w:szCs w:val="28"/>
          <w:rtl w:val="true"/>
          <w:lang w:bidi="fa-IR"/>
        </w:rPr>
        <w:t>الشعار الدینی یحمل خصوصیة أخری إلی جانب خصوصیة الإعلام وهی الإعلاء المستفاد من النمط الثانی من الآیات‌الدالة علی وجوب إعلاء کلمة الله تعالی وبثّ نوره، والمستفاد من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لا یمکن استخراجه من مفهوم‌الشعار حیث لا یحمل أکثر من الإعلام، نعم یستفاد من متعلق الحکم فی آیات الشعائر وهو التعظیم وحرمة الابتذال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ضوء المعنی اللغوی وبعد التمسک بإطلاقه یُعرف شمول الدلیل القرآنی لکلّ مادة إعلامیة دینیة وإن تمّ تأسیسها علی ید العرف العام أو الخاص، ما لم یثبت تعبد خاص فی الشارع وهی الحقیقة الشرعیة أو صیاغة الشارع آلیة خاصة للمصداق وکیفیة خاصة لوجوده فیتبع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المعنی اللغوی یعرف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الشعار لیس هو النسک بما هو نسک ولا أمر الله بما هو أمر الله وإنما حیثیة البعد الإعلامی فیها،</w:t>
      </w:r>
      <w:bookmarkStart w:id="182" w:name="pg13695_150765"/>
    </w:p>
    <w:p>
      <w:pPr>
        <w:pStyle w:val="BookText"/>
        <w:rPr/>
      </w:pPr>
      <w:bookmarkEnd w:id="182"/>
      <w:r>
        <w:rPr>
          <w:rFonts w:ascii="IRNazanin" w:hAnsi="IRNazanin" w:eastAsia="IRNazanin"/>
          <w:color w:val="111111"/>
          <w:sz w:val="28"/>
          <w:sz w:val="28"/>
          <w:szCs w:val="28"/>
          <w:rtl w:val="true"/>
          <w:lang w:bidi="fa-IR"/>
        </w:rPr>
        <w:t>فالحج حیث کان ملتقی ومجمعاً للمسلمین کانت الأعمال ذات الممارسة الجماعیة علامة وشعیرة إلی جانب کونها نسکاً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یتصادقان فی النسک لا أن النسک هو الشعیرة من زاویة کونه نسکاً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تحقق موضوع الشعائر ومعالجة بعض قواعد التشریع</w:t>
      </w:r>
      <w:r>
        <w:rPr>
          <w:rFonts w:eastAsia="IRNazanin" w:cs="IRNazanin"/>
          <w:color w:val="111111"/>
          <w:sz w:val="28"/>
          <w:szCs w:val="28"/>
          <w:rtl w:val="true"/>
          <w:lang w:bidi="fa-IR"/>
        </w:rPr>
        <w:t>:</w:t>
      </w:r>
    </w:p>
    <w:p>
      <w:pPr>
        <w:pStyle w:val="Heading3"/>
        <w:numPr>
          <w:ilvl w:val="2"/>
          <w:numId w:val="1"/>
        </w:numPr>
        <w:rPr/>
      </w:pPr>
      <w:bookmarkStart w:id="183" w:name="__RefHeading___Toc983861_1468164448"/>
      <w:bookmarkStart w:id="184" w:name="_Toc67"/>
      <w:bookmarkEnd w:id="183"/>
      <w:r>
        <w:rPr>
          <w:rtl w:val="true"/>
        </w:rPr>
        <w:t>طبیعة دلالة الموضوع</w:t>
      </w:r>
      <w:r>
        <w:rPr>
          <w:rtl w:val="true"/>
        </w:rPr>
        <w:t>:</w:t>
      </w:r>
      <w:bookmarkEnd w:id="184"/>
    </w:p>
    <w:p>
      <w:pPr>
        <w:pStyle w:val="BookText"/>
        <w:rPr/>
      </w:pPr>
      <w:r>
        <w:rPr>
          <w:rFonts w:ascii="IRNazanin" w:hAnsi="IRNazanin" w:eastAsia="IRNazanin"/>
          <w:color w:val="111111"/>
          <w:sz w:val="28"/>
          <w:sz w:val="28"/>
          <w:szCs w:val="28"/>
          <w:rtl w:val="true"/>
          <w:lang w:bidi="fa-IR"/>
        </w:rPr>
        <w:t>ثم إن دلالة الشعیرة علی المعنی الدینی السامی لیس دلالة عقلیة ولا طبعیة وإنما وضعیة جعلیة، وإن کان وجود الدال‌تکوینیاً، إلا أنّ تعنونه بالشعیرة اعتباری جعلی، علی حدّ وجود الألفاظ ودلالتها علی معانیها، بید أنّ علامیّتها ودلالتها لا تتمّ إلا بعد التفشی والشیوع بحیث تصبح ممارسة 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کونها دالًّا ومعلماً لها نحوٌ من التسبیب إلی تداعی ذلک المعنی والمفهوم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أیضاً نحو من‌التسبیب إلی تذکّر وإحیاء ورسوخ ذلک المعنی وتجدید العهد به مما ینتهی إلی الالتزام ب‌آثاره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علی القول بکونه حقیقة عرفیة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أداة یتواضع أتباع الدین الحنیف أو المذهب الحقّ علی کونها دالّة علی معنی بحدّ التفشی، تصبح شعیرة دینیة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عمومات الکتاب فی الشعائر ظاهرة لغة فی عموم موضوعها لکل مادّة حسیة إعلامیة عن معنی دینی، وإن کان‌الواضع لها عرف المتشرعة، شریطة أن تتمّ ممارستها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تعظیمها ویحرم ابتذالها إلا</w:t>
      </w:r>
      <w:bookmarkStart w:id="185" w:name="pg13695_150766"/>
    </w:p>
    <w:p>
      <w:pPr>
        <w:pStyle w:val="BookText"/>
        <w:rPr/>
      </w:pPr>
      <w:bookmarkEnd w:id="185"/>
      <w:r>
        <w:rPr>
          <w:rFonts w:ascii="IRNazanin" w:hAnsi="IRNazanin" w:eastAsia="IRNazanin"/>
          <w:color w:val="111111"/>
          <w:sz w:val="28"/>
          <w:sz w:val="28"/>
          <w:szCs w:val="28"/>
          <w:rtl w:val="true"/>
          <w:lang w:bidi="fa-IR"/>
        </w:rPr>
        <w:t>أن یتصرّف الشارع فی المعنی‌أو فی کیفیة آلیة ووجوده فیتبع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فی کیفیة الوجود أنه لابد من أن یصوغها الشارع وإلا لم یعتدّ بها، استناداً إلی مجموعة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الشعیرة أمر الله ونهیه، ومثله لا یمکن أن یوکل للعرف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التطبیقات القرآنیة کانت علی البدن ومناسک الحج، وکلها مجعولة من قبل الشارع، مما ینبئ عن أن‌تحدید المصداق مهمّته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تخویل العرف بتحدید المصداق یجرّ إلی استحداث وتشریع رسوم وطقوس جدیدة وبدع فی الدین تحمّل‌علیه ولیست منه کما فی مثل صلاة التراویح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تخویل العرف یؤول إلی تحلیل الحرام عند اتخاذهم محرماً معلماً، أو إلی تحریم الحلال کما إذا اتخذبعض الأمکنة شعاراً فیحرم إهانته بالتبوّل فیه بعد أن کان حلالًا</w:t>
      </w:r>
      <w:r>
        <w:rPr>
          <w:rFonts w:eastAsia="IRNazanin" w:cs="IRNazanin"/>
          <w:color w:val="111111"/>
          <w:sz w:val="28"/>
          <w:szCs w:val="28"/>
          <w:rtl w:val="true"/>
          <w:lang w:bidi="fa-IR"/>
        </w:rPr>
        <w:t>.</w:t>
      </w:r>
    </w:p>
    <w:p>
      <w:pPr>
        <w:pStyle w:val="Heading3"/>
        <w:numPr>
          <w:ilvl w:val="2"/>
          <w:numId w:val="1"/>
        </w:numPr>
        <w:rPr/>
      </w:pPr>
      <w:bookmarkStart w:id="186" w:name="__RefHeading___Toc983863_1468164448"/>
      <w:bookmarkStart w:id="187" w:name="_Toc68"/>
      <w:bookmarkEnd w:id="186"/>
      <w:r>
        <w:rPr>
          <w:rtl w:val="true"/>
        </w:rPr>
        <w:t>تقییم ونقد عام</w:t>
      </w:r>
      <w:r>
        <w:rPr>
          <w:rtl w:val="true"/>
        </w:rPr>
        <w:t>:</w:t>
      </w:r>
      <w:bookmarkEnd w:id="18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وتعلیقنا علی الکلام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سلّمنا بصحة دعوی أن الشعائر حقیقة شرعیة تعبدیة، إلا أنها لا تنتج ما یستهدفه‌قائلها من سلب الشرعیة عن الکثیر من المصادیق التی تصنّف الیوم فی حقل الشعائرُّ وذلک لوجود الألسنة الأخری‌الآخذة لعناوین أخری ذات حقیقة عرفیة لغویة تکفی فی إضفاء الشرعیة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بثّ نور الله وإعلاءکلمته،</w:t>
      </w:r>
    </w:p>
    <w:p>
      <w:pPr>
        <w:pStyle w:val="BookText"/>
        <w:rPr/>
      </w:pPr>
      <w:r>
        <w:rPr>
          <w:rFonts w:ascii="IRNazanin" w:hAnsi="IRNazanin" w:eastAsia="IRNazanin"/>
          <w:color w:val="111111"/>
          <w:sz w:val="28"/>
          <w:sz w:val="28"/>
          <w:szCs w:val="28"/>
          <w:rtl w:val="true"/>
          <w:lang w:bidi="fa-IR"/>
        </w:rPr>
        <w:t>ولسان الدعوة لإحیاء أمر أهل البیت، ولسان أهمیة تشیید قبور أهل البیت، وحکم العقل بلزوم تعظیم الشعائر المنسوبة لله لأنه یصبّ فی مجال تعظیم الله تعالی اللازم عقلًا وبالبداهة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 تقریب الاستدلال من خلال الالتفات إلی نقطتین محسومتین سلفاً فی الوسط الفقهی والأصولی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شرعیاً، وذلک فی حالة نصّ الشارع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عقلیاً، وذلک فیما لو أمرالشارع بطبیعة کلّیة من دون تخصیص بزمان أو مکان أو عوارض معیّنة، فیدرک العقل تخویل الشارع المکلّف فی تطبیق‌الطبیعة علی أیّ فرد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التطبیق لا یعدّ تشریعاً وبدعة، لأن المکلّف لا یتعبدّ بالخصوصیة الفردیة کی یُعدّتجاوزاً لما رسمه الشارع، وإنما یتعبّد بالطبیعة الموجودة فی الفرد، ومن ثم عدّ 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وأمثلته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ولهذاأسماه البعض بالتخییر الشرعی التبعی، وإن کان الصحیح أنه تخییر عقلی بید أنه بحکم العقل غیر المستقل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العنوان الثانوی إلی عنوان ثانوی فی الحکم، وآخر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ذو ملاک‌ثانوی وبالتالی یکون الحکم فیه استثنائیاً کالحرج والضرر، وعلیه عندما تطرأ مثل هذه العناوین تُغیّر الحکم الأولی أوتزاحم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الحکم فی الثانی أولیّ منبثق عن ملاک أولیّ فلا یعدّ حکما استثنائیاً طارئاً وإنما موضوعه طارئ، کما لوأصبح القیام احتراماً للقادم بعد أن لم یکن کذلک، فذات القیام لیس احتراماً وإنما طرأ علیه وتصادق معه عنوان‌الاحترام، وأما الحکم بالاحترام فهو حکم</w:t>
      </w:r>
    </w:p>
    <w:p>
      <w:pPr>
        <w:pStyle w:val="BookText"/>
        <w:rPr/>
      </w:pPr>
      <w:r>
        <w:rPr>
          <w:rFonts w:ascii="IRNazanin" w:hAnsi="IRNazanin" w:eastAsia="IRNazanin"/>
          <w:color w:val="111111"/>
          <w:sz w:val="28"/>
          <w:sz w:val="28"/>
          <w:szCs w:val="28"/>
          <w:rtl w:val="true"/>
          <w:lang w:bidi="fa-IR"/>
        </w:rPr>
        <w:t>أولیّ ذو ملاک أولیّ فلا یعد استثنائیاً وطارئاً بالنسبة للقیام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وأمثلة هذا القسم‌کثیرة،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حالات وصور اجتماع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وفارق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النمط الأول لابد أن یکون طروّه ذا طابع اتفاقی استثنائی، وإلا لو کان دائمیاً أو غالبیاً عاد أولیاً وانقلب‌الأولی إلی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الغایة من التشریعات الأولیة أن تبقی قوانین جامدة ومعطّلة وإنشائیة فقط، وإنما الغایة تفعیلها حتی‌یتحققّ الملاک الذی یتوخّاه المقنّن من تقنینه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أن تکون مزاحمة الأحکام الثانویة التی تفرض نفسها علی‌الحکم الأولی اتفاقیةُّ حفظاً لهویتها وهویة الحکم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کانت واحدة من شرائط فقاهة الفقیه وحاکمیته أن یحفظ هذا الأصل فی استنباطه وتطبیقه للأحکام وإلا کانت أغراض المقنن عرضة للضیاع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لا مانع فی النمط الثانی من أن تکون دائمیة بعد أن کان حکمها وملاکها أولیاً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تبلورت هاتان النقطتان، وتبلور سابقاً أن أدلة الشعائر لیست منحصرة باللسان الذی ورد فیه لفظ الشعائر، أمکن‌الاستفادة من الألسنة الأخری المتضمنة لعناوین أخری حیث لم یکن الأمر فیها إلا بالطبیعة من دون تقیید بخصوصیة‌فردیة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یحکم بان الشارع خول المکلففی مقام التطبیق علی أی مصداق وبأی أسلوب کان، خاصة وقد عرفت أن‌المکلف لا یتعبد إلا بالطبیعة دون الخصوصیة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والمستجدات مهما کانت فهی لا تعدو العنوان الطارئ علی‌التکوین من القسم الثانی، وفی مثله لا مانع أن یکون</w:t>
      </w:r>
    </w:p>
    <w:p>
      <w:pPr>
        <w:pStyle w:val="BookText"/>
        <w:rPr/>
      </w:pPr>
      <w:r>
        <w:rPr>
          <w:rFonts w:ascii="IRNazanin" w:hAnsi="IRNazanin" w:eastAsia="IRNazanin"/>
          <w:color w:val="111111"/>
          <w:sz w:val="28"/>
          <w:sz w:val="28"/>
          <w:szCs w:val="28"/>
          <w:rtl w:val="true"/>
          <w:lang w:bidi="fa-IR"/>
        </w:rPr>
        <w:t>دائمیاً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الحکم فی ما نحن فیه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وکلمات الأعلام تؤکد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الحدائق والذی یمثّل حالة وسطیة بین الاتجاه الأخباری والأصولی انتهی فی‌بحث لبس السواد حزناً علی الحسین إلی عدم کراهته حتی فی الصلاة، مع أنه مکروه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والمیرزا القمی فی 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 جواز تمثیل واقعة الطف، بل رجحانه استناداً إلی عمومات البکاء والإبکاء، مضیفاً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فرض عموم حرمة تشبّه الرجل بالمرأة وبالعکس، فالمصیر حتی لو کان التعارض فإنه یبقی ذا فائدة إذ مع سقوط الحرمة یبقی الفعل علی الحلّ ولو عبر التمسک بأصالة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الیزدی فی تعلیقته علی رسالة الشیخ جعفر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وتحدیداً فی الملحق فی أجوبته علی الأسئلة حول‌الشعائر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 رأی البحرانی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والگلبایگانی انتهی إلی جواز الشبیه تمسکاً بعموم البکاء والإبکاء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بحث الفرق بین البدعیة والشرعیة یلفت کاشف الغطاء الکبیر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الأعمال الخاصة ذات الطابع الدینی التی‌تفقد الدلیل الخاص علیها بید أنها تندرج تحت عموم، فإن جیء بها من جهة العموم لا من جهة الخصوصیة فهو کافٍ‌فی شرعیتها کالشهادة الثالثة فی الأذان لا بقصد الخصوصیة والجزئیة لأنهما معاً تشریع، بل قصد الرجحان المستفاد من‌عمومات استحباب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یذکر اسم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وکقراءة</w:t>
      </w:r>
    </w:p>
    <w:p>
      <w:pPr>
        <w:pStyle w:val="BookText"/>
        <w:rPr/>
      </w:pPr>
      <w:r>
        <w:rPr>
          <w:rFonts w:ascii="IRNazanin" w:hAnsi="IRNazanin" w:eastAsia="IRNazanin"/>
          <w:color w:val="111111"/>
          <w:sz w:val="28"/>
          <w:sz w:val="28"/>
          <w:szCs w:val="28"/>
          <w:rtl w:val="true"/>
          <w:lang w:bidi="fa-IR"/>
        </w:rPr>
        <w:t>الفاتحة بعد أکل الطعام بقصد استجابة الدعاء، استناداً إلی ما ورد أنه من وظائفه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یصنع للموتی من مجلس الفاتحة والترحیم بالطور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 حدیثه لا یخصّ الممارسات ذات البعد الإعلامی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الإعلائی فقط وإنما یعم کلّ السنن الاجتماعیة ذات‌الطابع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فی المستجدّ أن یکون حلالًا فی نفسه وقبل أن یتعنون، وأما إذا کان حراماً فإن الأمر الشرعی بالطبیعة لا یشمله، فالتخییر العقلی فی الأفراد لا یتناول الخصوصیة المحرمة وإنما یشمل الفرد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بما تقدم یمکن حلّ التدافع الذی یبدو لأول وهلة بین استدلالین فی فقه الشعائر لإثبات مشروعیة المصداق المستجد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بالبراءة أو أصالة الحل فی المصداق، ثم الاستدلال بعموم وجوب أو رجحان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بین أصل عملی ودلیل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أنه کیف یفرض الشک فی حلّیة وحرمة مصداق‌ثم یقال عنه إنه واجب؟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النقطة الثانیة من أن هناک قسماً من العناوین ذات حکم أولی ولکنها مع ذلک ثانویة من ناحیة الموضوع بحکم طروه علی الموضوع التکوینی، من ثم احتاج إلی إثبات حلّیة المعنون أولًا، کی یصلح فی خطوة لاحقة أن یتعنون فیکون مصداقاً للوجوب أو الرجحان الأوّلی، لوضوح عدم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الأمر بالطبیعة فالتخییر العقلی فی‌التطبیق علی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 والفرد ذا الخصوصیة المحرمة، وإنما یشمل الفرد</w:t>
      </w:r>
    </w:p>
    <w:p>
      <w:pPr>
        <w:pStyle w:val="BookText"/>
        <w:rPr/>
      </w:pPr>
      <w:r>
        <w:rPr>
          <w:rFonts w:ascii="IRNazanin" w:hAnsi="IRNazanin" w:eastAsia="IRNazanin"/>
          <w:color w:val="111111"/>
          <w:sz w:val="28"/>
          <w:sz w:val="28"/>
          <w:szCs w:val="28"/>
          <w:rtl w:val="true"/>
          <w:lang w:bidi="fa-IR"/>
        </w:rPr>
        <w:t>المکروهُّ ومن هنا کانت الصلاة فی‌الحمام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الحلّ لا یکون إلا بالبراءة أو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یستغرب حینئذ من بحث الأعلام فی حالات اجتماع الأمر والنهی بعد أن کان الأمر بالصلاة لا یتناول الخصوصیة المحرّمةُّ إذ لا موضوع للاجتماع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موجّه للقائل بالتزاحم الملاکی کالآخند والمشهور، وأما القائل بالتعارض کالمیرزا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تجاوب مع السؤال حیث إنه ینتهی إلی عدم شمول الأمر للمصداق المحرّم؟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غرضهم من البحث هناک هو تنقیح سعة الطبیعة وامتدادها إلی الفرد الحرام أیضاً فی مقام الحکم الإنشائی‌و الفعلی الناقص، ولکن لا بمعنی تسویغ ارتکاب الحرام وإنما بمعنی أن الحرمة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الراجح علی‌الامتناع، وتزاحمه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عند المشهور، وبالتالی قد یکون العنوان الراجح هو الأهمّ کما فی حالة التضیق والعجز عن بقیة الأفراد فیتقدم ویکون هو حکم الفرد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الصلاة یحکم ببطلانها لعدم تحقق‌التقرب بما هو مبغوض عند التقصیر أو إمکان بقیة الأفراد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لو تماشینا مؤقتاً مع فرضیة أن تحدید مفردات الشعائر شأن خاص بالشارع لم یخوّل فیه المتشرعة إلا أنه‌یمکن تلافی ما تنتجه هذه الفرضیة بالألسنة الأخری حیث تضفی الشرعیة علی کل المراسیم التی تم التعارف علیها علی أساس أنها شعائر من زاویة أنها تمثّل إحیاء الأمر ورفع کلمة الله وإعلاء أمره ونشر المعانی العلیا لدینهُّ وذلک‌لإطلاق الطبیعة</w:t>
      </w:r>
      <w:bookmarkStart w:id="188" w:name="pg13695_150772"/>
    </w:p>
    <w:p>
      <w:pPr>
        <w:pStyle w:val="BookText"/>
        <w:rPr/>
      </w:pPr>
      <w:bookmarkEnd w:id="188"/>
      <w:r>
        <w:rPr>
          <w:rFonts w:ascii="IRNazanin" w:hAnsi="IRNazanin" w:eastAsia="IRNazanin"/>
          <w:color w:val="111111"/>
          <w:sz w:val="28"/>
          <w:sz w:val="28"/>
          <w:szCs w:val="28"/>
          <w:rtl w:val="true"/>
          <w:lang w:bidi="fa-IR"/>
        </w:rPr>
        <w:t>المأمور بها وهو یقتضی التخییر العقلی، وأن العناوین المأخوذة فی الأدلة المذکورة لیس لها مصادیق‌تکوینیة مشخّصة وإنما تطرأ علی مصادیق متنوعة، ولا مشکلة فی أن یکون الطرو دائمیاً، شریطة أن یکون المصداق‌محلّلًا بل وإن کان محرّماً ولکنه غیر منجز، وکان الدوام بحسب الخارج من المقارنات لا بحسب نفس الطبیعة بناء علی‌التزاحم فی صورة الامتناع والذی هو مختارنا تبعاً لمشهور الفقهاء والشیخ والآخوند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معیار التعارض لیس هو النسبة من وجه أو التباین کما هو مبنی مدرسة المیرزا، وإنما التنافی بین الدلیلین إذا کان دائمیاً أو غالبیاً بحسب التقنین والتشریع لا بحسب الخارج، فی قبال ما إذا کان اتفاقیاً بحسب التقنین والتنظیر وإن کان یدوم فی بعض الأفراد بسبب اتفاقی خارجی‌حیث یتزاحمان حینئذ من دون أن یکذب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کان التنافی بین الحکم الأولی للعنوان الثانوی الوارد فی الألسنة الأخری والحکم الأولی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لا التعارض لأن التنافی علی مستوی التقنین لا یعدو الاتفاق فی تصادقها واجتماع الطبیعتین المشتملتین علی الملاکین ولأسباب خارجیة، فیکسب المصداق الشرعیة من زاویة تعنونه بالعنوان الراجح لوجود الملاک وإن کان محرّماً فضلًا عمّا إذا کان مباحاً</w:t>
      </w:r>
      <w:r>
        <w:rPr>
          <w:rFonts w:eastAsia="IRNazanin" w:cs="IRNazanin"/>
          <w:color w:val="111111"/>
          <w:sz w:val="28"/>
          <w:szCs w:val="28"/>
          <w:rtl w:val="true"/>
          <w:lang w:bidi="fa-IR"/>
        </w:rPr>
        <w:t>.</w:t>
      </w:r>
    </w:p>
    <w:p>
      <w:pPr>
        <w:pStyle w:val="Heading3"/>
        <w:numPr>
          <w:ilvl w:val="2"/>
          <w:numId w:val="1"/>
        </w:numPr>
        <w:rPr/>
      </w:pPr>
      <w:bookmarkStart w:id="189" w:name="__RefHeading___Toc983865_1468164448"/>
      <w:bookmarkStart w:id="190" w:name="_Toc69"/>
      <w:bookmarkEnd w:id="189"/>
      <w:r>
        <w:rPr>
          <w:rtl w:val="true"/>
        </w:rPr>
        <w:t>النقد التفصیلی لأدلة الرأی الآخر</w:t>
      </w:r>
      <w:r>
        <w:rPr>
          <w:rtl w:val="true"/>
        </w:rPr>
        <w:t>:</w:t>
      </w:r>
      <w:bookmarkEnd w:id="19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کلّ هذا ننتقل إلی النقد التفصیلی للأدلة الأربعة التی قیلت أو یمکن أن تقال لدعوی اختصاص شرعیة الشعیرة بما یصوغه الشارع من</w:t>
      </w:r>
    </w:p>
    <w:p>
      <w:pPr>
        <w:pStyle w:val="BookText"/>
        <w:rPr/>
      </w:pPr>
      <w:r>
        <w:rPr>
          <w:rFonts w:ascii="IRNazanin" w:hAnsi="IRNazanin" w:eastAsia="IRNazanin"/>
          <w:color w:val="111111"/>
          <w:sz w:val="28"/>
          <w:sz w:val="28"/>
          <w:szCs w:val="28"/>
          <w:rtl w:val="true"/>
          <w:lang w:bidi="fa-IR"/>
        </w:rPr>
        <w:t>مصداق لا مطلقاً، بعد الإلمام إجمالًا بفسادها من خلال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استلزام اتساع الشریعة وبالتالی تبدّل معالمها وشکلها، فیمکن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التضخم والتوسع إن کان یعنی‌التجذیر والتثبیت والنشر والتعمیم والبثّ والإعلاء والإحیاء فهو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یعنی زوال ما هو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التغییر علی إطلاقه ظاهرة سلبیة وإنما ما کان منه علی حساب الثابت، وأما ما یصبّ فی خدمة‌الثابت وتأکیده وتأصیله وحفظه فهو إیجابی ومطلوب، وقانون هذا وضابطته هو حفظ ثبات عنوان موضوع ومتعلق‌القضیة الشرعیة واختزال واختصار التغییر فی مصداقهما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المستجدّ فی حقل الشعائر الذی یمکن قبوله بل الدعوة إلیه‌هو ما یکون فی حقل المصداق مع حفظ ثبات الموضوع للقضیة المشرعة وبدقة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ندعیه صغرویاً، ومن‌ثم لم تشکّل هذه المفردات حسب فهمنا، تهدیداً لثوابت الدین ومقدّساته بل العکس تدعیما لثوابت الدین وحفظها وابقاءها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دلیل فتح باب التشریع، فیمکن القول بوجاهته إن کان للمتشرعة تشریع، بید أنه لیس کذلک حیث إنهم لم یمارسواسنّ قانون وإنما مارسوا التطبیق المأذون به شرعاً، وهو أمر لیس منه بدّ فی أی قانونُّ لأنه مهما تفصّل علی ید المقنّن إلاأنه لا یمکن أن یکون جزئیاً من کلّ جهة، ومن ثم یبقی ذا جهة أو أکثر عامة کلّیة تنظیریة، وهی المنطقة التی خُوّل‌المکلف فیها التطبیق علی المصداق الذی یشاء من دون أن یتعبّد</w:t>
      </w:r>
      <w:bookmarkStart w:id="191" w:name="pg13695_150774"/>
    </w:p>
    <w:p>
      <w:pPr>
        <w:pStyle w:val="BookText"/>
        <w:rPr/>
      </w:pPr>
      <w:bookmarkEnd w:id="191"/>
      <w:r>
        <w:rPr>
          <w:rFonts w:ascii="IRNazanin" w:hAnsi="IRNazanin" w:eastAsia="IRNazanin"/>
          <w:color w:val="111111"/>
          <w:sz w:val="28"/>
          <w:sz w:val="28"/>
          <w:szCs w:val="28"/>
          <w:rtl w:val="true"/>
          <w:lang w:bidi="fa-IR"/>
        </w:rPr>
        <w:t>بالخصوصیة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للعموم الذی لا یتنَزل ولایتفصل إلا بجعل وتقنین وهو الذی تمّ إیکاله إلی النبی صلی الله علیه و آله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وهناک ما لا یحتاج إلی تنْزیل بصیغة التقنین والجعل حیث یکون انطباقه قهریاً وساذجاً، ومثله أُوکل تطبیقه إلی المکلف‌من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وعمومات الشعائر بألسنتها المختلفة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یتبلور الخلل فی دلیل تحلیل الحرام وبالعکسُّ إذ عقدته أنه تشریع، وهو وجیه إن کان بلا غطاء شرعی، وإلا کان‌التشریع الإلهی المنطبق الطارئ هو المحلّل والمحرّم، وقد عرفت أن التخییر العقلی فی المصداق بتخویل من الشارع، وإلا انسحب الإشکال حتی علی مثل مصادیق الصلاة بحسب المکان والزمان والساتر وبقیة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 التخییر فیها عقلی لم یحدده الشارع من حیث المصداق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ویتبلور الخلل فی الدلیل الآخر الذی حاول تصنیف عمومات الشعائر فی القسم الأول، وهو الذی یحتاج فی تفصیله‌إلی الجعل والتقنینُّ استناداً إلی جعل الشارع بعض المصادیق للشعائر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صرف تصرف الشارع فی إخراج‌مصداق أو إلحاقه لا یعنی أنه من النمط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تصرّف فی البیع توسعة وتضییقاً ولکن لم یؤثّر ذلک علی بقاءعموم البیع قابلًا للانطباق علی مصادیقه من دون توسیط للجعل</w:t>
      </w:r>
      <w:r>
        <w:rPr>
          <w:rFonts w:eastAsia="IRNazanin" w:cs="IRNazanin"/>
          <w:color w:val="111111"/>
          <w:sz w:val="28"/>
          <w:szCs w:val="28"/>
          <w:rtl w:val="true"/>
          <w:lang w:bidi="fa-IR"/>
        </w:rPr>
        <w:t>.</w:t>
      </w:r>
    </w:p>
    <w:p>
      <w:pPr>
        <w:pStyle w:val="Heading3"/>
        <w:numPr>
          <w:ilvl w:val="2"/>
          <w:numId w:val="1"/>
        </w:numPr>
        <w:rPr/>
      </w:pPr>
      <w:bookmarkStart w:id="192" w:name="__RefHeading___Toc983867_1468164448"/>
      <w:bookmarkStart w:id="193" w:name="_Toc70"/>
      <w:bookmarkEnd w:id="192"/>
      <w:r>
        <w:rPr>
          <w:rtl w:val="true"/>
        </w:rPr>
        <w:t>ضابطة البدعة والتوقیفیة</w:t>
      </w:r>
      <w:r>
        <w:rPr>
          <w:rtl w:val="true"/>
        </w:rPr>
        <w:t>:</w:t>
      </w:r>
      <w:bookmarkEnd w:id="19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أن تتکامل الصورة نلفت إلی قانون البدعة ومنه نتعرف</w:t>
      </w:r>
    </w:p>
    <w:p>
      <w:pPr>
        <w:pStyle w:val="BookText"/>
        <w:rPr/>
      </w:pPr>
      <w:r>
        <w:rPr>
          <w:rFonts w:ascii="IRNazanin" w:hAnsi="IRNazanin" w:eastAsia="IRNazanin"/>
          <w:color w:val="111111"/>
          <w:sz w:val="28"/>
          <w:sz w:val="28"/>
          <w:szCs w:val="28"/>
          <w:rtl w:val="true"/>
          <w:lang w:bidi="fa-IR"/>
        </w:rPr>
        <w:t>علی ضابط التوقیف علی الشرع، إذ قد یتبادر إلی‌الذهن علی ضوء النتیجة التی خرجنا بها أنه لم یبق للتوقیف معنی أو مجال،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البدعة هو نسبة غیر المجعول‌من قبل الشارع إلیه، أو الإخبار عنه من دون علم وإن کان فی الواقع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یعنی من النسبة محض الإخبار وإنما مع‌التدین والالتزام علی أساس أنه من الشارع وذی صبغة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فالتوقیف هو حصر التدین بشیء موقوف علی الجعل أو علی العلم حتی یتوفر ذلک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یتساءل علی هذا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یعنی جواز التدین بشیء إذا لم یکن علی أساس أنه شرعی وإنما نتیجة توافق الطرفین والتزامهما کما فی الربا من دون بناء علی حلّیته، مع أنه لا یمکن الالتزام 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الفرضیة المشار إلیها لیس حراماً من زاویة کونه بدعة ومخالفة للتوقیف، وإنما هو حرام من زاویة‌أخری وهی حرمة ممارسة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فالتوقیفیة لا تغطّی کل الالتزامات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یتساءل ثانیة عن السرّ فی اقتصار کثیر من الفقهاء فی التوقیف علی العبادات فقط، فی الوقت الذی یبدو شموله لکل‌مساحات الدین؟</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اقتصارهم لجلاء الأمر فیها، لأن العبادیّ لا یؤدّی إلا علی أساس أنه من الشارع، وإلا فالجمیع عموماً توقیفی‌من جهة الحکم والمحمول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أن العبادات ذات حقائق شرعیة، وفی مثلها لا بد من إعمال التوقیفیة حتی علی صعید المصداق، بخلاف العناوین ذات</w:t>
      </w:r>
      <w:bookmarkStart w:id="194" w:name="pg13695_150776"/>
    </w:p>
    <w:p>
      <w:pPr>
        <w:pStyle w:val="BookText"/>
        <w:rPr/>
      </w:pPr>
      <w:bookmarkEnd w:id="194"/>
      <w:r>
        <w:rPr>
          <w:rFonts w:ascii="IRNazanin" w:hAnsi="IRNazanin" w:eastAsia="IRNazanin"/>
          <w:color w:val="111111"/>
          <w:sz w:val="28"/>
          <w:sz w:val="28"/>
          <w:szCs w:val="28"/>
          <w:rtl w:val="true"/>
          <w:lang w:bidi="fa-IR"/>
        </w:rPr>
        <w:t>الحقائق اللغویة کعنوان صلة الرحم وبرّ الوالدین فإن توقیفیتها تقتصر علی الحکم وقیدیة العنوان‌له دون ماهیة العنوان والمصداق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یتبلور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النتیجة التی خرجنا بها فی عمومات الشعائر والألسنة الأخری من إیکال المصداق إلی العرف لایتقاطع مع قاعدة التوقیف، لأن العناوین المأخوذة فی الأدلة ذات حقائق لغویة لا حقائق شرعیة، وفی مثلها یقتصر فی‌التوقیف علی حکم العنوان دون المصداق</w:t>
      </w:r>
      <w:r>
        <w:rPr>
          <w:rFonts w:eastAsia="IRNazanin" w:cs="IRNazanin"/>
          <w:color w:val="111111"/>
          <w:sz w:val="28"/>
          <w:szCs w:val="28"/>
          <w:rtl w:val="true"/>
          <w:lang w:bidi="fa-IR"/>
        </w:rPr>
        <w:t>.</w:t>
      </w:r>
    </w:p>
    <w:p>
      <w:pPr>
        <w:pStyle w:val="Heading3"/>
        <w:numPr>
          <w:ilvl w:val="2"/>
          <w:numId w:val="1"/>
        </w:numPr>
        <w:rPr/>
      </w:pPr>
      <w:bookmarkStart w:id="195" w:name="__RefHeading___Toc983869_1468164448"/>
      <w:bookmarkStart w:id="196" w:name="_Toc71"/>
      <w:bookmarkEnd w:id="195"/>
      <w:r>
        <w:rPr>
          <w:rtl w:val="true"/>
        </w:rPr>
        <w:t>فقه متعلّق العمومات</w:t>
      </w:r>
      <w:r>
        <w:rPr>
          <w:rtl w:val="true"/>
        </w:rPr>
        <w:t>:</w:t>
      </w:r>
      <w:bookmarkEnd w:id="196"/>
    </w:p>
    <w:p>
      <w:pPr>
        <w:pStyle w:val="BookText"/>
        <w:rPr/>
      </w:pPr>
      <w:r>
        <w:rPr>
          <w:rFonts w:ascii="IRNazanin" w:hAnsi="IRNazanin" w:eastAsia="IRNazanin"/>
          <w:color w:val="111111"/>
          <w:sz w:val="28"/>
          <w:sz w:val="28"/>
          <w:szCs w:val="28"/>
          <w:rtl w:val="true"/>
          <w:lang w:bidi="fa-IR"/>
        </w:rPr>
        <w:t>والحدیث فی هذه الزاویة یقع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 المتعلق فی العمومات هو التعظیم والابتذال، حیث وقع الأول متعلقاً للوجوب والثانی متعلقاًللحرمة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والکیفیة المطلوبة لابد أن تأتی متناسبة مع طبیعة الشعیرة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المدلول بالشعیرة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بحث الوضع أن صلة الموضوع بالموضوع له تتوثق وتشتدّ بکثرة الاستعمال وتقادم العلاقة، حتی‌یصل الأمر إلی الاستعاضة ذهنیاً بالموضوع عن الموضوع 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کیفیة العلاقة وإن کانت مدینة للوضع حدوثاً وبقاءً، بید أن کیفیتها مرتبطة بعوامل أخری، ومن ثم لایمکن تصنیف بیانیة العلامات فی درجة واحدة وإنما هی حالة مشککة تتفاوت تبعاً لتفاوت العوامل ومدی توفرها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تشذّ الشعیرة عموماً عن هذا القانون، ومن ثم یتفسّر لنا ما نلحظه من تفاوتها فی التعبیر، فشعیرة لفظ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تعبیراً من الرزّاق والخالق فی الأول، والألقاب الأخری فی الثانی، وهی جمیعاً أشدّ من الشعائرالأخری حتی انفردت فی أحکام خاصة من بینها، کحرمة المسّ من دون طهارة، وحرمة التنجیس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الشعائر وإن اشترکت فی إحیاء المعنی الدینی وتسویقه إعلامیاً بید أن مدالیلها تختلف فی السموّوالرفعة، فمضمون المصحف الشریف هو کلام الله تعالی، بینما مضمون کتب الحدیث هو 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ومضمون کتب الفقه مضامین الحکم الإسلامی، وبدیهی أن المدلول الأول أرفع من المدلول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ثم‌یُفهم اختلاف أحکام الهاتک لحرمة الکعبة والمسجد الحرام حیث یُکفّر ویُقتل فی الأول، ویُقتل فی الثانی من دون‌تکفیر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اختلفت الشعیرة دلالةً أو مدلولًا، اختلف التعظیم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أو الحرام الذی ینطبق علی مصادیقه بکیفیة مشککة غیر متواطیة، کالبرّ بالوالدین والمعاشرة بالمعروف مع الزوجة، هل هو کلّ المراتب أو المتیقّن فقط وهو الأدنی فی الوجوب والأعلی فی الحرمة؟</w:t>
      </w:r>
    </w:p>
    <w:p>
      <w:pPr>
        <w:pStyle w:val="BookText"/>
        <w:rPr/>
      </w:pPr>
      <w:r>
        <w:rPr>
          <w:rFonts w:ascii="IRNazanin" w:hAnsi="IRNazanin" w:eastAsia="IRNazanin"/>
          <w:color w:val="111111"/>
          <w:sz w:val="28"/>
          <w:sz w:val="28"/>
          <w:szCs w:val="28"/>
          <w:rtl w:val="true"/>
          <w:lang w:bidi="fa-IR"/>
        </w:rPr>
        <w:t>مرتکز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والزائد راجح، فالبرّ الواجب هو الذی یؤدی ترکه إلی العقوق، والصلة الواجبة هی التی یلزم من‌عدمها القطیعة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ثم لم یکن فرق بین من یذهب إلی حرمة العقوق ومن یذهب إلی</w:t>
      </w:r>
      <w:bookmarkStart w:id="197" w:name="pg13695_150778"/>
    </w:p>
    <w:p>
      <w:pPr>
        <w:pStyle w:val="BookText"/>
        <w:rPr/>
      </w:pPr>
      <w:bookmarkEnd w:id="197"/>
      <w:r>
        <w:rPr>
          <w:rFonts w:ascii="IRNazanin" w:hAnsi="IRNazanin" w:eastAsia="IRNazanin"/>
          <w:color w:val="111111"/>
          <w:sz w:val="28"/>
          <w:sz w:val="28"/>
          <w:szCs w:val="28"/>
          <w:rtl w:val="true"/>
          <w:lang w:bidi="fa-IR"/>
        </w:rPr>
        <w:t>وجوب البرّ علی مستوی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مشکّکُّ حیث لا یقف عند حد، وإنما کلّ تعظیم فوقه آخر، والابتذال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کلّ نمط یوجد الأشدّ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المتیقّن من کلّ منهما هو المطلوب إلزاماً، لم یبق فرق بین مدلولی عظم ولا 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مستوی‌النتیجة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فالتعظیم الواجب هو الذی یلزم من ترکه الإهانة، وهی أول مراتب الابتذال، والمراتب العلیا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والابتذال المحرّم هو الذی لا یقترن مع أیّ ممارسة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معبرة عن التعظیم وإلا کان‌مکروهاً</w:t>
      </w:r>
      <w:r>
        <w:rPr>
          <w:rFonts w:eastAsia="IRNazanin" w:cs="IRNazanin"/>
          <w:color w:val="111111"/>
          <w:sz w:val="28"/>
          <w:szCs w:val="28"/>
          <w:rtl w:val="true"/>
          <w:lang w:bidi="fa-IR"/>
        </w:rPr>
        <w:t>.</w:t>
      </w:r>
    </w:p>
    <w:p>
      <w:pPr>
        <w:pStyle w:val="Heading3"/>
        <w:numPr>
          <w:ilvl w:val="2"/>
          <w:numId w:val="1"/>
        </w:numPr>
        <w:rPr/>
      </w:pPr>
      <w:bookmarkStart w:id="198" w:name="__RefHeading___Toc983871_1468164448"/>
      <w:bookmarkStart w:id="199" w:name="_Toc72"/>
      <w:bookmarkEnd w:id="198"/>
      <w:r>
        <w:rPr>
          <w:rtl w:val="true"/>
        </w:rPr>
        <w:t>حیثیات فی حکم العمومات</w:t>
      </w:r>
      <w:r>
        <w:rPr>
          <w:rtl w:val="true"/>
        </w:rPr>
        <w:t>:</w:t>
      </w:r>
      <w:bookmarkEnd w:id="199"/>
    </w:p>
    <w:p>
      <w:p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اتضح أن طبیعة الحکم فی عمومات الشعائر أولی، وأن الثانویة وإن کانت متقررة بید أنها فی زاویة الموضوع، ومن ثم لم یکن الحکم هذا عینَ الأحکام الأولیة، کما بدا ذلک من بعض التعاریف، حیث عرّفت الشعائر بالدین وأمر الله، وذلک لاختلاف الموضوع، فهما حکمان لموضوعین متصادقین، فإیجاب البدن کشعیرة یختلف عنه‌کمنسک حجّ ملاکاً وموضوعاً فحکماً، أقصاه أنهما تصادقا حیث کان المصداق مشتملًا علی جنبة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وعندمانتأمل فی روایات الهدی نلحظ بوضوح البعدین فی المصداق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تقسیم للثانوی من زاویة الحکم إلی مثبت ونافٍ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من قبیل المؤمنون عند شروطهم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الوفاء بالنذر، والثانی</w:t>
      </w:r>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فالمثبت متضمّن لملاک وجودیّ، فی حین یکفی النافی نفی‌الملاک، وهذا فارق مهمّ فی باب التزاحم، بالإضافة إلی الأثر المهم الذی یترتّب علی الفرق بینهما فی بحث الثابت والمتغیّر فی الأحکام والأصول القانونیة للأبواب الحدیثة المستجدّة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إن الحکم فی القسم الأول أولی، والثانویة فیه من زاویة الموضوع، فیکون کحکم الشعائر، ولکن مع میزة‌للأخیر فی أنه أمر مرغوب فیه ندب إلیه الشرع وحثّ علیه، فی حین لا یوجد ذلک فی النذر وإنما یجب لو وقع بل قدیکره کثرته، ولا یوجد ذلک فی الشرط وإنما یجب إذا التزم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یمکن تصنیف القسم المذکور فی الحکم الأولی فحکم الشعیرة علی الأقل یبقی وثیق الصلة بالحکم الأولی وإن‌کان لا یعدم ولا یخلو من القواسم المشترکة مع الثانوی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علی طبیعة العلاقة بین الحکم الثانوی النافی والحکم الأولی بین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قائل‌بالتزاحم الملاکی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ولفیف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هذا الخلاف بقاء مشروعیة الحکم الأولی علی التزاحم دون التخصیص</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أنه علی التزاحم لا یکون الضرر أو الحرج الرافع بدرجة واحدة فی کلّ الحالات وإنما فی کلّ حالة بحسبها، فالضرر الیسیر</w:t>
      </w:r>
      <w:bookmarkStart w:id="200" w:name="pg13695_150780"/>
    </w:p>
    <w:p>
      <w:pPr>
        <w:pStyle w:val="BookText"/>
        <w:rPr/>
      </w:pPr>
      <w:bookmarkEnd w:id="200"/>
      <w:r>
        <w:rPr>
          <w:rFonts w:ascii="IRNazanin" w:hAnsi="IRNazanin" w:eastAsia="IRNazanin"/>
          <w:color w:val="111111"/>
          <w:sz w:val="28"/>
          <w:sz w:val="28"/>
          <w:szCs w:val="28"/>
          <w:rtl w:val="true"/>
          <w:lang w:bidi="fa-IR"/>
        </w:rPr>
        <w:t xml:space="preserve">یرفع وجوب الوضوء إلا أنه لا یبیح أکل المیتة ما لم یبلغ حداً بالغاً یفوق فی ملاکه ملاک الحرام، وهذا هومنطق التزاحم الملاکی، وعلی المیرزا أن یکیّف هذه الظاهرة مع التزامه بالتخصیص الذی یقتضی أن یکون المخصص کیفیة واحدة فی الجمیع، ودعواه انصراف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ما لم یأتِ بشاهد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اتفقت الکلمة علی أن العلاقة بین الحکم الثانوی المثبت والحکم الأولی لیست هی التخصیص وإنما اشتدادالحکم کما إذا کان الفعل مستحباً فانه یصبح واجباً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التزاحم الملاکی مع اختلاف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حکم الشعائر مع الحکم الثانوی من دون فرق بین أن یکون مثبتاً أو نافیاً کنسبة أی حکم أولی مع الحکم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حکماً ثانویاً طارئاً علی حکم الشعیرة ومن ثم فهو متأخر رتبة من زاویة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العلاقة‌هی التزاحم الملاکی لا یکون کلّ ضرر رافعاً لحکم الشعیرة ما لم یأتِ متناسباً مع طبیعة الحکم، خاصة مع تفاوت‌الشعیرة فی قوة الدلالة أو قوة المدلول، فلابد من الموازنة بین قدر الضرر ونمط المتعلق أیضاً لأن اختلافه یعبر عن‌اختلاف ملاکه فی الشدة والضعف</w:t>
      </w:r>
      <w:r>
        <w:rPr>
          <w:rFonts w:eastAsia="IRNazanin" w:cs="IRNazanin"/>
          <w:color w:val="111111"/>
          <w:sz w:val="28"/>
          <w:szCs w:val="28"/>
          <w:rtl w:val="true"/>
          <w:lang w:bidi="fa-IR"/>
        </w:rPr>
        <w:t>.</w:t>
      </w:r>
    </w:p>
    <w:p>
      <w:pPr>
        <w:pStyle w:val="Heading3"/>
        <w:numPr>
          <w:ilvl w:val="2"/>
          <w:numId w:val="1"/>
        </w:numPr>
        <w:rPr/>
      </w:pPr>
      <w:bookmarkStart w:id="201" w:name="__RefHeading___Toc983873_1468164448"/>
      <w:bookmarkStart w:id="202" w:name="_Toc73"/>
      <w:bookmarkEnd w:id="201"/>
      <w:r>
        <w:rPr>
          <w:rtl w:val="true"/>
        </w:rPr>
        <w:t>شکوک وحلول</w:t>
      </w:r>
      <w:r>
        <w:rPr>
          <w:rtl w:val="true"/>
        </w:rPr>
        <w:t>:</w:t>
      </w:r>
      <w:bookmarkEnd w:id="20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محاولات استهدفت شرعیة بعض صغریات الشعائر السائدة فی الوسط الشیعی من خلال وصمها بالخرافة أوالهتک أو الإهانة</w:t>
      </w:r>
      <w:r>
        <w:rPr>
          <w:rFonts w:eastAsia="IRNazanin" w:cs="IRNazanin"/>
          <w:color w:val="111111"/>
          <w:sz w:val="28"/>
          <w:szCs w:val="28"/>
          <w:rtl w:val="true"/>
          <w:lang w:bidi="fa-IR"/>
        </w:rPr>
        <w:t>.</w:t>
      </w:r>
      <w:bookmarkStart w:id="203" w:name="pg13695_150781"/>
    </w:p>
    <w:p>
      <w:pPr>
        <w:pStyle w:val="BookText"/>
        <w:rPr/>
      </w:pPr>
      <w:bookmarkEnd w:id="203"/>
      <w:r>
        <w:rPr>
          <w:rFonts w:ascii="IRNazanin" w:hAnsi="IRNazanin" w:eastAsia="IRNazanin"/>
          <w:color w:val="111111"/>
          <w:sz w:val="28"/>
          <w:sz w:val="28"/>
          <w:szCs w:val="28"/>
          <w:rtl w:val="true"/>
          <w:lang w:bidi="fa-IR"/>
        </w:rPr>
        <w:t>من ثمّ ولأجل أن تأتی دراسة الموضوع متکاملة نسلّط الضوء علی هذه المفاهیم لکی نعرف مدی صحة المحاولات المذکورة</w:t>
      </w:r>
      <w:r>
        <w:rPr>
          <w:rFonts w:eastAsia="IRNazanin" w:cs="IRNazanin"/>
          <w:color w:val="111111"/>
          <w:sz w:val="28"/>
          <w:szCs w:val="28"/>
          <w:rtl w:val="true"/>
          <w:lang w:bidi="fa-IR"/>
        </w:rPr>
        <w:t>:</w:t>
      </w:r>
    </w:p>
    <w:p>
      <w:pPr>
        <w:pStyle w:val="Heading3"/>
        <w:numPr>
          <w:ilvl w:val="2"/>
          <w:numId w:val="1"/>
        </w:numPr>
        <w:rPr/>
      </w:pPr>
      <w:bookmarkStart w:id="204" w:name="__RefHeading___Toc983875_1468164448"/>
      <w:bookmarkStart w:id="205" w:name="_Toc74"/>
      <w:bookmarkEnd w:id="204"/>
      <w:r>
        <w:rPr>
          <w:rtl w:val="true"/>
        </w:rPr>
        <w:t>الخرافة</w:t>
      </w:r>
      <w:r>
        <w:rPr>
          <w:rtl w:val="true"/>
        </w:rPr>
        <w:t>:</w:t>
      </w:r>
      <w:bookmarkEnd w:id="205"/>
    </w:p>
    <w:p>
      <w:pPr>
        <w:pStyle w:val="BookText"/>
        <w:rPr/>
      </w:pPr>
      <w:r>
        <w:rPr>
          <w:rFonts w:ascii="IRNazanin" w:hAnsi="IRNazanin" w:eastAsia="IRNazanin"/>
          <w:color w:val="111111"/>
          <w:sz w:val="28"/>
          <w:sz w:val="28"/>
          <w:szCs w:val="28"/>
          <w:rtl w:val="true"/>
          <w:lang w:bidi="fa-IR"/>
        </w:rPr>
        <w:t>الخرافة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منتجات القوة الواهمة والمتخیلة مع إذعان النفس لها من دون أن تمتّ للحقیقة بصلة، فلا مطابق لها لا فی‌العقل ولا فی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فمبدؤها فعل إدراکی خاطئ مع البناء العملی علیه حتی یتمظهر بصورة سلوک وممارسة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 مثل هذا لابد من القضاء علیه وملاحقته فی شخصیة الفرد والمجتمع لأنه عنصر هدم لا بناء، لا یُقبل فضلًاعن أن یعظّم ویقدّس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الشعیرة لا تتصور الخرافة فی ذاتها بعد أن کانت هویتها العلامیة، والخرافة هی التی تلبس صورة الواقع من دون أن‌یکون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مدلولها وهو المعنی الدینی فیمکن أن تتسرب له الخرافة، ویکون التمییز حینئذ علی أساس الدلیل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یتکئ علی خطوة سابقة وهی تشخیص مدلول الشعیرة وبشکل دقیق، وهی محاولة معقدة قد لا تتسنی للفقه وحده‌ما لم یکن الفقیه ملمّاً بالتاریخ وعلم الاجتماع والنفس حتی یأتی التحدید لمؤدّی الشعیرة موضوعیاً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ذلک لابد من الالتفات إلی أن الرسوم والشعائر کالأعراف والعادات والتقالید، قد تختلف من مجتمع إلی‌آخر، فأسلوب</w:t>
      </w:r>
    </w:p>
    <w:p>
      <w:pPr>
        <w:pStyle w:val="BookText"/>
        <w:rPr/>
      </w:pPr>
      <w:r>
        <w:rPr>
          <w:rFonts w:ascii="IRNazanin" w:hAnsi="IRNazanin" w:eastAsia="IRNazanin"/>
          <w:color w:val="111111"/>
          <w:sz w:val="28"/>
          <w:sz w:val="28"/>
          <w:szCs w:val="28"/>
          <w:rtl w:val="true"/>
          <w:lang w:bidi="fa-IR"/>
        </w:rPr>
        <w:t>التعظیم یختلف من وسط إلی آخر، بل قد یکون فی وسط تعظیماً وفی آخر 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معنی‌لتحمیل شعیرة وسط علی آخر، ولا معنی لتناول شعیرة الآخر بالنقد من منطلقات الذات، ولا معنی لتنازل أمة أومجتمع عن شعیرة ذات مؤدّیً سامٍ فی وسطه لأنها لا تحمل المؤدّی ذاته فی وسط آخر بحجة أنها ظاهرة غیر حضاریة‌وأنها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إذا أرید لهذه أن تکون إعلاماً داخلیاً یستهدف المحافظة علی الوسط وتأصیله وترکیزه فی أعماق‌النفوس، کما فی مثل بعض الشعائر الإسلامیة والبدن جعلناها لکم ومن حج البیت وصلاة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فی‌الإعلام الخارجی لابد أن یکون لائقاً بالآخرین یحاکی عقلیتهم وعرفهم ومشاعرهم حتی یترک أثره فیهم، کالوفاء بالمعاملة والالتزام بالقانون، حیث یشکّل سمة بارزة فی حیاتهم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لابدَّ من الالتفات إلی أن الشعیرة تعبر عن هویة وخصوصیة وشخصیة الوسط الذی یتعاطی بها، خاصة ذات العمق‌الضارب فی التاریخ التی انتهت إلینا کموروث حضاری من جیل إلی آخر لم یساهم إلا فی تطویرها وتعدیلها، فإن مثل‌هذه تختزن ثقافة الوسط وأصالته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 التلاعب غیر المدروس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استبدالها بشعیرة مستوردة من‌وسط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تهجین أو ذوبان الهویة والقضاء علیها والتشبه المحرم بالکفار وباعداء 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یفهم اعتزاز الجماعات البشریة بتراثها عموماً حیث یمثّل عصارة حضارتها ویحکی تاریخها ویعبّر عن ثقافتهاویمثّل هویتها، وإلا</w:t>
      </w:r>
      <w:bookmarkStart w:id="206" w:name="pg13695_150783"/>
    </w:p>
    <w:p>
      <w:pPr>
        <w:pStyle w:val="BookText"/>
        <w:rPr/>
      </w:pPr>
      <w:bookmarkEnd w:id="206"/>
      <w:r>
        <w:rPr>
          <w:rFonts w:ascii="IRNazanin" w:hAnsi="IRNazanin" w:eastAsia="IRNazanin"/>
          <w:color w:val="111111"/>
          <w:sz w:val="28"/>
          <w:sz w:val="28"/>
          <w:szCs w:val="28"/>
          <w:rtl w:val="true"/>
          <w:lang w:bidi="fa-IR"/>
        </w:rPr>
        <w:t>کان علی حساب نسبها وعراقتها وأصالتها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یُفهم حکمة تحریم التعرّب بعد الهجرة وحرمة قراءة کتب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خطورة الغزو الثقافی والفکری وإصرارالغازی علی تسویق لغته أو أعرافه کواحدة من مفردات خطّته فی مشروع الهیمنةُّ حیث إنها تحمل ثقافته التی یبغی نقلهاإلی الآخرین بدیلًا عن ثقافتهم ومحاولة للقضاء علی هویتهم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یؤکد الحاجة إلی اختصاص رفیع لمن یرید أن یتناول الشعائر بالبحث أو التعدیل أو التغییر أو استحداث 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ذلک یکون اللعب بها من نمط اللعب بالنار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النار من مستصغر الشرر</w:t>
      </w:r>
      <w:r>
        <w:rPr>
          <w:rFonts w:eastAsia="IRNazanin" w:cs="IRNazanin"/>
          <w:color w:val="111111"/>
          <w:sz w:val="28"/>
          <w:szCs w:val="28"/>
          <w:rtl w:val="true"/>
          <w:lang w:bidi="fa-IR"/>
        </w:rPr>
        <w:t>).</w:t>
      </w:r>
    </w:p>
    <w:p>
      <w:pPr>
        <w:pStyle w:val="Heading3"/>
        <w:numPr>
          <w:ilvl w:val="2"/>
          <w:numId w:val="1"/>
        </w:numPr>
        <w:rPr/>
      </w:pPr>
      <w:bookmarkStart w:id="207" w:name="__RefHeading___Toc983877_1468164448"/>
      <w:bookmarkStart w:id="208" w:name="_Toc75"/>
      <w:bookmarkEnd w:id="207"/>
      <w:r>
        <w:rPr>
          <w:rtl w:val="true"/>
        </w:rPr>
        <w:t>الهتک</w:t>
      </w:r>
      <w:r>
        <w:rPr>
          <w:rtl w:val="true"/>
        </w:rPr>
        <w:t>:</w:t>
      </w:r>
      <w:bookmarkEnd w:id="208"/>
    </w:p>
    <w:p>
      <w:pPr>
        <w:pStyle w:val="BookText"/>
        <w:rPr/>
      </w:pPr>
      <w:r>
        <w:rPr>
          <w:rFonts w:ascii="IRNazanin" w:hAnsi="IRNazanin" w:eastAsia="IRNazanin"/>
          <w:color w:val="111111"/>
          <w:sz w:val="28"/>
          <w:sz w:val="28"/>
          <w:szCs w:val="28"/>
          <w:rtl w:val="true"/>
          <w:lang w:bidi="fa-IR"/>
        </w:rPr>
        <w:t>الهتک علی صعید اللغة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المستور، أو کشف العوار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یقال هتک المؤمن أو هتک المجتمع الدینی مثلًا یُقصد منه کشف نقاط الضعف فیه أو إذلاله وإهانته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والهوان مسبّب عن الهتک یتّصف به المهتوک إذا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 مسبّب عن الآخر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وبدیهی أن أیّ ممارسة توجب الهتک للمجتمع الدینی لا تلتقی مع أغراض الشارع المتمثّلة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کَلِمَةَ الَّذِینَ کَفَرُوا السُّفْلی وَ کَلِمَةُ اللّهِ هِیَ الْعُلْیا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الهتک یحصل بصرف استهزاء الآخر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الاستهزاء نتیجة اختلاف الأعراف والشعائر والرموز الموجب لعدم فهم الآخر المدلول الدینی عندنا أو فهمه منها معنیً آخر، فلا یوجب الهتک، وبالتالی لا یفرض تغییر الشعیرة، بل إن محاکاة ذوقه وتقلیده یتمّ علی‌حساب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بحقّ ونتیجة فراغ المادة الإعلامیة أو سوء محتواها فهو موجب للهتک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ممارسة الآخر الاستهزاء والتشویه للشعائر الحقة وبإعلام مکثّف قد یوجب وقوع المسلمین فی جوّ خاطئ فیری الحسن قبیحاً، وعندها قد یکون من الصحیح وفی حالات خاصة جداً وفی غیر المتأصّل من الشعائر أن یمنع‌الفقیه أو الحاکم من ممارسة هذه الشعیرة مؤقتاً ولکن لا لأجل الهتک وإنما تفادیاً لضعف المسلمین وشعورهم بالنقص‌الذی هو مفسدة أکبر من مصلحة الشعیرة کما یری الفقهاء أرجحیة ترک المستحب أو ترک المکروه عندما یکون هناک‌عرف خاطئ یوجب التشهیر بمن یعمل المستحب أو یترک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شریطة ألا یکون ترک الممارسة موجباً لقوة‌الخصم وتقهقر المؤمنین نفسیاً وإلّالم یرجح</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الحکم لقاعدة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التعظیم للشعائر وحرمة الابتذال والإحلال لها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یُعَظِّمْ شَعائِرَ اللّهِ فَإِنَّها مِنْ تَقْوَی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یُعَظِّمْ حُرُماتِ اللّهِ فَهُوَ خَیْرٌ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والبحث حول المتعلّق یقتضی التعرض لعدة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الإلتفات إلی أن وجود الشعیرة والشعائر، هو أشبه مایکون بالوضع، حیث إنّ کلّ موضوع تزداد صلته وارتباطه ووثاقته وعلامیّته للموضوع له بکثرة الإستعمال أو بأسباب ومناشی أخری، فیصبح هناک نوع من‌العُلقة الشدیدة بین الموضوع والموضوع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العلقة بین اللفظ والمعنی‌فی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الأمور توضع علامات لمعنی معین، وکلّ ما تقادَم الزمن وتزاید الاستعمال تُصبح أکثر صِلة بذلک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بَدل أن یأتی فی الذهن بالموضوع له‌وهو المعنی، یأتی بنفس الموضوع وهو اللفظ، فیحکم علی اللفظ بأحکام المعنی‌من شدّة الوثاقة والصلة والربط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تُستقبح بعض الألفاظ لقبح المعانی‌وکثرة استعمال تلک الألفاظ فیها، بخلاف مرادفاتها التی یقلّ استعمالها فی ذلک‌المعنی، مثل لفظ الفَرج حیث یقلّ استعماله فی المعنی الموضوع له، بخلاف مرادفه‌من الألفاظ التی یکثر استعماله فیه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النقطة الأولی، نلتفت إلی أنّ العلامات والأوضاع الّتی توضع‌لمعانٍ معیّنة تختلف فیما بینها بشدّة العلقة أوخِفتها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علامیّته واضحة لدی‌کلّ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وبعضها علامیّته واضحة لدی قطر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مدینة معینة، أو طائفة معینة ، أو شریحة معینة دون شرائح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العلامة والأمور الاعتباریّة والمعنی تختلف شدّةً وضعفاً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التمثیل بالأحکام الدینیّة أنّ بعضها ضروریّ أو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ضروریّ‌عند فئة خاصة کالفقهاء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قد یکون نظریّاً عند صنف وضروریّاً عند صنف‌آخر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قد تکون قطعیّاً، لکن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غیر نظریّ بل ظنیّ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 درجات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ومعالم الدین أو الشعائر الّتی هی من مصادیق المَعْلمیّة والأمور الاعتباریّة الوضعیّة تختلف أیضاً فی علامیّتها وفی بیانیّتها للمعنی الدینیّ، أو للحکم الدینیّ، أو للسِمة الدینیّة شدّةً وضعفاً لتلک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رسم خطّ لفظة الجلالة المعدودة‌من الشعارات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إسم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علیها أحکام خاصّة، مثل حُرمة لمسها للمُحدِث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حرمة تنجیسها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تطهیرها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نوع من التعظیم لنفس هذه الشعیرة والعلامة‌للمعنی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النقطة الأولی أنّ الأمور المَعْلَمیّة لمعانی الدین علی درجات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شدید وبعضها متوسّط وبعضها خفیف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تختلف بحسب الأوصاف وبحسب الفئات والشرائح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نقطة مهمّة مؤثّرة فی أحکام‌الشعائر الدینیّة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الشعائر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إنّها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ترتبط بذی العلامة وهو المعنی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 معنیً معیّناً من المعانی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فصلاً من‌الفصول الدینیّة، رکناً من الأرکان الإسلامیّة، هیکلاً من هیاکل الدین القویم؛ وتختلف بعضها عن البعض قدسیّةً وتعظیماً بسبب المعنی الذی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وهذاالحکم من المسلّمات لدی المذاهب الإسلامیّة الأخری، مثلاً الهاتک لحرمة الکعبة یُحکم علیه بالإرتداد والقتل، أمّا الذی یهتک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فلایحکم علیه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یُحدِث فی المسجد الحرام لا یحکم علیه بالکفر، لکنه یُحدّ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یُحدث فی الحرم المکّیّ بقصد الإهانة فیُعزّر ولا یُحکم علیه بالإرتداد ولا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أحکام وردت فی روایات معتبرة وقد أفتی علی‌طبقها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الجملة محلّ وِفاق حتّی عند جمهور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الإختلاف فی الحکم بین الکعبة کشعار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المسجد الحرام کشعاروحکم الحرم المکی کشعار هو أوضح دلیل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بین اسم الجلالة وصفات الجلالة، أو ما بین لفظ الجلالة‌ولفظ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التفریق بین إسم الجلالة وإسم النبیّ والأئمّة وأسماء بقیّة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التفریق مثلاً بین القرآن الکریم وبین الکتب الدینیّة الأخری وإن کانت کتب أحادیث أو سنّة نبویّة أو معصومیّة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التفریق بین الکتاب الدینیّ‌والمصحف الشریف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المصحف الشریف علامیّته علی کلام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ربّ الکون وربّ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کلام الوجود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الکتاب الدینیّ‌الآخر یدلّ علی مضامین لأحکام إسلامیّة، ویختلف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درجة الحُرمة والقدسیّة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الکعبة التی هی شعار ومعلَم دینیّ تختلف فی الشرف والقدسیّة عن‌المسجد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عن الحرم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فیلاحظ أنّ التعظیم معنی‌تشکیکیّ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والابتذال وشدّة الحرمة وخِفّة الحرمة وشدّة وجوب التعظیم وخفّته‌تتبع أمراً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تتبع المعنی الذی وضع الشِعار علامة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والمَعْلَم الذی‌وضع الشعار علامة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 النقطة الثانیة یتبیّن أنّ الشعائر تختلف شدّة وضعفاً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أهمیّةً‌ومنزلةً بحسب المعنی الذی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والتعظیم یختلف أیضاً بتبع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هاتین النقطتین أنّ التعظیم یختلف باختلاف إمّا العُلقة بین الشعاروالمعنی الدینیّ الذی یدلّ علیه، أو قُل بین العلامة وذی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ویختلف‌باختلاف شدّة وخفّة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بعض الأحکام تختلف بسبب شدّة وضعف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انشداد العلامة لذی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والشعیرة مع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یختلف الحکم بسبب ذی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الذی جُعلت الشعیرة مَعلماً له وإعلاماً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اختلاف من جنبة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مؤثّر فی حکم الشعائر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الشعیرة المعیّنة التی تستجدّ وتُستحدَث، تارة توضع شعیرة فی باب‌الحجّ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توضع فی باب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توضع فی باب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باب حفظ وتلاوة القرآن وتعظیمه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فی‌باب عمارة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الشعیرة تختلف بحسب المعنی الذی توضع له بمقتضی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تختلف الشعیرة بحسب شدّة العُلقة مع المعنی الذی توضع له، فتارة هی‌شدیدة الصِلة والعلقة والدلالة، بیّنة الدلالة علی المعنی الذی توضع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هی غیر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تُقسّم الدلالات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بالمعنی الأخصّ، وبیّنة بالمعنی‌الأعمّ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دلالة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والأحکام التی تترتّب علی وجوب تعظیم تلک‌الشعائر أو العلامات والمعالم الدینیّة من حیث الحکم بالتعظیم ووجوب التعظیم ،وشدّة التعظیم أو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تتبع طبیعة العلاقة بین الشعیرة أو المعلَم والمعنی‌الذی تشیر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شدید العُلقة بحیث لا یخفی علی أحد، فلا یُقبل دعوی الشُبهة والبدعیّة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یختلف المعلَم أو المعنی الذی توضع له الشعیرة، فإن کان معنیً‌مقدّساً لدرجة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المترتّبة علیه تختلف عمّا هی علیه فی المعنی‌الفرعیّ من فروع الدین مثلاً، وبتبع ذلک اختلاف نوع ودرجة التعظیم والتبجیل‌وحرمة الابتذال من شعیرة لأخری، حیث لا یکون علی وتیرة واحدة بسبب هاتین النقطتین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فتعظیم کلّ شعیرة یکون 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بحسب المعنی الذی توضع له ، وبحسب شدّة الصلة التی تتّصل وتتوثّق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ونعمَ ما ذکر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الاشارة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الطهارة،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شیء بحسب ما هو معظّم عند الشارع یجب تعظیمه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بذلک إلی الاختلاف بحسب المعنی ؛ وهو مفاد الآیة</w:t>
      </w:r>
    </w:p>
    <w:p>
      <w:pPr>
        <w:pStyle w:val="BookText"/>
        <w:rPr/>
      </w:pPr>
      <w:r>
        <w:rPr>
          <w:rFonts w:ascii="Amiri" w:hAnsi="Amiri" w:eastAsia="Amiri" w:cs="Amiri"/>
          <w:color w:val="111111"/>
          <w:sz w:val="28"/>
          <w:sz w:val="28"/>
          <w:szCs w:val="28"/>
          <w:rtl w:val="true"/>
          <w:lang w:bidi="ar-SA"/>
        </w:rPr>
        <w:t>الکریمة فی سورة‌الحجّ وَ مَنْ یُعَظِّمْ حُرُماتِ اللّهِ فَهُوَ خَیْرٌ لَهُ ، یعنی کلّ شیء له حریم وحرمة وعظمة عند الشارع یجب أن یراعی درجة الاحترام والتبجیل بحسب ما هو عندالشارع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ریب فی أنّ حریم حرمات الله مختلف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لیست علی‌درجة واحدة ولا علی وتیرة 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متعلَّق ینطبق علی المصادیق علی 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لفظة‌الإنسان ینطبق علی کلّ أفراد البشر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الألف أشدّ من انطباقه علی‌العشرة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باب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السواد الشدید أشدّ من‌انطباقه علی السواد المتوسّط أو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موارد أخری عدیدة مثل‌الشِدّة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تنطبق علی الأشدّ أقوی من انطباقها الأقل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فالعناوین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یسمّی متواطئ، بشکل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 وطأة واحدة علی کلّ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تشکیکی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ینسبق الذهن إلی بعض‌مصادیقه قبل انسباقه إلی البعض الآخر ووجود الطبیعة فی بعض الأفراد أشدّ أوأقوی أو أکثر من الأفراد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أمر الشارع بطبیعة تشکیکیّة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نهی عن طبیعة تشکیکیّة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الوالدین، أو بصلة الأرحام، فإنّ صلة الرحم علی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علیا، ودرجة وسطی، ودرجة 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بالنسبة لبرّ الوالدین والعِشرة بالمعروف مع الزوجة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الظاهرة موجودة فی القانون الوضعیّ أیضاً، ولا تختصّ</w:t>
      </w:r>
    </w:p>
    <w:p>
      <w:pPr>
        <w:pStyle w:val="BookText"/>
        <w:rPr/>
      </w:pPr>
      <w:r>
        <w:rPr>
          <w:rFonts w:ascii="IRNazanin" w:hAnsi="IRNazanin" w:eastAsia="IRNazanin"/>
          <w:color w:val="111111"/>
          <w:sz w:val="28"/>
          <w:sz w:val="28"/>
          <w:szCs w:val="28"/>
          <w:rtl w:val="true"/>
          <w:lang w:bidi="fa-IR"/>
        </w:rPr>
        <w:t>بالقانون الشرعیّ، فالطبیعة ذات الدرجات التشکیکیة ذات الحکم الإلزامیّ لا تکون کلّ‌مراتبها 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القدر المتیقّن منها بحسب موارده؛ ففی النهی یکون الأعلی‌هو القدر المتیقّن، وفی الوجوب یکون الأدنی هو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الإلزامیّ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والبقیة ندبیّة راجحة إن کان الحکم طلبیّاً، أو مکروهة إن کان الحکم‌زَجریاً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ودیدن الفقهاء علی أنّ القدر المتیقّن هو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أمر بصلة الرحم، أو ببرّ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المُلزِم من صلة الرحم أو برّ الوالدین هو الدرجة المتیقّنة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الحکم وجوبیٌ وإلزامیّ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إمتثال الأمر ببرّ الوالدین بنحو لا یلزم منه عقوق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صلة الرحم بنحو لایلزم منه قطیعته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عند الاستدلال بحرمة عقوق الوالدَین أو بأدلّة وجوب برّ الوالدَین وصِلتهما تکون النتیجة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بصلة الوالدَین وبرّهما حیث کان تشکیکاً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منه هو الدرجة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هی عین قول مَن‌قال أنّ الحکم فی برّ الوالدین راجح مستحبّ ولیس بإلزامی، وإنّما الإلزام فی‌حرمة عقوقهما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مسألة حکم صلة الأرحام، هل صِلة الأرحام واجبة بکلّ‌درجاتها، أم أنّ قطع الرحم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الإستدلال بکلا اللسانَین من الأدلّة یعطی‌نفس النتیجة، لأنّ المأمور به فی صلة الرحم أو فی برّ الوالدین أمرٌ تشکیکیٌ، فیکون القدر المتیقّن منه هو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بمقدار حرمة عقوق الوالدین أو حرمة قطع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الحرمة فالقدر المتیقّن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المتعلّق عنواناً تشکیکیّاً تکون الدرجة العلیا منه هی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دون ذلک یُحکم علیه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کذلک فی محلّ البحث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تعظیم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ذودرجات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تعظیم فوقه تعظیم آخر، وکلّ خضوع فوقه خضوع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بث ونشر فوقه بثّ ونشر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إتمام لنور الدین فوقه إتمام لنور اخر للدین، وهلّم 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کلّ هذه الدرجات واجبة، مع أنّ الغالب فی العناوین التشکیکیّة ورود لسانَین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 بلسان الحرمة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یُعَظِّمْ شَعائِرَ اللّهِ فَإِنَّها مِنْ تَقْوَی الْقُلُوبِ بلسان الوجوب ؟</w:t>
      </w:r>
    </w:p>
    <w:p>
      <w:pPr>
        <w:pStyle w:val="BookText"/>
        <w:rPr/>
      </w:pPr>
      <w:r>
        <w:rPr>
          <w:rFonts w:ascii="IRNazanin" w:hAnsi="IRNazanin" w:eastAsia="IRNazanin"/>
          <w:color w:val="111111"/>
          <w:sz w:val="28"/>
          <w:sz w:val="28"/>
          <w:szCs w:val="28"/>
          <w:rtl w:val="true"/>
          <w:lang w:bidi="fa-IR"/>
        </w:rPr>
        <w:t>وهل کلا الحکمَین مقنّن علی نحو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أحدهما راجح والآخر إلزامیّ؟ تفصیل هذا البحث فی هذه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العنوان هنا تشکیکیّ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فالدرجة اللازمة من التعظیم هی التی یلزم من عدمها الابتذال والهتک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فتکون‌هی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بقیّة درجات التعظیم فتکون راجحة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قیل أنّ الحکم هو حرمة الهتک وحرمة الإهانة، فیکون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قیل‌أنّ الحکم هو وجوب التعظیم بدرجة لا یلزم منها الابتذال والهتک أیضاً، فهوصواب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إهانة کلّ شیء بحسبه، وأیضاً تعظیم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تُحِلُّوا شَعائِرَ اللّهِ تحریمٌ ورد علی عنوانٍ متعلّقه 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تحریم‌الابتذال والاستهانة والانتهاک لشعائر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جنبة ثالثة لاختلاف مراتب التعظیم والإهانة، وهی‌درجة ومقام المخاطب بالتعظیم وطبیعة علاقته مع طرف التعظیم، فعند المقرّبین‌أدنی ترک للأولی أو للتعظیم لساحة القدس الربوبیّة یعتبر نوع خفّة وتهاون بمقام القُدس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والإهانة أیضاً لها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منها لیس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الذی یکون إلزامیّاً هو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المراتب المتوسّطة أوالدنیا فیها نوع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الالتفات الی النقاط الثلاث المزبورة؛ وننتهی بها إلی أنّ تعظیم کلّ‌شیء بحسبه، وإهانة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علی وتیرة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القدر المتیقن من الحکم هو وجوب التعظیم بنحوٍ لو تُرِک للزم منه الهتک والإهانة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مراتب التعظیم 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درجات التعظیم الفائقة والعالیة تکون‌راجحة وندبیّة ولیست 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تمام البحث فی جهة المتعلّق وهی الجهة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حکم القاعدة والحکم الاولی والثانوی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 الجهة من البحث نسلّط الأضواء علی العلاقة بین حکم قاعدة الشعائر مع کلّ من الأحکام الأوّلیّة والأحکام الثانویّة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ببیان وافٍ، أنّ الحکم فی قاعدة الشعائر الدینیّة هو من</w:t>
      </w:r>
      <w:bookmarkStart w:id="209" w:name="pg13695_150794"/>
    </w:p>
    <w:p>
      <w:pPr>
        <w:pStyle w:val="BookText"/>
        <w:rPr/>
      </w:pPr>
      <w:bookmarkEnd w:id="209"/>
      <w:r>
        <w:rPr>
          <w:rFonts w:ascii="IRNazanin" w:hAnsi="IRNazanin" w:eastAsia="IRNazanin"/>
          <w:color w:val="111111"/>
          <w:sz w:val="28"/>
          <w:sz w:val="28"/>
          <w:szCs w:val="28"/>
          <w:rtl w:val="true"/>
          <w:lang w:bidi="fa-IR"/>
        </w:rPr>
        <w:t>حیث‌المِلاک حکم أوّلیّ، ومن حیث الموضوع ثانویّ الوجود، وهذا ما اصطلحنا علیه‌أنّه من الأحکام الثانویّة فی جنبة الموضوع</w:t>
      </w:r>
      <w:r>
        <w:rPr>
          <w:rFonts w:eastAsia="IRNazanin" w:cs="IRNazanin"/>
          <w:color w:val="111111"/>
          <w:sz w:val="28"/>
          <w:szCs w:val="28"/>
          <w:rtl w:val="true"/>
          <w:lang w:bidi="fa-IR"/>
        </w:rPr>
        <w:t>.</w:t>
      </w:r>
    </w:p>
    <w:p>
      <w:pPr>
        <w:pStyle w:val="Heading3"/>
        <w:numPr>
          <w:ilvl w:val="2"/>
          <w:numId w:val="1"/>
        </w:numPr>
        <w:rPr/>
      </w:pPr>
      <w:bookmarkStart w:id="210" w:name="__RefHeading___Toc983879_1468164448"/>
      <w:bookmarkStart w:id="211" w:name="_Toc76"/>
      <w:bookmarkEnd w:id="210"/>
      <w:r>
        <w:rPr>
          <w:rtl w:val="true"/>
        </w:rPr>
        <w:t>النسبة بین حکم قاعدة الشعائر والأحکام الأوّلیّة</w:t>
      </w:r>
      <w:r>
        <w:rPr>
          <w:rtl w:val="true"/>
        </w:rPr>
        <w:t>:</w:t>
      </w:r>
      <w:bookmarkEnd w:id="211"/>
    </w:p>
    <w:p>
      <w:pPr>
        <w:pStyle w:val="BookText"/>
        <w:rPr/>
      </w:pPr>
      <w:r>
        <w:rPr>
          <w:rFonts w:ascii="Amiri" w:hAnsi="Amiri" w:eastAsia="Amiri" w:cs="Amiri"/>
          <w:color w:val="111111"/>
          <w:sz w:val="28"/>
          <w:sz w:val="28"/>
          <w:szCs w:val="28"/>
          <w:rtl w:val="true"/>
          <w:lang w:bidi="ar-SA"/>
        </w:rPr>
        <w:t>لیس الحکم فی قاعدة الشعائر متّحداً مع الأحکام الأوّلیّة کما قد یتخیّل من‌خلال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لَکُمْ مِنْ شَعائِرِ اللّهِ ، وکما مرّ فی کلمات جملة ممّن تعرّض إلی ذکر تعریف الشعائر بأنّها مناسک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عرّفها بأنّها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عرّفها بأنّها حرمات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وقلنا أنّ الصحیح هو ثانویّة القاعدة من جنبة الموضوع لا من جنبة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جنبة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التعظیم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رکنان أساسیّان،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الإعلام، وجانب الإعلاء والإعتزاز المتضمّن للإحیاء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کفعلَین تدلّ علیهما الشعیرة والشعائر، ولا تفیدهما بقیة الأحکام الأوّلیّة فی باب الفقه؛ نعم تلک الأحکام متکفّلة لملاکات أُخری ومتعلّقات وأفعال أُخری، وقد یتصادق‌حکمان ومتعلّقان فی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یتصادق مثلاً برّ الوالدین مع طاعة الله ومع تحقّق الصدقة أو تحقّق الهدیّة أو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یعنی ذلک أنّ العنوانَیْن‌و الفعلَیْن، والحکمَیْن هما حکم واحد وبملاک واحد وبمصلحة واحدة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تصادق الشعائر مع بعض الأحکام الأوّلیّة وانطباقها فی مصداق واحدلا یعنی أنّ الشعائر حکمها متّحد مع نفس حکم الأحکام الأوّلیّة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جعل بعض المفسّرین حکم الشعائر هو عین الأحکام الأوّلیّة، وفَسّر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لَکُمْ مِنْ شَعائِرِ اللّهِ بنفس إیجاب البُدن هو إیجابٌ للشعیرة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البُدن جعلناها من وظائف الحجّ ومنسکاً من مناسک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هذه‌الآیة فی صدد التعرّض لشیء آخر، کما هو مبیّن فی روایات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بعض الروایات عن الإمام الصادق علیه السلام فی أبواب الهَدی، یتبیّن‌افتراق الشعیرة فی البُدن عن وجوب أصل البدنة أو غیرها من أنواع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 صاحب کتاب الوسائل باباً لاستحباب تعظیم شعیرة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الندبیّ باتّخاذ البُدن السمینة، لأنّه نوع من تعظیم الشعائر، أو باعتبار کون البُدن المسوقة مع الحاجّ عَلَماً من أعلام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الإعلام والتبلیغ والدعایة والترویج لفریضة الحجّ، ونوع من التظاهرة الشعبیّة للمکلّفین، أو لمجتمع المسلمین فی إظهار علامات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إذا کانت البُدن تُساق من مسافات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نوع من حالة النشر الدینیّ‌لفریضة ونسک الحجّ والتبلیغ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الروایات الواردة دلالة واضحة علی أنّ جعل الشعیرة کذلک هو أمرآخر غیر جعلها واجبة من فرائض الحجّ</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حکم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حکم أصل إیجاب الهدی فی الحجّ، فممّا بحثناه سابقاً عن ماهیّة الشعائر وماهیة متعلّق الحکم فی الشعائر یتبیّن أنّ الحکم فی الشعائر هو غیر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w:t>
      </w:r>
    </w:p>
    <w:p>
      <w:pPr>
        <w:pStyle w:val="BookText"/>
        <w:rPr/>
      </w:pPr>
      <w:r>
        <w:rPr>
          <w:rFonts w:ascii="IRNazanin" w:hAnsi="IRNazanin" w:eastAsia="IRNazanin"/>
          <w:color w:val="111111"/>
          <w:sz w:val="28"/>
          <w:sz w:val="28"/>
          <w:szCs w:val="28"/>
          <w:rtl w:val="true"/>
          <w:lang w:bidi="fa-IR"/>
        </w:rPr>
        <w:t>ینطبق علی الأحکام الأوّلیّة إذا کانت تلک الأحکام الأوّلیّة فی الفعل والمتعلّق المرتبط بها تتضمّن جنبة إعلام وتبلیغ، وتتضمّن جنبة إنذار وإفشاء لحکم من الأحکام الإسلامیّة، أو لعبادة دینیّة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ینطبق علیه أنّها 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الجماعة، ومثل صلاة الجمعة، لا مثل الصلاة فرادی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الشعیرة ماهیةً وموضوعاً ومتعلّقاً وحکماً وملاکاً تختلف عن الأحکام الأوّلیّة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هی قد تتطابق مع الأحکام الأوّلیّة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لا أنّها هی الأحکام الأوّلیّة بعینها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فحکمها لیس هو عین الأحکام الأوّلیّة، بل لها حکم أوّلیّ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وصِرف‌کونها ثانویّة لا یعنی ثانویّة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کثیر من الأحکام الأوّلیّة تطرأ علیها العناوین بلحاظ انطباقها فی المصادیق الخارجیّة، کما فی التعظیم أو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تتّخذ مصادیق وأسالیب ووسائل مختلفة فی الاحترام مع أنّها لیست حکماً ثانویاً، بل هی حکم أوّلیّ؛ فالثانویّة هنا فی المتعلّق ولیس فی نفس الحکم ،وإلاّ فالحکم هو أوّلیٌّ وملاکه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قاعدة الشعائر الدینیّة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فالثانویّة فی قاعدة الشعائر الدینیّة هی فی جنبة الموضوع والمصداق لا فی‌جنبة الحکم والملاک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علی العکس فی قاعدة لا ضرر ولا ضرار، أوقاعدة لا حرج، أو العناوین التسعة 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العناوین التسعة‌من الاضطرار والنسیان والإکراه التی تطرأ علی الحکم، وهی ثانویّة فی جنبة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فالعلاقة بین حکم قاعدة الشعائر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قلنا بأنّ موضوعها ثانویّ، وحکمها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الأحکام الأوّلیّة ینطوی علی تفصیل فی البَین، لأنّ هذا النمط من‌الأحکام الأوّلیّة ذی المواضیع الثانویّة لیس هو حکماً أوّلّیاً بقول مطلق، کی یقال‌أنّه حکم أوّلیّ یندرج فی الأبحاث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 حکم ثانویّ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فیه ازدواجیّة ثانویّة الموضوع التی ذکرنا أنّه لم یُنبّه علیها اصطلاحاً علماء الأصول، إلاّ أنهم مَضوا علیها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المحمول هو حکم أوّلیّ وملاک أوّلیّ، ففیه ازدواجیّة الجنبتَین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هو موروداً، أو محکوماً، أوحاکماً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نضعه فی قسم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نضعه فی ردیف وقسم الأحکام الثانویّة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بناءً علی ما قدّمنا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موضوع قاعدة الشعائر الدینیّة أو متعلّقها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الحکم فی قاعدة الشعائر الدینیّة والأحکام الأوّلیّة هی‌أنّ الحکم فی قاعدة الشعائر الدینیّة موضوعه أو متعلّقه عامّ یتناول کلّ مُحلّل‌بالمعنی الأعمّ بالحلّیّة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موارد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اتّفق إجتماع موردالحرمة مع بعض الشعائر الدینیّة فهذا لا یوجب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تقدیم دلیل‌الحکم الأوّلیّ علی دلیل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من قبیل اجتماع الأمر والنهی، لأنّ المفروض أنّ التصادم والتوارد فی ذلک المصداق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أنّ‌کثیراً من العلماء فی شقوق عدیدة من استفتاءاتهم فی الشعائر الدینیّة المختلفة‌وفی</w:t>
      </w:r>
      <w:bookmarkStart w:id="212" w:name="pg13695_150798"/>
    </w:p>
    <w:p>
      <w:pPr>
        <w:pStyle w:val="BookText"/>
        <w:rPr/>
      </w:pPr>
      <w:bookmarkEnd w:id="212"/>
      <w:r>
        <w:rPr>
          <w:rFonts w:ascii="IRNazanin" w:hAnsi="IRNazanin" w:eastAsia="IRNazanin"/>
          <w:color w:val="111111"/>
          <w:sz w:val="28"/>
          <w:sz w:val="28"/>
          <w:szCs w:val="28"/>
          <w:rtl w:val="true"/>
          <w:lang w:bidi="fa-IR"/>
        </w:rPr>
        <w:t>فرض تصادم الشعائر الدینیّة أحیاناً فی بعض الموارد مع المحرّمات لا یبنون‌علی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نقول ذلک لا نرید منه أنّ الحاکم أو الفقیه فی سیاسیّته الفتوائیّة یُدیم عُمر تصادق الشعیرة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باب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ذکرنا سابقاً أنّ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ملاکیّاً أو امتثالیّاً، له ضرورات استثنائیّة تقدّر بقدرها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یفسح الفقیه المجال أن تعیش هذه الحالة بنحودائم وتکون حالة غالبة، بل یجب أن یتفاداها بقدر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اتّفاق وقوعها لا یدلّ علی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 فی نسبة الحکم فی القاعدة والأحکام الأوّلیّة</w:t>
      </w:r>
      <w:r>
        <w:rPr>
          <w:rFonts w:eastAsia="IRNazanin" w:cs="IRNazanin"/>
          <w:color w:val="111111"/>
          <w:sz w:val="28"/>
          <w:szCs w:val="28"/>
          <w:rtl w:val="true"/>
          <w:lang w:bidi="fa-IR"/>
        </w:rPr>
        <w:t>..</w:t>
      </w:r>
    </w:p>
    <w:p>
      <w:pPr>
        <w:pStyle w:val="Heading3"/>
        <w:numPr>
          <w:ilvl w:val="2"/>
          <w:numId w:val="1"/>
        </w:numPr>
        <w:rPr/>
      </w:pPr>
      <w:bookmarkStart w:id="213" w:name="__RefHeading___Toc983881_1468164448"/>
      <w:bookmarkStart w:id="214" w:name="_Toc77"/>
      <w:bookmarkEnd w:id="213"/>
      <w:r>
        <w:rPr>
          <w:rtl w:val="true"/>
        </w:rPr>
        <w:t>تقسیم الأحکام الثانویّة فی جنبة الحکم</w:t>
      </w:r>
      <w:r>
        <w:rPr>
          <w:rtl w:val="true"/>
        </w:rPr>
        <w:t>:</w:t>
      </w:r>
      <w:bookmarkEnd w:id="214"/>
    </w:p>
    <w:p>
      <w:pPr>
        <w:pStyle w:val="BookText"/>
        <w:rPr/>
      </w:pPr>
      <w:r>
        <w:rPr>
          <w:rFonts w:ascii="IRNazanin" w:hAnsi="IRNazanin" w:eastAsia="IRNazanin"/>
          <w:color w:val="111111"/>
          <w:sz w:val="28"/>
          <w:sz w:val="28"/>
          <w:szCs w:val="28"/>
          <w:rtl w:val="true"/>
          <w:lang w:bidi="fa-IR"/>
        </w:rPr>
        <w:t>نلاحظ أنّ الأحکام الثانویّة فی جنبة الحکم سنخان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الأحکام الثانویّة المُثبتة مثل وجوب طاعة الأبوَین، أو حرمة عقوق الأبوَین، 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المؤمنون‌عند شروطهم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التی نستفید منها وجوب الوفاء بالشرط، ومنها وجوب النذر ،والیمین والعهد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نمط من الأحکام الثانویّة</w:t>
      </w:r>
      <w:r>
        <w:rPr>
          <w:rFonts w:eastAsia="IRNazanin" w:cs="IRNazanin"/>
          <w:color w:val="111111"/>
          <w:sz w:val="28"/>
          <w:szCs w:val="28"/>
          <w:rtl w:val="true"/>
          <w:lang w:bidi="fa-IR"/>
        </w:rPr>
        <w:t>..</w:t>
      </w:r>
    </w:p>
    <w:p>
      <w:pPr>
        <w:pStyle w:val="Heading3"/>
        <w:numPr>
          <w:ilvl w:val="2"/>
          <w:numId w:val="1"/>
        </w:numPr>
        <w:rPr/>
      </w:pPr>
      <w:bookmarkStart w:id="215" w:name="__RefHeading___Toc983883_1468164448"/>
      <w:bookmarkStart w:id="216" w:name="_Toc78"/>
      <w:bookmarkEnd w:id="215"/>
      <w:r>
        <w:rPr>
          <w:rtl w:val="true"/>
        </w:rPr>
        <w:t>الأحکام الثانویّة النافیة</w:t>
      </w:r>
      <w:r>
        <w:rPr>
          <w:rtl w:val="true"/>
        </w:rPr>
        <w:t>:</w:t>
      </w:r>
      <w:bookmarkEnd w:id="2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نمط آخر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الواردة فی‌حدیث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تِسعٌ</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فارق بین السنخَین کما</w:t>
      </w:r>
      <w:bookmarkStart w:id="217" w:name="pg13695_150799"/>
    </w:p>
    <w:p>
      <w:pPr>
        <w:pStyle w:val="BookText"/>
        <w:rPr/>
      </w:pPr>
      <w:bookmarkEnd w:id="217"/>
      <w:r>
        <w:rPr>
          <w:rFonts w:ascii="IRNazanin" w:hAnsi="IRNazanin" w:eastAsia="IRNazanin"/>
          <w:color w:val="111111"/>
          <w:sz w:val="28"/>
          <w:sz w:val="28"/>
          <w:szCs w:val="28"/>
          <w:rtl w:val="true"/>
          <w:lang w:bidi="fa-IR"/>
        </w:rPr>
        <w:t>ذکرنا فی قاعدة لاضرر فی هذا الجزء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بأنّ الحکم فی قاعدة الشعائر الدینیّة هو من النمط الأول من‌العناوین الثانویّة فی جنبة الحکم، والتی فیها جهة إثبات وإلزام،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ووجوب أداء النذر 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یقرّب أنّ وجوب أداء النذرحکم لیس بثانویّ، بل تعدّ هذه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أحکاماً 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وهی‌مسانخة للحکم فی قاعدة الشعائر الدینیّة، وأنّها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ثانویّة الموضوع أوّلیة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الوفاء بالشرط حکم أوّلیّ، ووجوب الوفاء بالعقد حکم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الوفاء بالنذر والعهد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وطاعة الأبوین أو حرمة عقوقهما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الأحکام ثانویّة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لیست ببعیدة، من جهة أنّ ملاکات الحکم فی هذه العناوین‌من قبیل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أحکام استثنائیة شاذّة</w:t>
      </w:r>
      <w:r>
        <w:rPr>
          <w:rFonts w:eastAsia="IRNazanin" w:cs="IRNazanin"/>
          <w:color w:val="111111"/>
          <w:sz w:val="28"/>
          <w:szCs w:val="28"/>
          <w:rtl w:val="true"/>
          <w:lang w:bidi="fa-IR"/>
        </w:rPr>
        <w:t>..</w:t>
      </w:r>
    </w:p>
    <w:p>
      <w:pPr>
        <w:pStyle w:val="Heading3"/>
        <w:numPr>
          <w:ilvl w:val="2"/>
          <w:numId w:val="1"/>
        </w:numPr>
        <w:rPr/>
      </w:pPr>
      <w:bookmarkStart w:id="218" w:name="__RefHeading___Toc983885_1468164448"/>
      <w:bookmarkStart w:id="219" w:name="_Toc79"/>
      <w:bookmarkEnd w:id="218"/>
      <w:r>
        <w:rPr>
          <w:rtl w:val="true"/>
        </w:rPr>
        <w:t>الفارق بین حکم القاعدة والأحکام الثانویّة المثبتة</w:t>
      </w:r>
      <w:r>
        <w:rPr>
          <w:rtl w:val="true"/>
        </w:rPr>
        <w:t>:</w:t>
      </w:r>
      <w:bookmarkEnd w:id="219"/>
    </w:p>
    <w:p>
      <w:pPr>
        <w:pStyle w:val="BookText"/>
        <w:rPr/>
      </w:pPr>
      <w:r>
        <w:rPr>
          <w:rFonts w:ascii="IRNazanin" w:hAnsi="IRNazanin" w:eastAsia="IRNazanin"/>
          <w:color w:val="111111"/>
          <w:sz w:val="28"/>
          <w:sz w:val="28"/>
          <w:szCs w:val="28"/>
          <w:rtl w:val="true"/>
          <w:lang w:bidi="fa-IR"/>
        </w:rPr>
        <w:t>لکن تظل لها میزة وفارق مع الحکم فی قاعدة الشعائر الدینیّة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إنشاؤه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الیمین والعهد وحکم طاعة الوالدین، علی الرغم من أنّه کان بنفسه راجحاً، لکن بلحاظ الجهة الأبویّة، یعنی‌بما یتّصل بالجهة الأبویة، ولیس أنّه یتبدّل حکم الفعل فی نفسه إذ یبقی حکمه الذاتیّ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باعتباره مقدّمة لطاعة الأبوَین أو لعدم عقوقهما، فإنّه‌یلزم بفعله ولا یتغیّر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عند شروطهم حیث‌أصبح ذلک الفعل واجباً بسبب الإلتزام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فللشقّ الأوّل من هذه الأحکام الثانویّة میزة تختلف عن نفس الشعائر، إذأنّ الشعائر أمرٌ مرغّب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ارتباط بکثیر من أبواب الدین وفصول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من قبیل هذه الأحکام الثانویّة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بین هذا الشقّ الأوّل والحکم‌فی قاعدة الشعائر قواسم مشترکة أکثر من القواسم المشترکة الموجودة بین الحکم‌فی قاعدة الشعائر والشقّ الثانی من الأحکام الثانویّة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المقدار یتبیّن نوع من حقیقة الحکم فی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حکم أوّلیّ ولیس ثانویّاً استثنائیّاً طارئاً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الشارع أن یُجریه ویطبّقه ویحقّقه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یرید إقامة النذر والوفاء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یقع النذر فیلزم بوفائه، وکذلک الشروط حسب 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الوفاء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وعلی‌مقدار تأدیة الضرورات أو الحاجات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باب الصلاة، والعبادات، وأبواب أُخری، وکذلک فی أبواب‌الشعائر، إذ الإرادة الشرعیّة فی الشعائر تتناسب مع ذی الشعیرة کما مرّ بیان ذلک ،إذ نمط الحکم هو فی مقام الإعلام والإفشاء والتشیید والإعلاء لأحکام الأبواب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وثیق الصلة بالأحکام الأوّلیّة</w:t>
      </w:r>
      <w:r>
        <w:rPr>
          <w:rFonts w:eastAsia="IRNazanin" w:cs="IRNazanin"/>
          <w:color w:val="111111"/>
          <w:sz w:val="28"/>
          <w:szCs w:val="28"/>
          <w:rtl w:val="true"/>
          <w:lang w:bidi="fa-IR"/>
        </w:rPr>
        <w:t>..</w:t>
      </w:r>
      <w:bookmarkStart w:id="220" w:name="pg13695_150801"/>
    </w:p>
    <w:p>
      <w:pPr>
        <w:pStyle w:val="Heading3"/>
        <w:numPr>
          <w:ilvl w:val="2"/>
          <w:numId w:val="1"/>
        </w:numPr>
        <w:rPr/>
      </w:pPr>
      <w:bookmarkStart w:id="221" w:name="__RefHeading___Toc983887_1468164448"/>
      <w:bookmarkStart w:id="222" w:name="_Toc80"/>
      <w:bookmarkEnd w:id="220"/>
      <w:bookmarkEnd w:id="221"/>
      <w:r>
        <w:rPr>
          <w:rtl w:val="true"/>
        </w:rPr>
        <w:t>النسبة بین قاعدة الشعائر، والأحکام الثانویّة</w:t>
      </w:r>
      <w:r>
        <w:rPr>
          <w:rtl w:val="true"/>
        </w:rPr>
        <w:t>:</w:t>
      </w:r>
      <w:bookmarkEnd w:id="222"/>
    </w:p>
    <w:p>
      <w:pPr>
        <w:pStyle w:val="BookText"/>
        <w:rPr/>
      </w:pPr>
      <w:r>
        <w:rPr>
          <w:rFonts w:ascii="IRNazanin" w:hAnsi="IRNazanin" w:eastAsia="IRNazanin"/>
          <w:color w:val="111111"/>
          <w:sz w:val="28"/>
          <w:sz w:val="28"/>
          <w:szCs w:val="28"/>
          <w:rtl w:val="true"/>
          <w:lang w:bidi="fa-IR"/>
        </w:rPr>
        <w:t>بعد بیان أقسام الأحکام الثانویّة نحاول تقریر النسبة بین حکم القاعدة والأحکام الثانویّة، أی الثانویّة فی جنبة الحکم بقسمیها المثبتة والنافیة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فمن‌الواضح حینئذ أنّ نسبة الحکم فی قاعدة الشعائر الدینیّة، مع الأحکام الثانویّة فی‌جنبة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الشقَّین المُثبتة والنافیة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الأحکام الأوّلیّة مع الأحکام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حکم الشعائر هو الحکم الأوّلی؛ والأحکام الثانویّة المثبتة أو الرافعة لا تزیل ولا تنفی ولا تلغی الحکم الأوّلی، بل تُقدَّم علیه من باب التزاحم‌ولکن بشکل مؤقّت وغیر دائم، کما هو شأن الحکم الثانویّ مع الأحکام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یجب أن یُقرّر الفِعل أو الموضوع بلحاظ الأحکام الأوّلیّة، ومن ثَمّ‌ملاحظة الأحکام الثانویّة کشیء طاریء استثنائیّ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حکم الشعائر هوحکم الطبیعة الأوّلیّة التی لابدَّ من دیمومة بقائها ورعایتها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حال الحکم فی قاعدة الشعائر الدینیّة ووجوب تعظیمها مع الأحکام الثانویّة الأخری المثبتة والنافیة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فلیس من الصحیح ملاحظة الفعل أو الموضوع بلحاظ الأحکام الثانویّة مقدَّماً علی ملاحظة الحکم فی قاعدة الشعائر الدینیّة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ذلک هناک 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عُدّ الحکم فی قاعدة الشعائر الدینیّة حکماً ثانویّاً، وعُدّت تلک الأحکام الثانویّة أحکاماً ثانویّة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فیکون‌کلّ منهما ثانویّاً فتقدیم أحدهما علی الآخر رتبةً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غایة‌الأمر أنّهما فی رتبة واحدة، ویقع بینهما التزاحم لا</w:t>
      </w:r>
      <w:bookmarkStart w:id="223" w:name="pg13695_150802"/>
    </w:p>
    <w:p>
      <w:pPr>
        <w:pStyle w:val="BookText"/>
        <w:rPr/>
      </w:pPr>
      <w:bookmarkEnd w:id="223"/>
      <w:r>
        <w:rPr>
          <w:rFonts w:ascii="IRNazanin" w:hAnsi="IRNazanin" w:eastAsia="IRNazanin"/>
          <w:color w:val="111111"/>
          <w:sz w:val="28"/>
          <w:sz w:val="28"/>
          <w:szCs w:val="28"/>
          <w:rtl w:val="true"/>
          <w:lang w:bidi="fa-IR"/>
        </w:rPr>
        <w:t>التعارض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فالجواب فی الأساس هو أنّ الحکم فی قاعدة الشعائر الدینیّة لیس من قبیل الحکم الثانویّ، بل هو حکم الطبیعة الأوّلیّة التی لابدَّ من بقائها واستمرارها والمحافظة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یکون الحکم فی القاعدة مؤخّراً رتبةً عن الأحکام الثانویّة</w:t>
      </w:r>
      <w:r>
        <w:rPr>
          <w:rFonts w:eastAsia="IRNazanin" w:cs="IRNazanin"/>
          <w:color w:val="111111"/>
          <w:sz w:val="28"/>
          <w:szCs w:val="28"/>
          <w:rtl w:val="true"/>
          <w:lang w:bidi="fa-IR"/>
        </w:rPr>
        <w:t>..</w:t>
      </w:r>
    </w:p>
    <w:p>
      <w:pPr>
        <w:pStyle w:val="Heading3"/>
        <w:numPr>
          <w:ilvl w:val="2"/>
          <w:numId w:val="1"/>
        </w:numPr>
        <w:rPr/>
      </w:pPr>
      <w:bookmarkStart w:id="224" w:name="__RefHeading___Toc983889_1468164448"/>
      <w:bookmarkStart w:id="225" w:name="_Toc81"/>
      <w:bookmarkEnd w:id="224"/>
      <w:r>
        <w:rPr>
          <w:rtl w:val="true"/>
        </w:rPr>
        <w:t>الخلاصة فی هذه الجهة</w:t>
      </w:r>
      <w:r>
        <w:rPr>
          <w:rtl w:val="true"/>
        </w:rPr>
        <w:t>:</w:t>
      </w:r>
      <w:bookmarkEnd w:id="225"/>
    </w:p>
    <w:p>
      <w:pPr>
        <w:pStyle w:val="BookText"/>
        <w:rPr/>
      </w:pPr>
      <w:r>
        <w:rPr>
          <w:rFonts w:ascii="IRNazanin" w:hAnsi="IRNazanin" w:eastAsia="IRNazanin"/>
          <w:color w:val="111111"/>
          <w:sz w:val="28"/>
          <w:sz w:val="28"/>
          <w:szCs w:val="28"/>
          <w:rtl w:val="true"/>
          <w:lang w:bidi="fa-IR"/>
        </w:rPr>
        <w:t>ونستنتج من هذه النقاط التی ذکرناها فی العلاقة بین الحکم فی قاعدة الشعائر الدینیّة، والأحکام الأوّلیّة والأحکام الثانویّة عدّة 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ذلک لابأس من التنبیه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بمقتضی أحد النقاط التی أثرناها فی هذه الجهة، من أنّ مبنی مشهور الفقهاء أنّ نسبة العناوین الثانویّة لُبّاً مع الأحکام الأوّلیّة هی التزاحم الملاکیّ، ومن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کلّ شیء بحسبه، أو ضررُ کلّ شیء بحسبه ؛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فی‌الوضوء بأدنی ضرر طفیف یرفع الإلزام بالوضوء أو الغسل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بینما فی باب أکل حرمة المیتة قالوا أنّ الضَرر الذی یرفع حرمة المَیْتة هو ذلک الضرر الذی یکون بدرجة شدیدة بحیث یُشرف علی الهلکة، وحینئذ یتناول‌من المَیتة بقدر ما یحفظ به رمق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یتعدّی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یستفاد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فَلا إِثْمَ عَلَیْهِ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المحرّمات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کشُرب الخمر، أو الزنا أو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فی کون الضرر المهلک مسوّغاً لرفع مثل تلک الحرمة دون الیسیر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فالضرر فی الوضوء یختلف عنه فی باب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فی عنوان الحرج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یعبّرون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فی‌کلّ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قاعدة الحرج فی الوضوء، وفی غسل الجنابة بأدنی‌درجة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هذه القاعدة فی المحرّمات الشدیدة الکبیرة لابدَّ أن تکون بدرجة العسر الشدید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التفرقة هو أنّه فی المحرّمات الشدیدة لا ترفع‌تلک الحرمة، أو لا یرفع تنجّزها وعزیمتها إلاّ الحاجة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موارد الحرمة الخفیفة یرفعها أدنی عسر ومشقّة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ویطَّرد الکلام فی الاضطرار والإکراه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لهذه التفرقة لیس إلاّ مبنی المشهور من أنّ نسبة العناوین الثانویّة مع‌الأحکام الأوّلیّة هی نسبة التزاحم الملاکیّ لا التخصیص والتقیید؛ ومن ثمّ شملها حکم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 الیسیر لا یزاحم ولا یمانع الملاک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یدافع‌الملاک الخفیف ؛ وکذلک فی الحرج والنسیان وغیرهما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فالشعائر لیست علی درجة واحدة من التعظیم أو من حرمة الإهانة، بل هی‌تختلف شدّةً وضعفاً بحسب شدّة وعظمة المعنی الذی تُعلِم عنه وتشیر إلیه، أوبحسب شدّة العلقة کما مثّلنا لذلک سابقاً</w:t>
      </w:r>
      <w:r>
        <w:rPr>
          <w:rFonts w:eastAsia="IRNazanin" w:cs="IRNazanin"/>
          <w:color w:val="111111"/>
          <w:sz w:val="28"/>
          <w:szCs w:val="28"/>
          <w:rtl w:val="true"/>
          <w:lang w:bidi="fa-IR"/>
        </w:rPr>
        <w:t>..</w:t>
      </w:r>
      <w:bookmarkStart w:id="226" w:name="pg13695_150804"/>
    </w:p>
    <w:p>
      <w:pPr>
        <w:pStyle w:val="Heading3"/>
        <w:numPr>
          <w:ilvl w:val="2"/>
          <w:numId w:val="1"/>
        </w:numPr>
        <w:rPr/>
      </w:pPr>
      <w:bookmarkStart w:id="227" w:name="__RefHeading___Toc983891_1468164448"/>
      <w:bookmarkStart w:id="228" w:name="_Toc82"/>
      <w:bookmarkEnd w:id="226"/>
      <w:bookmarkEnd w:id="227"/>
      <w:r>
        <w:rPr>
          <w:rtl w:val="true"/>
        </w:rPr>
        <w:t>اختلاف أحکام الشعائر شدّة وضعفاً</w:t>
      </w:r>
      <w:r>
        <w:rPr>
          <w:rtl w:val="true"/>
        </w:rPr>
        <w:t>:</w:t>
      </w:r>
      <w:bookmarkEnd w:id="228"/>
    </w:p>
    <w:p>
      <w:pPr>
        <w:pStyle w:val="BookText"/>
        <w:rPr/>
      </w:pPr>
      <w:r>
        <w:rPr>
          <w:rFonts w:ascii="IRNazanin" w:hAnsi="IRNazanin" w:eastAsia="IRNazanin"/>
          <w:color w:val="111111"/>
          <w:sz w:val="28"/>
          <w:sz w:val="28"/>
          <w:szCs w:val="28"/>
          <w:rtl w:val="true"/>
          <w:lang w:bidi="fa-IR"/>
        </w:rPr>
        <w:t>وبمقتضی هاتین النقطتَین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التی مضت فی الجهة الخامسة فی المتعلّق، وهی کون الحکم فی قاعدة الشعائر الدینیّة تشکیکیّاً، أی علی درجاتٍ‌وعلی مستویات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التی نحن بصددها الآن، وهی أنّ الأحکام الثانویّة فی جنبة الحکم نسبتها مع الأحکام الأوّلیّة هی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تُلحظ درجة العنوان الثانویّ‌مع درجة الحکم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بعینه فی باب الشعائر، أی لیس أیّ ضررٍ یکون‌رافعاً لکلّ حکم فی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رافعاً لأحد أحکام الشعائر الدینیّة، فإنّ‌ذلک لا یعنی کونه رافعاً لکلّ درجات أحکام الشعائر الدینیّة الأخری، لأنّهاتختلف بعضها عن البعض شدةً وضعفاً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فدرجة التعظیم والتقدیس للمصحف‌الشریف تختلف عن درجة التعظیم والتقدیس للکتاب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کلّ ضرر یَرفع کلّ درجة من درجات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الضرر الرافع منه لدرجة مّا، یکون رافعاً لبقیّة الدرجات أو بقیّة أقسام وأنواع الشعائر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الحرج أو الاضطرار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مما یجب الإلتفات إلیه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مُجمل الکلام فی الجهة السادسة، وهی جهة العلاقة بین الحکم فی قاعدة الشعائر الدینیّة والأحکام الأوّلیّة من جهة ،ومع الأحکام الثانویّة من جهة أخری</w:t>
      </w:r>
      <w:r>
        <w:rPr>
          <w:rFonts w:eastAsia="IRNazanin" w:cs="IRNazanin"/>
          <w:color w:val="111111"/>
          <w:sz w:val="28"/>
          <w:szCs w:val="28"/>
          <w:rtl w:val="true"/>
          <w:lang w:bidi="fa-IR"/>
        </w:rPr>
        <w:t>..</w:t>
      </w:r>
      <w:bookmarkStart w:id="229" w:name="pg13695_150805"/>
    </w:p>
    <w:p>
      <w:pPr>
        <w:pStyle w:val="BookText"/>
        <w:rPr/>
      </w:pPr>
      <w:bookmarkEnd w:id="229"/>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 علی قاعدة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الجهة الأخیرة فی بحث الخطوط العامة للشعائر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وتدور حول ممانعة الخرافة لقاعدة الشعائر الدینیّة، أو استلزام بعض الشعائر للإهانة والاستهزاء أو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عناوین بالطبع متعدّدة مختلفة، ویجب أن نحلّل کلّ عنوان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کیف یکون کلّ من هذه العناوین ممانعاً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موارد للتصادق بین هذه العناوین وقاعدة الشعائر الدینیّة ؟أو لا تصادق فی البَین أصلاً ؟</w:t>
      </w:r>
    </w:p>
    <w:p>
      <w:pPr>
        <w:pStyle w:val="BookText"/>
        <w:rPr/>
      </w:pPr>
      <w:r>
        <w:rPr>
          <w:rFonts w:ascii="IRNazanin" w:hAnsi="IRNazanin" w:eastAsia="IRNazanin"/>
          <w:color w:val="111111"/>
          <w:sz w:val="28"/>
          <w:sz w:val="28"/>
          <w:szCs w:val="28"/>
          <w:rtl w:val="true"/>
          <w:lang w:bidi="fa-IR"/>
        </w:rPr>
        <w:t>وبادیء ذی بدء، نقف علی عنوان ومصطلح الخرافة</w:t>
      </w:r>
      <w:r>
        <w:rPr>
          <w:rFonts w:eastAsia="IRNazanin" w:cs="IRNazanin"/>
          <w:color w:val="111111"/>
          <w:sz w:val="28"/>
          <w:szCs w:val="28"/>
          <w:rtl w:val="true"/>
          <w:lang w:bidi="fa-IR"/>
        </w:rPr>
        <w:t>..</w:t>
      </w:r>
    </w:p>
    <w:p>
      <w:pPr>
        <w:pStyle w:val="Heading3"/>
        <w:numPr>
          <w:ilvl w:val="2"/>
          <w:numId w:val="1"/>
        </w:numPr>
        <w:rPr/>
      </w:pPr>
      <w:bookmarkStart w:id="230" w:name="__RefHeading___Toc983893_1468164448"/>
      <w:bookmarkStart w:id="231" w:name="_Toc83"/>
      <w:bookmarkEnd w:id="230"/>
      <w:r>
        <w:rPr>
          <w:rtl w:val="true"/>
        </w:rPr>
        <w:t>الخرافة والشعائر</w:t>
      </w:r>
      <w:r>
        <w:rPr>
          <w:rtl w:val="true"/>
        </w:rPr>
        <w:t>:</w:t>
      </w:r>
      <w:bookmarkEnd w:id="231"/>
    </w:p>
    <w:p>
      <w:pPr>
        <w:pStyle w:val="BookText"/>
        <w:rPr/>
      </w:pPr>
      <w:r>
        <w:rPr>
          <w:rFonts w:ascii="IRNazanin" w:hAnsi="IRNazanin" w:eastAsia="IRNazanin"/>
          <w:color w:val="111111"/>
          <w:sz w:val="28"/>
          <w:sz w:val="28"/>
          <w:szCs w:val="28"/>
          <w:rtl w:val="true"/>
          <w:lang w:bidi="fa-IR"/>
        </w:rPr>
        <w:t>الخرافة ما هو موضوعها ؛ وکیف تکون مانعة لقاعدة الشعائر الدینیّة؟</w:t>
      </w:r>
    </w:p>
    <w:p>
      <w:pPr>
        <w:pStyle w:val="BookText"/>
        <w:rPr/>
      </w:pPr>
      <w:r>
        <w:rPr>
          <w:rFonts w:ascii="IRNazanin" w:hAnsi="IRNazanin" w:eastAsia="IRNazanin"/>
          <w:color w:val="111111"/>
          <w:sz w:val="28"/>
          <w:sz w:val="28"/>
          <w:szCs w:val="28"/>
          <w:rtl w:val="true"/>
          <w:lang w:bidi="fa-IR"/>
        </w:rPr>
        <w:t>فالبحث فی الخرافة تارة یکون حکمیّاً، وأخری یکون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الخرافة فی اللغة وفی العرف تطلق علی أیّ شیءٍ وهمیّ أو تخیّلیّ، أو الذی لا یُمتّ إلی حقیقة واقعیة أو 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یُملیه الوَهم أو یملیه الخیال من دون أن یکون له مطابق حقیقیّ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عقلیّ ولاحسّیّ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خرافة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 لیس معصوماً علی الدوام، إذ قد یتطرّق إلیه الخطأ وان کان‌الحسّ إجمالاً من منابع 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العقل منبع جملة من أقسام البدیهیّات، ولیس کلّ ما لا یُدرَک بالحسّ هو لیس بحقیقة، ولأنّ کثیراً من</w:t>
      </w:r>
    </w:p>
    <w:p>
      <w:pPr>
        <w:pStyle w:val="BookText"/>
        <w:rPr/>
      </w:pPr>
      <w:r>
        <w:rPr>
          <w:rFonts w:ascii="IRNazanin" w:hAnsi="IRNazanin" w:eastAsia="IRNazanin"/>
          <w:color w:val="111111"/>
          <w:sz w:val="28"/>
          <w:sz w:val="28"/>
          <w:szCs w:val="28"/>
          <w:rtl w:val="true"/>
          <w:lang w:bidi="fa-IR"/>
        </w:rPr>
        <w:t>الأشیاء موجودة وحقیقیّة، مع أنّها لا تُدرک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فاقتناص الحقیقة یکون إمّا بأداة العقل، أو بأداة الحسّ أو بأداة القلب فیما یُعاینه من العلوم الحضوریّة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الحقائق هناک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ماهیّة الخرافة الموضوعة التی لا یقوم علیها دلیل عقلیّ ولا دلیل نقلیّ ولا دلیل حسّیّ ولا دلیل مبرهن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یصوّرها الخیال أو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نقرّر أنّ الأداة العقلّیة أو الأداة الحسّیّة تتوسّط لإثبات الحقائق، فلیس ذلک علی الدوام، بل لابدَّ من میزان یعتصم به العقل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فی‌البدیهیات التی هی کرأسمال فطریّ مودع فی الإنسان مِن قِبل الله تعالی، فتلک أداة عصمة للإنسان یستهدی بها فی دوائر الشبهة، وهی من الأمور النظریّة ،وکذلک فی الحسّ هناک دائرة کبیرة من البدیهیات یستهدی بها فی دوائر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فإنّک تری نهایة الجادة والطریق کأنّما یتلاقی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تلاقی‌طرفی الجادة والطریق فی نهایة مدّ البصر لیس بحقیقة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العقل یهتدی إلی نفی ذلک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تری النار الجوّالة التی یدیرها اللاعب بیده، تراها حلقة ناریة، مع أنّها فی الحقیقة لیست حلقة ناریة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أخطاء الحسّ التی یمیّزها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علی‌کلّ حال فعندما یقال بأنّ أداة الحسّ والعقل معصومتان یعنی إذا قُوِّمتا بموازین‌متقنة</w:t>
      </w:r>
      <w:r>
        <w:rPr>
          <w:rFonts w:eastAsia="IRNazanin" w:cs="IRNazanin"/>
          <w:color w:val="111111"/>
          <w:sz w:val="28"/>
          <w:szCs w:val="28"/>
          <w:rtl w:val="true"/>
          <w:lang w:bidi="fa-IR"/>
        </w:rPr>
        <w:t>..</w:t>
      </w:r>
      <w:bookmarkStart w:id="232" w:name="pg13695_150807"/>
    </w:p>
    <w:p>
      <w:pPr>
        <w:pStyle w:val="Heading3"/>
        <w:numPr>
          <w:ilvl w:val="2"/>
          <w:numId w:val="1"/>
        </w:numPr>
        <w:rPr/>
      </w:pPr>
      <w:bookmarkStart w:id="233" w:name="__RefHeading___Toc983895_1468164448"/>
      <w:bookmarkStart w:id="234" w:name="_Toc84"/>
      <w:bookmarkEnd w:id="232"/>
      <w:bookmarkEnd w:id="233"/>
      <w:r>
        <w:rPr>
          <w:rtl w:val="true"/>
        </w:rPr>
        <w:t>الوهم والخیال</w:t>
      </w:r>
      <w:r>
        <w:rPr>
          <w:rtl w:val="true"/>
        </w:rPr>
        <w:t>:</w:t>
      </w:r>
      <w:bookmarkEnd w:id="234"/>
    </w:p>
    <w:p>
      <w:pPr>
        <w:pStyle w:val="BookText"/>
        <w:rPr/>
      </w:pPr>
      <w:r>
        <w:rPr>
          <w:rFonts w:ascii="IRNazanin" w:hAnsi="IRNazanin" w:eastAsia="IRNazanin"/>
          <w:color w:val="111111"/>
          <w:sz w:val="28"/>
          <w:sz w:val="28"/>
          <w:szCs w:val="28"/>
          <w:rtl w:val="true"/>
          <w:lang w:bidi="fa-IR"/>
        </w:rPr>
        <w:t>کذلک الحال فی الأداة الوهمیّة والأداة التخیّلیّة المتصرّفة إذا سخَّرت إحداهما الأخری، فإنّهما غالباً ما تُرکّبان صوراً من قریحتهما لا مساس لها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الوهم والخیال خادمیَن للقوی العقلیّة، فیصیب الإنسان بها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تخطِّئان الواقع إذا کانتا تُبدیان من أنفسهما أفعالاً فکریّةً‌وتصرّفاتٍ فی المعانی من دون استخدام العقل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إستخدام العقل‌فإنّهما تصیبان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فالخُرافة فعلٌ من الأفعال الفکریّة والإدراکیّة والتصوّریّة تقوم بها المخیَّلة‌أو الواهمة من دون هدایة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ویُذعن الجانب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إلی‌تلک الصورة أو إلی ذلک الإدراک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فی النفس مشجّرة للطرفَین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 القوة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تُدرک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وطرف القوة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أجنحة أُخری فی جهاز النفس ؛ لکنّ الذی یعنینا فی المقام هو هذان الجناحان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 العملیّ والجناح النظریّ والإدراکیّ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فالخُرافة إذن مبدأها من فعل إدراکیّ خاطیء بتوسّط المخیّلة أو الواهمة یذعن لها الجانب العملیّ فی النفس، وتبنی علیها النفس عملاً وترتّب علیها آثاراً ،من دون أن یکون المدرَک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وأداة الوهم والخیال إذا کانتا من دون هدایة العقل وإراءته إلیهما فالنتیجة تکون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بعض الأشیاء لا تُدرَک بالحس ولا بالعقل مع أنّها 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یدرکها الوهم والخیال بهدایة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حب‌الأم لطفلها، البغض الخاصّ، والحب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تُسمّی معانٍ وَهمیّة، لکنّها مطابقة للحقیقة ولها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الوهم والخیال لم یصل الإنسان لإدراکها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یُحکَم علی کلّ شیء خیالیّ أو کلّ شیء وهمیّ أنّه غیر مصیب وغیر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تحصل بعض المغالطات، حیث یحکم بالخرافة علی کلّ شیء یدرک بالخیال 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الخیالیّ یساوی اللاواقعیّة ویساوی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الخیال والوهم بدون هدایة العقل واستخدام العقل یساوی الخرافة أو یساوی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یکون بهدایة العقل ؛ مثل بعض الحقائق التی لا یمکن أن یدرکها الحسّ ولا العقل، بل یدرکها الوهم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بعض المنامات الصادقة التی لا یدرکها العقل لأنّها لیست تفکیراً بحتاً، ولا یدرکها الحسّ أیضاً، وتکون صادقة فی الجُملة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والمُدرَکات العقلیّة لیس لها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وعرض وعمق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نقوشاً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المعانی العقلیّة معانی مجرّدة مصمتة مکبوسة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ظهور تلک‌المعانی العقلیّة یکون بتوسّط الخیال أو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بتخطّطات</w:t>
      </w:r>
    </w:p>
    <w:p>
      <w:pPr>
        <w:pStyle w:val="BookText"/>
        <w:rPr/>
      </w:pPr>
      <w:r>
        <w:rPr>
          <w:rFonts w:ascii="IRNazanin" w:hAnsi="IRNazanin" w:eastAsia="IRNazanin"/>
          <w:color w:val="111111"/>
          <w:sz w:val="28"/>
          <w:sz w:val="28"/>
          <w:szCs w:val="28"/>
          <w:rtl w:val="true"/>
          <w:lang w:bidi="fa-IR"/>
        </w:rPr>
        <w:t>مقداریّة، أو بتشخّص‌خواصّ جزئیّة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الرؤیا المنامیّة الصادقة، فالکثیر منّا قد صادف فی حیاته أن رأی رؤیا صادقة طابقت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الحال فی‌رؤیا الأنبیاء والاوصیاء التی لیس فیها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الرؤیا الصادقة المصوَّرة إنّما یدرکها الإنسان بأداة الخیال، حیث إن الحسّ ینعدم فی النوم فلا یحسّ النائم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المعلومات تنزل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الباطن لا من الخارج، ولیست الرؤیا الصادقة من تصنّع وتسویل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النفس لا تدرک المستقبلیّات من لدن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النفوس العادیّة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أین‌أتت هذه الرؤیا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أداة أدرکها الإنسان ؟ وکما ذکرنا من أمثلة حبّ‌الأم، وبغض العدوّ وما شابه ذلک من المعانی التی یحتاج الإنسان لها فی أصل‌عیشه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قام عیشٌ ولا استقامت حیاة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أنّ کلّ شیء خیالیّ أو وهمیّ یساوی اللاواقعیّة أو الخرافة هو 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قوّة الخیال أو قوّة الوهم إن تجرّدت عن العقل، تکون خرافة حینئذ ولا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استُخدمتا من قبل القوی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فیدرک الإنسان بها شطراً وافراً من‌الحقائق التی لا یمکن له أن یعیش بدونها فی هذه النشأة أو حتّی فی النشآت‌الأخری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والوهم ألطف من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عالم ونشأة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ومعانیه مجرّدة عن‌الطول والعرض والعمق، وإن کان له تشخّصات معیّنة</w:t>
      </w:r>
      <w:bookmarkStart w:id="235" w:name="pg13695_150810"/>
    </w:p>
    <w:p>
      <w:pPr>
        <w:pStyle w:val="BookText"/>
        <w:rPr/>
      </w:pPr>
      <w:bookmarkEnd w:id="235"/>
      <w:r>
        <w:rPr>
          <w:rFonts w:ascii="Amiri" w:hAnsi="Amiri" w:eastAsia="Amiri" w:cs="Amiri"/>
          <w:color w:val="111111"/>
          <w:sz w:val="28"/>
          <w:sz w:val="28"/>
          <w:szCs w:val="28"/>
          <w:rtl w:val="true"/>
          <w:lang w:bidi="ar-SA"/>
        </w:rPr>
        <w:t>بالاضافة إلی الجزئیّات المادّیّة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فاصطلاح الوهم والخیال فی العلوم العقلیّة لیس بمعنی ما لا حقیقة له کی‌تقع فیه المغالطات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القوّة الواهمة أو الخیالیّة إذا لم تُوجّه ولم تستخدم من قِبل‌العقل فإنّها ستُخطیء الواقع غالباً وکثیراً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وبذلک یتبیّن موضوع الخُرافة، وأنّها بتوسّط أیّ قوةٍ من قوی النفس یمکن أن تُدرک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شیء ما خُرافة، فیجب علی الإنسان أن یهمله وأن لا یرتّب علیه آثار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اللازم أن لا یعتدّ بها الإنسان کحقیقة، فضلاً عن أن یتدیّن بها أو یداین بها أو یعظّمها أو یقدّسها أو یُجلّها</w:t>
      </w:r>
      <w:r>
        <w:rPr>
          <w:rFonts w:eastAsia="IRNazanin" w:cs="IRNazanin"/>
          <w:color w:val="111111"/>
          <w:sz w:val="28"/>
          <w:szCs w:val="28"/>
          <w:rtl w:val="true"/>
          <w:lang w:bidi="fa-IR"/>
        </w:rPr>
        <w:t>..</w:t>
      </w:r>
    </w:p>
    <w:p>
      <w:pPr>
        <w:pStyle w:val="Heading3"/>
        <w:numPr>
          <w:ilvl w:val="2"/>
          <w:numId w:val="1"/>
        </w:numPr>
        <w:rPr/>
      </w:pPr>
      <w:bookmarkStart w:id="236" w:name="__RefHeading___Toc983897_1468164448"/>
      <w:bookmarkStart w:id="237" w:name="_Toc85"/>
      <w:bookmarkEnd w:id="236"/>
      <w:r>
        <w:rPr>
          <w:rtl w:val="true"/>
        </w:rPr>
        <w:t>التضادّ بین الشعائر والخرافة</w:t>
      </w:r>
      <w:r>
        <w:rPr>
          <w:rtl w:val="true"/>
        </w:rPr>
        <w:t>:</w:t>
      </w:r>
      <w:bookmarkEnd w:id="237"/>
    </w:p>
    <w:p>
      <w:pPr>
        <w:pStyle w:val="BookText"/>
        <w:rPr/>
      </w:pPr>
      <w:r>
        <w:rPr>
          <w:rFonts w:ascii="IRNazanin" w:hAnsi="IRNazanin" w:eastAsia="IRNazanin"/>
          <w:color w:val="111111"/>
          <w:sz w:val="28"/>
          <w:sz w:val="28"/>
          <w:szCs w:val="28"/>
          <w:rtl w:val="true"/>
          <w:lang w:bidi="fa-IR"/>
        </w:rPr>
        <w:t>فهذه مقولة الخُرافة وحکمها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العلاقة بین قاعدة الشعائر الدینیّة وحکم العقل فی إبطال وتسفیه الخرافة وادّعاء وجود موارد الاجتماع والتصادق بینهما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الدلالة والمَعلَم للمعنی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یتسرّب البطلان واللاحقیقة إلی العلامة، أو إلی ذی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والبطلان الذی یتسرّب ویتخلّل إلیها إمّا من جهة أنّها لیست لها علامیّة لذلک‌المعنی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إمّا فی العلامة، بحیث لا علامیّة لها علی ذلک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یدبّ‌الإشکال ویسری فی نفس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ذو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والمعانی الدینیّة إذا کانت معانٍ قام الدلیل علیها، سواء الدلیل القطعی الضروریّ الدینیّ، أو الدلیل النقلیّ الظنّیّ المعتبر ؛ یکون الحکم بأنّها خرافة أو لا حقیقة لها تصادماً مع الدلیل الشرعیّ وخلاف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هناک معنیً من‌المعانی جزئیّاً أو متوسّطاً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 المتوسّطات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کلّیّاً لم یَقُم علیه دلیل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یوصف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فإنّ عدمَ الدلیل غیرُ دلیل العدم ؛ فهناک تارة شیء لم یقُم علیه الدلیل، وهناک تارةً أخری شیء قام الدلیل علی عدمه، ولا ریب حینئذ فی‌عدم واقعیّته، فیتصادق ویتّفق مع الخرافة، مثل الأدیان الوثنیّة، أو الأدیان‌الأخری الباطلة ؛ ومثل هذه الأدیان تعتبر شعائرها باطلة وخرافیّة لأنّ شعائرها علامات ومعالم علی معانٍ لیست واقعیّة، بل منحرفة وخاطئة وتخیّلیّة ووهمیّة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فی الخالق، والثنویّة فی ربّ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زیف هذه‌المعانی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الشعائر الدینیّة لهذه الأدیان باطلة خرافیّة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المعانی التی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علیها الدلیل ولو الدلیل العام فلا یصح أن یصدق علیها الخرافة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الکلام فی التحرّی والتحقیق والتثبّت فی ماهیّة المعنی الذی تعکسه تلک الشعیرة؛ ثمّ نتحرّی عن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إطلاق عبارة الخرافة من دون التدلیل علی ذلک فهو أشبه بالمغالطة أو الإبتداع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لکلٍّ من النافی أو المُثبِت‌أن یستدلّ علی مدّعاه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الخرافیّة فی جنبة المعنی تتوقّف علی إقامة الدلیل علی بُطلان</w:t>
      </w:r>
      <w:bookmarkStart w:id="238" w:name="pg13695_150812"/>
    </w:p>
    <w:p>
      <w:pPr>
        <w:pStyle w:val="BookText"/>
        <w:rPr/>
      </w:pPr>
      <w:bookmarkEnd w:id="238"/>
      <w:r>
        <w:rPr>
          <w:rFonts w:ascii="IRNazanin" w:hAnsi="IRNazanin" w:eastAsia="IRNazanin"/>
          <w:color w:val="111111"/>
          <w:sz w:val="28"/>
          <w:sz w:val="28"/>
          <w:szCs w:val="28"/>
          <w:rtl w:val="true"/>
          <w:lang w:bidi="fa-IR"/>
        </w:rPr>
        <w:t>ذلک المعنی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ذلک المعنی معزّزاً ومؤیّداً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تکون دعوی الخرافیّة فیه غیر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التطرّق لبحث الخرافة الذی یواجه قاعدة الشعائر الدینیّة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یعترض بذلک فی طرف وجنبة‌الموضوع، فلابدَّ من النظر فی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یتبیّن مدی وجود التقاء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الشعیرة والخرافة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جنبة نفس الشعیرة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یتوهّم إطلاق الخراقة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بماهی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علیها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 أنّ الخرافة هی المعنی الذی‌لیس له حقیقة، أمّا العلامة فی نفسها فلیست من سنخ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نتصوّر فیهاالخرافة، هذا ممّا لا یمکن أن یُتصوّر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هذه الشعیرة لها دلالات علی معانٍ معیّنة، والمعانی قد تکون‌باطلة وغیر صحیحة، وبالتالی تکون خرافیّة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الشعیرة فی نفسها فلیست لهاوظیفة إلاّ الدلالة علی معنی والإشارة إلی محتوی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تکون بعض‌الشعائر کعلامات ودلالات غیر متناسبة مع المعنی الشامخ الذی وُضعت هی له ،أو تکون موجبة لتضعضعه، وهذا أمر آخر غیر الخرافیّة، بل هو محذور الهوان‌و الاستهانة</w:t>
      </w:r>
      <w:r>
        <w:rPr>
          <w:rFonts w:eastAsia="IRNazanin" w:cs="IRNazanin"/>
          <w:color w:val="111111"/>
          <w:sz w:val="28"/>
          <w:szCs w:val="28"/>
          <w:rtl w:val="true"/>
          <w:lang w:bidi="fa-IR"/>
        </w:rPr>
        <w:t>..</w:t>
      </w:r>
    </w:p>
    <w:p>
      <w:pPr>
        <w:pStyle w:val="Heading3"/>
        <w:numPr>
          <w:ilvl w:val="2"/>
          <w:numId w:val="1"/>
        </w:numPr>
        <w:rPr/>
      </w:pPr>
      <w:bookmarkStart w:id="239" w:name="__RefHeading___Toc983899_1468164448"/>
      <w:bookmarkStart w:id="240" w:name="_Toc86"/>
      <w:bookmarkEnd w:id="239"/>
      <w:r>
        <w:rPr>
          <w:rtl w:val="true"/>
        </w:rPr>
        <w:t>ممیزات وخصوصیّات الشعائر</w:t>
      </w:r>
      <w:r>
        <w:rPr>
          <w:rtl w:val="true"/>
        </w:rPr>
        <w:t>:</w:t>
      </w:r>
      <w:bookmarkEnd w:id="240"/>
    </w:p>
    <w:p>
      <w:pPr>
        <w:pStyle w:val="BookText"/>
        <w:rPr/>
      </w:pPr>
      <w:r>
        <w:rPr>
          <w:rFonts w:ascii="IRNazanin" w:hAnsi="IRNazanin" w:eastAsia="IRNazanin"/>
          <w:color w:val="111111"/>
          <w:sz w:val="28"/>
          <w:sz w:val="28"/>
          <w:szCs w:val="28"/>
          <w:rtl w:val="true"/>
          <w:lang w:bidi="fa-IR"/>
        </w:rPr>
        <w:t>ذکر علماء الإجتماع بعض الممیّزات والخصوصیات للشعائر منها</w:t>
      </w:r>
      <w:r>
        <w:rPr>
          <w:rFonts w:eastAsia="IRNazanin" w:cs="IRNazanin"/>
          <w:color w:val="111111"/>
          <w:sz w:val="28"/>
          <w:szCs w:val="28"/>
          <w:rtl w:val="true"/>
          <w:lang w:bidi="fa-IR"/>
        </w:rPr>
        <w:t>:</w:t>
      </w:r>
    </w:p>
    <w:p>
      <w:pPr>
        <w:pStyle w:val="Heading3"/>
        <w:numPr>
          <w:ilvl w:val="2"/>
          <w:numId w:val="1"/>
        </w:numPr>
        <w:rPr/>
      </w:pPr>
      <w:bookmarkStart w:id="241" w:name="__RefHeading___Toc983901_1468164448"/>
      <w:bookmarkStart w:id="242" w:name="_Toc87"/>
      <w:bookmarkEnd w:id="241"/>
      <w:r>
        <w:rPr>
          <w:rtl w:val="true"/>
        </w:rPr>
        <w:t>تنوع الشعائر</w:t>
      </w:r>
      <w:r>
        <w:rPr>
          <w:rtl w:val="true"/>
        </w:rPr>
        <w:t>:</w:t>
      </w:r>
      <w:bookmarkEnd w:id="24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واختلاف الشعائر والرسوم بین المجتمعات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bookmarkStart w:id="243" w:name="pg13695_150813"/>
    </w:p>
    <w:p>
      <w:pPr>
        <w:pStyle w:val="BookText"/>
        <w:rPr/>
      </w:pPr>
      <w:bookmarkEnd w:id="243"/>
      <w:r>
        <w:rPr>
          <w:rFonts w:ascii="IRNazanin" w:hAnsi="IRNazanin" w:eastAsia="IRNazanin"/>
          <w:color w:val="111111"/>
          <w:sz w:val="28"/>
          <w:sz w:val="28"/>
          <w:szCs w:val="28"/>
          <w:rtl w:val="true"/>
          <w:lang w:bidi="fa-IR"/>
        </w:rPr>
        <w:t>أسلوب التعظیم فی‌بلدة معیّنة، یختلف عن أسلوب التعظیم فی بلدة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یعتبر ذلک التعظیم‌فی بلاد أخری مظهراً لعدم الإحترام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مدالیل العلامات تختلف بحسب‌التواضع والقرار المقرر بین أفراد المجموعات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لابدَّ من وضعه فی‌الحسبان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أن نحمل حکم الشعیرة فی بلد عَلی حکم شعیرة فی بلدآخر</w:t>
      </w:r>
      <w:r>
        <w:rPr>
          <w:rFonts w:eastAsia="IRNazanin" w:cs="IRNazanin"/>
          <w:color w:val="111111"/>
          <w:sz w:val="28"/>
          <w:szCs w:val="28"/>
          <w:rtl w:val="true"/>
          <w:lang w:bidi="fa-IR"/>
        </w:rPr>
        <w:t>..</w:t>
      </w:r>
    </w:p>
    <w:p>
      <w:pPr>
        <w:pStyle w:val="Heading3"/>
        <w:numPr>
          <w:ilvl w:val="2"/>
          <w:numId w:val="1"/>
        </w:numPr>
        <w:rPr/>
      </w:pPr>
      <w:bookmarkStart w:id="244" w:name="__RefHeading___Toc983903_1468164448"/>
      <w:bookmarkStart w:id="245" w:name="_Toc88"/>
      <w:bookmarkEnd w:id="244"/>
      <w:r>
        <w:rPr>
          <w:rtl w:val="true"/>
        </w:rPr>
        <w:t>منشأ الشعیرة وأبعادها الخطیرة</w:t>
      </w:r>
      <w:r>
        <w:rPr>
          <w:rtl w:val="true"/>
        </w:rPr>
        <w:t>:</w:t>
      </w:r>
      <w:bookmarkEnd w:id="245"/>
    </w:p>
    <w:p>
      <w:pPr>
        <w:pStyle w:val="BookText"/>
        <w:rPr/>
      </w:pPr>
      <w:r>
        <w:rPr>
          <w:rFonts w:ascii="IRNazanin" w:hAnsi="IRNazanin" w:eastAsia="IRNazanin"/>
          <w:color w:val="111111"/>
          <w:sz w:val="28"/>
          <w:sz w:val="28"/>
          <w:szCs w:val="28"/>
          <w:rtl w:val="true"/>
          <w:lang w:bidi="fa-IR"/>
        </w:rPr>
        <w:t>الشعائر والعلامات لا تکون فی الغالب مبتدأة ومبتکرة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تکون موروثاً حضاریّاً مکدَّساً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أیّ عرف أو أیّ قوم أو أیّ مجموعة معیّنة من البشریّة تتوارث أسالیب ووسائل معیّنة، یعرض علیها شیء من التطویر والتغییر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أصل جذور تلک الشعیرة أو تلک الوسیلة هی موروث حضاریّ‌قدیم یُنقل من الأجداد إلی الأبناء فی إطار حضارات مختلفة، من مؤثّرات‌و خصوصیّات معیّنة، مثل العِرق المُعیّن، أو القومیّة المعیّنة، أو المنطقة الجغرافیّة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الواقع الشعیرة التی تتّخذ فی مجال دینیّ، أو فی مجال غیر دینیّ، أو مجال‌معاشیّ، أو فنیّ، أو إجتماعیّ، أو تاریخیّ، أو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الشعیرة کما یعبّرون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هویّة وخصوصیّات وممیّزات تلک المنطقة أو تلک 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یعنی‌أنّ الشعیرة لیست هی شعیرة فقط، بل تستبطن الهویّة القومیّة والشخصیّة الاجتماعیّة والتاریخیّة بقدر ما تحتوی علی معانی ومبادیء</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تری متخصّصی علم الحضارات أو علم التاریخ والاجتماع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علم السیکولوجیا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یشیرون إلی أنّه من الخطورة بمکان</w:t>
      </w:r>
    </w:p>
    <w:p>
      <w:pPr>
        <w:pStyle w:val="BookText"/>
        <w:rPr/>
      </w:pPr>
      <w:r>
        <w:rPr>
          <w:rFonts w:ascii="IRNazanin" w:hAnsi="IRNazanin" w:eastAsia="IRNazanin"/>
          <w:color w:val="111111"/>
          <w:sz w:val="28"/>
          <w:sz w:val="28"/>
          <w:szCs w:val="28"/>
          <w:rtl w:val="true"/>
          <w:lang w:bidi="fa-IR"/>
        </w:rPr>
        <w:t>تغییر الشعارات الوطنیّة والرموز الوطنیّة والعبث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الرموز والشعارات المعیّنة تحمل هویّة قرون لهذه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وتغییرها مقابل رموز وشعارات بدیلة ،یعنی ذوبان هذه القومیّة فی مقابل سیطرة ثقافات 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الرموز والشعارات لیس‌من الهیّن والبسیط أن تُستبدل برموز تشکیلیّة جدیدة وتذوب أمام الغزو الفکریّ‌الجدید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الهیّن أن تتلاشی العادات والتقالید وتضعف الحصیلة التاریخیّة للمنطقة مقابل الفکر الجدید والثقافة البدیلة التی یأتی بها الغزاة والمستعمرون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بعض الدول الغربیة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کبریطانیا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ترویج اللغة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بریطانیا قد انحسر امتداد نفوذها الرسمیّ الظاهریّ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لدیها إصرار فی تعلیم ونشر اللغة الإنجلیزیّة، السرّ یکمن فی أنّ وراء تعلیم‌اللغة تحمیل تقالید أصحاب اللغة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وتحمیل ثقافة وروحیات الإنجلیز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تذویب القومیّات الأخری مقابل قومیّتهم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فالرموز والشعارات الإسلامیّة لا یصحّ الاستهانة بها واستصغارها، فإنّ لها دوراً کبیراً فی الحفاظ وتحدید الهویّة الحضاریّة للأمّة الإسلامیّة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کانت الشعیرة والشعائر بهذا الموقع من الأهمیّة والحساسیّة، فلیس من‌الهیّن محاولة تغییرها من دون دراسة مختلفة الجوانب محیطة بالجهات العدیدة ،لأنّ هذه الرموز والشعائر الدینیّة، سواء شعائر الحجّ، أو الشعائر الحسینیّة، أوشعائر الصلاة، أو شعائر المسجد، أو شعائر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تُعدّ بقاءً للمعالم التاریخیّة والحضاریّة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نجد البشریّة الآن تحتفظ بالتراث، وتهتمّ به وتحرسه بأخطر الأثمان ،وتصرف علی ذلک من الثروات الطبیعیّة الهائلة للبلد، لأنّ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یحافظ ویحکی عن وجود حضارات استنزفت فیها الجهود والطاقات، ثمّ بعد ذلک وصلت‌إلی هذا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الیسیر التفریط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فالخرافة قد تتصادق مع الشعیرة بلحاظ تأویل المعنی المدلول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یجب الحذر والتفطّن من فقد هذه الرموز التی هی مخزون لمعانٍ سامیة، والضمان‌لأصالة المجتمع الإسلامیّ، ولا یسوغ التفریط بها بدون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من‌دراستها بدقّة وتأنٍّ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هذه الشعیرة بالنسبة إلی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الیهود أو النصاری قد یکون لها مدلول معین، فهذا لا ینتقص من شأن الشعیرة‌نفسها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مدلولها لدی المسلمین هو المؤدّی الرفیع والمعنی‌السامی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یُنتظر منّا أن نتّخذ شعیرة ورمزاً، یکون له مؤدّی مقبول عندهم‌وهم لا یذعنون بالمبادئ الإسلامیّة، فلو اشترطنا فی الشعیرة قبولهم لمعناها ،فهذا یعنی فقد الشعیرة وظیفتها أو ضیاع الدور المرجوّ منها أو الغرض المأمول‌منها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التساهل والتهاون بذلک یُعتبر فقداناً لهویّتنا وأصالتنا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 البیان بما لا مزید علیه أنّ الشعیرة تحتوی علی رکنَین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رکن النشر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ورکن الإعلاء والاعتزاز وحفظ الهویّة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یَجْعَلَ اللّهُ لِلْکافِرِینَ عَلَی الْمُؤْمِنِینَ سَبِیلاً، وَ جَعَلَ کَلِمَةَ الَّذِینَ کَفَرُوا السُّفْلی وَ کَلِمَةُ اللّهِ</w:t>
      </w:r>
      <w:bookmarkStart w:id="246" w:name="pg13695_150816"/>
    </w:p>
    <w:p>
      <w:pPr>
        <w:pStyle w:val="BookText"/>
        <w:rPr/>
      </w:pPr>
      <w:bookmarkEnd w:id="246"/>
      <w:r>
        <w:rPr>
          <w:rFonts w:ascii="Amiri" w:hAnsi="Amiri" w:eastAsia="Amiri" w:cs="Amiri"/>
          <w:color w:val="111111"/>
          <w:sz w:val="28"/>
          <w:sz w:val="28"/>
          <w:szCs w:val="28"/>
          <w:rtl w:val="true"/>
          <w:lang w:bidi="ar-SA"/>
        </w:rPr>
        <w:t xml:space="preserve">هِیَ الْعُلْیا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فوظیفة الشعائر حفظ الهویّة الإسلامیّة والدینیّة المبدئیّة وإعلائها، فإذا فقدناها واستبدلناها بشعارات تروق للأعداء فعلی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نقطة مهمّة ونکتة فقهیّة مرتبطة بقاعدة الشعائر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هذه القاعدة تحمل فی ماهیّتها رکن الإعلام والإنذار والبثّ والعلامة والمَعلم ؛ ورکن‌آخر فی ماهیّتها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الإعلاء والاعتزاز، أی حفظ الهویة بل‌إعلائها والاعتزاز بها وتقدیمها علی بقیّة الهویّات البشریّة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الهویّة السماویّة والشخصیّة الإلهیّة فی الواقع</w:t>
      </w:r>
      <w:r>
        <w:rPr>
          <w:rFonts w:eastAsia="IRNazanin" w:cs="IRNazanin"/>
          <w:color w:val="111111"/>
          <w:sz w:val="28"/>
          <w:szCs w:val="28"/>
          <w:rtl w:val="true"/>
          <w:lang w:bidi="fa-IR"/>
        </w:rPr>
        <w:t>..</w:t>
      </w:r>
    </w:p>
    <w:p>
      <w:pPr>
        <w:pStyle w:val="Heading3"/>
        <w:numPr>
          <w:ilvl w:val="2"/>
          <w:numId w:val="1"/>
        </w:numPr>
        <w:rPr/>
      </w:pPr>
      <w:bookmarkStart w:id="247" w:name="__RefHeading___Toc983905_1468164448"/>
      <w:bookmarkStart w:id="248" w:name="_Toc89"/>
      <w:bookmarkEnd w:id="247"/>
      <w:r>
        <w:rPr>
          <w:rtl w:val="true"/>
        </w:rPr>
        <w:t>دائرة الشعائر الدینیّة</w:t>
      </w:r>
      <w:r>
        <w:rPr>
          <w:rtl w:val="true"/>
        </w:rPr>
        <w:t>:</w:t>
      </w:r>
      <w:bookmarkEnd w:id="248"/>
    </w:p>
    <w:p>
      <w:pPr>
        <w:pStyle w:val="BookText"/>
        <w:rPr/>
      </w:pPr>
      <w:r>
        <w:rPr>
          <w:rFonts w:ascii="IRNazanin" w:hAnsi="IRNazanin" w:eastAsia="IRNazanin"/>
          <w:color w:val="111111"/>
          <w:sz w:val="28"/>
          <w:sz w:val="28"/>
          <w:szCs w:val="28"/>
          <w:rtl w:val="true"/>
          <w:lang w:bidi="fa-IR"/>
        </w:rPr>
        <w:t>ومن جهة أخری، فإنّ الشعائر تنقسم بلحاظ المطلوب من الشعائر الدینیّة وهو ثلاثة أنماط من‌الوظائف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أن تؤدّی دورها فی الوسط الدینیّ المسلم، وتکون فائدتها للمسلمین أنفسهم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یکون تأثیرها ضمن أبناء الایمان والوسط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ثالثة أن تؤدّی دوراً لدعوة الآخرین من المِلل والنِحل البشریّة الی‌الإسلام أو إلی الإیمان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الشعائر التی أُمرنا بتحریمها وتعظیمها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نحو وجوب إقامتهابین المسلمین ثمّ نشرها فی الدار الإسلامیّة أو دار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w:t>
      </w:r>
      <w:bookmarkStart w:id="249" w:name="pg13695_150817"/>
    </w:p>
    <w:p>
      <w:pPr>
        <w:pStyle w:val="BookText"/>
        <w:rPr/>
      </w:pPr>
      <w:bookmarkEnd w:id="249"/>
      <w:r>
        <w:rPr>
          <w:rFonts w:ascii="IRNazanin" w:hAnsi="IRNazanin" w:eastAsia="IRNazanin"/>
          <w:color w:val="111111"/>
          <w:sz w:val="28"/>
          <w:sz w:val="28"/>
          <w:szCs w:val="28"/>
          <w:rtl w:val="true"/>
          <w:lang w:bidi="fa-IR"/>
        </w:rPr>
        <w:t>تکون وسیلة‌إعلامیّة عامّة یُرجی لها الوجود، ویکون الأمر بها بلحاظ الوسط غیر المسلم، ویتوخّی أن تؤثّر فی الأعمّ من الوسط المسلم وغیر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المطلوب من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إیجادها فی الوسط المسلم أو المؤمن أوّلاً وبالذات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والمحافظة علی نفس الوسط المسلم وتوجیهه‌إلی الهدف، والسمو به إلی القمّة فی نفس الوسط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بعض‌الشعائر المعیّنة قد اختصّها الفقه والدین الإسلامی لأجل التبلیغ فی ساحة الوسط غیر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165"/>
      </w:r>
      <w:r>
        <w:rPr>
          <w:rFonts w:ascii="IRNazanin" w:hAnsi="IRNazanin" w:eastAsia="IRNazanin"/>
          <w:color w:val="111111"/>
          <w:sz w:val="28"/>
          <w:sz w:val="28"/>
          <w:szCs w:val="28"/>
          <w:rtl w:val="true"/>
          <w:lang w:bidi="fa-IR"/>
        </w:rPr>
        <w:t>ونحوه من الأدلّة ممّا یجب أن تکون الدعوة بلغة یفهمها المدعوّ ویستأنس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الحکمة استخدام أسلوب صحیح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ولکن‌یستهجنه الناس وینفِّر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هذا لیس من الحکمة بل هو نقض‌للحکمة</w:t>
      </w:r>
      <w:r>
        <w:rPr>
          <w:rFonts w:eastAsia="IRNazanin" w:cs="IRNazanin"/>
          <w:color w:val="111111"/>
          <w:sz w:val="28"/>
          <w:szCs w:val="28"/>
          <w:rtl w:val="true"/>
          <w:lang w:bidi="fa-IR"/>
        </w:rPr>
        <w:t>..</w:t>
      </w:r>
    </w:p>
    <w:p>
      <w:pPr>
        <w:pStyle w:val="Heading3"/>
        <w:numPr>
          <w:ilvl w:val="2"/>
          <w:numId w:val="1"/>
        </w:numPr>
        <w:rPr/>
      </w:pPr>
      <w:bookmarkStart w:id="250" w:name="__RefHeading___Toc983907_1468164448"/>
      <w:bookmarkStart w:id="251" w:name="_Toc90"/>
      <w:bookmarkEnd w:id="250"/>
      <w:r>
        <w:rPr>
          <w:rtl w:val="true"/>
        </w:rPr>
        <w:t>تباین مِلاکات الأقسام فی الشعائر</w:t>
      </w:r>
      <w:r>
        <w:rPr>
          <w:rtl w:val="true"/>
        </w:rPr>
        <w:t>:</w:t>
      </w:r>
      <w:bookmarkEnd w:id="25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هو فی التفرقة والتمییز بین الشعائر التی هی لأجل الوسط المسلم أو الوسط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التی هی للوسط غیر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أیضاً التفرقة بین الشعائر الاسلامیّة والشعائر الإیمانیّة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w:t>
      </w:r>
    </w:p>
    <w:p>
      <w:pPr>
        <w:pStyle w:val="BookText"/>
        <w:rPr/>
      </w:pPr>
      <w:r>
        <w:rPr>
          <w:rFonts w:ascii="IRNazanin" w:hAnsi="IRNazanin" w:eastAsia="IRNazanin"/>
          <w:color w:val="111111"/>
          <w:sz w:val="28"/>
          <w:sz w:val="28"/>
          <w:szCs w:val="28"/>
          <w:rtl w:val="true"/>
          <w:lang w:bidi="fa-IR"/>
        </w:rPr>
        <w:t>للوسط المسلم والثانیة للوسط المؤمن، ولا یطغی حساب وموازنة أحدها علی الاخری، بل کلّ منها فی‌مورده مطلوب ولازم، إذ الغرض قائم من الأقسام الثلاثة من الشعائر لحفظ هویّة الإیمان وحفظ هویّة الإسلام والإعلام والدعوة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أن یُختار فیها ما یلائم ویناسب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حدود أن لا تذوب الشخصیّة الإسلامیّة ولا الشخصیّة الإیمانیّة، وشریطة عدم تقدیم التنازلات العقائدیّة والسلوکیّة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فسوف یُنتقض غرض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لأنّ‌المفروض من ظاهر الآیة أُدْعُ إلی سَبِیلِ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الدعوة إلی سبیل الله ولیس‌الدعوة إلی سبیل النصاری أو الیهود أو سبیل أهل الضَّلال، المفروض هو الدعوة إلی سبیل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بالحکمة والأسلوب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الی سبیل الله مع‌حفظ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بالأسلوب والکیفیّة والنمط الذی یستأنسون به وینجذبون إلیه‌من سبیل الله، فحینئذ تؤثّر الدعوة وتؤتی ثمارها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الشعائر هو التعظیم بلحاظ دار المسلمین ودار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لَکُمْ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سبحانه جعلناها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لمن لا یحجّ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الجماعة خاصّة بدار المسلمین الذین یحرصون علی أداء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تظاهرة عبادیّة 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الجمعة کذلک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طقوس دینیة کثیرة قد یستخفّ ویستهزأ الآخرون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یقول قائل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الانحناء ونکس الرأس ورفع العجیزة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مظاهر لا یفهمها غیر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الطقوس المفروض فیها أن تُقام بنفسها لأجل الحفاظ علی‌المجتمع المسلم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بالنسبة إلی طقوس الإیمان فی وسط الطائفة، فإنّه لا یعیها غیر المؤمنین، فمن الخبط بمکان تفسیر الشعائر المأمور بهافی وسط خاصّ والحکم علیها بموازین الوسط العامّ فضلاً عن الوسط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البحث فی الشعائر لیس فقط فی الشعائر الدینیّة، بل یجری فی الشعائر الوطنیّة والقومیّة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الشعائر الوطنیّة والقومیّة تؤسَّس لأجل حفظ الفِکر والهویّة وربط المواطن بتربة وطنه، أو بقومیّته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الغرض من تلک الشعیرة أو الرمز دعوة‌الأمم الأخری، 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لأجل ربط الجنود بالتربة والوطن، أو من أجل تحقّق معانی الدفاع عن الوطن وحمایة مقدّرات البلد وما شابه ذلک، یُربط الجنود برمز معین وإن لم‌یفهمه الآخرون، أو قد یسیء فهمه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الغرض من هذا الرمزالعسکریّ أو الجهادیّ هو فهم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المطلوب فیه هو فهم أهل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الحال فی الشعائر الدینیّة التی یظهر غالب الخطاب فیها، بل مدلول الأدلّة الکثیرة، أنها موجّهة لأجل نفس المجتمع المسلم أو المجتمع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حفظ هویّتهما، وحفظ مبادئهما، ویتماسکا ویترابطا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لأجل التبلیغ‌لجهة أخری أو لأمّة أخری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یفترض ذلک فی بعض الشعائر، مثل باب الدعوة إلی الجهاد</w:t>
      </w:r>
    </w:p>
    <w:p>
      <w:pPr>
        <w:pStyle w:val="BookText"/>
        <w:rPr/>
      </w:pPr>
      <w:r>
        <w:rPr>
          <w:rFonts w:ascii="IRNazanin" w:hAnsi="IRNazanin" w:eastAsia="IRNazanin"/>
          <w:color w:val="111111"/>
          <w:sz w:val="28"/>
          <w:sz w:val="28"/>
          <w:szCs w:val="28"/>
          <w:rtl w:val="true"/>
          <w:lang w:bidi="fa-IR"/>
        </w:rPr>
        <w:t>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کون الغرض منه دعوة الآخرین، فیُفترض مثلاً من الکاتب أو المفکّر أو الخطیب أو المحاضر، أو علی صعید منتدی عالمی کمحطة فضائیة أومواقع الکترونیّة مثلاً أن یُختار الأسلوب المقبول والمؤثر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یرکّزعلی النقاط المعینة فی القانون الإسلامیّ ومعارف المذهب التی تجذب‌الآخرین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 الوفاء بالعهد وأداء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فی الأبواب التی لهاصلة بالآخرین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تتّخذ رموزاً وشعارات وقوانین ومعالم تجذب الآخرین إلی الوسط الإسلامیّ والإیمانیّ لا أن تُنفّر عنه، عملاً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للناس‌بغیر ألسنتکم</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فالخُلق الإیمانیّ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الدعوة إلیه کما أنّ هناک فی المجتمعات العصریّة دعوة إلی المثال النموذجیّ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المثال الإقتصادیّ أو المثال التربویّ، لابدَّ أن ندعو إلی مثال خلق معین یجذب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المثال الذی یدعو له الإیمان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منه هو الإعلان والتبلیغ والدعوة لجذب الآخرین إلی حوزة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غالب الشعائر التی یفرض أنّها طقوس ورسوم تتّخذ فی دار الإسلام أو الإیمان، فالمفروض فیها هو المحافظة علی هویّتها الأصلیّة الإیمانیّة والإسلامیّة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من ضیاعها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والمتخصّصون من أصحاب الفنون والعلوم العدیدة، کالشعراء والأدباء والخطباء والقرّاء وأصحاب المهارات فی الأنشطة والمراسم الدینیّة</w:t>
      </w:r>
      <w:bookmarkStart w:id="252" w:name="pg13695_150821"/>
    </w:p>
    <w:p>
      <w:pPr>
        <w:pStyle w:val="BookText"/>
        <w:rPr/>
      </w:pPr>
      <w:bookmarkEnd w:id="252"/>
      <w:r>
        <w:rPr>
          <w:rFonts w:ascii="IRNazanin" w:hAnsi="IRNazanin" w:eastAsia="IRNazanin"/>
          <w:color w:val="111111"/>
          <w:sz w:val="28"/>
          <w:sz w:val="28"/>
          <w:szCs w:val="28"/>
          <w:rtl w:val="true"/>
          <w:lang w:bidi="fa-IR"/>
        </w:rPr>
        <w:t>المختلفة یلمسون ذلک مع التحصّن بالمعانی الإسلامیّة العالیة وهضمها والإحاطة بها، فیطمئنّ لهم بأن یبرزوا لنا تشکیلة شعاریّة معیّنة فنّیّة، أدبیّه، شعریّة، قصصیّه ،وبلاغیّه تناسب المعنی السامی القرآنیّ، وأمّا إذا کان المتخصّص متأثّراً بالمعانی والمبادیء الدخیلة علی المذهب أو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ینتجه ویرسمه من‌شعار یشکّل خطورة علی المعالم الإیمانیّة والإسلامیّة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البحث ینبغی أن یُلحظ کیفیّةً وحیثیّةً، استعانةً بالأخصّائیّین إخلاصاًوخبرةً، کما ینبغی دراسة هذه الشعیرة مع مقدار إمتداد جذورها التاریخیّة ومدی‌ارتباطها بمسار الطائفة وبحضارة الأمّة الإسلامیّة، حتّی یمکن البتّ فی سلبیّة أوإیجابیّة هذه الشعیرة أو مؤدّاها الذی تدلّ علیه</w:t>
      </w:r>
      <w:r>
        <w:rPr>
          <w:rFonts w:eastAsia="IRNazanin" w:cs="IRNazanin"/>
          <w:color w:val="111111"/>
          <w:sz w:val="28"/>
          <w:szCs w:val="28"/>
          <w:rtl w:val="true"/>
          <w:lang w:bidi="fa-IR"/>
        </w:rPr>
        <w:t>..</w:t>
      </w:r>
    </w:p>
    <w:p>
      <w:pPr>
        <w:pStyle w:val="Heading3"/>
        <w:numPr>
          <w:ilvl w:val="2"/>
          <w:numId w:val="1"/>
        </w:numPr>
        <w:rPr/>
      </w:pPr>
      <w:bookmarkStart w:id="253" w:name="__RefHeading___Toc983909_1468164448"/>
      <w:bookmarkStart w:id="254" w:name="_Toc91"/>
      <w:bookmarkEnd w:id="253"/>
      <w:r>
        <w:rPr>
          <w:rtl w:val="true"/>
        </w:rPr>
        <w:t>الشعائر والهَتْک</w:t>
      </w:r>
      <w:r>
        <w:rPr>
          <w:rtl w:val="true"/>
        </w:rPr>
        <w:t>:</w:t>
      </w:r>
      <w:bookmarkEnd w:id="254"/>
    </w:p>
    <w:p>
      <w:pPr>
        <w:pStyle w:val="BookText"/>
        <w:rPr/>
      </w:pPr>
      <w:r>
        <w:rPr>
          <w:rFonts w:ascii="IRNazanin" w:hAnsi="IRNazanin" w:eastAsia="IRNazanin"/>
          <w:color w:val="111111"/>
          <w:sz w:val="28"/>
          <w:sz w:val="28"/>
          <w:szCs w:val="28"/>
          <w:rtl w:val="true"/>
          <w:lang w:bidi="fa-IR"/>
        </w:rPr>
        <w:t>یبقی الکلام ضمن هذه الجهة السابعة عن ممانعیّة الهتک أو الهوان الذی قدیعرض علی ممارسة الشعائر الدینیّة المستحدثة أو المستجدّة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مانعاً خارجیاً لعموم دلیل قاعدة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النظرة الأوّلیّة البَدویّة یُتبادر کونه مانعاً، باعتبار استلزامه هوان الدین ،وهتک الدین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تمسّک البعض بهذا العنوان، واستدلّ به علی ممانعة کثیر من الشعائر المستجدّة المتّخذة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تحلیل هذا العنوان ومعرفة ماهیّته العقلیّة واللغویّة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حرمة الدین أوالمسلمین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یُراد منه کشف نقاط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المسلمین أو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الستر عن ذلک، مثل هتک حرمة المؤمنین والمسلمین وکشف النقص أو الضعف‌الموجود فیهم ممّا یؤثر فی زوال قوتهم وتضعیف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والهوان أیضاً فی ماهیّته ومعناه یتقارب من الهتک، ویکون مسبَّباً عن‌الهتک مثلاً ومعلولاً عن کشف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فالهتک والهوان أمران متلازمان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وأحدهما مسبّب عن الآخر ؛وإن کانت الماهیّة الحرفیّة وبالدقّة فی الهتک هی کشف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کشف السترإمّا عن معائب أو عَوار أو نقائص، وکلّها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یستلزم الهوان من‌الطرف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هذه الماهیّة هی مضادّة لأغراض الشارع، ونقیض أهدافه فی‌التشریع التی بُیّنت فی آیات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کَلِمَةَ الَّذِینَ کَفَرُوا السُّفْلی وَ کَلِمَةُ اللّهِ هِیَ الْعُلْیا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وَ مَنْ یُعَظِّمْ شَعائِرَ اللّهِ فَإِنَّها مِنْ تَقْوَی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یُعَظِّمْ حُرُماتِ اللّهِ فَهُوَ خَیْرٌ 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الأغراض الأوّلیّة الضروریّة من التشریع هی الرفعة والعلوّ، وهی‌أغراض أوّلیّة کبری وأهداف فوقانیّة قصوی فی التشریعات القرآنیّة ؛</w:t>
      </w:r>
      <w:bookmarkStart w:id="255" w:name="pg13695_150823"/>
    </w:p>
    <w:p>
      <w:pPr>
        <w:pStyle w:val="BookText"/>
        <w:rPr/>
      </w:pPr>
      <w:bookmarkEnd w:id="255"/>
      <w:r>
        <w:rPr>
          <w:rFonts w:ascii="IRNazanin" w:hAnsi="IRNazanin" w:eastAsia="IRNazanin"/>
          <w:color w:val="111111"/>
          <w:sz w:val="28"/>
          <w:sz w:val="28"/>
          <w:szCs w:val="28"/>
          <w:rtl w:val="true"/>
          <w:lang w:bidi="fa-IR"/>
        </w:rPr>
        <w:t>والهتک‌بمعنی کشف نقاط الضعف أو عَوار المسلمین أو المتدیّنین، الذی یستلزم الهوان‌والنقص المعاکس والمناقض لأهداف الشارع ورغباته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الهتک والهوان، هل هو مترتّب علی صِرف الإستهزاءمن قِبل المذاهب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قبل الملل الأخری ؟</w:t>
      </w:r>
    </w:p>
    <w:p>
      <w:pPr>
        <w:pStyle w:val="Heading3"/>
        <w:numPr>
          <w:ilvl w:val="2"/>
          <w:numId w:val="1"/>
        </w:numPr>
        <w:rPr/>
      </w:pPr>
      <w:bookmarkStart w:id="256" w:name="__RefHeading___Toc983911_1468164448"/>
      <w:bookmarkStart w:id="257" w:name="_Toc92"/>
      <w:bookmarkEnd w:id="256"/>
      <w:r>
        <w:rPr>
          <w:rtl w:val="true"/>
        </w:rPr>
        <w:t>أقسام الهتک والاستهزاء</w:t>
      </w:r>
      <w:r>
        <w:rPr>
          <w:rtl w:val="true"/>
        </w:rPr>
        <w:t>:</w:t>
      </w:r>
      <w:bookmarkEnd w:id="257"/>
    </w:p>
    <w:p>
      <w:pPr>
        <w:pStyle w:val="BookText"/>
        <w:rPr/>
      </w:pPr>
      <w:r>
        <w:rPr>
          <w:rFonts w:ascii="IRNazanin" w:hAnsi="IRNazanin" w:eastAsia="IRNazanin"/>
          <w:color w:val="111111"/>
          <w:sz w:val="28"/>
          <w:sz w:val="28"/>
          <w:szCs w:val="28"/>
          <w:rtl w:val="true"/>
          <w:lang w:bidi="fa-IR"/>
        </w:rPr>
        <w:t xml:space="preserve">والاستهزاء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الفرق الإسلامیّة الأخری أو من الملل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باطلاً وبما لیس بحقّ لدواعی مختلفة ومتعددة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یؤثّر ولیس بمانع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ریب‌أنّه لا یستلزم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الإستهزاء غیر کاشف عن عَوار ونقص ومعائب فی‌المؤمنین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نتیجة اختلاف الأعراف والبیئات والأعراق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واختلاف‌الشعائر أو الطقوس حَسب المِلل والبلدان المختلفة فی شعیرة منصوبة لتدلّ علی‌معنی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الآخرین قد ینطبع بأذهانهم معنی آخر، فهذا لا یستلزم ممانعة‌الشعائر ولا یُعرقل اتّخاذها وتعظیمها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أنّ هذا یرجع إلی حفظالهویّة، کما فی حفظ الهویّة الوطنیّة أو التراثیّة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یرجع إلی حفظ الهویة‌الدینیّة، أو حفظ الهویّة الخاصّة بالطائفة وبهذه الملّة وهذه النحلة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استجیب لکلّ ما یروق للآخرین ممّا یکون مقبولاً عندهم، لتبدّلت هویّتنا إلی هویّتهم، وکان ذلک نوعاً من الانهزام والانزلاق تحت</w:t>
      </w:r>
    </w:p>
    <w:p>
      <w:pPr>
        <w:pStyle w:val="BookText"/>
        <w:rPr/>
      </w:pPr>
      <w:r>
        <w:rPr>
          <w:rFonts w:ascii="IRNazanin" w:hAnsi="IRNazanin" w:eastAsia="IRNazanin"/>
          <w:color w:val="111111"/>
          <w:sz w:val="28"/>
          <w:sz w:val="28"/>
          <w:szCs w:val="28"/>
          <w:rtl w:val="true"/>
          <w:lang w:bidi="fa-IR"/>
        </w:rPr>
        <w:t>سیطرتهم، ولأدّی إلی ذوبان شخصیتنا فی بوتقة الفکر الدخیل والأجنبی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القسم أیضاًلا یستلزم الهتک أو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لجهات واقعیّة، فهذا یلزم منه هتک وهوان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ضوء هذاالتقسم الثلاثیّ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قسمین من السخریة أو الاستهزاء أوالتعجّب من الآخرین لا یوجب الهتک والهوان وإن تخیّله الباحث أو المتتبّع للشعائر الدینیّة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والهتک أو الهوان أو الاستهزاء حیث إنّه من مصادیق وأصناف التحسین والتقبیح العقلیّین، وقد ذکرنا أنّ بعض مواردهما یکون مطابقاً للواقع فیکون صادقاً، وبعض مواردها غیر مطابق للواقع فلا یکون صادقاً، بل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العملیّ والعقل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التحسین والتقبیح العقلیّان، فی قوّة العقل‌العملیّ فی النفس، التی تختلف وظیفتها عن قوّة العقل النظریّ الذی یُدرِک وجودالأشیاء وثبوتها، أو عدمها ونفیها، کما یُقال أن العقل النظری بنفسه لا یوجب‌تحریکاً فی الإنسان ولا انبعاثاً ولا 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قالوا أنّ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لایؤثّرون فی المجتمعات مثل ما یؤثّر الأنبیاء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الفلاسفة یعتمدون غالباً علی 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ینطوی علی جنبة الإدراک فقط</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إذا اتّصل العقل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إدراک الأشیاء وثبوتها فی العلوم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أدرک حُسن وقُبح الأشیاء وتحسینها وتقبیحها، حتّی یکون محفزّاً ومحرّکاً، أو زاجراً ومؤدّباً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الواقع</w:t>
      </w:r>
      <w:bookmarkStart w:id="258" w:name="pg13695_150825"/>
    </w:p>
    <w:p>
      <w:pPr>
        <w:pStyle w:val="BookText"/>
        <w:rPr/>
      </w:pPr>
      <w:bookmarkEnd w:id="258"/>
      <w:r>
        <w:rPr>
          <w:rFonts w:ascii="IRNazanin" w:hAnsi="IRNazanin" w:eastAsia="IRNazanin"/>
          <w:color w:val="111111"/>
          <w:sz w:val="28"/>
          <w:sz w:val="28"/>
          <w:szCs w:val="28"/>
          <w:rtl w:val="true"/>
          <w:lang w:bidi="fa-IR"/>
        </w:rPr>
        <w:t>فإنّ العقل‌العملیّ لیس صِرفُ إدراک فقط، ولیس صِرف حجّیّة وتنجیز وتعذیر إدراکیّ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هو نوع من الباعثیّة والتحریک والتکوین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التحسین نوع من المدح ونوع من إیجاد الجَذْبة والمَغْنَطة بین النفس وذلک الفعل الحَسن ؛ والتقبیح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ایجاد الشرارة والنفرة والبعد بین النفس وذلک الفعل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الجذب والوَصل من جهة والنفرة والانقطاع من جهة أخری هما من‌خاصیّات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التحسین والتقبیح کاذبَین، فإنّ هذا بنفسه یکون عاملاً مُغریاًوخاطئاً ومزیّفاً للنفس لأن یحسّن لها القبیح ویقبّح لها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یؤدّی إلی‌تربیة خاطئة للنفس، وإلی نوع من الترویض السیّ‌ء فی النفس</w:t>
      </w:r>
      <w:r>
        <w:rPr>
          <w:rFonts w:eastAsia="IRNazanin" w:cs="IRNazanin"/>
          <w:color w:val="111111"/>
          <w:sz w:val="28"/>
          <w:szCs w:val="28"/>
          <w:rtl w:val="true"/>
          <w:lang w:bidi="fa-IR"/>
        </w:rPr>
        <w:t>..</w:t>
      </w:r>
    </w:p>
    <w:p>
      <w:pPr>
        <w:pStyle w:val="Heading3"/>
        <w:numPr>
          <w:ilvl w:val="2"/>
          <w:numId w:val="1"/>
        </w:numPr>
        <w:rPr/>
      </w:pPr>
      <w:bookmarkStart w:id="259" w:name="__RefHeading___Toc983913_1468164448"/>
      <w:bookmarkStart w:id="260" w:name="_Toc93"/>
      <w:bookmarkEnd w:id="259"/>
      <w:r>
        <w:rPr>
          <w:rtl w:val="true"/>
        </w:rPr>
        <w:t>الشعائر والآثار الإجتماعیّة</w:t>
      </w:r>
      <w:r>
        <w:rPr>
          <w:rtl w:val="true"/>
        </w:rPr>
        <w:t>:</w:t>
      </w:r>
      <w:bookmarkEnd w:id="260"/>
    </w:p>
    <w:p>
      <w:pPr>
        <w:pStyle w:val="BookText"/>
        <w:rPr/>
      </w:pPr>
      <w:r>
        <w:rPr>
          <w:rFonts w:ascii="IRNazanin" w:hAnsi="IRNazanin" w:eastAsia="IRNazanin"/>
          <w:color w:val="111111"/>
          <w:sz w:val="28"/>
          <w:sz w:val="28"/>
          <w:szCs w:val="28"/>
          <w:rtl w:val="true"/>
          <w:lang w:bidi="fa-IR"/>
        </w:rPr>
        <w:t xml:space="preserve">إذا اتّضح ذلک، علمنا أنّه إذا حصل الإستهزاء والسخریة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هما من‌أصناف المدح والذمّ والتحسین والتقبیح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حصلا بسلوکیّة خاطئة ومدلّسة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کان ذلک علی نحو افتعال جوّ وزخم إعلامیّ شدید وبکثافة إعلامیّة عن‌طریق الجرائد أو الإذاعات أو النشریّات أو المحافل والأندیة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المسلمین أو المؤمنین فی جوّ خاطیء أو تربیة خاطئة، بأن یستقبحوا ما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ویستحسِنوا ما هو قبیح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قد یعتبر الشاب المتدیّن فی الجامعة أنّ الصلاة تُقلّل من شأنه</w:t>
      </w:r>
    </w:p>
    <w:p>
      <w:pPr>
        <w:pStyle w:val="BookText"/>
        <w:rPr/>
      </w:pPr>
      <w:r>
        <w:rPr>
          <w:rFonts w:ascii="IRNazanin" w:hAnsi="IRNazanin" w:eastAsia="IRNazanin"/>
          <w:color w:val="111111"/>
          <w:sz w:val="28"/>
          <w:sz w:val="28"/>
          <w:szCs w:val="28"/>
          <w:rtl w:val="true"/>
          <w:lang w:bidi="fa-IR"/>
        </w:rPr>
        <w:t>فی نظر زملائه، وأنّها عار علیه ولا تلیق به، ثمّ شیئاً فشیئاً یصبح القبیح حسناً،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کون ذلک النوع من التفکیر سلوکاً منحرفاً واستخداماً خاطئاً وخطیراً فی العقل العملیّ، وقد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عقلٍ أسیرتحت هوی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إذا کان العقل الإجتماعیّ أو العقل الأُممیّ، أو العقل العَولمیّ الذین یحاولون ترویجه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خاطئاً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العقل البشریّ المجموعی سوف یؤول بالبشریّة إلی القبائح باسم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یمنعها عن المحاسن والفضائل باسم أنّها قبائح ورذائل کما أخبر بذلک النبیّ الأکرم صلی الله علیه و آله قبل أربعة عشر قرناً، وکان إخباره صلی الله علیه و آله حول علامات‌آخر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فقضیة الإهانة والهتک والاستهزاء ترتبط ارتباطاً بنافذة عقلّیة تربویّة وإجتماعیة وسلوکیّة وممارسة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یحصل اللَّبس أنّ مثل هذه الشعیرة أو الشعائر المتّخذة ربّما توجب الوهن فی الدین بینما هی لیست بوهن، لکن لشدّة علاقة الطرف الآخر ولشدّة نفوذ التبلیغ والدعایة والطُرق والقنوات المتوفّرة لدی‌الطرف الآخر، یوجب تأثّرنا بمدرکات خاطئة تُملی علینا وتُهیمن علی أفکارناوتزعزع المبادیء والعقائد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الموارد، نقول وإن کان علی صعید التنظیر، بأنّ هذا الاستهزاء وهذا الهتک باطل ولیس بمانع للشعائر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شریطة أن یکون هناک نوع من الردع أمام التبلیغ المضاد</w:t>
      </w:r>
      <w:r>
        <w:rPr>
          <w:rFonts w:eastAsia="IRNazanin" w:cs="IRNazanin"/>
          <w:color w:val="111111"/>
          <w:sz w:val="28"/>
          <w:szCs w:val="28"/>
          <w:rtl w:val="true"/>
          <w:lang w:bidi="fa-IR"/>
        </w:rPr>
        <w:t>..</w:t>
      </w:r>
      <w:bookmarkStart w:id="261" w:name="pg13695_150827"/>
    </w:p>
    <w:p>
      <w:pPr>
        <w:pStyle w:val="Heading3"/>
        <w:numPr>
          <w:ilvl w:val="2"/>
          <w:numId w:val="1"/>
        </w:numPr>
        <w:rPr/>
      </w:pPr>
      <w:bookmarkStart w:id="262" w:name="__RefHeading___Toc983915_1468164448"/>
      <w:bookmarkStart w:id="263" w:name="_Toc94"/>
      <w:bookmarkEnd w:id="261"/>
      <w:bookmarkEnd w:id="262"/>
      <w:r>
        <w:rPr>
          <w:rtl w:val="true"/>
        </w:rPr>
        <w:t>ممانعة بعض الشعائر تبعاً للمصلحة</w:t>
      </w:r>
      <w:r>
        <w:rPr>
          <w:rtl w:val="true"/>
        </w:rPr>
        <w:t>:</w:t>
      </w:r>
      <w:bookmarkEnd w:id="263"/>
    </w:p>
    <w:p>
      <w:pPr>
        <w:pStyle w:val="BookText"/>
        <w:rPr/>
      </w:pPr>
      <w:r>
        <w:rPr>
          <w:rFonts w:ascii="IRNazanin" w:hAnsi="IRNazanin" w:eastAsia="IRNazanin"/>
          <w:color w:val="111111"/>
          <w:sz w:val="28"/>
          <w:sz w:val="28"/>
          <w:szCs w:val="28"/>
          <w:rtl w:val="true"/>
          <w:lang w:bidi="fa-IR"/>
        </w:rPr>
        <w:t>فی بعض الحالات قد یرتسم لدی الفقیه طبق المیزان الشرعیّ أن تُمانع تلک‌الشعیرة أو الشعائر، لا لأجل أنّها ممانعة فی واقع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لأجل أنّ مثل هذا الجوّ الحالیّ قد یُضعِّف نفوس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هذا التضعیف لیس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لأجل فترة وقتیّة لشعیرة مستجدّة أو مُستحدَثة قد یری من الصالح لأجل‌عدم إحداث الضعف والوهن فی نفوس المسلمین والمؤمنین، قد یکون من‌الصحیح الممانعة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الممانعة من جهة الهتک أو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الواقع ممانعة بسبب ضعف المسلمین نفسیّاً تجاه هذه الشعیرة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عَدم ممارسة هذه الشعیرة یکون أثره أفضل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الموارد قد لا تسمّی‌ممانعة للشعائر، بل عدم توفّر قیود وشرائط الشعائر، فعدم إقامة الشعیرة یُنسب‌إلی فقد الشرط ولیس إلی الممانعة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العکس أولی بالرعایة، بأن‌یتشدّد الوسط الدینیّ بالشعیرة المتّخذة کی لا یستسلموا ولا یعتادوا الإنهزام أمام‌تهریج الخصوم وانتقاداتهم، وتحدید ذلک یکون بید الفقهاء الأمناء علی الدین‌والعقیدة</w:t>
      </w:r>
      <w:r>
        <w:rPr>
          <w:rFonts w:eastAsia="IRNazanin" w:cs="IRNazanin"/>
          <w:color w:val="111111"/>
          <w:sz w:val="28"/>
          <w:szCs w:val="28"/>
          <w:rtl w:val="true"/>
          <w:lang w:bidi="fa-IR"/>
        </w:rPr>
        <w:t>..</w:t>
      </w:r>
    </w:p>
    <w:p>
      <w:pPr>
        <w:pStyle w:val="Heading3"/>
        <w:numPr>
          <w:ilvl w:val="2"/>
          <w:numId w:val="1"/>
        </w:numPr>
        <w:rPr/>
      </w:pPr>
      <w:bookmarkStart w:id="264" w:name="__RefHeading___Toc983917_1468164448"/>
      <w:bookmarkStart w:id="265" w:name="_Toc95"/>
      <w:bookmarkEnd w:id="264"/>
      <w:r>
        <w:rPr>
          <w:rtl w:val="true"/>
        </w:rPr>
        <w:t>دواعی أخری لممانعة الشعیرة</w:t>
      </w:r>
      <w:r>
        <w:rPr>
          <w:rtl w:val="true"/>
        </w:rPr>
        <w:t>:</w:t>
      </w:r>
      <w:bookmarkEnd w:id="26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یکون التزاحم والدوران ناشئاً من جهات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جهة مراعاة الهتک والاستهزاء بغیر حقّ من الفرق أو الملل الأخری، بل من جهة ضعف نفوس المسلمین، أو من جهة ضعف شوکتهم، نظیر ما یذکره سبحانه وتعالی فی‌قوله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مِنْکُمْ عِشْرُونَ صابِرُونَ یَغْلِبُوا</w:t>
      </w:r>
    </w:p>
    <w:p>
      <w:pPr>
        <w:pStyle w:val="BookText"/>
        <w:rPr/>
      </w:pPr>
      <w:r>
        <w:rPr>
          <w:rFonts w:ascii="Amiri" w:hAnsi="Amiri" w:eastAsia="Amiri" w:cs="Amiri"/>
          <w:color w:val="111111"/>
          <w:sz w:val="28"/>
          <w:sz w:val="28"/>
          <w:szCs w:val="28"/>
          <w:rtl w:val="true"/>
          <w:lang w:bidi="ar-SA"/>
        </w:rPr>
        <w:t xml:space="preserve">مِائَتَیْنِ وَ إِنْ یَکُنْ مِنْکُمْ مِائَةٌ یَغْلِبُوا أَلْفاً مِنَ الَّذِینَ کَفَرُوا بِأَنَّهُمْ قَوْمٌ لا یَفْقَهُونَ اَلْآنَ خَفَّفَ اللّهُ عَنْکُمْ وَ عَلِمَ أَنَّ فِیکُمْ ضَعْفاً فَإِنْ یَکُنْ مِنْکُمْ مِائَةٌ صابِرَةٌ یَغْلِبُوا مِائَتَیْنِ وَ إِنْ یَکُنْ مِنْکُمْ أَلْفٌ یَغْلِبُوا أَلْفَیْنِ بِإِذْنِ اللّهِ وَ اللّهُ مَعَ الصّابِرِینَ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حفظ الشکیمة والحیثیّة یخفَّف التشریع من باب إدراجه فی باب التزاحم بین حُکمَین شرعیّین، ولیس من باب ترتیب الأثر علی الهتک والاستهزاء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 بحدّ ذاته غیر ممانع، لکنّه یولّد جوّاً أو ظرفاً أو بیئة معینة، وهذا الجو ینتج تصادماً بین حُکمین وآخرین، ولابدَّ أن یراعی الفقیه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 تنشأ الممانعة للشعائر من عدم إدراک المؤمنین لها وعدم استیعابهم لأهمیّتها قصوراً أو تقصیراً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لعدم تحمّلهم درجة عالیة من التفاعل والاندماج للشعیرة ؛ کمن لا یتفاعل إلّا بالبکاء مثلاً فی الشعائر الحسینیّة، فلیس من المناسب‌زجّه فی الشعائر الأخری التی تکون أکثر تفاعلاً واندماجاً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 الفقهاء أنّ العُرف الخاطیء والفاسد قد یُلجیء المکلّف إلی ترک المستحبّ، لأنه ربّما یکون سبباً للتشهیر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 المستحبّ مشروع فی نفسه، فالسبب فی ترکه هو نشوء عرف غیر مألوف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بیئة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البیئة الفاسدة من شأنها أن تجعل المکلّف والمتدیّن یترک</w:t>
      </w:r>
      <w:bookmarkStart w:id="266" w:name="pg13695_150829"/>
    </w:p>
    <w:p>
      <w:pPr>
        <w:pStyle w:val="BookText"/>
        <w:rPr/>
      </w:pPr>
      <w:bookmarkEnd w:id="266"/>
      <w:r>
        <w:rPr>
          <w:rFonts w:ascii="IRNazanin" w:hAnsi="IRNazanin" w:eastAsia="IRNazanin"/>
          <w:color w:val="111111"/>
          <w:sz w:val="28"/>
          <w:sz w:val="28"/>
          <w:szCs w:val="28"/>
          <w:rtl w:val="true"/>
          <w:lang w:bidi="fa-IR"/>
        </w:rPr>
        <w:t>ذلک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بالعکس‌قد یکون هناک شیئاً مکروهاً، لکنّ ذلک المکروه یُرتکب، وعدم ارتکابه قد یصبح منقصة أو 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فیُرتکب ذلک المکروه حفظاً لشخصیة المؤمن أو المکلّف، وقدخالف جماعة من الفقهاء منهم الشهید الثانی فی کتابه الروضة البهیّة فی أولویّة الترک ومراعاة العُرف الفاسد وتَرک ما هو راجح أو ارتکاب ما هو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الإستثناء یجب أن لا یدوم ولا یطول زمناً، والمفروض أنّ سیاسة الفقیه فی الفتوی ناظرة لتربیة المجتمع ولمعالجة هذه الحالات والبیئات الفاسدة أوالممسوخة والمنکوسة والمقلوبة التی هی علی خلاف الفطرة وهی سیاسة حکیمة‌ومیدانیّة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مستحبّ ربّما تُرک قروناً من السنین بحیث یکون الممارس له‌مورد استهزاء، وبطبیعة الحال فإنّ ذلک یحصل فی المجتمعات التی تکون‌المفاهیم المادیّة والموازین الفاسدة هی السائدة والرائجة فیها</w:t>
      </w:r>
      <w:r>
        <w:rPr>
          <w:rFonts w:eastAsia="IRNazanin" w:cs="IRNazanin"/>
          <w:color w:val="111111"/>
          <w:sz w:val="28"/>
          <w:szCs w:val="28"/>
          <w:rtl w:val="true"/>
          <w:lang w:bidi="fa-IR"/>
        </w:rPr>
        <w:t>..</w:t>
      </w:r>
    </w:p>
    <w:p>
      <w:pPr>
        <w:pStyle w:val="Heading3"/>
        <w:numPr>
          <w:ilvl w:val="2"/>
          <w:numId w:val="1"/>
        </w:numPr>
        <w:rPr/>
      </w:pPr>
      <w:bookmarkStart w:id="267" w:name="__RefHeading___Toc983919_1468164448"/>
      <w:bookmarkStart w:id="268" w:name="_Toc96"/>
      <w:bookmarkEnd w:id="267"/>
      <w:r>
        <w:rPr>
          <w:rtl w:val="true"/>
        </w:rPr>
        <w:t xml:space="preserve">الشعائر والإصلاح الاجتماعیّ </w:t>
      </w:r>
      <w:r>
        <w:rPr>
          <w:rtl w:val="true"/>
        </w:rPr>
        <w:t>:</w:t>
      </w:r>
      <w:bookmarkEnd w:id="268"/>
    </w:p>
    <w:p>
      <w:pPr>
        <w:pStyle w:val="BookText"/>
        <w:rPr/>
      </w:pPr>
      <w:r>
        <w:rPr>
          <w:rFonts w:ascii="IRNazanin" w:hAnsi="IRNazanin" w:eastAsia="IRNazanin"/>
          <w:color w:val="111111"/>
          <w:sz w:val="28"/>
          <w:sz w:val="28"/>
          <w:szCs w:val="28"/>
          <w:rtl w:val="true"/>
          <w:lang w:bidi="fa-IR"/>
        </w:rPr>
        <w:t>وهذا هو أحد وظائف الشعائر الدینیّة حیث تؤدّی دور الإعلام والبثّ الدینیّ والإعلاء، ومن نتائجها الواضحة المحافظة علی الهویّة الدینیّة فی بیئة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لولا الشعائر فإنّ الدین سوف ینکفیء شیئاً فشیئاً، وتتغیر المفاهیم الدینیّة، بل تنقلب رأساً علی عقب، وتصبح منکوسة الرایة، بدلاً من أن‌تکون مرفوعة عالیة مرفرَفة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الوظائف المهمة للشعائر الدینیّة جانب المحافظة علی الهویّة</w:t>
      </w:r>
    </w:p>
    <w:p>
      <w:pPr>
        <w:pStyle w:val="BookText"/>
        <w:rPr/>
      </w:pPr>
      <w:r>
        <w:rPr>
          <w:rFonts w:ascii="IRNazanin" w:hAnsi="IRNazanin" w:eastAsia="IRNazanin"/>
          <w:color w:val="111111"/>
          <w:sz w:val="28"/>
          <w:sz w:val="28"/>
          <w:szCs w:val="28"/>
          <w:rtl w:val="true"/>
          <w:lang w:bidi="fa-IR"/>
        </w:rPr>
        <w:t>الدینیّة، وإلّا لمحیت وطمست معالم الدین وأُلغیت الشعائر الواحدة تلو الأُخری، وحَدث نوع من المسخ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فقاعدة الشعائر الدینیّة هی قاعدة ممضاة من قِبل الشارع، ومُنظرّة فی باب الفقه الإجتماعیّ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ذکرنا أنّ للشعائر الدینیّة 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الإعلام والبثّ، ورکن‌الإعلاء والإعتزاز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والحوزات العلمیّة الدینیّة تقوم بأداء أحد رُکنَی الشعائر الدینیّة، وهو إحیاء الدین ونشره وحفظه عن الإندراس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تقوم به فی هذا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بشکل‌هادیء وبلا ضجیج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دور عظیم، لأنّها تحافظ علی أحد رُکنَی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أوأحد رُکنَی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جنبة الإعلام والتعلّم والتفقّه وحفظ الدین عن الإنطماس‌و النسیان، وصیانته عن التحریف والتغییر، وحفظ الجانب التنظیریّ والبُعد العقائدیّ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التحریف والردّة عن الدین قد تکون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العمل، أی الانحراف فی السلوک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 الأوامر الدینیّة، ولا یُرتدَع عن النواهی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الأخطر، وهی الانحراف فی التنظیر، فلا یُذعن المنحرف ولا یؤمن ولا یصدّق، بل یحاول أن یبرّر انحرافه وینظِّر تکذیبه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وهوالانحراف فی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أخطر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یمارس ذلک المنحرف الأوامر الدینیّة ولکن لا یُقرّ بوجودها، وإنّما یمارسها من باب فطرة الطبع أو من باب السنن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فی عدّة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Style w:val="FootnoteAnchor"/>
          <w:rtl w:val="true"/>
        </w:rPr>
        <w:footnoteReference w:id="168"/>
      </w:r>
      <w:r>
        <w:rPr>
          <w:rFonts w:ascii="Amiri" w:hAnsi="Amiri" w:eastAsia="Amiri" w:cs="Amiri"/>
          <w:color w:val="111111"/>
          <w:sz w:val="28"/>
          <w:sz w:val="28"/>
          <w:szCs w:val="28"/>
          <w:rtl w:val="true"/>
          <w:lang w:bidi="ar-SA"/>
        </w:rPr>
        <w:t xml:space="preserve">و هُوَ الَّذِی أَرْسَلَ رَسُولَهُ بِالْهُدی وَ دِینِ الْحَقِّ لِیُظْهِرَهُ عَلَی الدِّینِ کُلِّهِ </w:t>
      </w:r>
      <w:r>
        <w:rPr>
          <w:rStyle w:val="FootnoteAnchor"/>
          <w:rtl w:val="true"/>
        </w:rPr>
        <w:footnoteReference w:id="169"/>
      </w:r>
      <w:r>
        <w:rPr>
          <w:rFonts w:ascii="Amiri" w:hAnsi="Amiri" w:eastAsia="Amiri" w:cs="Amiri"/>
          <w:color w:val="111111"/>
          <w:sz w:val="28"/>
          <w:sz w:val="28"/>
          <w:szCs w:val="28"/>
          <w:rtl w:val="true"/>
          <w:lang w:bidi="ar-SA"/>
        </w:rPr>
        <w:t xml:space="preserve">و إِنّا نَحْنُ نَزَّلْنَا الذِّکْرَ وَ إِنّا لَهُ لَحافِظُونَ </w:t>
      </w:r>
      <w:r>
        <w:rPr>
          <w:rStyle w:val="FootnoteAnchor"/>
          <w:rtl w:val="true"/>
        </w:rPr>
        <w:footnoteReference w:id="170"/>
      </w:r>
      <w:r>
        <w:rPr>
          <w:rFonts w:ascii="IRNazanin" w:hAnsi="IRNazanin" w:eastAsia="IRNazanin"/>
          <w:color w:val="111111"/>
          <w:sz w:val="28"/>
          <w:sz w:val="28"/>
          <w:szCs w:val="28"/>
          <w:rtl w:val="true"/>
          <w:lang w:bidi="fa-IR"/>
        </w:rPr>
        <w:t>وأمثالها ،تُلقی الضوء علی جنبة التنظیر أو الإعلام الدینیّ والبثّ الدینی أو إتمام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جنبة مهمّة للغایة ؛ نعم، الجنبة الثانیة فی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الإعلاء والإعتزاز فی الممارسة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مطویّة ضمن السلوکیّة السابقة، وتظهربمظاهر ومؤشّرات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فالظروف الإستثنائیّة یشخصّها الفقیه فی موارد مختلفة بحسب سیاسة الفتوی عند الفقیه، وهی موازنة الملاکات فی الأبواب مع الإحاطة بالظروف الموضوعیّة، والفطنة فی تدبیر المعالجة للحالات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والفقیه یتضلّع لحفظ الدین بلحاظ درجات ملاکات الأحکام فی الأبواب المختلفة، فیفحص ویُجری‌البحث عن الأهمّ عند الشارع ؛ مضافاً إلی فراسته وفِطنته فی کیفیّة التوسّل فی‌الوصول إلی الغرض الدینیّ عن طریق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البحث فی قاعدة الشعائر الدینیّة مع بیان الخطوط العامّة لها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تطبیقات قاعدة الشعائر الدینیة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 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البحث فی قاعدة الشعائر الدینیّة وقلنا أنّ لدینا ثلاثة طوائف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مشتملة علی نفس لفظة الشعائر،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وَ مَنْ یُعَظِّمْ شَعائِرَ اللّهِ فَإِنَّها مِنْ تَقْوَی الْقُلُوبِ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یُعَظِّمْ حُرُماتِ اللّهِ فَهُوَ خَیْرٌ لَهُ</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مدلولها نفس ماهیّة الشعائر، لکن غیر مشتملة علی لفظ الشعائر،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کَلِمَةَ الَّذِینَ کَفَرُوا السُّفْلی وَ کَلِمَةُ اللّهِ هِیَ الْعُلْیا وغیرذلک، وهذا القبیل من الأدلّة یدلّ علی نفس مضمون الطائفة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الالتفات الی ان معنی الشعائر والشعیرة بتحلیل المعنی الی اجزاء عدیدة من اجناس وفصول فیقرر المعنی الواحد الی معانی عدیدة وعناوین کثیرة کما مر فی صدر البحث بل یدخل فی حد المعنی الواحد غایاته بناء علی دخولها فی حد وتعریف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بأبواب معیّنة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لَکُمْ مِنْ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باب الشعائر الحسینیّة هناک عدّة 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ادلة خاصة بکل مصداق من مصادیق الشعائر کما بیناه فی کتاب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الأدلة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حلّلنا أنّ من أهمّ أغراض الشعائر الحسینیّة هو الأمر بالمعروف والنهی عن المنکر وإبراز الإمامة الحقّة التی تعتبر من</w:t>
      </w:r>
    </w:p>
    <w:p>
      <w:pPr>
        <w:pStyle w:val="BookText"/>
        <w:rPr/>
      </w:pPr>
      <w:r>
        <w:rPr>
          <w:rFonts w:ascii="IRNazanin" w:hAnsi="IRNazanin" w:eastAsia="IRNazanin"/>
          <w:color w:val="111111"/>
          <w:sz w:val="28"/>
          <w:sz w:val="28"/>
          <w:szCs w:val="28"/>
          <w:rtl w:val="true"/>
          <w:lang w:bidi="fa-IR"/>
        </w:rPr>
        <w:t>أصدق مواردالأمر بالمعروف والنهی عن المنکر فی الأمور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الأمر بالمعروف‌و النهی عن المنکر تتناول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تکون دلیلاً وبرهاناً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Style w:val="FootnoteAnchor"/>
          <w:rtl w:val="true"/>
        </w:rPr>
        <w:footnoteReference w:id="171"/>
      </w:r>
      <w:r>
        <w:rPr>
          <w:rFonts w:ascii="Amiri" w:hAnsi="Amiri" w:eastAsia="Amiri" w:cs="Amiri"/>
          <w:color w:val="111111"/>
          <w:sz w:val="28"/>
          <w:sz w:val="28"/>
          <w:szCs w:val="28"/>
          <w:rtl w:val="true"/>
          <w:lang w:bidi="ar-SA"/>
        </w:rPr>
        <w:t>ممّا یدلّل علی أنّ الشارع یرید أحیاء هذه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تقدیم هذه الأمة وأفضلیّتها علی سائر الأمم من الأوّلین والآخرین هو نتیجة إقامة هذه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 وإحیاء هذه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والنهی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یتحقق بإقامة الشعائر الحسینیّة بل هی أوضح المظاهر لإحیائها، لأنّ الأغراض والغایات‌ا لمطویّة فی النهضة الحسینیّة لابدَّ أنّها تنتهی بالتالی إلی الأمر بالمعروف والنهی‌عن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منها تجدید إنکار کلّ مظاهر الإنحراف الساریة فی المجتمع ،وإقامة کلّ معروف غُفل عنه أو هُجِرَ من حیاة الأمة الإسلامیة علی الصعیدَین السلوکیّ والعقیدیّ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المحافظة علی استمرار سلوکیّة المعروف وتطبیقه فی المجتمع مع‌الالتزام فی نبذ المنکر وإنکارهِ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نوع من حالة الصحوة والسلامة والتوبة الدینیّة من خلال مواسم ومراسم الشعائر الحسینیّة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الأمر فی الآیات الأخری فی موضوع الأمر بالمعروف والنهی عن‌المنکر،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w:t>
      </w:r>
    </w:p>
    <w:p>
      <w:pPr>
        <w:pStyle w:val="BookText"/>
        <w:rPr/>
      </w:pPr>
      <w:r>
        <w:rPr>
          <w:rFonts w:ascii="Amiri" w:hAnsi="Amiri" w:eastAsia="Amiri" w:cs="Amiri"/>
          <w:color w:val="111111"/>
          <w:sz w:val="28"/>
          <w:sz w:val="28"/>
          <w:szCs w:val="28"/>
          <w:rtl w:val="true"/>
          <w:lang w:bidi="ar-SA"/>
        </w:rPr>
        <w:t xml:space="preserve">بِالْمَعْرُوفِ وَ یَنْهَوْنَ عَنِ الْمُنْکَرِ </w:t>
      </w:r>
      <w:r>
        <w:rPr>
          <w:rStyle w:val="FootnoteAnchor"/>
          <w:rtl w:val="true"/>
        </w:rPr>
        <w:footnoteReference w:id="172"/>
      </w:r>
      <w:r>
        <w:rPr>
          <w:rFonts w:ascii="IRNazanin" w:hAnsi="IRNazanin" w:eastAsia="IRNazanin"/>
          <w:color w:val="111111"/>
          <w:sz w:val="28"/>
          <w:sz w:val="28"/>
          <w:szCs w:val="28"/>
          <w:rtl w:val="true"/>
          <w:lang w:bidi="fa-IR"/>
        </w:rPr>
        <w:t>ومقتضی أدلّة إقامة فریضة الأمر بالمعروف والنهی عن المنکر تستلزم فی مقدّماتها التذکیر بهذه الفریضة وإحیائها عبر إحیاء الداعی النفسیّ‌لدی المؤمنین والمتدیّنین وتحریضهم نحو أداء هذه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وأکبر تحریض هونفس ما قام به أبو الأحرار وسیّد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إیقاظ الناس من سُباتهم العمیق‌وإحیاء نفوسهم بالعدل والهدی، وتحریرهم من الظلم والرذیلة والهوی، وتربیتهم‌علی عدم الخنوع والخضوع للطغاة والتخاذل، وذلک بإقامة فریضة الأمر بالمعروف والنهی عن المنکر مهما کلّف الأمر، وأینما بلغت التضحیة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علی الولایة، کقوله تعالی یا أَیُّهَا الَّذِینَ آمَنُوا اتَّقُوا اللّهَ وَ 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74"/>
      </w:r>
      <w:r>
        <w:rPr>
          <w:rFonts w:ascii="IRNazanin" w:hAnsi="IRNazanin" w:eastAsia="IRNazanin"/>
          <w:color w:val="111111"/>
          <w:sz w:val="28"/>
          <w:sz w:val="28"/>
          <w:szCs w:val="28"/>
          <w:rtl w:val="true"/>
          <w:lang w:bidi="fa-IR"/>
        </w:rPr>
        <w:t>ومن‌المودّة التأسّی بهم، والفرح لفرحهم، والحزن لحزنهم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والمودّة فی اللغة تفترق عن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فالحبّ قد یکون أمراً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المودّة فهی تعنی المحبّة الشدیدة التی تلازم الإبراز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 بین عنوان المودّة وعنوان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من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کلّ‌عمومات الولایة تدلّ علی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Style w:val="FootnoteAnchor"/>
          <w:rtl w:val="true"/>
        </w:rPr>
        <w:footnoteReference w:id="175"/>
      </w:r>
      <w:r>
        <w:rPr>
          <w:rFonts w:ascii="IRNazanin" w:hAnsi="IRNazanin" w:eastAsia="IRNazanin"/>
          <w:color w:val="111111"/>
          <w:sz w:val="28"/>
          <w:sz w:val="28"/>
          <w:szCs w:val="28"/>
          <w:rtl w:val="true"/>
          <w:lang w:bidi="fa-IR"/>
        </w:rPr>
        <w:t>وأبرز مصداق لها هو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آیات التبرّی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w:t>
      </w:r>
      <w:r>
        <w:rPr>
          <w:rStyle w:val="FootnoteAnchor"/>
          <w:rtl w:val="true"/>
        </w:rPr>
        <w:footnoteReference w:id="176"/>
      </w:r>
      <w:r>
        <w:rPr>
          <w:rFonts w:ascii="Amiri" w:hAnsi="Amiri" w:eastAsia="Amiri" w:cs="Amiri"/>
          <w:color w:val="111111"/>
          <w:sz w:val="28"/>
          <w:sz w:val="28"/>
          <w:szCs w:val="28"/>
          <w:rtl w:val="true"/>
          <w:lang w:bidi="ar-SA"/>
        </w:rPr>
        <w:t xml:space="preserve">ولا ریب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یشمل أعداء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هتک حرمة النبیّ والدین فی‌أهل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إظهار البراءة وعدم الموالاة لمن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سورة الفاتحة أیضاً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اِهْدِنَا الصِّراطَ الْمُسْتَقِیمَ ، صِراطَ الَّذِینَ أَنْعَمْتَ عَلَیْهِمْ غَیْرِ الْمَغْضُوبِ عَلَیْهِمْ وَ لاَ الضّالِّینَ </w:t>
      </w:r>
      <w:r>
        <w:rPr>
          <w:rStyle w:val="FootnoteAnchor"/>
          <w:rtl w:val="true"/>
        </w:rPr>
        <w:footnoteReference w:id="177"/>
      </w:r>
      <w:r>
        <w:rPr>
          <w:rFonts w:ascii="Amiri" w:hAnsi="Amiri" w:eastAsia="Amiri" w:cs="Amiri"/>
          <w:color w:val="111111"/>
          <w:sz w:val="28"/>
          <w:sz w:val="28"/>
          <w:szCs w:val="28"/>
          <w:rtl w:val="true"/>
          <w:lang w:bidi="ar-SA"/>
        </w:rPr>
        <w:t>فإنّ المؤمن یجب أن یتولّی صراطَهم الذی لیس علیه أیّ غضب إلهیّ وهذا یعنی العصمة العملیّة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للعصمة العلمیّة المُشار إلیها بعبارة وَلاَ الضَّآ لِّینَ وهی إشارة إلی أنّه لیس لدیهم هولء الهداة الذین یقتدی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معصیة عملیّة، ولیس هناک‌أیّ زلّة 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صراط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نفی الغضب بقول مطلق یعنی‌العصمة العملیّة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ونفی الضلالة بقولٍ مطلق، یعنی العصمة العلمیّة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صراط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التقریب 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التولی و التبری کثیرة جدا،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w:t>
      </w:r>
    </w:p>
    <w:p>
      <w:pPr>
        <w:pStyle w:val="BookText"/>
        <w:rPr/>
      </w:pPr>
      <w:r>
        <w:rPr>
          <w:rFonts w:ascii="Amiri" w:hAnsi="Amiri" w:eastAsia="Amiri" w:cs="Amiri"/>
          <w:color w:val="111111"/>
          <w:sz w:val="28"/>
          <w:sz w:val="28"/>
          <w:szCs w:val="28"/>
          <w:rtl w:val="true"/>
          <w:lang w:bidi="ar-SA"/>
        </w:rPr>
        <w:t xml:space="preserve">اَللّهَ وَ رَسُولَهُ </w:t>
      </w:r>
      <w:r>
        <w:rPr>
          <w:rStyle w:val="FootnoteAnchor"/>
          <w:rtl w:val="true"/>
        </w:rPr>
        <w:footnoteReference w:id="17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وَ مَنْ یَتَوَلَّ اللّهَ وَ رَسُولَهُ وَ الَّذِینَ آمَنُوا فَإِنَّ حِزْبَ اللّهِ هُمُ الْغالِبُونَ </w:t>
      </w:r>
      <w:r>
        <w:rPr>
          <w:rStyle w:val="FootnoteAnchor"/>
          <w:rtl w:val="true"/>
        </w:rPr>
        <w:footnoteReference w:id="17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w:t>
      </w:r>
      <w:r>
        <w:rPr>
          <w:rStyle w:val="FootnoteAnchor"/>
          <w:rtl w:val="true"/>
        </w:rPr>
        <w:footnoteReference w:id="18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تَتَوَلَّوْا قَوْماً غَضِبَ اللّهُ عَلَیْهِمْ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الآیات الکریمة بمجموعها تصبّ فی مصبّ واحد، وتعتبر دلیلاً معتمداً فی باب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الأسی والتألّم لمصابهم، والحزن لحزنهم‌هو نوع من التولّی لهم والتبرّی من أعدائهم، ویکون کاشفاً عن التضامن معهم‌والوقوف فی 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الآیات المبیّنة لصفات المؤمنین بالتحذیر من صفات المنافقین، حیث تقول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Style w:val="FootnoteAnchor"/>
          <w:rtl w:val="true"/>
        </w:rPr>
        <w:footnoteReference w:id="182"/>
      </w:r>
      <w:r>
        <w:rPr>
          <w:rFonts w:ascii="IRNazanin" w:hAnsi="IRNazanin" w:eastAsia="IRNazanin"/>
          <w:color w:val="111111"/>
          <w:sz w:val="28"/>
          <w:sz w:val="28"/>
          <w:szCs w:val="28"/>
          <w:rtl w:val="true"/>
          <w:lang w:bidi="fa-IR"/>
        </w:rPr>
        <w:t>أی أنّ المؤمن یجب‌أن یفرح لفرح أولیاء الله تعالی ویحزن لحزنهم، علی عکس المنافق</w:t>
      </w:r>
    </w:p>
    <w:p>
      <w:pPr>
        <w:pStyle w:val="BookText"/>
        <w:rPr/>
      </w:pPr>
      <w:r>
        <w:rPr>
          <w:rFonts w:ascii="Amiri" w:hAnsi="Amiri" w:eastAsia="Amiri" w:cs="Amiri"/>
          <w:color w:val="111111"/>
          <w:sz w:val="28"/>
          <w:sz w:val="28"/>
          <w:szCs w:val="28"/>
          <w:rtl w:val="true"/>
          <w:lang w:bidi="ar-SA"/>
        </w:rPr>
        <w:t>والناصب، ولو لاحظنا الآیات السابقة علی الآیة المزبورة أیضاً لازدادت الصورة وضوحاً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Style w:val="FootnoteAnchor"/>
          <w:rtl w:val="true"/>
        </w:rPr>
        <w:footnoteReference w:id="183"/>
      </w:r>
      <w:r>
        <w:rPr>
          <w:rFonts w:ascii="IRNazanin" w:hAnsi="IRNazanin" w:eastAsia="IRNazanin"/>
          <w:color w:val="111111"/>
          <w:sz w:val="28"/>
          <w:sz w:val="28"/>
          <w:szCs w:val="28"/>
          <w:rtl w:val="true"/>
          <w:lang w:bidi="fa-IR"/>
        </w:rPr>
        <w:t>فهذه الآیات تشیر إلی أنّ علامة المودّة هی الفرح‌لفرح المودود، والحزن لحزنه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علامة البغضاء والعداوة هی الفرح لحزن المبغوض، والحزن لفرح المبغوض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کَزَرْعٍ أَخْرَجَ شَطْأَهُ فَآزَرَهُ فَاسْتَغْلَظَ فَاسْتَوی عَلی سُوقِهِ یُعْجِبُ الزُّرّاعَ لِیَغِیظَ بِهِمُ الْکُفّارَ </w:t>
      </w:r>
      <w:r>
        <w:rPr>
          <w:rStyle w:val="FootnoteAnchor"/>
          <w:rtl w:val="true"/>
        </w:rPr>
        <w:footnoteReference w:id="184"/>
      </w:r>
      <w:r>
        <w:rPr>
          <w:rFonts w:ascii="IRNazanin" w:hAnsi="IRNazanin" w:eastAsia="IRNazanin"/>
          <w:color w:val="111111"/>
          <w:sz w:val="28"/>
          <w:sz w:val="28"/>
          <w:szCs w:val="28"/>
          <w:rtl w:val="true"/>
          <w:lang w:bidi="fa-IR"/>
        </w:rPr>
        <w:t xml:space="preserve">ومفاد الآیة کالسابقات دالّ علی أنّ علامة البغضاء هو الغیض والحزن من حسن حال المبغوض وفرحه والفرح والسرور من سوء حال المبغوض وحزنه وعلی العکس فی المحبوب فإنّ علامة الحبّ توجب التوافق والتشابه فی الحالة ؛ ومن هذه الآیات بضمیمة ما تقدّم من‌فریضة مودّة أهل البیت فی آیة المودّة لذوی القربی نستخلص هذه القاعدة القرآنیّة، وهی فریضة الفرح لفرح أهل البیت والحزن لحزنهم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عناوین أخری للشعائر الحسینیّة،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إحیاء أمر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أحیی أمرنا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العنوان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إحیاء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طُبِّق علی إحیاء العزاء الحسینیّ ومذاکرة ما جری علی أهل البیت من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فیتناول الشعائر الحسینیّة، سواءالمرسومة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المستجدّة المستحدثة المتّخذة، ولا یقتصر علی‌الشعائر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الروایات فی مصادر معتبرة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کتب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کالأمالی والخصال وعیون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 وکتاب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المحاسن للبرقیّ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بصائر الدرجات للصفّار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المزار للمشهدیّ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والمُستطرفات فی السرائر لابن‌ادریس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تصل هذه الروایات إلی عشرین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الکثیر من‌المصادر یجدها المتتبّع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التی وردت فی باب الشعائر الدینیّة فی الحثّ علی زیارتهم وتعمیر قبورهم وتعاهدها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من ألفاظ وأسلوب الزیارة أنّهانوع ندبة ومأتم یقیمه المؤمن خلال فترة الزیارة، لیتذکّر من خلاله ما جری علیهم‌من مصائب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قتیل الله وابن قتیله، السلام علیک یا ثار الله وابن‌ثاره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دمَکَ سکَن فی الخُلد، واقشعرّت له أظلّةُ العرش، وبکی له جمیعُ‌الخلائق، وبکَت له السماواتُ السبع والأرضونَ السبعُ وما</w:t>
      </w:r>
    </w:p>
    <w:p>
      <w:pPr>
        <w:pStyle w:val="BookText"/>
        <w:rPr/>
      </w:pPr>
      <w:r>
        <w:rPr>
          <w:rFonts w:ascii="Amiri" w:hAnsi="Amiri" w:eastAsia="Amiri" w:cs="Amiri"/>
          <w:color w:val="111111"/>
          <w:sz w:val="28"/>
          <w:sz w:val="28"/>
          <w:szCs w:val="28"/>
          <w:rtl w:val="true"/>
          <w:lang w:bidi="ar-SA"/>
        </w:rPr>
        <w:t>فیهنّ وما بینهنّ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إحدی الزیارات لمولانا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یاولیّ الله أنت أوّلُ مَظلومٍ وأوّلُ من غُصِبَ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أشهد أنّک قد أَقَمْتَ الصلاةَ وآتیت الزکاة وأمرت بالمعروف ونهیت عن‌المنکر ودعوت إلی سبیل ربّک بالحِکمة والموعظة الحسنة، وأشهد أنّ الذین‌سفکوا دَمک واستحلّوا حُرمتک ملعونون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ومن قُتل معک شهداء أحیاء عند ربکم تُرزقون وأشهد أن قاتلک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نوع رثاء وندبة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صاحب وسائل الشیعة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زیارتهم أو تعمیر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إقامة المأتم علیهم، أو إنشاد الشعر أوالرثاء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باب الحجّ، کتاب المزار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یربو علی أربعین باباً وجلّها من‌طرق معتبرة، کالصحیح أو الصحیح الأعلی أو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هو الحثّ علی‌زیارتهم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وتعاهد قبورهم وتعمیرها والترغیب فی الرثاء وإنشاد الشعرلمصابهم، وأیضاً الأمر بالبکاء علی مصائبهم وما جری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صاحب البحار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غیر المصادر التی‌ینقل عنها صاحب الوسائل، وقد عقد فی البحار کتاباً للمزار ج</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وعلاوة علی ذلک، فإنّ بعض علماء الإمامیّة المتقدّمین، مثل ابن قولویه عقد وألّف کتاباً خاصّاً فی ذلک، وهو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وهو کتاب یختصّ‌فی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صنع تلمیذُه الشیخ المفید والشیخ</w:t>
      </w:r>
    </w:p>
    <w:p>
      <w:pPr>
        <w:pStyle w:val="BookText"/>
        <w:rPr/>
      </w:pPr>
      <w:r>
        <w:rPr>
          <w:rFonts w:ascii="IRNazanin" w:hAnsi="IRNazanin" w:eastAsia="IRNazanin"/>
          <w:color w:val="111111"/>
          <w:sz w:val="28"/>
          <w:sz w:val="28"/>
          <w:szCs w:val="28"/>
          <w:rtl w:val="true"/>
          <w:lang w:bidi="fa-IR"/>
        </w:rPr>
        <w:t>الطوسیّ فی مصباح‌المتهجّد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طاووس فقد أکثر فی هذا الباب العشرات من الکتب نقلاً عن المئات من المصادر التی وصلت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الشهید الأول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عقد ابن ادریس فی السرائر باباً للمزار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هذا الطرز من إدخال باب المزار فی کتب الفقه ممّا یدلّ علی کون ذلک ظاهرة منتشرة فی کتب‌الفقهاء فی الصدر الأوّل، بدءاً بالمقنع والهدایة للصدوق ورسالة أبیه الشیخ ابن‌بابویه، والمفید فی المقنعة إلی حوالی القرآن السابع والثامن الهجری وهناک‌متناثرات عدیدة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فالمستقرئ فی کتب الشیعة یری أنّ هناک مصادر عدیدة تحتوی هذه‌العناوین المتنوّعة، من الزیارة وتعهّد القبور والرثاء فی الشعر والنثر وثواب البکاء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بهذا المقدار نستطیع القول بأنّ الأدلّة فی باب إحیاء الشعائر الحسینیّة تنقسم إلی طوائف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ألسنتها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لدینا أدلّة شرعیّة متواترة متعدّدة، سواء فی باب الولایة أو التولّی والتبریّ من إعدائهم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الصنف الثالث المتعلّق بإحیاء أمرهم، أوالرابع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المرتبط بزیارتهم ورثائهم والبکاء علیهم وتعاهد قبورهم وإعمارها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یثبت وجود الأدلّة الشرعیّة الخاصّة والعامّة الدالّة علی باب الشعائر الحسینیّة فضلا عن کون الشعائر الحسینیة من مصادیق قاعدة الشعائر الدینیة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اولا واخرا</w:t>
      </w:r>
      <w:r>
        <w:rPr>
          <w:rFonts w:eastAsia="IRNazanin" w:cs="IRNazanin"/>
          <w:color w:val="111111"/>
          <w:sz w:val="28"/>
          <w:szCs w:val="28"/>
          <w:rtl w:val="true"/>
          <w:lang w:bidi="fa-IR"/>
        </w:rPr>
        <w:t>.</w:t>
      </w:r>
      <w:bookmarkStart w:id="269" w:name="pg13695_150841"/>
    </w:p>
    <w:p>
      <w:pPr>
        <w:pStyle w:val="Heading2"/>
        <w:numPr>
          <w:ilvl w:val="1"/>
          <w:numId w:val="1"/>
        </w:numPr>
        <w:rPr/>
      </w:pPr>
      <w:bookmarkStart w:id="270" w:name="__RefHeading___Toc983921_1468164448"/>
      <w:bookmarkStart w:id="271" w:name="_Toc97"/>
      <w:bookmarkEnd w:id="269"/>
      <w:bookmarkEnd w:id="270"/>
      <w:r>
        <w:rPr>
          <w:rtl w:val="true"/>
        </w:rPr>
        <w:t xml:space="preserve">قاعدة </w:t>
      </w:r>
      <w:r>
        <w:rPr>
          <w:rtl w:val="true"/>
        </w:rPr>
        <w:t>:</w:t>
      </w:r>
      <w:r>
        <w:rPr>
          <w:rtl w:val="true"/>
        </w:rPr>
        <w:t>توسعة حریم مواسم الشعائر زمانا ومکانا</w:t>
      </w:r>
      <w:bookmarkEnd w:id="27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983923_1468164448"/>
      <w:bookmarkStart w:id="273" w:name="_Toc98"/>
      <w:bookmarkEnd w:id="272"/>
      <w:r>
        <w:rPr>
          <w:rtl w:val="true"/>
        </w:rPr>
        <w:t>اشارة</w:t>
      </w:r>
      <w:bookmarkStart w:id="274" w:name="pg13695_150843"/>
      <w:bookmarkEnd w:id="273"/>
    </w:p>
    <w:p>
      <w:pPr>
        <w:pStyle w:val="BookText"/>
        <w:rPr/>
      </w:pPr>
      <w:bookmarkEnd w:id="274"/>
      <w:r>
        <w:rPr>
          <w:rFonts w:ascii="IRNazanin" w:hAnsi="IRNazanin" w:eastAsia="IRNazanin"/>
          <w:color w:val="111111"/>
          <w:sz w:val="28"/>
          <w:sz w:val="28"/>
          <w:szCs w:val="28"/>
          <w:rtl w:val="true"/>
          <w:lang w:bidi="fa-IR"/>
        </w:rPr>
        <w:t>توسعة حریم مواسم الشعائر زمانا ومکانا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الحمد لله رب العالمین وصلی الله علی خیر خلقه محمد واله الطاهرین واللعن الدائم علی اعدائهم اجمعین إلی قیام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Heading3"/>
        <w:numPr>
          <w:ilvl w:val="2"/>
          <w:numId w:val="1"/>
        </w:numPr>
        <w:rPr/>
      </w:pPr>
      <w:bookmarkStart w:id="275" w:name="__RefHeading___Toc983925_1468164448"/>
      <w:bookmarkStart w:id="276" w:name="_Toc99"/>
      <w:bookmarkEnd w:id="275"/>
      <w:r>
        <w:rPr>
          <w:rtl w:val="true"/>
        </w:rPr>
        <w:t xml:space="preserve">تقدیم </w:t>
      </w:r>
      <w:r>
        <w:rPr>
          <w:rtl w:val="true"/>
        </w:rPr>
        <w:t>:</w:t>
      </w:r>
      <w:bookmarkEnd w:id="27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تکرر إبداء التساؤل عن وجه توسعة زیارة الأربعین قبل یوم الأربعین من أیام صفر لاسیما منذ بدایة الیوم الحادی من صفر مع أن الزیارة فی ظاهر الروایات والأدلة واردة فی خصوص یوم الأربعین وکذلک الحال بالنسبة إلی الزیارة الشعبانیة فإن هناک الغفیر من المؤمنین یأتون بها قبل النصف من شعبان ولکن بعنوان زیارة النصف من شعبان فکیف یوجه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یطرح تساؤل آخر وبکثرة الأمر عن وجه توسعة هذه الزیارات الملیونیة من جهة المکان فإن الحجم الغفیر من الزوار یصل فی زیارته إلی مشارف وضواحی کربلاء المقدسة فیزور عند تلک المشارف ویرجع لشدة الزحام أو لخوف الازدحام وبعضهم قد یقترب من الاحیاء القریبة من الحرم الشریف فیزور حیث یشاهد القبة الشریفة فیرجع والبعض الثالث یکتفی بالزیارة من الشوارع المحیطة بالحرم الشریف ثم یرجع فهل تتسع الزیارة مکاناً إلی هذه المدایات الجغرافیة بحیث یصدق أنه زار سید الشهداء فی الأربعین أو فی النصف من شعبان أم أنه لابد من</w:t>
      </w:r>
      <w:bookmarkStart w:id="277" w:name="pg13695_150844"/>
    </w:p>
    <w:p>
      <w:pPr>
        <w:pStyle w:val="BookText"/>
        <w:rPr/>
      </w:pPr>
      <w:bookmarkEnd w:id="277"/>
      <w:r>
        <w:rPr>
          <w:rFonts w:ascii="IRNazanin" w:hAnsi="IRNazanin" w:eastAsia="IRNazanin"/>
          <w:color w:val="111111"/>
          <w:sz w:val="28"/>
          <w:sz w:val="28"/>
          <w:szCs w:val="28"/>
          <w:rtl w:val="true"/>
          <w:lang w:bidi="fa-IR"/>
        </w:rPr>
        <w:t>دخوله الحرم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ولمعرفة حقیقة الحال والحکم فی مورد السؤال لابد من تقدیم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ثبت لجملة من المناسبات الشرعیة موسم زمانی غیر مضیق بیوم المناسبة الشرعیة والمیقات الزمانی لها فقط ویعبر عن التوسعة فی توقیت المناسبة الشرعیة بالحریم الزمانی سواء السابق علی توقیته الشرعی بقلیل بحسب الحاجة أو متأخر عنه بل قد تقرر ذلک نصا وفتوی فی المیقات المکانی والبقاع المکانیة الشریفة حیث رسم لها اوسع من المحدود المکانی بها ولنأخذ فی تعداد امثلة التوسعة الزمانیة کحریم للمناسبة الزمانیة ثم تقریر الضابطة الکلیة فی التوسعة الزمانیة الدینیة کحریم لمیقات المناسبة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جملة من الوجوه التی یمکن أن یستبدل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الاستقراء المتصید من الابواب الفقهیة لتوسعة الشارع للمیقات الزمانی للمناسبات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الحریم الزمانی وفیه أبواب</w:t>
      </w:r>
      <w:r>
        <w:rPr>
          <w:rFonts w:eastAsia="IRNazanin" w:cs="IRNazanin"/>
          <w:color w:val="111111"/>
          <w:sz w:val="28"/>
          <w:szCs w:val="28"/>
          <w:rtl w:val="true"/>
          <w:lang w:bidi="fa-IR"/>
        </w:rPr>
        <w:t>:-</w:t>
      </w:r>
    </w:p>
    <w:p>
      <w:pPr>
        <w:pStyle w:val="Heading3"/>
        <w:numPr>
          <w:ilvl w:val="2"/>
          <w:numId w:val="1"/>
        </w:numPr>
        <w:rPr/>
      </w:pPr>
      <w:bookmarkStart w:id="278" w:name="__RefHeading___Toc983927_1468164448"/>
      <w:bookmarkStart w:id="279" w:name="_Toc100"/>
      <w:bookmarkEnd w:id="278"/>
      <w:r>
        <w:rPr>
          <w:rtl w:val="true"/>
        </w:rPr>
        <w:t>الأوَّل</w:t>
      </w:r>
      <w:r>
        <w:rPr>
          <w:rtl w:val="true"/>
        </w:rPr>
        <w:t xml:space="preserve">: </w:t>
      </w:r>
      <w:r>
        <w:rPr>
          <w:rtl w:val="true"/>
        </w:rPr>
        <w:t>باب الحج</w:t>
      </w:r>
      <w:r>
        <w:rPr>
          <w:rtl w:val="true"/>
        </w:rPr>
        <w:t>:</w:t>
      </w:r>
      <w:bookmarkEnd w:id="27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قد توسع الشارع فی الوقوف بعرفة إلی الوقوف لیلا لمن لم یدرک نهار عرفه بل أفتی جملة الفقهاء باجزاء الوقوف الظاهری مع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یکون فی الواقع یوم الثامن من ذی الحجة من باب التوسع الزمانی ومن ثم اکتفی جملة من الفقهاء بالوقوف مع العامة حتی مع القطع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ذلک بوجوه منها روایة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 یوم یفطر الناس والاضحی یوم یضحی الناس</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وقرّبوا ذلک بأن العبادة الشعائریة والشعیریة قوامُها بالعمل الجماعی کشعائر وشعار وتظاهر معلن، فلذا یتسع حریمها بحسب سعة ذلک الإظهار والإبراز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الشارع وسّع الوقوف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اضطر إلی ذلک ولم یقدر علی الوقوف بین الطلوعین، متقدما علی المیقات الزمانی، کما وسع الوقوف متأخراً الی زوال یوم العید لمن فاته الوقوف بین الطلوعین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من أراد أن یدرک عمرة رجب، یمکنه أن نشئ الاحرام فی أواخر رجب وإن أتی بالأعمال فی شعبان</w:t>
      </w:r>
      <w:r>
        <w:rPr>
          <w:rStyle w:val="FootnoteAnchor"/>
          <w:rtl w:val="true"/>
        </w:rPr>
        <w:footnoteReference w:id="188"/>
      </w:r>
      <w:r>
        <w:rPr>
          <w:rStyle w:val="FootnoteAnchor"/>
          <w:rtl w:val="true"/>
        </w:rPr>
        <w:footnoteReference w:id="189"/>
      </w:r>
      <w:r>
        <w:rPr>
          <w:rFonts w:ascii="IRNazanin" w:hAnsi="IRNazanin" w:eastAsia="IRNazanin"/>
          <w:color w:val="111111"/>
          <w:sz w:val="28"/>
          <w:sz w:val="28"/>
          <w:szCs w:val="28"/>
          <w:rtl w:val="true"/>
          <w:lang w:bidi="fa-IR"/>
        </w:rPr>
        <w:t>وبذلک یدرک عمرة رجب، وفی ذلک توسعة من ناحیة المیقات المکانی والمیقات الزمانی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80" w:name="pg13695_150846"/>
    </w:p>
    <w:p>
      <w:pPr>
        <w:pStyle w:val="BookText"/>
        <w:rPr/>
      </w:pPr>
      <w:bookmarkEnd w:id="280"/>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اعمال منی یوم العید، فقد وسع الشارع الاتیان بها فی لیلة العید مسبقاً، للضعفة والعجزة من الحجیج، کما وسع لمن لم یدرکها إلی أیام التشریق الأربع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اعمال مکة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قد سوّغ الشارع المجئ بها قبل یوم التاسع، ولو بأیام، لذوی الاعذار ،کما سوّغ لمن یقدر علیها یوم العید أن یأتی بها أیام التشریق بل إلی آخر ذی الحجة</w:t>
      </w:r>
      <w:r>
        <w:rPr>
          <w:rFonts w:eastAsia="IRNazanin" w:cs="IRNazanin"/>
          <w:color w:val="111111"/>
          <w:sz w:val="28"/>
          <w:szCs w:val="28"/>
          <w:rtl w:val="true"/>
          <w:lang w:bidi="fa-IR"/>
        </w:rPr>
        <w:t>.</w:t>
      </w:r>
    </w:p>
    <w:p>
      <w:pPr>
        <w:pStyle w:val="Heading3"/>
        <w:numPr>
          <w:ilvl w:val="2"/>
          <w:numId w:val="1"/>
        </w:numPr>
        <w:rPr/>
      </w:pPr>
      <w:bookmarkStart w:id="281" w:name="__RefHeading___Toc983929_1468164448"/>
      <w:bookmarkStart w:id="282" w:name="_Toc101"/>
      <w:bookmarkEnd w:id="281"/>
      <w:r>
        <w:rPr>
          <w:rtl w:val="true"/>
        </w:rPr>
        <w:t>الثانی</w:t>
      </w:r>
      <w:r>
        <w:rPr>
          <w:rtl w:val="true"/>
        </w:rPr>
        <w:t xml:space="preserve">: </w:t>
      </w:r>
      <w:r>
        <w:rPr>
          <w:rtl w:val="true"/>
        </w:rPr>
        <w:t>فی باب الصلاة</w:t>
      </w:r>
      <w:r>
        <w:rPr>
          <w:rtl w:val="true"/>
        </w:rPr>
        <w:t>:</w:t>
      </w:r>
      <w:bookmarkEnd w:id="28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اللیل، فأنه قد سوّغ الشارع المجئ بها قبل منتصف اللیل، لذوی العذر، عن المجئ بها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نوافل الظهرین، فقد سوغ الشارع المجئ بها قبیل الزوال، لمن یعجز عن الأتیان بها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نافلة الفجر، مع أن الوقت المقرر لها هو بعد الفجر الکاذب، إلا انه وسع الشارع المجئ بها بعد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خطبتی صلاة الجمعة، فأنهما کبدل عن رکعتین بعد الزوال، إلاّ أن الشارع سوّغ المجئ بهما قبل الزوال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أنه من ادرک رکعة من الوقت، أو من آخر الوقت، فقد ادرک الوقت، کما ورد اجزاء من صلی قبل الوقت فأدرک الوقت ودخل علیه قبل أن یسلّم لمن صلی قبل الوقت غفلة</w:t>
      </w:r>
      <w:r>
        <w:rPr>
          <w:rFonts w:eastAsia="IRNazanin" w:cs="IRNazanin"/>
          <w:color w:val="111111"/>
          <w:sz w:val="28"/>
          <w:szCs w:val="28"/>
          <w:rtl w:val="true"/>
          <w:lang w:bidi="fa-IR"/>
        </w:rPr>
        <w:t>.</w:t>
      </w:r>
      <w:bookmarkStart w:id="283" w:name="pg13695_150847"/>
    </w:p>
    <w:p>
      <w:pPr>
        <w:pStyle w:val="Heading3"/>
        <w:numPr>
          <w:ilvl w:val="2"/>
          <w:numId w:val="1"/>
        </w:numPr>
        <w:rPr/>
      </w:pPr>
      <w:bookmarkStart w:id="284" w:name="__RefHeading___Toc983931_1468164448"/>
      <w:bookmarkStart w:id="285" w:name="_Toc102"/>
      <w:bookmarkEnd w:id="283"/>
      <w:bookmarkEnd w:id="284"/>
      <w:r>
        <w:rPr>
          <w:rtl w:val="true"/>
        </w:rPr>
        <w:t>الثالث</w:t>
      </w:r>
      <w:r>
        <w:rPr>
          <w:rtl w:val="true"/>
        </w:rPr>
        <w:t xml:space="preserve">: </w:t>
      </w:r>
      <w:r>
        <w:rPr>
          <w:rtl w:val="true"/>
        </w:rPr>
        <w:t>موارد متفرقة</w:t>
      </w:r>
      <w:r>
        <w:rPr>
          <w:rtl w:val="true"/>
        </w:rPr>
        <w:t>:</w:t>
      </w:r>
      <w:bookmarkEnd w:id="28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یوم عاشوراء یوم عظیم، لذا جعل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حریماً زمانیاً متقدماً علیه بتسعة أیام، فقد ورد عن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حزنه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یبدأ من أول یوم من محرم فلا یری باسماً قط، فإذا کان یوم العاشر، کان یوم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فقد روی الصدوق فی أمالیه بسنده عن إبراهیم بن أبی محمود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دخل شهر المحرم لا یری ضاحکاً وکانت الکآبة تغلب علیه حتی یمضی منه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العاشر کان ذلک الیوم یوم مصیبته وحزنه وبکائه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قتل فیه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البحار عن بعض مؤلفات المتأخرین أنه قال حکی دعبل الخزاعی دخلت علی سیدی ومولای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الأیام فرأیته جالساً جلسة الحزین الکئیب وأصحابه من حوله فلما رآنی مقبلاً قال لی مرحباً بک یا دعبل مرحباً بناصرنا بیده ولسانه ثم أنه وسع لی فی مجلسه وأجلسنی إلی جانبه ثم قال لی یا دعبل أحبُّ أن تنشدنی شعراً فإن هذه الأیام أیام حزنٍ کانت علینا أهل البیت وأیام سرور کانت علی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بنی أمیة</w:t>
      </w:r>
      <w:r>
        <w:rPr>
          <w:rStyle w:val="FootnoteAnchor"/>
          <w:rtl w:val="true"/>
        </w:rPr>
        <w:footnoteReference w:id="1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الروایة وإن کانت مرسلة تصریح بأن المناسبة وإن کانت</w:t>
      </w:r>
    </w:p>
    <w:p>
      <w:pPr>
        <w:pStyle w:val="BookText"/>
        <w:rPr/>
      </w:pPr>
      <w:r>
        <w:rPr>
          <w:rFonts w:ascii="IRNazanin" w:hAnsi="IRNazanin" w:eastAsia="IRNazanin"/>
          <w:color w:val="111111"/>
          <w:sz w:val="28"/>
          <w:sz w:val="28"/>
          <w:szCs w:val="28"/>
          <w:rtl w:val="true"/>
          <w:lang w:bidi="fa-IR"/>
        </w:rPr>
        <w:t>یوماً واحداً إلاّ أن ما یحتف بها من أیام ما قبلها وما بعدها تلک الأیام تتنسب إلی تلک المناسبة وذلک الیوم بحسب العرف والاعراف المختلفة بل هذه الروایات نص بالخصوص علی ما نحن فیه صغرویاً وإن هذه التوسعة فی الارتکاز العرفی قبل أن تکون تناسبیاً شرعیاً وهذا وجه مستقل برأسه وهو استقراء الاستعمال العرفی لعنوان الأیام المضافة إلی مناسبة ما، وکانوا یعدون هذه الأیام أیام الحزن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القدر، فإن یومها بمنزلتها</w:t>
      </w:r>
      <w:r>
        <w:rPr>
          <w:rStyle w:val="FootnoteAnchor"/>
          <w:rtl w:val="true"/>
        </w:rPr>
        <w:footnoteReference w:id="195"/>
      </w:r>
      <w:r>
        <w:rPr>
          <w:rFonts w:ascii="IRNazanin" w:hAnsi="IRNazanin" w:eastAsia="IRNazanin"/>
          <w:color w:val="111111"/>
          <w:sz w:val="28"/>
          <w:sz w:val="28"/>
          <w:szCs w:val="28"/>
          <w:rtl w:val="true"/>
          <w:lang w:bidi="fa-IR"/>
        </w:rPr>
        <w:t>بل ورد أن لیلة التاسع عشر والواحد والعشرین حریم زمانی متقدم للیلة الثالث والعشرین</w:t>
      </w:r>
      <w:r>
        <w:rPr>
          <w:rStyle w:val="FootnoteAnchor"/>
          <w:rtl w:val="true"/>
        </w:rPr>
        <w:footnoteReference w:id="196"/>
      </w:r>
      <w:r>
        <w:rPr>
          <w:rFonts w:ascii="IRNazanin" w:hAnsi="IRNazanin" w:eastAsia="IRNazanin"/>
          <w:color w:val="111111"/>
          <w:sz w:val="28"/>
          <w:sz w:val="28"/>
          <w:szCs w:val="28"/>
          <w:rtl w:val="true"/>
          <w:lang w:bidi="fa-IR"/>
        </w:rPr>
        <w:t>بل ورد أن شهر رمضان من اوله، حریم للیلة القدر</w:t>
      </w:r>
      <w:r>
        <w:rPr>
          <w:rStyle w:val="FootnoteAnchor"/>
          <w:rtl w:val="true"/>
        </w:rPr>
        <w:footnoteReference w:id="197"/>
      </w:r>
      <w:r>
        <w:rPr>
          <w:rFonts w:ascii="IRNazanin" w:hAnsi="IRNazanin" w:eastAsia="IRNazanin"/>
          <w:color w:val="111111"/>
          <w:sz w:val="28"/>
          <w:sz w:val="28"/>
          <w:szCs w:val="28"/>
          <w:rtl w:val="true"/>
          <w:lang w:bidi="fa-IR"/>
        </w:rPr>
        <w:t>بل ورد ایضاً أن حریم لیلة القدر یبدأ من لیلة النصف من شعبان</w:t>
      </w:r>
      <w:r>
        <w:rPr>
          <w:rStyle w:val="FootnoteAnchor"/>
          <w:rtl w:val="true"/>
        </w:rPr>
        <w:footnoteReference w:id="198"/>
      </w:r>
      <w:r>
        <w:rPr>
          <w:rFonts w:ascii="IRNazanin" w:hAnsi="IRNazanin" w:eastAsia="IRNazanin"/>
          <w:color w:val="111111"/>
          <w:sz w:val="28"/>
          <w:sz w:val="28"/>
          <w:szCs w:val="28"/>
          <w:rtl w:val="true"/>
          <w:lang w:bidi="fa-IR"/>
        </w:rPr>
        <w:t xml:space="preserve">کما أن لیلة القدر حریم لولایة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بإعتبارها ظرف زمانی شریف لتنزل روح القدس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یوم الجمعة فأنه سوغ الشارع المجئ به فی یوم الخمیس لمن یعجز عن الماء یوم الجمعة أو یخاف العوز</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الشارع حریم للیلة الجمعة، یمتد قبلها، من بعد زوال ظهر یوم الخمیس</w:t>
      </w:r>
      <w:r>
        <w:rPr>
          <w:rStyle w:val="FootnoteAnchor"/>
          <w:rtl w:val="true"/>
        </w:rPr>
        <w:footnoteReference w:id="200"/>
      </w:r>
      <w:r>
        <w:rPr>
          <w:rFonts w:ascii="IRNazanin" w:hAnsi="IRNazanin" w:eastAsia="IRNazanin"/>
          <w:color w:val="111111"/>
          <w:sz w:val="28"/>
          <w:sz w:val="28"/>
          <w:szCs w:val="28"/>
          <w:rtl w:val="true"/>
          <w:lang w:bidi="fa-IR"/>
        </w:rPr>
        <w:t>، کما جعل لأعمال یوم الجمعة حریماً متأخراً وهو لیلة السبت، بل یظهر من الشارع أن کل یوم ذو فضیلة وحرمة، تبدأ حرمته قبله فتکون اللیلة السابقة حریماً له، کلیلة عرفه ولیالی العیدین ولیلة الجمعة ولیلة النصف من شعبان کما تقدم ولیلة المبعث الشریف مع أن المبعث الشریف فی فجر یومها وغیرها من اللیالی التی شرفت کحریم سابق لأیامها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فضائل یوم الغدیر أنه مستمر إلی ثلاثة أیام</w:t>
      </w:r>
      <w:r>
        <w:rPr>
          <w:rStyle w:val="FootnoteAnchor"/>
          <w:rtl w:val="true"/>
        </w:rPr>
        <w:footnoteReference w:id="201"/>
      </w:r>
      <w:r>
        <w:rPr>
          <w:rFonts w:ascii="IRNazanin" w:hAnsi="IRNazanin" w:eastAsia="IRNazanin"/>
          <w:color w:val="111111"/>
          <w:sz w:val="28"/>
          <w:sz w:val="28"/>
          <w:szCs w:val="28"/>
          <w:rtl w:val="true"/>
          <w:lang w:bidi="fa-IR"/>
        </w:rPr>
        <w:t>وکذلک ما ورد فی الیوم التاسع من ربیع الأول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توسعة الحریم المکانی، وقد مرّ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الکعبة کأول بیت وضع للناس، لها عظمة وحرمة وشرافة، لذا جعل المسجد الحرام حریم لها، وجُعلت مکة المکرمة حریماً للمسجد الحرام، وجعل الحرم المکی حریماً لمکة المکرمة، وجعلت المواقیت حریماً للحرم المکی، وقد ورد بکل ذلک النصوص</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مرقد الرسول صلی الله علیه و آله ، فقد ذکر السمهودی فی مقدمة کتابه، إجماع أهل الجمهور علی أن قبره صلی الله علیه و آله أعظم حرمة من مکة المکرمة، بل نقل عنهم، أنه اعظم من العرش، لذت جعلت الروضة المبارکة بین القبر والمنبر</w:t>
      </w:r>
    </w:p>
    <w:p>
      <w:pPr>
        <w:pStyle w:val="BookText"/>
        <w:rPr/>
      </w:pPr>
      <w:r>
        <w:rPr>
          <w:rFonts w:ascii="IRNazanin" w:hAnsi="IRNazanin" w:eastAsia="IRNazanin"/>
          <w:color w:val="111111"/>
          <w:sz w:val="28"/>
          <w:sz w:val="28"/>
          <w:szCs w:val="28"/>
          <w:rtl w:val="true"/>
          <w:lang w:bidi="fa-IR"/>
        </w:rPr>
        <w:t xml:space="preserve">حریماً للقبر الشریف، وجعل المسجد النبوی حریماً للروضة المبارکة، وجعلت المدینة المنورة حریماً للمسجد النبوی، وجعل الحرم المدنی بین الجبلین حریماً للمدینة المنورة، وبعض الروایات عند الفریقین، تبین أن ما بین الحرم المکی والحرم المدنی ،ملحق فی بعض الآثار بهما کما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بین الحرمین، بعثه الله فی الآمنین یوم القیامة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وکذلک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بین الحرمین لم ینشر له دیوان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مراقد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قبورهم بیوت أذن الله أن ترفع ویذکر فیها اسمه، فلها الحرمة والعظمة بنص القرآن الکریم والسنة الشریفة، وقد ذکر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کشف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قراءة الفاتحة بعد الطعام ورجحان الشعائر الحسینیة، أن مراقدهم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شعّرها الله عَزَّ وَجَلَّ، ویتبعها فی الحرمة، ما حولها من البقاع الشریفة، لذا قد ورد أن الکوفة حرمت لأجل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ذهب الشیخ الطوسی فی المبسوط، إلی أن حکم التخییر الصلاة بین القصر والتمام للمسافر فی مسجد الکوفة بتبع التخییر فی مرقد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وما یؤید ذلک ما رواه محمد بن الحسن عن أبیه عن أحمد بن داود عن أحمد بن جعفر المؤدب عن یعقوب بن یزید عن الحسین بن بشار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w:t>
      </w:r>
    </w:p>
    <w:p>
      <w:pPr>
        <w:pStyle w:val="BookText"/>
        <w:rPr/>
      </w:pPr>
      <w:r>
        <w:rPr>
          <w:rFonts w:ascii="IRNazanin" w:hAnsi="IRNazanin" w:eastAsia="IRNazanin"/>
          <w:color w:val="111111"/>
          <w:sz w:val="28"/>
          <w:sz w:val="28"/>
          <w:szCs w:val="28"/>
          <w:rtl w:val="true"/>
          <w:lang w:bidi="fa-IR"/>
        </w:rPr>
        <w:t xml:space="preserve">فیه من الفضل قال فیه من الفضل کفضل من زار قبر والده یعنی رسول الله صلی الله علیه و آله فقلت فأنی خفت فلم یمکننی أن ادخل داخلاً، قال سلم من وراء الحایر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الجسر، الجدار خ ل</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وفیه دلالة علی التوسعة المکانیة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حرم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الَحیْر حریم للقبر الشریف، وحرمت مدینة کربلاء کحریم للقبر الشریف</w:t>
      </w:r>
      <w:r>
        <w:rPr>
          <w:rStyle w:val="FootnoteAnchor"/>
          <w:rtl w:val="true"/>
        </w:rPr>
        <w:footnoteReference w:id="207"/>
      </w:r>
      <w:r>
        <w:rPr>
          <w:rFonts w:ascii="IRNazanin" w:hAnsi="IRNazanin" w:eastAsia="IRNazanin"/>
          <w:color w:val="111111"/>
          <w:sz w:val="28"/>
          <w:sz w:val="28"/>
          <w:szCs w:val="28"/>
          <w:rtl w:val="true"/>
          <w:lang w:bidi="fa-IR"/>
        </w:rPr>
        <w:t>بل ورد أن لمرقد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بمقدار فرسخ من کل جانب من القبر الشریف</w:t>
      </w:r>
      <w:r>
        <w:rPr>
          <w:rStyle w:val="FootnoteAnchor"/>
          <w:rtl w:val="true"/>
        </w:rPr>
        <w:footnoteReference w:id="208"/>
      </w:r>
      <w:r>
        <w:rPr>
          <w:rFonts w:ascii="IRNazanin" w:hAnsi="IRNazanin" w:eastAsia="IRNazanin"/>
          <w:color w:val="111111"/>
          <w:sz w:val="28"/>
          <w:sz w:val="28"/>
          <w:szCs w:val="28"/>
          <w:rtl w:val="true"/>
          <w:lang w:bidi="fa-IR"/>
        </w:rPr>
        <w:t>وهذا یطابق ما ورد مستفیضا، من استجابة الدعاء تحت قبته</w:t>
      </w:r>
      <w:r>
        <w:rPr>
          <w:rStyle w:val="FootnoteAnchor"/>
          <w:rtl w:val="true"/>
        </w:rPr>
        <w:footnoteReference w:id="209"/>
      </w:r>
      <w:r>
        <w:rPr>
          <w:rFonts w:ascii="IRNazanin" w:hAnsi="IRNazanin" w:eastAsia="IRNazanin"/>
          <w:color w:val="111111"/>
          <w:sz w:val="28"/>
          <w:sz w:val="28"/>
          <w:szCs w:val="28"/>
          <w:rtl w:val="true"/>
          <w:lang w:bidi="fa-IR"/>
        </w:rPr>
        <w:t>فإنه لیس المراد من ذلک القبة الطینیة فوق المرقد الشریف، بل قبة السماء، فالواقف عند القبر الشریف یکون امتداد القبة بمقدار امتداد نظره فی الأفق حیث یتماس خط السماء بالارض، وهذا المقدار یساوی الفرسخ تقریباً وهو حوالی خمسة کیلومترات ومن ثم ذهب جملة ممن تقدم، الی التخییر بین القصر والتمام فی تمام مدینة کربلاء</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الواردة فیه کالتالی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منصور بن عباس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فراسخ من أربع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فتکون حوالی شعاع سبعة وعشرین کلیومتر من کل جانب من جوانب القبر ومثلها مرسلة الصدوق فی الفقیه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الشیخ الطوسی بسنده عن محمد بن إسماعیل البصری عمن رواه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فی فرسخ من أربع جوانب القبر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الطوسی بسنده عن محمد بن أحمد بن داود بن الحسن بن محمد عن حمید بن زیاد عن سنان بن محمد عن أبی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الحجال عن غیر واحد من أصحابنا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من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عشرة أمیال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کامل الزیارات بسنده عن محمد بن جعفر عن محمد بن الحسین عن رجلٍ عن أبی الصباح الکنانی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وإن أخذ علی رأس میل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فی التهذیب بسنده عن سلیمان بن عمر بسراج، عن بعض أصحابه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یؤخذ طین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عند القبر علی سبعین ذراعاً</w:t>
      </w:r>
      <w:r>
        <w:rPr>
          <w:rStyle w:val="FootnoteAnchor"/>
          <w:rtl w:val="true"/>
        </w:rPr>
        <w:footnoteReference w:id="215"/>
      </w:r>
      <w:r>
        <w:rPr>
          <w:rFonts w:ascii="IRNazanin" w:hAnsi="IRNazanin" w:eastAsia="IRNazanin"/>
          <w:color w:val="111111"/>
          <w:sz w:val="28"/>
          <w:sz w:val="28"/>
          <w:szCs w:val="28"/>
          <w:rtl w:val="true"/>
          <w:lang w:bidi="fa-IR"/>
        </w:rPr>
        <w:t>ورواه ابن قولویه فی المزار إلاّ أنه قال علی سبعین</w:t>
      </w:r>
    </w:p>
    <w:p>
      <w:pPr>
        <w:pStyle w:val="BookText"/>
        <w:rPr/>
      </w:pPr>
      <w:r>
        <w:rPr>
          <w:rFonts w:ascii="Amiri" w:hAnsi="Amiri" w:eastAsia="Amiri" w:cs="Amiri"/>
          <w:color w:val="111111"/>
          <w:sz w:val="28"/>
          <w:sz w:val="28"/>
          <w:szCs w:val="28"/>
          <w:rtl w:val="true"/>
          <w:lang w:bidi="ar-SA"/>
        </w:rPr>
        <w:t>باعاً فی سبعین باعٍ‌</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بسنده عن أبی القاسم جعفر بن محمد عن محمد بن جعفر الرزاز عن محمد بن الحسین ابن أبی الخطاب، عن الحسن بن محبوب عن إسحاق بن عمار قال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لموضع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معروفة من عرفها واستجار بها أُجیر،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لی موضعها،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من موضع قبره الیوم خمسة وعشرین ذراعاً من ناحیة رجلیه، وخمسة وعشرین ذراعاً من ناصیة رأسه وموضع قبره من یوم دفنه روضة من ریاض الجنة، ومنه معراج یُعرج فیه بأعمال زواره إلی السماء، وما من ملک فی السماء ولا فی الأرض إلاّ وهم یسألون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ینزل وفوج یعرج</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الکلینی والصدوق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ذراعاً مکسّراً روضة من ریاض الجنة</w:t>
      </w:r>
      <w:r>
        <w:rPr>
          <w:rStyle w:val="FootnoteAnchor"/>
          <w:rtl w:val="true"/>
        </w:rPr>
        <w:footnoteReference w:id="218"/>
      </w:r>
      <w:r>
        <w:rPr>
          <w:rFonts w:ascii="IRNazanin" w:hAnsi="IRNazanin" w:eastAsia="IRNazanin"/>
          <w:color w:val="111111"/>
          <w:sz w:val="28"/>
          <w:sz w:val="28"/>
          <w:szCs w:val="28"/>
          <w:rtl w:val="true"/>
          <w:lang w:bidi="fa-IR"/>
        </w:rPr>
        <w:t xml:space="preserve">ورواه فی کامل الزیارات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التفاوت فی تحدید المکان مضافاً إلی امکان حمله علی تفاوت الفضل فإنه یشیر أیضاً إلی التوسیع فی حریم وحرمة المکان والمیقات المکانی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الله تعالی یدفع البلاء عن مدینة بغداد، بقبر الإمام</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وورد أیضاً حرمة مدینة سامراء بقبر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وأن مدینة طوس حرم لمرقد الرضا</w:t>
      </w:r>
      <w:r>
        <w:rPr>
          <w:rStyle w:val="FootnoteAnchor"/>
          <w:rtl w:val="true"/>
        </w:rPr>
        <w:footnoteReference w:id="221"/>
      </w:r>
      <w:r>
        <w:rPr>
          <w:rFonts w:ascii="IRNazanin" w:hAnsi="IRNazanin" w:eastAsia="IRNazanin"/>
          <w:color w:val="111111"/>
          <w:sz w:val="28"/>
          <w:sz w:val="28"/>
          <w:szCs w:val="28"/>
          <w:rtl w:val="true"/>
          <w:lang w:bidi="fa-IR"/>
        </w:rPr>
        <w:t>بل ورد أن مابین الجبلین المحیطین بطوس، جعل حریماً لمرقد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ومن ذهب السید المرتضی وابن الجنید وظاهر علی بن بابویه وبعض المتقدمین إلی التخییر فی الصلاة بین القصر والتمام للمسافر فی کل المراقد المطهرة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تنزیل زیارة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سطح المنزل بمنزلة الزیارة عن قرب لمن عجز عن السفر لمانع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غسل الاحرام فی مسجد الشجرة، فقد سوّغ الشارع الغسل فی المدینة المنورة لمن یعجز عنه فی مسجد الشجرة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أنه إذا ضاقت مزدلفة بالحجیج، یسوغ لهم أن یصعدوا إلی الجبل</w:t>
      </w:r>
      <w:r>
        <w:rPr>
          <w:rStyle w:val="FootnoteAnchor"/>
          <w:rtl w:val="true"/>
        </w:rPr>
        <w:footnoteReference w:id="226"/>
      </w:r>
      <w:r>
        <w:rPr>
          <w:rFonts w:ascii="IRNazanin" w:hAnsi="IRNazanin" w:eastAsia="IRNazanin"/>
          <w:color w:val="111111"/>
          <w:sz w:val="28"/>
          <w:sz w:val="28"/>
          <w:szCs w:val="28"/>
          <w:rtl w:val="true"/>
          <w:lang w:bidi="fa-IR"/>
        </w:rPr>
        <w:t>وکذلک فی منی إلی وادی محسَّر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عدم وجوب استلام الحجر وتقبیله وعدم تأکد استحباب المزاحمة علیه واجزاء الإشارة والایماء، وتشیر الی ذلک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عدة من اصحابنا، عن أحمد بن محمد، عن الحسین بن سعید عن صفوان بن یحیی عن 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الحجر الاسود فوجدت علیه زحاماَ فلم الق إلاّ رجلاً من أصحابنا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استلامه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وجدته خالیا وإلاّ فسلم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عن أحمد بن محمد بن عیسی عن أحمد بن محمد بن أبی نصر عن محمد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الحجر الأسود وهل یقاتل علیه الناس إذا کثروا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فأوم إلیه إیماء بیدک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أبی ایوب الخزاز عن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جهر بالتلبیة ولا استلام الحجر ولا دخول البیت ولا سعی بین الصفا والمروة یعنی الهرولة</w:t>
      </w:r>
      <w:r>
        <w:rPr>
          <w:rStyle w:val="FootnoteAnchor"/>
          <w:rtl w:val="true"/>
        </w:rPr>
        <w:footnoteReference w:id="230"/>
      </w:r>
      <w:r>
        <w:rPr>
          <w:rFonts w:ascii="IRNazanin" w:hAnsi="IRNazanin" w:eastAsia="IRNazanin"/>
          <w:color w:val="111111"/>
          <w:sz w:val="28"/>
          <w:sz w:val="28"/>
          <w:szCs w:val="28"/>
          <w:rtl w:val="true"/>
          <w:lang w:bidi="fa-IR"/>
        </w:rPr>
        <w:t>، أی یکفیهن الإیماء من بعد للحجر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الممضاة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تقرر فی السیرة العقلائیة علی أنه هناک حریم فی البقاع المملوکة</w:t>
      </w:r>
    </w:p>
    <w:p>
      <w:pPr>
        <w:pStyle w:val="BookText"/>
        <w:rPr/>
      </w:pPr>
      <w:r>
        <w:rPr>
          <w:rFonts w:ascii="IRNazanin" w:hAnsi="IRNazanin" w:eastAsia="IRNazanin"/>
          <w:color w:val="111111"/>
          <w:sz w:val="28"/>
          <w:sz w:val="28"/>
          <w:szCs w:val="28"/>
          <w:rtl w:val="true"/>
          <w:lang w:bidi="fa-IR"/>
        </w:rPr>
        <w:t>فللدار حریم، وللبئر حریم، وللطریق حریم من جانبیه، وللمدینة حریم من ضواحیها، وضابطة مقدار الحریم أن یکون بحسب الحاجة التابعة له، فلیس یتحددد بقدر یقف علیه ثابت لا یزید ولا ینقص، بل هو یتسع وینقص بمقدار ما تستدعیه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السیرة العقلائیة لیست خاصة بتوسعة الحریم 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هی جاریة أیضاً بتوسعة الحریم الزمانی، فنراهم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الحدث المناسبة حدثت فی أیام قلائل، ولم تمتد لکل العام، کما فی وفاة أبی طالب وخدیجة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یقال أن النبی صلی الله علیه و آله ولد فی شهر ربیع الأول، أو أن أمیر المؤمنین ولد فی شهر رجب مع أن الولادة حدثت فی ساعة واحدة کما روی الصفار بسنده عن حفص الابیض التمار قال 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صلب المعّلی ابن الخنیس</w:t>
      </w:r>
      <w:r>
        <w:rPr>
          <w:rStyle w:val="FootnoteAnchor"/>
          <w:rtl w:val="true"/>
        </w:rPr>
        <w:footnoteReference w:id="231"/>
      </w:r>
      <w:r>
        <w:rPr>
          <w:rFonts w:ascii="IRNazanin" w:hAnsi="IRNazanin" w:eastAsia="IRNazanin"/>
          <w:color w:val="111111"/>
          <w:sz w:val="28"/>
          <w:sz w:val="28"/>
          <w:szCs w:val="28"/>
          <w:rtl w:val="true"/>
          <w:lang w:bidi="fa-IR"/>
        </w:rPr>
        <w:t>والحال أن المعلی صلب فی یوم واحد وروی الحمیری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 منادیه بالکوفة أیام عید الأضحی</w:t>
      </w:r>
      <w:r>
        <w:rPr>
          <w:rStyle w:val="FootnoteAnchor"/>
          <w:rtl w:val="true"/>
        </w:rPr>
        <w:footnoteReference w:id="232"/>
      </w:r>
      <w:r>
        <w:rPr>
          <w:rFonts w:ascii="IRNazanin" w:hAnsi="IRNazanin" w:eastAsia="IRNazanin"/>
          <w:color w:val="111111"/>
          <w:sz w:val="28"/>
          <w:sz w:val="28"/>
          <w:szCs w:val="28"/>
          <w:rtl w:val="true"/>
          <w:lang w:bidi="fa-IR"/>
        </w:rPr>
        <w:t>والحال أن الأضحی یوم واحد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عن علی بن رافع اخذنا منها موضع الحاجة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احب أن تُعرنیه أتجمل به فی أیام عید الأضحی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مع أن عید الأضحی یوم واحد ولکن عبُر عنه بایام وهذا یدل علی أن الشارع جعل</w:t>
      </w:r>
    </w:p>
    <w:p>
      <w:pPr>
        <w:pStyle w:val="BookText"/>
        <w:rPr/>
      </w:pPr>
      <w:r>
        <w:rPr>
          <w:rFonts w:ascii="IRNazanin" w:hAnsi="IRNazanin" w:eastAsia="IRNazanin"/>
          <w:color w:val="111111"/>
          <w:sz w:val="28"/>
          <w:sz w:val="28"/>
          <w:szCs w:val="28"/>
          <w:rtl w:val="true"/>
          <w:lang w:bidi="fa-IR"/>
        </w:rPr>
        <w:t>لتلک الازمنة حریماً زمانیاً عبّر عنها بالایام کما هو کذلک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یبرز لنا وجه التوسعة عند العقلاء، فهو لأجل طبیعة التوسعة فی الظرفیة والاسناد الزمانی</w:t>
      </w:r>
    </w:p>
    <w:p>
      <w:pPr>
        <w:pStyle w:val="BookText"/>
        <w:rPr/>
      </w:pPr>
      <w:r>
        <w:rPr>
          <w:rFonts w:ascii="IRNazanin" w:hAnsi="IRNazanin" w:eastAsia="IRNazanin"/>
          <w:color w:val="111111"/>
          <w:sz w:val="28"/>
          <w:sz w:val="28"/>
          <w:szCs w:val="28"/>
          <w:rtl w:val="true"/>
          <w:lang w:bidi="fa-IR"/>
        </w:rPr>
        <w:t>وکذلک الحال فی التوسع فی الظرف المکانی، فیقال أن النبی صلی الله علیه و آله ولد فی مکة وکل ذلک نوع من التقریب فی التحقیق، والتحقیق فی التقریب، من جهة تحقق الاسناد وتوسع الظرف وکأن هذا هو المنشأ للارتکاز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السیرة العقلائیة هی سیرة متشرعیة أیضا، کما اتضح من الامثلة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ذَکِّرْهُمْ بِأَیّامِ اللّهِ إِنَّ فِی ذلِکَ لَآیاتٍ لِکُلِّ صَبّارٍ شَکُورٍ </w:t>
      </w:r>
      <w:r>
        <w:rPr>
          <w:rStyle w:val="FootnoteAnchor"/>
          <w:rtl w:val="true"/>
        </w:rPr>
        <w:footnoteReference w:id="234"/>
      </w:r>
      <w:r>
        <w:rPr>
          <w:rFonts w:ascii="IRNazanin" w:hAnsi="IRNazanin" w:eastAsia="IRNazanin"/>
          <w:color w:val="111111"/>
          <w:sz w:val="28"/>
          <w:sz w:val="28"/>
          <w:szCs w:val="28"/>
          <w:rtl w:val="true"/>
          <w:lang w:bidi="fa-IR"/>
        </w:rPr>
        <w:t>حیث یمکن أن یستنبط منها عرفاً، سواء بحسب الارتکاز العقلائی أو المتشرعی، أن التذکیر الوارد فی الآیة المبارکة، لیس لخصوص الیوم الذی فیه المشهد الإلهی العظیم، بل یشمل الأیام المحتفة به أیضا، فیکون مفاد الآیة الکریمة، الاحتفاء والاحتفال بالمیقات الزمانی الشعیری بما یشمل حریم ذلک المیقات الزمانی، من قبل المیقات ومن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تعدد مراتب المستحبات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هذه القاعدة أن طبیعة المستحبات من حیث الأجزاء و الشرائط و القیود والتی منها الزمان والمکان طبیعة ذات مراتب وتعدد فی المطلوب فی أساس جعلها وتشریعها ومن ثم لا یرتکب الفقهاء عملیة التقیید بین المطلق والمقید ولا عملیة التخصیص بین العام والخاص بل یحملون المقید</w:t>
      </w:r>
      <w:bookmarkStart w:id="286" w:name="pg13695_150858"/>
    </w:p>
    <w:p>
      <w:pPr>
        <w:pStyle w:val="BookText"/>
        <w:rPr/>
      </w:pPr>
      <w:bookmarkEnd w:id="286"/>
      <w:r>
        <w:rPr>
          <w:rFonts w:ascii="IRNazanin" w:hAnsi="IRNazanin" w:eastAsia="IRNazanin"/>
          <w:color w:val="111111"/>
          <w:sz w:val="28"/>
          <w:sz w:val="28"/>
          <w:szCs w:val="28"/>
          <w:rtl w:val="true"/>
          <w:lang w:bidi="fa-IR"/>
        </w:rPr>
        <w:t>والخاص علی تعدد مراتب الفضل وأن الشرائط والقیود هی شرائط وقیود کمال ولیست شرائط وقیود صحة فمن ثم یکون مقتضی الظهور الأولی فی باب المندوبات هو علی تعدد المطلوب إلّا أن تقوم قرینة علی خلاف ذلک، وهذا یوسع الزیارة المندوبة زمانا ومکانا، وإن کان الأقرب فالاقرب زماناً ومکانا هو الأفضل فالافضل فی مراتب الفضل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القاعدة أو قاعدة ما لا یدرک کله لا یترک 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تنطبق علی المراتب الزمانیة والمکانیة للعمل المقیّد بالزمان والمکان، فیکون الأقرب فالأقرب هو المیسور المقدم</w:t>
      </w:r>
      <w:r>
        <w:rPr>
          <w:rFonts w:eastAsia="IRNazanin" w:cs="IRNazanin"/>
          <w:color w:val="111111"/>
          <w:sz w:val="28"/>
          <w:szCs w:val="28"/>
          <w:rtl w:val="true"/>
          <w:lang w:bidi="fa-IR"/>
        </w:rPr>
        <w:t>.</w:t>
      </w:r>
    </w:p>
    <w:p>
      <w:pPr>
        <w:pStyle w:val="Heading3"/>
        <w:numPr>
          <w:ilvl w:val="2"/>
          <w:numId w:val="1"/>
        </w:numPr>
        <w:rPr/>
      </w:pPr>
      <w:bookmarkStart w:id="287" w:name="__RefHeading___Toc983933_1468164448"/>
      <w:bookmarkStart w:id="288" w:name="_Toc103"/>
      <w:bookmarkEnd w:id="287"/>
      <w:r>
        <w:rPr>
          <w:rtl w:val="true"/>
        </w:rPr>
        <w:t>زبد المخاض</w:t>
      </w:r>
      <w:r>
        <w:rPr>
          <w:rtl w:val="true"/>
        </w:rPr>
        <w:t xml:space="preserve">: </w:t>
      </w:r>
      <w:r>
        <w:rPr>
          <w:rtl w:val="true"/>
        </w:rPr>
        <w:t>المحصلة من الوجوه</w:t>
      </w:r>
      <w:r>
        <w:rPr>
          <w:rtl w:val="true"/>
        </w:rPr>
        <w:t>:</w:t>
      </w:r>
      <w:bookmarkEnd w:id="288"/>
    </w:p>
    <w:p>
      <w:pPr>
        <w:pStyle w:val="BookText"/>
        <w:rPr/>
      </w:pPr>
      <w:r>
        <w:rPr>
          <w:rFonts w:ascii="IRNazanin" w:hAnsi="IRNazanin" w:eastAsia="IRNazanin"/>
          <w:color w:val="111111"/>
          <w:sz w:val="28"/>
          <w:sz w:val="28"/>
          <w:szCs w:val="28"/>
          <w:rtl w:val="true"/>
          <w:lang w:bidi="fa-IR"/>
        </w:rPr>
        <w:t>ویتحصل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موضع زمانی أو مکانی، جُعل فی الشریعة میقاتاً لشعیرة دینیة له حریم یحیط به، یسبقه ویتأخر عنه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ما علیه المتشرعة فی زماننا من التوسع زماناً ومکاناً بحسب الحاجة فی زیارة الأربعین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زیارة عاشوراء أو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زیارة الجوادین صلی الله علیه و آله أو زیارة العسکریین صلی الله علیه و آله أو غیرها من مواسم الزیارات العظیمة التی یکون فیها الزحام شدید هذا التوسع مطابق لقاعدة فقهیة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متصیدة من الأبواب الفقهیة ومعتضدة بوجوه أخری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میقات زمانی أو مکانی لشعیرة دینیة عبادیة حریم یحیط به یتوسع وبحسب ظرفیة وقابلیة الحاجة إلی الحدود التی تتصل بذلک المیقات</w:t>
      </w:r>
      <w:r>
        <w:rPr>
          <w:rFonts w:eastAsia="IRNazanin" w:cs="IRNazanin"/>
          <w:color w:val="111111"/>
          <w:sz w:val="28"/>
          <w:szCs w:val="28"/>
          <w:rtl w:val="true"/>
          <w:lang w:bidi="fa-IR"/>
        </w:rPr>
        <w:t>).</w:t>
      </w:r>
      <w:bookmarkStart w:id="289" w:name="pg13695_150859"/>
    </w:p>
    <w:p>
      <w:pPr>
        <w:pStyle w:val="Heading2"/>
        <w:numPr>
          <w:ilvl w:val="1"/>
          <w:numId w:val="1"/>
        </w:numPr>
        <w:rPr/>
      </w:pPr>
      <w:bookmarkStart w:id="290" w:name="__RefHeading___Toc983935_1468164448"/>
      <w:bookmarkStart w:id="291" w:name="_Toc104"/>
      <w:bookmarkEnd w:id="289"/>
      <w:bookmarkEnd w:id="290"/>
      <w:r>
        <w:rPr>
          <w:rtl w:val="true"/>
        </w:rPr>
        <w:t xml:space="preserve">قاعدة </w:t>
      </w:r>
      <w:r>
        <w:rPr>
          <w:rtl w:val="true"/>
        </w:rPr>
        <w:t>:</w:t>
      </w:r>
      <w:r>
        <w:rPr>
          <w:rtl w:val="true"/>
        </w:rPr>
        <w:t>المشی الی العبادة عبادة</w:t>
      </w:r>
      <w:bookmarkEnd w:id="29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983937_1468164448"/>
      <w:bookmarkStart w:id="293" w:name="_Toc105"/>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المشی الی العبادة عبادة</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إنّ فضیلة المشی کعبادة قد وردت فیها طوائف من الروایات الآتیة وهو مسألة قد تداولها الفقهاء بحثاً وتنقیباً وتحقیقاً لاسیما فی کتاب الحج بل إن فی طوائف تلک الروایات ما یدل علی أن المشی له خصوصیة ذاتیة عبادیة بغض النظر عن ما هو غایة للمشی من العبادة الأخری وبغض النظر عن کونه موجباً لزیادة ثواب تلک الغایة العبادیة فهذه حیثیات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المشی عبادة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اتصافه بالمقدمیة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کمال وثواب الغایة العبادیة التی یتوسط المشی مقدمة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الأمر الخاص بخصوص المشی للحج لبیت الحرام والأمر خاص بالمشی إلی زیارة النبی صلی الله علیه و آله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المراقد المطهرة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یخفی أن المشی فی مقابل الرکوب یوجب مشقة للنفس کما یشیر إلیه قوله تعالی وَ الْأَنْعامَ خَلَقَها لَکُمْ فِیها دِفْ‌ءٌ وَ مَنافِعُ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w:t>
      </w:r>
    </w:p>
    <w:p>
      <w:pPr>
        <w:pStyle w:val="BookText"/>
        <w:rPr/>
      </w:pPr>
      <w:r>
        <w:rPr>
          <w:rFonts w:ascii="Amiri" w:hAnsi="Amiri" w:eastAsia="Amiri" w:cs="Amiri"/>
          <w:color w:val="111111"/>
          <w:sz w:val="28"/>
          <w:sz w:val="28"/>
          <w:szCs w:val="28"/>
          <w:rtl w:val="true"/>
          <w:lang w:bidi="ar-SA"/>
        </w:rPr>
        <w:t xml:space="preserve">وَ الْبِغالَ وَ الْحَمِیرَ لِتَرْکَبُوها وَ زِینَةً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یوجب مشقة النفس یضعضع من النفس ویهونها لدی ذاتها فی مقابل الرفاه والنعیم والاستغناء وهو ما یوجب طغیانها واستکبارها کما یشیر إلیه قوله تعالی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فی وصف أصحاب الشمال إِنَّهُمْ کانُوا قَبْلَ ذلِکَ مُتْرَفِینَ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فی قوله تعالی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Style w:val="FootnoteAnchor"/>
          <w:rtl w:val="true"/>
        </w:rPr>
        <w:footnoteReference w:id="239"/>
      </w:r>
      <w:r>
        <w:rPr>
          <w:rFonts w:ascii="IRNazanin" w:hAnsi="IRNazanin" w:eastAsia="IRNazanin"/>
          <w:color w:val="111111"/>
          <w:sz w:val="28"/>
          <w:sz w:val="28"/>
          <w:szCs w:val="28"/>
          <w:rtl w:val="true"/>
          <w:lang w:bidi="fa-IR"/>
        </w:rPr>
        <w:t>فی صحیحة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وکان رسول الله صلی الله علیه و آله یقوم علی أطراف اصابع رجلیه فانزل الله سبحانه وتعالی ما أَنْزَلْنا عَلَیْکَ الْقُرْآنَ لِتَشْقی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أخری عن أبی جعفر وأبی عبید الله کان رسول الله صلی الله علیه و آله إذا صلی قام علی أصابع رجلیه حتی تورمتا فأنزل الله تبارک وتعالی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الاحتجاج أنه کان إذا قام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قام صلی الله علیه و آله عشر سنین علی أطراف أصابعه حتی تورمت قدماه واصفر وجهه یقوم اللیل</w:t>
      </w:r>
    </w:p>
    <w:p>
      <w:pPr>
        <w:pStyle w:val="BookText"/>
        <w:rPr/>
      </w:pPr>
      <w:r>
        <w:rPr>
          <w:rFonts w:ascii="Amiri" w:hAnsi="Amiri" w:eastAsia="Amiri" w:cs="Amiri"/>
          <w:color w:val="111111"/>
          <w:sz w:val="28"/>
          <w:sz w:val="28"/>
          <w:szCs w:val="28"/>
          <w:rtl w:val="true"/>
          <w:lang w:bidi="ar-SA"/>
        </w:rPr>
        <w:t xml:space="preserve">أجمع حتی عوتب فی ذلک فقال الله عَزَّ وَجَلَّ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Style w:val="FootnoteAnchor"/>
          <w:rtl w:val="true"/>
        </w:rPr>
        <w:footnoteReference w:id="242"/>
      </w:r>
      <w:r>
        <w:rPr>
          <w:rFonts w:ascii="IRNazanin" w:hAnsi="IRNazanin" w:eastAsia="IRNazanin"/>
          <w:color w:val="111111"/>
          <w:sz w:val="28"/>
          <w:sz w:val="28"/>
          <w:szCs w:val="28"/>
          <w:rtl w:val="true"/>
          <w:lang w:bidi="fa-IR"/>
        </w:rPr>
        <w:t>وروی الطبرسی فی مجمع البیان قال 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کان یرفع أحد رجلیه فی الصلاة لیزید تعبه فانزل الله تعالی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 فوضعها</w:t>
      </w:r>
      <w:r>
        <w:rPr>
          <w:rStyle w:val="FootnoteAnchor"/>
          <w:rtl w:val="true"/>
        </w:rPr>
        <w:footnoteReference w:id="243"/>
      </w:r>
      <w:r>
        <w:rPr>
          <w:rFonts w:ascii="IRNazanin" w:hAnsi="IRNazanin" w:eastAsia="IRNazanin"/>
          <w:color w:val="111111"/>
          <w:sz w:val="28"/>
          <w:sz w:val="28"/>
          <w:szCs w:val="28"/>
          <w:rtl w:val="true"/>
          <w:lang w:bidi="fa-IR"/>
        </w:rPr>
        <w:t>وفی موثق ابن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 رسول الله صلی الله علیه و آله بعد ما عظُم أو بعد ما ثقُل کان یصلی وهو قائم ورفع احدی رجلیه حتی انزل الله تعالی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 فوضعها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وفعله صلی الله علیه و آله ذلک وإن نُهی عنه إلاّ أن وجه الحکمة فیه هو الاجتهاد وحمازة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ثقل العبادة والخضوع یکسر جموح النفس ویضعضعها ویُذهب أنفتها ویطأطأ شموخها إلی خضوع العبودیة لله تعالی وقد ورد استحباب لبس الخشن والثقیل من الألبسة فی الصلاة وهو یؤدی نفس هذا المؤدّی ومنه یتضح کبری عامة فی العبادات أن الجهد والاجتهاد والجد فیها اخضع خشوعاً فی عبادیة العبادة وهذه قاعدة عامة أخری کبری اوسع من القاعدة التی نحن فیها وهی صغری تطبیقیة لها وقد أفتی الأصحاب بها کما وردت النصوص والدلائل من الآیات والروایات بها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وَ مَنْ أَرادَ الْآخِرَةَ وَ سَعی لَها سَعْیَها </w:t>
      </w:r>
      <w:r>
        <w:rPr>
          <w:rStyle w:val="FootnoteAnchor"/>
          <w:rtl w:val="true"/>
        </w:rPr>
        <w:footnoteReference w:id="245"/>
      </w:r>
      <w:r>
        <w:rPr>
          <w:rFonts w:ascii="IRNazanin" w:hAnsi="IRNazanin" w:eastAsia="IRNazanin"/>
          <w:color w:val="111111"/>
          <w:sz w:val="28"/>
          <w:sz w:val="28"/>
          <w:szCs w:val="28"/>
          <w:rtl w:val="true"/>
          <w:lang w:bidi="fa-IR"/>
        </w:rPr>
        <w:t>منطبق بعمومه</w:t>
      </w:r>
      <w:bookmarkStart w:id="294" w:name="pg13695_150864"/>
    </w:p>
    <w:p>
      <w:pPr>
        <w:pStyle w:val="BookText"/>
        <w:rPr/>
      </w:pPr>
      <w:bookmarkEnd w:id="294"/>
      <w:r>
        <w:rPr>
          <w:rFonts w:ascii="IRNazanin" w:hAnsi="IRNazanin" w:eastAsia="IRNazanin"/>
          <w:color w:val="111111"/>
          <w:sz w:val="28"/>
          <w:sz w:val="28"/>
          <w:szCs w:val="28"/>
          <w:rtl w:val="true"/>
          <w:lang w:bidi="fa-IR"/>
        </w:rPr>
        <w:t>علی المشی للطاعة وفی صحیح هشام بن سالم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بشیء أفضل من المشی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83939_1468164448"/>
      <w:bookmarkStart w:id="296" w:name="_Toc106"/>
      <w:bookmarkEnd w:id="295"/>
      <w:r>
        <w:rPr>
          <w:rtl w:val="true"/>
        </w:rPr>
        <w:t>الفصل الأوَّل</w:t>
      </w:r>
      <w:r>
        <w:rPr>
          <w:rtl w:val="true"/>
        </w:rPr>
        <w:t xml:space="preserve">: </w:t>
      </w:r>
      <w:r>
        <w:rPr>
          <w:rtl w:val="true"/>
        </w:rPr>
        <w:t>أدلة القاعدة</w:t>
      </w:r>
      <w:r>
        <w:rPr>
          <w:rtl w:val="true"/>
        </w:rPr>
        <w:t>:</w:t>
      </w:r>
      <w:bookmarkEnd w:id="296"/>
    </w:p>
    <w:p>
      <w:pPr>
        <w:pStyle w:val="BookText"/>
        <w:rPr/>
      </w:pPr>
      <w:r>
        <w:rPr>
          <w:rFonts w:ascii="IRNazanin" w:hAnsi="IRNazanin" w:eastAsia="IRNazanin"/>
          <w:color w:val="111111"/>
          <w:sz w:val="28"/>
          <w:sz w:val="28"/>
          <w:szCs w:val="28"/>
          <w:rtl w:val="true"/>
          <w:lang w:bidi="fa-IR"/>
        </w:rPr>
        <w:t>وقد وردت طوائف من الروایات دالة علی مفاد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 مطلق المشی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بشیء أشد من المشی ولا أفضل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عمرو، عن محمد بن إسماعیل بن رجاء الزبیدی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بشیء فضل من المشی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قال دخلنا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وعتبة بن مصعب وبضعة عشر رجلاً من أصحابنا فقلنا جعلنا فداک أیهما أفضل المشی أو الرکوب فقال ما عبدالله بشیء أفضل من المشی، فقلنا أیما أفضل نرکب إلی مکة فنعجّل فنقیم بها إلی أن یقدم الماشی أو نمشی فقال الرکوب أفضل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وذیل الحدیث وإن کان فی خصوص المشی إلی الحج إلاّ أن صدره</w:t>
      </w:r>
    </w:p>
    <w:p>
      <w:pPr>
        <w:pStyle w:val="BookText"/>
        <w:rPr/>
      </w:pPr>
      <w:r>
        <w:rPr>
          <w:rFonts w:ascii="IRNazanin" w:hAnsi="IRNazanin" w:eastAsia="IRNazanin"/>
          <w:color w:val="111111"/>
          <w:sz w:val="28"/>
          <w:sz w:val="28"/>
          <w:szCs w:val="28"/>
          <w:rtl w:val="true"/>
          <w:lang w:bidi="fa-IR"/>
        </w:rPr>
        <w:t>واضح هو فی عموم قضیة المشی کقضیة کلیة لا تختص بالمشی إلی الحج فمن ثم کان الصدرُ قضیة عامة فی عموم المشی وبعبارة أخری أن السؤال فی الذیل حول حکم المشی إلی الحج ناشیٌ من الإثارة الحاصل فتقریب عموم الصدر تام بل الصدر وکذلک الروایتین السابقتین دال علی رجحان عبادیة المشی بغض النظر عن کون غایته 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ذیل صحیحة هشام من ترجیحه الرکوب علی المشی بعد ما ذکر فی صدر الحدیث من رجحان المشی علی الرکوب فهو لأجل نص الروایة أن المشی أفضل إلاّ أن جهات أخری مزاحمة قد تغلب فضیلته کاعمار مکة بالمؤمنین أو المجیء بمزید من الطوائف ونحو ذلک من الأعمال البالغة الرجحان فی مکة وإلاّ فقد روی کما سیأتی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عشرین مرة ماشیاً من المدینة وکذلک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ملاحظات الجهات المختلفة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دلالة هذه الطائفة علی عبادیة المشی الذاتیة فضلاً عن ما إذا مقدمة لعبادة أو لطاعة لله هو أن المشی تواضع والتواضع هو الحالة الأقرب لعبودیة العبد شعوره بالفقر والحاجة والضعة إلی الباری تعالی کما أن فی المشی مشقة تکسر جموح وطغیان النفس فکما أن حالة الإنسان التی وصفت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 فکذلک العکس أن الإنسان لیتّضع أن رآه افتقر ومن ثم کان الفقر شعار الصالحین وهذا بنفسه إشارة إلی تقریب وجه عقلی مستقل فی عبادیة المشی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المشی إلی الحج وهی علی 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دال علی فضیلة المشی إلی الحج علی الرکوب 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الربیع الشامی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عبدالله بشیء أفضل من الصمت والمشی إلی بیته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اسامة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سنة ماشیاً فورمت قدماه فقال بعض موالیه لو رکبت لسکن عنک هذا الورم فقال کلا، إذا أتینا هذا المنزل فإنه یستقبلک اسود ومعه دهن فاشتری منه ولا تماسکه الحدیث</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ربه ثلاث مرات حتی نعلاً ونعلاً وثوباً وثوباً ودیناراً ودیناراً وحج عشرین حجة ماشیاً علی قدمیه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المنکدر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ما ندمت علی شی صنعته ندمی علی أن لم احج ماشیاً لأنی سمعت رسول الله صلی الله علیه و آله یقول من حج بیت الله ماشیاً کتب له سبعة آلاف حسنة من حسنات الحرم قبل یا رسول الله وما حسنات الحرم قال حسنة ألف ألف حسنة وقال فضل المشاة فی الحج کفضل القمر لیلة البدر علی سائر النجوم</w:t>
      </w:r>
    </w:p>
    <w:p>
      <w:pPr>
        <w:pStyle w:val="BookText"/>
        <w:rPr/>
      </w:pPr>
      <w:r>
        <w:rPr>
          <w:rFonts w:ascii="IRNazanin" w:hAnsi="IRNazanin" w:eastAsia="IRNazanin"/>
          <w:color w:val="111111"/>
          <w:sz w:val="28"/>
          <w:sz w:val="28"/>
          <w:szCs w:val="28"/>
          <w:rtl w:val="true"/>
          <w:lang w:bidi="fa-IR"/>
        </w:rPr>
        <w:t>وکان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إلی الحج ودابته تقاد وراءه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المفضل بن عمر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علی کان أعبد الناس وازهدهم وافضلهم فی زمانه وکان إذا حج حج ماشیاً ورمی ماشیاً وربما مشی حافیاً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فی الارشاد بسند متصل عن إبراهیم بن علی قال حج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فسار عشرین یوماً من المدینة إلی مکة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علل الشرائع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سبعین حجة ماشیاً 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البیت ألف آتیة وسبعمائة حجة وثلثمائة عمرة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حماد بن عیسی عمن اخبره عن العبد الصالح فی حدیث قال، قال رسول الله صلی الله علیه و آله ما من طائفٍ یطوف بهذا البیت حین تزول الشمس حاسراً عن رأسه حافیاً یقارب بین خطاه ویغض بصره ویستلم الحجر فی کل طوائف من غیر أن یؤذی أحداً ولا یقطع ذکر الله عن لسانه إلاّ کتب له عَزَّ وَجَلَّ له بکل خطوة سبعین ألف حسنة ومحی عنه سبعین ألف سیئة ورفع له سبعین ألف درجة واعتق عنه سبعین ألف رقبة ثمن کل رقبة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 فی سبعین من أهل بیته وقضیت له سبعون ألف حاجة إن شاء فعاجلة وإن شاء فآجلة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اللسان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إلی الرکوب للحج أفضل من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رفاعة وابن بکیر جمیعاً عن أبی عبدالله أنه سئل عن الحج ماشیاً أفضل أو راکباً فقال بل راکباً فإن رسول الله صلی الله علیه و آله حج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هذه الروایة مستفیض عن رفاعة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سیف التمار 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بلغنا وکنا تلک السنة مشاة، عنک انک تقول فی الرکوب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یحجون مشاة ویرکبون فقلت لیس عن هذا اسئلک فقال عن أی شیء تسألنی فقلت أی شیء أحب إلیک نمشی أو نرکب؟ فقال ترکبون احب الی فإن ذلک اقوی علی الدعاء والعبادة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وصریح هذه الروایة أن أفضلیة الرکوب علی المشی إنما هی بلحاظ جهات طارئة أخری کالتحفظ علی القدرة لأجل الدعاء والعبادة فی الحج لا للرجحان الذاتی للرکوب علی المشی ولعل وجه رکوب رسول الله صلی الله علیه و آله هو لأجل أن لا یشق علی أمته فیضعفوا عن أداء مناسکهم وعن جملة من العبادات الراجحة فی الحج أو أن الرکوب فیه جهة تأسی برسول الله صلی الله علیه و آله وإن کان ما فعله رسول الله صلی الله علیه و آله لیس بداعی جعل السنة منه فی ذلک بل من باب ترک المشی الراجح لئلا تقع أمة فی المشقة أو التفریط فیما هو ارجح من العبادات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عبدالله بن بکیر 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الخروج إلی مکة فقال لا تمشوا وارکبوا فقلت أصلحک أنه بلغنا أن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عشرین حجة ماشیاً فقال أن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یمشی وتساق معه محامله ورحاله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روایة سلیمان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مفاد هذا التعلیل فی هذه الروایة ما سیأتی فی معتبرة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المشی أفضل أو الرکوب فقال إذا کان الرجل موسراً فمشی لیکون أفضل لنفقته فالرکوب أفضل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فی العلل بسندٍ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الروایة تصریحٌ بأن أفضلیة الرکوب لا لرجحانه الذاتی علی المشی بل المشی الراجح ذاتاً علی الرکوب وإنما یرجح ویفضل الرکوب لجهاتٍ طارئة أخری لئلا یکون المشی لتقلیل النفقة وفیما کان الرکوب زیادة انفاق للمال فی سبیل الله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ما فی تعلیل الروایة السابقة من أن حج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لم یکن التقلیل للنفقة بل کان مع بذل کامل لنفقة الرکوب ومن ثم استظهر صاحب الوسائل فی تفسیر الروایة السابقة أن تسوق الرحال والمحامل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أوجب بقاء المشی علی رجحانه</w:t>
      </w:r>
    </w:p>
    <w:p>
      <w:pPr>
        <w:pStyle w:val="BookText"/>
        <w:rPr/>
      </w:pPr>
      <w:r>
        <w:rPr>
          <w:rFonts w:ascii="IRNazanin" w:hAnsi="IRNazanin" w:eastAsia="IRNazanin"/>
          <w:color w:val="111111"/>
          <w:sz w:val="28"/>
          <w:sz w:val="28"/>
          <w:szCs w:val="28"/>
          <w:rtl w:val="true"/>
          <w:lang w:bidi="fa-IR"/>
        </w:rPr>
        <w:t>وأوجب معالجة الجهات الطارئة المزاحمة هو لاحتمال الاحتیاج إلیها عند العجز عن المشی أو لیطمئن الخاطر وتطیب النفس بذلک فلا تعانی من المشقة وتعززها بها عن الذل والمهانة الشدیدة فی المشی نظیر ما ورد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بماءٍ لم یظمأ ولکونها وسیلة آمنٍ لو واجهه قطاع الطریق والاعداء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صحة هذا التفسیر للسان الثانی وأن المشی فی ذاته أفضل من الرکوب لولا الجهات الطارئة ما یأتی فی اللسان الثالث من الروایات الواردة فی لزوم الوفاء بنذر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نذر المشی إنه یلزم الوفاء بع إلا أن یتعب فیرکب، وفی بعض إنحلاله إذا کان مجهداً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أن یمشی إلی بیت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قلت فإنه تعب قال فإذا تعب رکب</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أن یمشی إلی بیت الله وعجز عن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فلیرکب ولیسق بدنه، فإن ذلک یجزی عنه إذا عرف الله منه الجهد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حلف لیحجّن ماشیاً فعجز عن ذلک فلم یطقه، قال فلیرکب ولیست الهدی</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لله علی نفسه شیئاً فبلغ فیه مجهوده فلا شیء علیه، وکان الله أعذر لعبد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مسألته عن رجل جعل علیه شیئاً إلی بیت الله فلم یستطع،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راکباً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تقدیر کلّ هذه الألسن لیس فیها ما یدلّ علی المرجوحیة الذاتیة بل دالّة علی رجحانیة ذات المشی کعبادة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 اللسان الثانیة یوهُمْ خلاف ذلک ولکنه غیر تام کما مرّ لأن أفضلیة الرکوب لجهات عارضة مزاحمة، لا تنافی رجحان المشی الذاتی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مرجوحیّته لکونه ترکاً لسنة رسول الله صلی الله علیه و آله فتعارض اللسان الأول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المنافاة وذلک إذا أتی بالرکوب تأسّیاً بالنبی صلی الله علیه و آله فقد أدرک الفضل ولکن فعله صلی الله علیه و آله من الرکوب کما مرّ، لعلّه لأجل عدم</w:t>
      </w:r>
    </w:p>
    <w:p>
      <w:pPr>
        <w:pStyle w:val="BookText"/>
        <w:rPr/>
      </w:pPr>
      <w:r>
        <w:rPr>
          <w:rFonts w:ascii="IRNazanin" w:hAnsi="IRNazanin" w:eastAsia="IRNazanin"/>
          <w:color w:val="111111"/>
          <w:sz w:val="28"/>
          <w:sz w:val="28"/>
          <w:szCs w:val="28"/>
          <w:rtl w:val="true"/>
          <w:lang w:bidi="fa-IR"/>
        </w:rPr>
        <w:t>إیقاع الأمة فی مشقة المشی لا أن المشی فی نفسه أرجح نظیر ما ورد من الاستقاء فی ماء زمزم فی صحیح الحلبی</w:t>
      </w:r>
      <w:r>
        <w:rPr>
          <w:rStyle w:val="FootnoteAnchor"/>
          <w:rtl w:val="true"/>
        </w:rPr>
        <w:footnoteReference w:id="266"/>
      </w:r>
      <w:r>
        <w:rPr>
          <w:rFonts w:ascii="IRNazanin" w:hAnsi="IRNazanin" w:eastAsia="IRNazanin"/>
          <w:color w:val="111111"/>
          <w:sz w:val="28"/>
          <w:sz w:val="28"/>
          <w:szCs w:val="28"/>
          <w:rtl w:val="true"/>
          <w:lang w:bidi="fa-IR"/>
        </w:rPr>
        <w:t xml:space="preserve">أنه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أمتی لاستقیت منها ذنوباً أو ذنوبین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صریح فی کون الاستقاء، فعلاً راجحاً ولکنه لم یفعله صلی الله علیه و آله لأجل عدم ایقاع الأمة فی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البرقی بسنده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ما ندمت علی شیء صنعت ندمی علی انی لم أحجّ ماشیاً لأنی سمعت رسول الله صلی الله علیه و آله یقول من حجّ بیت الله ماشیاً کتب له سبعة آلاف حسنة من حسنات الحرم قیل یا رسول الله ما حسنات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ألف ألف حسنة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المشاة فی الحج کفضل القمر لیلة البدر علی سائر النجوم وکان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إلی الحج ودابته تقاد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ومفادها صریح فی تفصیلة له صلی الله علیه و آله ، المشی علی الرکوب وإنه صلی الله علیه و آله قد أمر بالمشی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فعله صلی الله علیه و آله إنشاءً للتشریع وبین قوله صلی الله علیه و آله فکلیهما بمفاد واحد فلو کانت هناک مشقة لما أمر به صلی الله علیه و آله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مفادهما وإن کان واحداً إلاّ أنّ فی فعله صلی الله علیه و آله خصیصة زائدة علی الأمر اللفظی وهی عنوان التأسی به صلی الله علیه و آله لقوله تعالی لَکُمْ فِی رَسُولِ اللّهِ أُسْوَةٌ حَسَنَةٌ فإنّ هذا العنوان یضیف إلی الفعل ملاکاً زائداً علی الملاک الذاتی الذی فیه بل لو کان الفعل من المباحات العادیات وطرأ علیه عنوان التأسی لکان یحدث فیه ملاکاً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یشمل التأسی الأفعال العادیة التی کان یأتی بها لا فی مقام التشریع وتبلیغ الأحکام الإلهیة بل ینتهی الأمر حینئذٍ إلی أن کل أفعاله صلی الله علیه و آله لها مدی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الاشتراک فی عموم التأسّی هناک فارق بین الافعال العادیة والأفعال التی یأتی بها صلی الله علیه و آله بقصد الانشاء وبقصد تبلیغ أحکام الله فإنّ العادیات لا إنشاء فی إتیانها کمالا رجحان فی ماهیّتها بما هی هی بخلاف الافعال من النمط الثانی کما أنّ العادیات لا یراد بها کلّ فعل یشترک فیها صلی الله علیه و آله مع نوع البشر بل ما تمیز به صلی الله علیه و آله ممّا یدخل فی المکرمات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مدرک القول بانحلال أو جواز حلّ النذر إذا قیس متعلّق النذر إلی فعل آخر هو ما ورد</w:t>
      </w:r>
      <w:r>
        <w:rPr>
          <w:rStyle w:val="FootnoteAnchor"/>
          <w:rtl w:val="true"/>
        </w:rPr>
        <w:footnoteReference w:id="267"/>
      </w:r>
      <w:r>
        <w:rPr>
          <w:rFonts w:ascii="IRNazanin" w:hAnsi="IRNazanin" w:eastAsia="IRNazanin"/>
          <w:color w:val="111111"/>
          <w:sz w:val="28"/>
          <w:sz w:val="28"/>
          <w:szCs w:val="28"/>
          <w:rtl w:val="true"/>
          <w:lang w:bidi="fa-IR"/>
        </w:rPr>
        <w:t>فی الیمین من أن الحالف إذا رأی مخالفتها خیراً من الوفاء بها جاز له أن یدعها ویأتی بالذی هو خیر هذا إذا لم تحمل هذه الروایات علی شرطیة عدم مرجوحیة المتعلّق ولو بلحاظ حال المزاحمة بینما الکلام فی أفضلیة الفعل المغایر وإن لم یکن مزاحمة فی البین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إشکال فی دلالة الروایات المشار إلیها فی الیمین علی ذلک مضافاً الی دلالة الروایات الورادة فی خصوص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الروایات الواردة فی خصوص المسألة مثل صحیح أبی عبید الحذاء، قال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نذر أن یمشی الی مکة حافیاً، قال إن رسول الله صلی الله علیه و آله خرج حافیاً</w:t>
      </w:r>
    </w:p>
    <w:p>
      <w:pPr>
        <w:pStyle w:val="BookText"/>
        <w:rPr/>
      </w:pPr>
      <w:r>
        <w:rPr>
          <w:rFonts w:ascii="IRNazanin" w:hAnsi="IRNazanin" w:eastAsia="IRNazanin"/>
          <w:color w:val="111111"/>
          <w:sz w:val="28"/>
          <w:sz w:val="28"/>
          <w:szCs w:val="28"/>
          <w:rtl w:val="true"/>
          <w:lang w:bidi="fa-IR"/>
        </w:rPr>
        <w:t xml:space="preserve">فنظر الی امرأة تمشی بین الأبل، فقال من هذه؟ فقال أخت عقبة بن عامر، نذرت أن تمشی الی مکة حافیة،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عقبة إنطلق الی أختک فمرها فلترکب فإن الله غنی عن مشیها وحففیها قال فرکبت</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تعرض الیزدی فی العروة الوثقی الی صور ثلاث فی النذر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ماشیاً أو نذر الزیارة ماشیاً نذراً مطلقاً عن التقیید بسنة معینة فخالف نذره فحجّ أو زار راکباً حکم المشهور بوجوب الإعادة وعدم الکفّارة لإمکان الامتثال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عن المحقق فی المعتبر والعلامة فی المختلف والتذکرة والتحریر والمنتهی والإرشاد وظاهر إیمان القواعد احتمال صحة وقوع الحج عن المنذور وحصول الحنث بترک المشی، وکذا حکموا بسقوط القضاء وحصول فیه الحنث فی الصورة الثانیة وهی ما إذا کان التقیید بسنة معینة حیث ذکر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یجری فیه ما ذکر فی المطلق لأنه لما نوی بحجّه المنذور وقع عنه وإنما اخلّ بالمشی قبله وبین أفعاله فلم یبقی محل للمشی المنذور لیُقضی إلاّ أن یطوف أو یسعی راکباً فیمکن بطلانهما فیبطل الحجّ والزیارة حینئذٍ إنّ تناول النذر للمشی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کشف اللثام أنه قوی إلاّ</w:t>
      </w:r>
    </w:p>
    <w:p>
      <w:pPr>
        <w:pStyle w:val="BookText"/>
        <w:rPr/>
      </w:pPr>
      <w:r>
        <w:rPr>
          <w:rFonts w:ascii="IRNazanin" w:hAnsi="IRNazanin" w:eastAsia="IRNazanin"/>
          <w:color w:val="111111"/>
          <w:sz w:val="28"/>
          <w:sz w:val="28"/>
          <w:szCs w:val="28"/>
          <w:rtl w:val="true"/>
          <w:lang w:bidi="fa-IR"/>
        </w:rPr>
        <w:t>أن یجعل المشی شرطاً فی عقد النذر کما فصل فی المختلف وتقریب ما ذکره أنّ نذر الحج ماشیاً أو الزیارة ماشیاً هو النذر لکل من المشی والحجّ والزیارة وحیث السعی والمشی لیس من شرائط صحة الحج والزیارة وإنما هو من المندوبات فی نفسه التی طرفیها قبل الحجّ نظیر السعی لزیارة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الثواب علی السعی نفسه بذلک القصد مضافاً للثواب وللزیارة والنذر لا یغیر ماهیة المنذور فی نفسه ولا یتصرف فیه وإنما یتعلق به علی ما هو علیه، ومقتضی ذلک وقوع الحج مصداقاً للحج المنذور أو الزیارة المنذور نظیر ما إذا نذر صیام ثلاثة أیام ولم یصم الثالث فإن الیومین یقعان مصداقاً للصوم المنذور، ویجب علیه قضاء یوم واحد فقط ومن ثم حکم الشیخ الطوسی والمفید فی المحکی عنهما فی مسألة مالو مشی بعضاً أنه یصحّ ما أتی به ماشیاً مصداقاً للنذر ولکن یجب علیه بعد اتیان المشی فی المواضع التی رکب فیها مضافاً إلی ظاهر الروایات الواردة فی نذر مشی الحج نذراً مطلقاً أنه مع عجزه عن المشی لا یسقط وجوب الحج النذری عنه الدال علی التفکیک بینهما فی مقام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المقام فی الصورة الأولی حیث أن النذر مطلقاً فبإمکانه أداء المشی ولو فی ضمن الحجّ غیر النذری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الحج والزیارة فی هذه الصور فلما عرفت من أن المشی لیس من شرائط صحة الحج أو الزیارة ولا النذر یسبّب شرطیة للحج أو الزیارة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استدلّ به علی بطلان الحج المأتی به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یقتضی النهی عن ضده وقد تقرّر فی محلّه عدم الاقتضاء بل لا یقتضی عدم الأمر بضدّه أیضاً وإنما یقتضی عدم تعیّن تنجیز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البطلان من جهة أن ما قصد لم یقع وهو الحجّ النذری وما وقع هو حجّ النافلة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نبنی وفاقاً للفاضلین علی صحّته مصداقاً للحج المنذور والزیارة المنذورة فی الصورتین فما قصد قد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النذری لا ملزم له لأن عبادیة الحج الفاضلة وکذا الزیارة، إنما هو بالأمر الندبی المتعلق بهما فی نفسه فی رتبة سابقة علی الأمر النذری والأمر النذری توصّلی فی نفسه ومن ثمة لو بنینا علی عدم صحة ما أتی به عن النذر لکان ما أتی به صحیحاً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إتیان الحج أو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فی الصورة الثالثة وهو فیما لو نذر المشی فی حجّ معیّن أو زیارة معینة، بأن یکون الحج المعین ظرفاً للمنذور لا جزء المنذور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لتفویت متعلق النذر وعلّة المعصیة وإن لم نلتزم بحرمتها الشرعیة إلاّ أن إیجادها قبیح عقلاً فلا تصحّ عبادةً لأن العبادة یشترط فیها أن یکون صدورها حسناً عقلاً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المزبورة وإن کانت متینة إلاّ أنها لا صغری لها فی المقام حیث أنه بالترک قبل أعمال الحج یکون قد حنث فی نذره بإرادته متعمداً لا بأعمال الحجّ والزیارة کما فی ترکه للمشی قبل المیقات وبعد</w:t>
      </w:r>
    </w:p>
    <w:p>
      <w:pPr>
        <w:pStyle w:val="BookText"/>
        <w:rPr/>
      </w:pPr>
      <w:r>
        <w:rPr>
          <w:rFonts w:ascii="IRNazanin" w:hAnsi="IRNazanin" w:eastAsia="IRNazanin"/>
          <w:color w:val="111111"/>
          <w:sz w:val="28"/>
          <w:sz w:val="28"/>
          <w:szCs w:val="28"/>
          <w:rtl w:val="true"/>
          <w:lang w:bidi="fa-IR"/>
        </w:rPr>
        <w:t>المیقات بعد ما أحرم فی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الشیخین فیما تقدّم حکایته من قولهما فیما لو رکب بعضاً ومشی بعضاً أن نذر المشی استغراقی لا مجموعی وحینئذٍ لا یسقط بقاءً الخطاب النذری بالمشی أثناء الأعمال وهذا إنما یتأتی فی خصوص الصورة الأولی وهی النذر المطلق وأما الصورتین الآخرتین فیتحقق حنث النذر بمجرد ترک المشی إلی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الوفاء بالنذر وعدم حنثه ارتباطی مجموعی لأنه تعهد وحدانی غایة الأمر أن متعلّق النذر إذا کان أفعالاً متعددة مستقلة عن بعضها البعض فی نفسها بحسب مشروعیّتها فی نفسها السابق علی طرو النذر علیها تکون صحّتها بنحو منفک عن بعضها البعض دون مقام الوفاء بالنذر هذا مع أن الصورة الأولی وهی النذر المطلق لا وجه للمعصیة بناءً علی قول الشیخین بعد إمکان الامتثال فیما یُعد تبعیضاً فقولهما فی مقام الامتثال وصحّة الأفعال فی نفسها لا فی مقام الوفاء بالنذر ولک أن تقول إنّ هناک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الافعال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بالنذر وهو مجموعی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قضاء النذر وهو لیس بمجموعی أی أنّ سقوط قضاء نذر الحج أو نذرالزیارة أو نذر الصوم غیر معلق علی الوفاء بالنذر بل القضاء معلّق علی ترک الصوم النذری والزیارة النذریة والحج النذری وهو</w:t>
      </w:r>
    </w:p>
    <w:p>
      <w:pPr>
        <w:pStyle w:val="BookText"/>
        <w:rPr/>
      </w:pPr>
      <w:r>
        <w:rPr>
          <w:rFonts w:ascii="IRNazanin" w:hAnsi="IRNazanin" w:eastAsia="IRNazanin"/>
          <w:color w:val="111111"/>
          <w:sz w:val="28"/>
          <w:sz w:val="28"/>
          <w:szCs w:val="28"/>
          <w:rtl w:val="true"/>
          <w:lang w:bidi="fa-IR"/>
        </w:rPr>
        <w:t>لا یصدق مع اتیان الصوم والحج والزیارة ولو منفرداً عن بقیة الأفعال التی ضمها إلیها فی نذر الصوم أو نذر الحج أو نذر الزیارة فمن ثم تبین انفکاک موضوع القضاء عن عدم الوفاء وقد اتضح مما مر ما ینفع فی تنقیح الحال فی الصورتین الباقیتین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أو الزیارة فی سنة معینة فخالف وأتی بهما راکباً فلا یجب قضاءهما کما عرفت للصحة وإن تحقق حنث النذر ووجبت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أو الزیارة ماشیاً مع الاطلاق من دون تقید فی سنة معینة فیجب علیه إعادة المشی ولو فی حج اجاری أو زیارة اجاری أو غیرهما بعد فرض تحقق الحج النذری بناءً علی عدم تبعض المشی وقد تقدمت الإشارة إلی قولی المفید والطوسی وجماعة بتبعیض المشی فی مقام الامتثال مقام الوجوب کافعال مستقلة متعددة لا فی مقام الوفاء فی النذر أی أن کل خطوة فی السعی إلی الحج صحتها کعبادة غیر مرتبطة بالخطوات اللاحقة کما تفیده الروایات الواردة فی فضیلة المشی وهو متین إلاّ أن منصرف التعبیر فی صیغة النذر هو إلی المشی المتواصل بقرینة زیادة المشقة فمن ثم یکون المنذور حصة خاصة لا مطلق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اتضح بذلک الجهات المتعددة فی نذر المشی لحج بیت الله الحرام واجباً أو مستحباً وکذا فی نذر المشی للزیارة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یقرب بأن امتثال متعلّق النذر بالمصداق الأفضل من طبیعة النذر مجزئ وبأنه إیجاد للطبیعة الواجبة بالنذر فی ضمن أفضل مصادیقها</w:t>
      </w:r>
    </w:p>
    <w:p>
      <w:pPr>
        <w:pStyle w:val="BookText"/>
        <w:rPr/>
      </w:pPr>
      <w:r>
        <w:rPr>
          <w:rFonts w:ascii="IRNazanin" w:hAnsi="IRNazanin" w:eastAsia="IRNazanin"/>
          <w:color w:val="111111"/>
          <w:sz w:val="28"/>
          <w:sz w:val="28"/>
          <w:szCs w:val="28"/>
          <w:rtl w:val="true"/>
          <w:lang w:bidi="fa-IR"/>
        </w:rPr>
        <w:t>هذا إذا کان الفرد الأفضل من نفس طبیعة النذر نوعاً أو صنفاً لا ما إذا کانتا متباینتین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نذر الصلاة فی مسجد المحلة فأتی بها فی المسجد الجامع أو المسجد الحرام لاسّیما مع الالتفات إلی أن ما هو متعلق بالنذر الأمر الندبی المتعلق به فی نفسه وهو شامل للفرد الأفضل والمفروض أنّ النذر یتعلق بالمتعلق بما هو علیه من المشروعیة ولک أن تضمّ مقدمة ثالثة وهی أن ظهور تعلق النذر فی مقام الانشاء عند التقییّد بفرد هو خصوصیة التقیّد بفرد بمعنی التحدید بعدم کونه دون ذلک لا التحدید بعدم کونه فوق ذلک الفرد، وإلا لکان هذا قیداً ثانیاً وبعبارة أخری إن الأمر الندبی قد تعّلق بالطبیعة ولم یتعلق بالخصوصیة إلّا فی الخصوصیات الراجحة بلحاظ ما دونها لا الخصوصیات التی هی بلحاظ ما فوقها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لو نذر الصیام یوماً فله أن یأتی به فی یوم غیره أرجح منه کصوم یوم النصف من شعبان أو یوم الغدیر مع أنه خلاف النص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الکلام فی الطبیعة البدلیة ذات الأمر الواحد بحیث یکون امتثال الأفضل لنفس الأمر وهذا بخلاف الطبیعة الاستغراقیة فإن لکل فرد أمر یخصّه وإنّ تفاضلت الأفراد ویدلّ علی ذلک ما ورد من أن من نذر أن یتزوج أمة فتزوج بنت مهیرة أنّ ذلک وفاء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یقال فی المقام بمقتضی ما تقدم وإن کان السعی إلی الحجّ مشیاً أفضل من الرکوب إلاّ أنه قد تعرّض کما تقدمّ جهات للمشی توجب رجحان الرکوب علیه فحینئذ یکون السعی بالرکوب أفضل من المشی کما</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ظاهر طائفة أخری من الروایات کصحیحة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أن یمشی إلی بیت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تعب فلیرکب ،وصحیح ذریح المحاربی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حلف لیحجن ماشیاً فعجز عن ذلک فلم یطقه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فلیرکب ویسوق الهدی ونظیرهما روایات اخری</w:t>
      </w:r>
      <w:r>
        <w:rPr>
          <w:rStyle w:val="FootnoteAnchor"/>
          <w:rtl w:val="true"/>
        </w:rPr>
        <w:footnoteReference w:id="270"/>
      </w:r>
      <w:r>
        <w:rPr>
          <w:rFonts w:ascii="IRNazanin" w:hAnsi="IRNazanin" w:eastAsia="IRNazanin"/>
          <w:color w:val="111111"/>
          <w:sz w:val="28"/>
          <w:sz w:val="28"/>
          <w:szCs w:val="28"/>
          <w:rtl w:val="true"/>
          <w:lang w:bidi="fa-IR"/>
        </w:rPr>
        <w:t>وصحیح إسماعیل بن همام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علیه المشی فی الحج إذا رمی الجمرة زار البیت راکباً ولیس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صحیحته الأخری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علیه المشی إذا رمی الجمرة وزار البیت راکباً وصحیحة السندی بن محمّد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علی نفسی المشی إلی بیت الله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 یمینک فإنمّا جعلت علی نفسک یمیناً وما جعلته لله فف به</w:t>
      </w:r>
      <w:r>
        <w:rPr>
          <w:rStyle w:val="FootnoteAnchor"/>
          <w:rtl w:val="true"/>
        </w:rPr>
        <w:footnoteReference w:id="271"/>
      </w:r>
      <w:r>
        <w:rPr>
          <w:rFonts w:ascii="IRNazanin" w:hAnsi="IRNazanin" w:eastAsia="IRNazanin"/>
          <w:color w:val="111111"/>
          <w:sz w:val="28"/>
          <w:sz w:val="28"/>
          <w:szCs w:val="28"/>
          <w:rtl w:val="true"/>
          <w:lang w:bidi="fa-IR"/>
        </w:rPr>
        <w:t>وغیرها من الروایات</w:t>
      </w:r>
      <w:r>
        <w:rPr>
          <w:rStyle w:val="FootnoteAnchor"/>
          <w:rtl w:val="true"/>
        </w:rPr>
        <w:footnoteReference w:id="272"/>
      </w:r>
      <w:r>
        <w:rPr>
          <w:rFonts w:ascii="IRNazanin" w:hAnsi="IRNazanin" w:eastAsia="IRNazanin"/>
          <w:color w:val="111111"/>
          <w:sz w:val="28"/>
          <w:sz w:val="28"/>
          <w:szCs w:val="28"/>
          <w:rtl w:val="true"/>
          <w:lang w:bidi="fa-IR"/>
        </w:rPr>
        <w:t>فإن ظاهرها تعیّن المشی فی مقام امتثال نذره، ولعّل وجه عدم أفضلیة الرکوب فی نفسه علی المشی وإنما الأفضلیة بلحاظ جهات أخری کالقوة علی الدعاء واستحباب الانفاق فی طریق الحج ونحوها من الجهات الأجنبیة عن الرکوب الملازمة لها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تتحقّق صغری الامتثال بأفضل الأفراد لأنها فی موارد أفضلیة الفرد فی نفسه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نذر المشی ینعقد مطلقاً إلاّ أن یطرأ علیه جهات</w:t>
      </w:r>
    </w:p>
    <w:p>
      <w:pPr>
        <w:pStyle w:val="BookText"/>
        <w:rPr/>
      </w:pPr>
      <w:r>
        <w:rPr>
          <w:rFonts w:ascii="IRNazanin" w:hAnsi="IRNazanin" w:eastAsia="IRNazanin"/>
          <w:color w:val="111111"/>
          <w:sz w:val="28"/>
          <w:sz w:val="28"/>
          <w:szCs w:val="28"/>
          <w:rtl w:val="true"/>
          <w:lang w:bidi="fa-IR"/>
        </w:rPr>
        <w:t>مرجوحة بحیث تکون أقوی من رجحانه الذاتی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أن یعجز عنه فینحل النذر ویستحب له أن یکفرّ لما تقدم من الروایات الدّالة علیه، هذا کله فی شقوق الصورة الأولی و أمّا فی الصورة الثانیة وهو نذر الحج ماشیاً فقد حکی الماتن الیزدی بانعقاده مطلقاً، وکفایة رجحان المقید وتنقیح الکلام فی المقام یتضح بما قدمّناه فی الصورة الأولی من أن القید إذا کان مباحاً أو راجحاً ینعقد النذر مقصوراً علی تلک الحصة من الطبیعة أو أنّه بشرط لاما دونها من الحصص وأمّا بلحاظ ما فوقها من الحصص فهی بنحو لا بشرط وقد تقدم أنه لو نذر الطبیعة فی ضمن حصّة متشخصة بأوصاف مباحة أو راجحة فإنّه یجوز له امتثال نذر الطبیعة بصحة أرجح بخلاف ما لو نذر الخصوصیة الراجحة أی نذر الرکوب نفسه وکان راجحاً فإنه لا یسوغ له إتیان ما هو أرجح منه إلاّ أن تفرض المزاحمة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صحیحة الحذاء من أمر النبی صلی الله علیه و آله برکوب أخت عقبة بن عامر مع کونها ناذرة أن تمشی إلی بیت الله حافیة قضیة فی واقعة یمکن أن یکون لمانع من صحة نذرها لأستلزام کشفها أو تضررّها أو غیر ذلک وهذا ما ذهب إلیه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وذهب إلیه الفاضلان وآخرون وتوقف فیه بعض متأخری العصر، وفی الدروس أنه لا ینعقد نذر الحفاء فی المشی للصحیحة وبقصد صحیحة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مکة حافیاً؟ فقال إن رسول الله صلی الله علیه و آله خرج حاجاً فنظر إلی أمرأة</w:t>
      </w:r>
    </w:p>
    <w:p>
      <w:pPr>
        <w:pStyle w:val="BookText"/>
        <w:rPr/>
      </w:pPr>
      <w:r>
        <w:rPr>
          <w:rFonts w:ascii="IRNazanin" w:hAnsi="IRNazanin" w:eastAsia="IRNazanin"/>
          <w:color w:val="111111"/>
          <w:sz w:val="28"/>
          <w:sz w:val="28"/>
          <w:szCs w:val="28"/>
          <w:rtl w:val="true"/>
          <w:lang w:bidi="fa-IR"/>
        </w:rPr>
        <w:t>تمشی بین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فقالوا أخت عقبة بن عامر نذرت أن تمشی إلی مکة حافیة فقال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عقبة انطلق إلی اختک فمرها فلترکب فإن الله غنی عن مشیها وحفاها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معتبرة أبی بصیر علی الأصح ویعارضها صحیحة رفاعة و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بیت الله حافیاً؟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فإذا تعب فلیرکب</w:t>
      </w:r>
      <w:r>
        <w:rPr>
          <w:rStyle w:val="FootnoteAnchor"/>
          <w:rtl w:val="true"/>
        </w:rPr>
        <w:footnoteReference w:id="275"/>
      </w:r>
      <w:r>
        <w:rPr>
          <w:rFonts w:ascii="IRNazanin" w:hAnsi="IRNazanin" w:eastAsia="IRNazanin"/>
          <w:color w:val="111111"/>
          <w:sz w:val="28"/>
          <w:sz w:val="28"/>
          <w:szCs w:val="28"/>
          <w:rtl w:val="true"/>
          <w:lang w:bidi="fa-IR"/>
        </w:rPr>
        <w:t>وحُملت الصحیحة الأولی علی أنها قضیة فی واقعة نظراً إلی کون فرض المسألة فی امرأة وهی تمشی بین الإبل فالفعل بلحاظها مرجوح فلا یعارض صحیحة رفاعة 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علیه بأنّ حکایة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 فی تلک الواقعة هو بیان للحکم الکلی للنذر المزبور فکیف یکون مخصوص بتلک الواقعة لاسیّما وأن أبا بصیر قد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فأجاب بنفس البیان مضافاً إلی أن الجواب فی صحیحة رفاعة قد یفهم منه الإعراض عن انعقاد النذر بخصوصیة الحفاء وأنّ المنعقد منه هو خصوص المشی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یشکل علیه بأن لا یفکک بین المقیّد والقید فی انعقاد النذر إذ قد یفهم من قصد الناذر تعدد المطلوب فینعقد علی الطبیعة دون القید لأنه مرجوح أو أنّه إذا أنعقد فلا یلزم إتیان تلک الحصّة بنفسها بل له أن یأتی بحصة أفضل بأن یمشی منتعلاً لکن الصحیح عدم التعارض بین الروایات وذلک لأن مفاد الروایتین الاولیتین لو ابقی علی ظاهره البدوی</w:t>
      </w:r>
      <w:bookmarkStart w:id="297" w:name="pg13695_150883"/>
    </w:p>
    <w:p>
      <w:pPr>
        <w:pStyle w:val="BookText"/>
        <w:rPr/>
      </w:pPr>
      <w:bookmarkEnd w:id="297"/>
      <w:r>
        <w:rPr>
          <w:rFonts w:ascii="IRNazanin" w:hAnsi="IRNazanin" w:eastAsia="IRNazanin"/>
          <w:color w:val="111111"/>
          <w:sz w:val="28"/>
          <w:sz w:val="28"/>
          <w:szCs w:val="28"/>
          <w:rtl w:val="true"/>
          <w:lang w:bidi="fa-IR"/>
        </w:rPr>
        <w:t>لکن دالاً علی مرجوحیة المشی فی نفسه، مع انه قد تقدمّ رجحانه الذاتی فذلک قرینة علی کون المرجوحیة فی المورد المحکی کونها امرأة بین الرجال واختلاطها بالإبل مما یعرّضها إلی المحاذیر فمن ثمّ أضیف فی تعبیر الروایة المشی المستغنی عنه والحفاء إلیها لا مطلق المشی والحفاء</w:t>
      </w:r>
      <w:r>
        <w:rPr>
          <w:rFonts w:eastAsia="IRNazanin" w:cs="IRNazanin"/>
          <w:color w:val="111111"/>
          <w:sz w:val="28"/>
          <w:szCs w:val="28"/>
          <w:rtl w:val="true"/>
          <w:lang w:bidi="fa-IR"/>
        </w:rPr>
        <w:t>.</w:t>
      </w:r>
    </w:p>
    <w:p>
      <w:pPr>
        <w:pStyle w:val="Heading3"/>
        <w:numPr>
          <w:ilvl w:val="2"/>
          <w:numId w:val="1"/>
        </w:numPr>
        <w:rPr/>
      </w:pPr>
      <w:bookmarkStart w:id="298" w:name="__RefHeading___Toc983941_1468164448"/>
      <w:bookmarkStart w:id="299" w:name="_Toc107"/>
      <w:bookmarkEnd w:id="298"/>
      <w:r>
        <w:rPr>
          <w:rtl w:val="true"/>
        </w:rPr>
        <w:t>ندبیة الأحتفاء فی المشی</w:t>
      </w:r>
      <w:r>
        <w:rPr>
          <w:rtl w:val="true"/>
        </w:rPr>
        <w:t>:</w:t>
      </w:r>
      <w:bookmarkEnd w:id="299"/>
    </w:p>
    <w:p>
      <w:pPr>
        <w:pStyle w:val="BookText"/>
        <w:rPr/>
      </w:pPr>
      <w:r>
        <w:rPr>
          <w:rFonts w:ascii="IRNazanin" w:hAnsi="IRNazanin" w:eastAsia="IRNazanin"/>
          <w:color w:val="111111"/>
          <w:sz w:val="28"/>
          <w:sz w:val="28"/>
          <w:szCs w:val="28"/>
          <w:rtl w:val="true"/>
          <w:lang w:bidi="fa-IR"/>
        </w:rPr>
        <w:t>وأما وجه بیان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فی مقام بیان الحکم الکّلی لنذر المشی حافیاً فهو إشارة إلی عدم انعقاده مطلقاً فیما إذا استلزم المرجوحیة نظیر ما ورد فی المشی نفسه من الحث علی الترک واختیار الرکوب فی قبال الروایات الآمرة به والناعتة له بأفضل العبادة ویشیر إلی فضیلة الحفاء فی المشی إلی العبادة ما ورد من الندب إلیه فی مشی إمام الجماعة إلی صلاة الجمعة کما فی فعل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استدعاه المأمون للصلاة بالناس صلاة الجمعة وکان فعله اقتداء بما فعله النبی صلی الله علیه و آله کما هو مورد الندب إلیه أیضا فی صلاة العیدین والاستسقاء حتی للمأمومین فی الاستسقاء، بل لایبعد فی صلاة الجمعة أیضاً، مضافاً إلی أنه زیادة فی الخضوع والخشوع والذلّ فی مقام السعی إلی مواطن العبادة والوفود إلی الله تعالی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ورد فی الحجّ أیضاً من استحباب ترک الترفّه فیه وقد ذکر الماتن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 العروة</w:t>
      </w:r>
      <w:r>
        <w:rPr>
          <w:rStyle w:val="FootnoteAnchor"/>
          <w:rtl w:val="true"/>
        </w:rPr>
        <w:footnoteReference w:id="276"/>
      </w:r>
      <w:r>
        <w:rPr>
          <w:rFonts w:ascii="IRNazanin" w:hAnsi="IRNazanin" w:eastAsia="IRNazanin"/>
          <w:color w:val="111111"/>
          <w:sz w:val="28"/>
          <w:sz w:val="28"/>
          <w:szCs w:val="28"/>
          <w:rtl w:val="true"/>
          <w:lang w:bidi="fa-IR"/>
        </w:rPr>
        <w:t>ثلاث حالات لنذر المشی العجز</w:t>
      </w:r>
    </w:p>
    <w:p>
      <w:pPr>
        <w:pStyle w:val="BookText"/>
        <w:rPr/>
      </w:pPr>
      <w:r>
        <w:rPr>
          <w:rFonts w:ascii="IRNazanin" w:hAnsi="IRNazanin" w:eastAsia="IRNazanin"/>
          <w:color w:val="111111"/>
          <w:sz w:val="28"/>
          <w:sz w:val="28"/>
          <w:szCs w:val="28"/>
          <w:rtl w:val="true"/>
          <w:lang w:bidi="fa-IR"/>
        </w:rPr>
        <w:t xml:space="preserve">وأخری الضرر وثالثة الحرج، وهی کما تتأی فی الحج تتأتی فی مطلق نذر المشی لزیارة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اخذها بمقتضی نفس النذر إذ لا یتعلق الإلتزام بغیر المقدور قد دلت الروایات علیه ایضاً الواردة فی خصوص نذر المشی فی الأبواب المشار إلیها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تحریم الاضرار بالنفس کما علیه المشهور ولو لم یکن إهلاکاً ونحوه لها، یکون المتعلق مرجوحاً فینحلّ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فصّل تارة فیها بین الحرج الابتدائی وبین الحرج الطارئ بعد ذلک وأخری بین الحرج المعلوم والمتوقع للناذر وبین الحرج المجهول فقد ذهب الیزدی قده للتفصیل بکون المجهول مسقطاً دون المعلوم معللّا بأن الحرج لا ینافی المشروعیة لکن اللازم علی ذلک عدم التفصیل والتزام المشروعیة فی کلا الشقیّن من دون عزیمة ومن ثم علّل آخرون هذا التفصیل الأول یراد به التفصیل الثانی وإلاّ لا وجه له بخصوصه وقد یقال بمنع شمول قاعدة الحرج للمقام لعدم شمولها للأحکام الإلزامیة التی ینشئها المکلف علی نفسه بالالتزام الحقیّ کما هو الحال فی العقود وکما لو انشأ المکلف العمرة أو الحج الاستحبابییّن فإنه یلزم باتمامهما ولو کانا حرجیین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فی الالتزامات العهدیة والعقدیة إنشاء حقّ للطرف الآخر ومفاد دلیل الحرج رفع التکلیف عزیمةً لا رفع المفاد الوضعی ولا</w:t>
      </w:r>
    </w:p>
    <w:p>
      <w:pPr>
        <w:pStyle w:val="BookText"/>
        <w:rPr/>
      </w:pPr>
      <w:r>
        <w:rPr>
          <w:rFonts w:ascii="IRNazanin" w:hAnsi="IRNazanin" w:eastAsia="IRNazanin"/>
          <w:color w:val="111111"/>
          <w:sz w:val="28"/>
          <w:sz w:val="28"/>
          <w:szCs w:val="28"/>
          <w:rtl w:val="true"/>
          <w:lang w:bidi="fa-IR"/>
        </w:rPr>
        <w:t>رفع التکلیف المترتب علیه لأنّ ظاهر أدلّته هو فی التکالیف التی یجعلها الله علی المکلف ابتداءاً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وردت الأدلة بترخیص ترک النذر مع الحرج الشدید البالغ جدّاً کما فی روایة الرجل الذی نذر المشی ورآه الرسول صلی الله علیه و آله یتهادی بین أبنیه</w:t>
      </w:r>
      <w:r>
        <w:rPr>
          <w:rStyle w:val="FootnoteAnchor"/>
          <w:rtl w:val="true"/>
        </w:rPr>
        <w:footnoteReference w:id="277"/>
      </w:r>
      <w:r>
        <w:rPr>
          <w:rFonts w:ascii="IRNazanin" w:hAnsi="IRNazanin" w:eastAsia="IRNazanin"/>
          <w:color w:val="111111"/>
          <w:sz w:val="28"/>
          <w:sz w:val="28"/>
          <w:szCs w:val="28"/>
          <w:rtl w:val="true"/>
          <w:lang w:bidi="fa-IR"/>
        </w:rPr>
        <w:t>دون الحرج المعتاد الذی هو لازم لطبیعة المشی أو الحفاء، ففی صحیحة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نذر أن یمشی إلی بیت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قلت فإنه تعب قال فإذا تعب رکب</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بالنسبة الی مسألة المبدأ والمنتهی فمقتضی القاعدة هو بحسب قصد الناذر بحسب المبدأ والمنتهی ولکنّه لیس بحسب القصد التفصیلی فقط بل ولا بحسب القصد الإجمالی بل القصد المراد هو القصد الاستعمالی والتفهیمی علی ما هو علیه ومطوی فیه من اجزاء المعنی، ولو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لو قصد الناذر أو العاقد فی معاوضة أو منشأ لشرط فی المعاوضة قصد عنوان بما له من المعنی والمعنون والمسمّی مع الجهل بتفصیل ماهیة ذلک المعنی وجهله بتمام آثاره تفصیلاً، فإنّ هذا لا یخلّ بحصول القصد ولا یمانع عن مؤاخذته بما للمعنی من مقتضیات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قصد تفصیلاً خلاف ما للمعنی من طبیعة أولیة ودلّل علی ذلک بقید أو لفظ لتعّین ما قصد تفصیلاً ومن ذلک یظهر ما فی کلمات</w:t>
      </w:r>
    </w:p>
    <w:p>
      <w:pPr>
        <w:pStyle w:val="BookText"/>
        <w:rPr/>
      </w:pPr>
      <w:r>
        <w:rPr>
          <w:rFonts w:ascii="IRNazanin" w:hAnsi="IRNazanin" w:eastAsia="IRNazanin"/>
          <w:color w:val="111111"/>
          <w:sz w:val="28"/>
          <w:sz w:val="28"/>
          <w:szCs w:val="28"/>
          <w:rtl w:val="true"/>
          <w:lang w:bidi="fa-IR"/>
        </w:rPr>
        <w:t>الأعلام فی المقام ونظائرها من الحوالة علی قصد الناذر أو المنشأ حیث إنّ هذه الحوالة تعلیق لا ینفع فی تحدید وبیان ما للمعنی من طبیعة أولیة فالحری هو بیان مقتضی المعنی الدال علیه اللفظة إذ هو محل التردید لا القصد التفصیلی للناذر فیما إذا دلّل علیه بألفاظ وقیود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المبدأ نُسب إلی الشیخ فی المبسوط أنه من بلد النذر ونسب الشهید الاوّل من بلد الناذر کذلک وآخرین من اقرب البلدین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اللثام أنه من حیث یبدأ المسیر إلی الحج ولعّل الأخیر هو الأقرب إذ یکون کقرینة حالیة غالباً، کما أنه لا بد من الالتفات إلی حال الأعراف الخاصة التی تشکلّ قرائن حالیة مختلفة فمثلاً فی زماننا هذا الکائن فی الجزیرة العربیة یکون مسیر الحج من مدینته وهذا بخلاف القاطن خارجها من الدول الأخری بعد إقامة فواصل الحدود الجمرکیة فإنه قد ینصرف إلی المشی من المدینة المنورة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حیث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ینذر المشی إلی بیت الله الحرام أو الی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ینذر الحج أو الزیارة ماشیاً وثالثة ینذر المشی إلی مکة أو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من تلک الالفاظ مع التدلیل علیها بقرائن هو خصوص منتهی حد معین کمشارف مکة أو الوصول إلی بیت الله الحرام ونحو ذلک فیؤخذ بما قصد تفصیلاً، وأما إذا لم تکن هناک قرائن خاصة أو الالفاظ الخاصة بل من قبیل تلک الأمثلة التی ذکرنا ألفاظها المطلقة فهی فی نفسها تحتمل المشی إلی مجرّد الوصول إلی مکة أو کربلاء أو زیارة البیت بعد الاعمال أو زیارة المرقد الشریف أو تمام الاعمال وقد ورد فی تحدید المعنی</w:t>
      </w:r>
    </w:p>
    <w:p>
      <w:pPr>
        <w:pStyle w:val="BookText"/>
        <w:rPr/>
      </w:pPr>
      <w:r>
        <w:rPr>
          <w:rFonts w:ascii="IRNazanin" w:hAnsi="IRNazanin" w:eastAsia="IRNazanin"/>
          <w:color w:val="111111"/>
          <w:sz w:val="28"/>
          <w:sz w:val="28"/>
          <w:szCs w:val="28"/>
          <w:rtl w:val="true"/>
          <w:lang w:bidi="fa-IR"/>
        </w:rPr>
        <w:t>صحاح متعدّدة وأنه إلی منتهی رمی الجمرة أی جمرة العقبة والمراد به أعمال یوم النحر فی منی فینقطع المشی حینئذ ویزور البیت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 فی الذی علیه المشی إذا رمی الجمرة زار البیت راکباً وفی بعضها الآخر إذا حججت ماشیاً ورمیت الجمرة فقد انقطع المشی وفی بعضها زیادة وحلق رأسه وفی بعضها الآخر التقیید برمی جمرة العقبة</w:t>
      </w:r>
      <w:r>
        <w:rPr>
          <w:rStyle w:val="FootnoteAnchor"/>
          <w:rtl w:val="true"/>
        </w:rPr>
        <w:footnoteReference w:id="279"/>
      </w:r>
      <w:r>
        <w:rPr>
          <w:rFonts w:ascii="IRNazanin" w:hAnsi="IRNazanin" w:eastAsia="IRNazanin"/>
          <w:color w:val="111111"/>
          <w:sz w:val="28"/>
          <w:sz w:val="28"/>
          <w:szCs w:val="28"/>
          <w:rtl w:val="true"/>
          <w:lang w:bidi="fa-IR"/>
        </w:rPr>
        <w:t>ولا تنافی بینها لأن زیارة البیت إنما تشرع بعد رمی جمرة العقبة وإتیان أعمال یوم النحر وظاهر هذه الروایات هو تحدید المنتهی بحسب مقتضی طبع المعنی لا أنها محمولة علی ما إذا کان قصد الناذر التفصیلی ذلک فإنه خلاف ظاهر الروایات فکان العمل بها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موثّقة یونس بن یعقوب 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ینقطع مشی الماشی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من عرفات</w:t>
      </w:r>
      <w:r>
        <w:rPr>
          <w:rStyle w:val="FootnoteAnchor"/>
          <w:rtl w:val="true"/>
        </w:rPr>
        <w:footnoteReference w:id="280"/>
      </w:r>
      <w:r>
        <w:rPr>
          <w:rFonts w:ascii="IRNazanin" w:hAnsi="IRNazanin" w:eastAsia="IRNazanin"/>
          <w:color w:val="111111"/>
          <w:sz w:val="28"/>
          <w:sz w:val="28"/>
          <w:szCs w:val="28"/>
          <w:rtl w:val="true"/>
          <w:lang w:bidi="fa-IR"/>
        </w:rPr>
        <w:t>وهی کما ذکر صاحب الوسائل الشرط فیها مطلق قابل للتقیید وإن أشکل علیه أنّ مدلولها فی مقام التحدید فتعارض بقیّة الروایات ولکن کفی بذلک رجحاناً لبقیة الروایات دلالةً وعدداً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تعرّض الیزدی قده فی مسألة الثلاثین من حج العروة فی نذر الماشی إلی صور ثلاث وتتأتی هذه الصو فی نذر المشی الی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نذر المشی وکان بإمکانه ذلک مع وجود طریق بحری فلا یجوز له حینئذ الرکوب لأنه محالفة للنذر إذ هو کما لو رکب الدابة نعم لو کان قد قیّد نذره بالمشی بالطریق المتعارف لأهل بلده ولو بانصراف الصیغة لذلک لکان متعلق نذره حینئذٍ هو المشی فی المقدار البری للطریق المتعارف کما قد یدّعی ذلک فی أهل السودان والحبشة وهذا استدراک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اضطرّ إلی ذلک لعروض المانع فی سائر الطرق البریة فحکم بسقوط النذر واستدرک علیه بعض المحشین بسقوط خصوص المشی دون الحجّ أو الزیادة وقد یقال بسقوط المشی فی خصوص المقدار البحری دون ما تبقی من المقدار البری کالذی بین المواقیت إلی آخر الأعمال والوجه فی ذلک أنّ النذر تارةً یتعلق بالمشی فی ظرف ما إذا حجّ أو زار المکّلف فإنّه حینئذٍ الوجه ما ذکره الیزدی قده لأن المنذور هو خصوص المشی معلقاً علی حجّة أو زیارته وقد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ینذر المشی إلی الحجّ أو الزیارة غیر معلّق المشی المنذور علی ظرف الحجّ أو الزیارة، بل یکون مع نذر الحجّ أیضاً کما هو الغالب فی مثل هذا الاستعمال فحینئذٍ یشکل سقوط النذر حیث إنه بتعذر صورة المنذور الأولیة یعدّ هذا بدل له عرفی وشرعی نظیر ما إذا نذر الصلاة نافلة وتعذّر علیه القیام فیجلس أو الرکوع والسجود فیومی ولا ریب أن الحجّ ماشیاً طوال الطریق یکون الحجّ ماشیاً بعض الطریق بدلاً رتبیاً 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البدلیة عرفاً بمعنی تعدّد المطلوب بلحاظ أصل</w:t>
      </w:r>
    </w:p>
    <w:p>
      <w:pPr>
        <w:pStyle w:val="BookText"/>
        <w:rPr/>
      </w:pPr>
      <w:r>
        <w:rPr>
          <w:rFonts w:ascii="IRNazanin" w:hAnsi="IRNazanin" w:eastAsia="IRNazanin"/>
          <w:color w:val="111111"/>
          <w:sz w:val="28"/>
          <w:sz w:val="28"/>
          <w:szCs w:val="28"/>
          <w:rtl w:val="true"/>
          <w:lang w:bidi="fa-IR"/>
        </w:rPr>
        <w:t>الطبیعة ومارتبها کمالاً ونقصاً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له بمعتبرة السکونی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أبائه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نذر أن یمشی إلی البیت فعبّر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فی المعبر قائماً حتی یجوزه</w:t>
      </w:r>
      <w:r>
        <w:rPr>
          <w:rStyle w:val="FootnoteAnchor"/>
          <w:rtl w:val="true"/>
        </w:rPr>
        <w:footnoteReference w:id="281"/>
      </w:r>
      <w:r>
        <w:rPr>
          <w:rFonts w:ascii="IRNazanin" w:hAnsi="IRNazanin" w:eastAsia="IRNazanin"/>
          <w:color w:val="111111"/>
          <w:sz w:val="28"/>
          <w:sz w:val="28"/>
          <w:szCs w:val="28"/>
          <w:rtl w:val="true"/>
          <w:lang w:bidi="fa-IR"/>
        </w:rPr>
        <w:t xml:space="preserve">وقد أشکل علی سند الروایة بضعف السکونی والنوفلی ولکن قد أجیب فی الأعصار الأخیرة کما قاله الشیخ فی العدة أن العصابة عملت باخبار السکونی مضافاً إلی ما ذکره المیرزا النوری فی خاتمة المستدرک من القرائن علی وثاقته عند تعرضه لکتاب الأشعثیات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یستفاد وثاقة النوفلی لأن أکثر روایات السکونی هی بتوسط النوفلی مضافاً إلی قرائن أخری علی توثیق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یشکل علیها تارة بعدم ظهورها فی انحصار الطریق فی ذلک وتکون حینئذٍ 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بأن ما تضمّنته هو لزوم القیام حال العبور ولا یلتزم بوجوبه، لأنه علی تقدیر عدم سقوط النذر وانحلاله فإنّما هو بتقریب خروج هذا المقدار عن المتعلّق انصرافاً ونحو ذلک فلا یجب القیام مع أنه لیس میسوراً للمشی کی یلتزم ببدلیته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الإجابة عن ذلک بأن عموم الروایة لا یشمل مورداً یکون فیه 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کبیر بالوقوف قیاماً ولذا عبّر الراوی بالمعبر والمرور وهذا تتناوله صیغة النذر لاسیما إذا کان یسیراً جداً وظاهر الروایة وجوب القیام کبدل ولیس من اللازم تخریجه کبدل علی مقتضی القاعدة أو</w:t>
      </w:r>
    </w:p>
    <w:p>
      <w:pPr>
        <w:pStyle w:val="BookText"/>
        <w:rPr/>
      </w:pPr>
      <w:r>
        <w:rPr>
          <w:rFonts w:ascii="IRNazanin" w:hAnsi="IRNazanin" w:eastAsia="IRNazanin"/>
          <w:color w:val="111111"/>
          <w:sz w:val="28"/>
          <w:sz w:val="28"/>
          <w:szCs w:val="28"/>
          <w:rtl w:val="true"/>
          <w:lang w:bidi="fa-IR"/>
        </w:rPr>
        <w:t>من باب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الطریق منحصر فیه من الأول فحکم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انعقاد النذر وظاهر المحکی عن العلامة أنه ینعقد فی المقدار الممکن مشبه وهو الأقوی لأن النذر ینصرف إلی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جهل الناذر بذلک فیکون حکمه حکم الصورة الأولی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روایات المشی إلی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الحسن باسناده عن محمد بن أحمد بن یحیی، عن یعلی بن حمزة عن الحجال، عن علی بن الحکم، عن رجل،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مسجد لم یضع رجلاً رطبٍ ولا یابس إلاّ سبّحت له الأرض إلی الأرضین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عن سعد، عن أیوب بن نوح، عن الربیع بن محمد بن المسلّی عن رجل،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بشیء مثل الصّمت والمشی إلی بیته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تقدم فی عیادة المریض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مسجد من مساجد الله فله بکلّ خطوة خطاها حتی یرجع إلی منزله عشر حسنات، ومحی عنه عشر سیئات ورفع</w:t>
      </w:r>
    </w:p>
    <w:p>
      <w:pPr>
        <w:pStyle w:val="BookText"/>
        <w:rPr/>
      </w:pPr>
      <w:r>
        <w:rPr>
          <w:rFonts w:ascii="IRNazanin" w:hAnsi="IRNazanin" w:eastAsia="IRNazanin"/>
          <w:color w:val="111111"/>
          <w:sz w:val="28"/>
          <w:sz w:val="28"/>
          <w:szCs w:val="28"/>
          <w:rtl w:val="true"/>
          <w:lang w:bidi="fa-IR"/>
        </w:rPr>
        <w:t>له عشر درجات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مسجد یطلب فیه الجماعة کان له بکل خطوة سبعون ألف حسنة ویرفع له من الدرجات مثل ذلک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فی حاجة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فی حاجة أخیه کتب الله له بها عشر حسنات وأعطاه الله عشر شفاعات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المسلم طلب وجه الله کتب الله عَزَّ وَجَلَّ له ألف ألف حسنة یغفر فیها لأقاربه ومعارفه وجیرانه وإخوانه، ومن صنع إلیه معروفاً فی الدنیا فإذا کان یوم القیامة قیل له ادخل النار فمن وجدته فیها صنع إلیک معروفاً فی الدنیا فأخرجه بإذن الله عَزَّ وَجَلَّ إلاّ أن یکون ناصبیاً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المفضل بن صالح 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مورد، وهی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یعقوب بسنده عن محمد بن علی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ثم لم یناصحه فیها کان کمن خان الله ورسوله وکان الله خصمه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الخامسة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لصلة رحم ولمطلق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 الصدوق عن شعیب بن واقد عن الحسین بن زید،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مشی إلی ذی قرابة بنفسه وماله لیصل رحمه أعطاه الله اجر مائة شهید، وله بکل خطوة اربعون ألف حسنة ومحا عنه أربعین ألف سیئة، ورفع له من الدرجات مثل ذلک، وکان کأنما عبدالله مائة سنة صابراً محتسباً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عماد بن عمرو وأنس بن محمد، عن أبیه جمیعاً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صلی الله علیه و آله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ینبغی العاقل أن یکون ضاعناً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مرمة لمعاش، أو تزود لمعاد، أو لذة فی غیر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 سنتین بر والدیک، سر سنة صل رحمک، سر میلاً عد مریضاً، سر میلین شیع جنازة سر ثلاثة أمیال أحب دعوة، سر أربعة أمیال ذر أخاً فی الله، سر خمسة أمیال أجب الملهوف، سر ستة أمیال انصر مظلوماً وعلیک بالاستغفار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سعید بن جبیر بن عباس فی حدیث سمعت رسول الله صلی الله علیه و آله یقول لو علمتم ما لکم فی رمضان لزدتم الله تعالی ذکره شکراً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أثواباً عظیماً لأول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وکتب الله عَزَّ وَجَلَّ لکم الیوم الثانی بکل خطوة تخطونها فی ذلک الیوم عبادة سنة وثواب نبی</w:t>
      </w:r>
    </w:p>
    <w:p>
      <w:pPr>
        <w:pStyle w:val="BookText"/>
        <w:rPr/>
      </w:pPr>
      <w:r>
        <w:rPr>
          <w:rFonts w:ascii="IRNazanin" w:hAnsi="IRNazanin" w:eastAsia="IRNazanin"/>
          <w:color w:val="111111"/>
          <w:sz w:val="28"/>
          <w:sz w:val="28"/>
          <w:szCs w:val="28"/>
          <w:rtl w:val="true"/>
          <w:lang w:bidi="fa-IR"/>
        </w:rPr>
        <w:t>وکتب لکم صوم سنة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فی نیة الخبر أو فعل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أبی عمیر عن حمزة بن حمران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بحسنة فلم یعملها کتب له حسنة فإن عملها کتبت له عشراً ویضاعف الله من یشأ إلی سبعمائة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ذر عن النبی صلی الله علیه و آله فی وصیته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بالحسنة وإن لم تعملها لکی تکتب من الغافلین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أبیه عن ابن أبی عمیر عن جمیل بن دراج عن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قال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عملها کتبت علیه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منهم بحسنة فإن لم یعملها کتبت له حسنة وإن هو عملها کتبت له عشراً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استحباب المشی إلی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حسینُ إنه من خرج من منزله یرید زیارة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ماشیاً کتب الله له بکل خطوةٍ حسنة ومحا عنه سیئة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بشیر الدهّان،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لیخرج إلی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إذا خرج من أهله بأول خطوة مغفرةٌ ذنوبه ثم لم یزل یقدّس بکل خطوة حتی یأتیه فإذا أتاه ناجاه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سلنی أُعطِک ادعُنی أجیبک اطلب منی أُعطیک سلنی حاجة أقضها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علی الله أن یعطی ما بذل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المغیرة،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لله ملائکة موکلین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الرجلُ بزیارته أعطاهم الله ذنوبه فإذا خطی محوها ثم إذا خطی ضاعفوا له حسانه، فما تزال حسناته تتضاعف حتی توجب له الجنة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المکفوف،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کتب الله له بکل خطوة ألف حسنة، ومحا عنه ألف سیئة ورفع له ألف درجة، فإذا أتیت الفرات إغتسل وعلّق نعلیک وامشی حافیاً وامشی مشی العبد الذلیل، فإذا أتیت باب الحائر فکبّر أربعاً ثم إمشی قلیلاً ثم کبّر أربعاً ثم أتی رأسه فقف علیه فکبّر</w:t>
      </w:r>
    </w:p>
    <w:p>
      <w:pPr>
        <w:pStyle w:val="BookText"/>
        <w:rPr/>
      </w:pPr>
      <w:r>
        <w:rPr>
          <w:rFonts w:ascii="IRNazanin" w:hAnsi="IRNazanin" w:eastAsia="IRNazanin"/>
          <w:color w:val="111111"/>
          <w:sz w:val="28"/>
          <w:sz w:val="28"/>
          <w:szCs w:val="28"/>
          <w:rtl w:val="true"/>
          <w:lang w:bidi="fa-IR"/>
        </w:rPr>
        <w:t>أربعاً واسأل حاجتک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رفاعة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اخبرنی أبی أن من یخرج إلی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غیر مستکبرٍ، وبلغ الفرات ووقع فی الماء وخرج من الماء کان مثل الذی یخرج من الذنوب وإذا مشی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قدماً ووضع أخری، کتب الله له عشر حسنات ومحی عنه عشر سیئات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میمون الصائغ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علی زر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لمن أتاه من الثواب قال من أتاه ماشیاً کتب الله له بکل خطوة حسنة ومحی عنه سیئة ورفع له درجة الحدیث</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سدیر الصیرفی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عبدالله بن مسکان أن لکل خطوة ألف حسنة ویمحی عنه ألف سیئة وترفع له ألف درجة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سعید القاضی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کتب الله له بکل قدم یرفعها ویضعها عتق رقبة من</w:t>
      </w:r>
    </w:p>
    <w:p>
      <w:pPr>
        <w:pStyle w:val="BookText"/>
        <w:rPr/>
      </w:pPr>
      <w:r>
        <w:rPr>
          <w:rFonts w:ascii="IRNazanin" w:hAnsi="IRNazanin" w:eastAsia="IRNazanin"/>
          <w:color w:val="111111"/>
          <w:sz w:val="28"/>
          <w:sz w:val="28"/>
          <w:szCs w:val="28"/>
          <w:rtl w:val="true"/>
          <w:lang w:bidi="fa-IR"/>
        </w:rPr>
        <w:t>ولد إسماعیل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بشیر الدهان 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فاتنی الحج فاعرف 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احسنت یا بشیر إیّما مؤمن اتی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فی غیر یوم عید کتب الله له عشرین حجة وعشرین عمرة مبرورات مقبولات وعشرین حجة وعمرة مع نبی مرسل أو امام عدل قال قلت کیف لی بمثل الموقف قال فنظر الی مثل المغضب ثم قال لی یا بشیر أن المؤمن إذا اتی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واغتسل من الفرات ثم توجه إلیه کتب الله له بکل خطوة حجة بمناسکها ولا أعلمه إلاّ قال وغزوة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قولویه بسند متصل عن قدامة بن مالک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محتسباً لا أشرٍ ولا بطراً ولا ریاءً ولا سمعة محصت عنه ذنوبه کما یمحص الثوب فی الماء فلا یبقی علیه دنس ویکتب له بکل خطوة حجة وکل ما رفع قدماً عمرة</w:t>
      </w:r>
      <w:r>
        <w:rPr>
          <w:rStyle w:val="FootnoteAnchor"/>
          <w:rtl w:val="true"/>
        </w:rPr>
        <w:footnoteReference w:id="304"/>
      </w:r>
      <w:r>
        <w:rPr>
          <w:rFonts w:ascii="IRNazanin" w:hAnsi="IRNazanin" w:eastAsia="IRNazanin"/>
          <w:color w:val="111111"/>
          <w:sz w:val="28"/>
          <w:sz w:val="28"/>
          <w:szCs w:val="28"/>
          <w:rtl w:val="true"/>
          <w:lang w:bidi="fa-IR"/>
        </w:rPr>
        <w:t>ورواه الشیخ فی التهذیب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أخری لبشیر الدهان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نازل بالحیرة وعنده جماعة من الشیعة فأقبل التی بوجهه فقال یا بشیر حجة</w:t>
      </w:r>
    </w:p>
    <w:p>
      <w:pPr>
        <w:pStyle w:val="BookText"/>
        <w:rPr/>
      </w:pPr>
      <w:r>
        <w:rPr>
          <w:rFonts w:ascii="IRNazanin" w:hAnsi="IRNazanin" w:eastAsia="IRNazanin"/>
          <w:color w:val="111111"/>
          <w:sz w:val="28"/>
          <w:sz w:val="28"/>
          <w:szCs w:val="28"/>
          <w:rtl w:val="true"/>
          <w:lang w:bidi="fa-IR"/>
        </w:rPr>
        <w:t>العام قلنا جعلت فداک ولکن عرّفت بالقبر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بشیر والله ما فاتک شئ من أصحاب مکة بمکة قلت جعلت فداک فیه عرفات فسر لی فقال یا بشیر أن الرجل منکم یغتسل علی شاطئ الفرات ثم یأتی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فیعطیه الله بکل قدم یرفعها أو یضعها مائة حجة مقبولة ومعها مائة عمرة مبرورة ومائة غزوة مع نبی مرسل إلی اعداء الله وأعداء الرسول صلی الله علیه و آله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بالطائفة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ستحباب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ذهاباً وعوداً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أحمد بن داود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کتبه ببغداد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محمد بن الحسن الرازی عن الحسین بن إسماعیل الصمیری،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کتب الله له بکل خطوة حجة وعمرة، فإن رجع ماشیاً کتب الله له بکل خطوة حجتین وعمرتین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أحمد بن داود، عن أحمد بن محمد المجاور، عن أبی محمد ابن المغیرة عن الحسین بن محمد بن مالک عن أخیه جعفر عن رجاله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بن محمد الصادق علیهما السلام وقد ذکر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مارد من زار جدی عارفاً بحقه کتب الله له بکل خطوة حجة مقبولة وعمرة مبرورة، والله یا ابن مارد ما تطعم النار قدماً تغیرت فی زیارة أمیر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کان أو راکباً یا ابن مارد اکتب هذا بماء الذهب</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المشهدی عن الحسن بن محمد، عن بعضهم، عن سعد بن عبدالله، عن أحمد بن محمد عن الحسن بن عیسی، عن هشام بن سالم،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مع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نرید أبا جعفر المنصور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أنخ الراحلة فهذا قبر جدی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فانختها ثم نزل فاغتسل وغیر ثوبه وتخفی،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کما افعل، ثم أخذ نحو الذکوات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خطاک وألق ذقنک إلی الأرض یکتب لک بکل خطوة مائة ألف حسنة، وتمحی عنک مائة ألف سیئة، وترفع لک مائة درجة، وتفضی لک مائة ألف حاجة، ویکتب لک ثواب کل صدیق وشهید مات أو قتل، ثم مشی ومشیت معه وعلینا السکینة والوقار نسبح ونقدس ونهلل إلی أن بلغنا الذکوات وذکر الزیارة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دراهم وأصلحت القبر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ویُستخلص مما تقدم جملة من آداب المشی والسنن الراجحة المرعیة فیه ولا یخفی أن هذه الآداب لها مسیس بحقیقة وجوهر عبادیة المشی والإخلال بماهیّة عبادیة المشی بحقیقة وجوهر عبادیة المشی والاخلال بها یوجب الاخلال بماهیة عبادیة المشی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الاحتفاء أی المشی حافیاً فقد مرّ فی روایات مستفیضة أن مشی العبادة یزداد ثواباً مع الاحتفاء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ذکر الله علی لسان الماشی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الایذاء أو المدافعة لأحد أثناء مشیه فی ما أداء ازدحم المشاة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 الرأس لما فیه من حالة التذلل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مشیه لا أشراً ولا بطراً، والاشر فی اللغة المرح وفسر الأشر بالبطر أیضاً وهو المتسرع ذو حدة وقیل الأشر أشد البطر ومن معانی البطر التبختر والتجبر وشدة الفرح وکذلک شدة المرح، وقیل الأشر والبطر النشاط للنعمة والفرح بها ومقابلة النعمة بالتکبر والخیلاء والفخر بها وکفرانها بعدم شکرها، وکذلک من معانی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الطغیان عند النعمة وطول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یخلص فی مشیه بنیة الطاعة من الریاء والسمعة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یسوق معه محمله مما فیه مؤونته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مشیه بداعی تقلیل النفقة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اولا واخرا</w:t>
      </w:r>
      <w:bookmarkStart w:id="300" w:name="pg13695_150901"/>
    </w:p>
    <w:p>
      <w:pPr>
        <w:pStyle w:val="Heading2"/>
        <w:numPr>
          <w:ilvl w:val="1"/>
          <w:numId w:val="1"/>
        </w:numPr>
        <w:rPr/>
      </w:pPr>
      <w:bookmarkStart w:id="301" w:name="__RefHeading___Toc983943_1468164448"/>
      <w:bookmarkStart w:id="302" w:name="_Toc108"/>
      <w:bookmarkEnd w:id="300"/>
      <w:bookmarkEnd w:id="301"/>
      <w:r>
        <w:rPr>
          <w:rtl w:val="true"/>
        </w:rPr>
        <w:t xml:space="preserve">قاعدة </w:t>
      </w:r>
      <w:r>
        <w:rPr>
          <w:rtl w:val="true"/>
        </w:rPr>
        <w:t>:</w:t>
      </w:r>
      <w:r>
        <w:rPr>
          <w:rtl w:val="true"/>
        </w:rPr>
        <w:t>رجحان الشعائر ولو مع الخوف</w:t>
      </w:r>
      <w:bookmarkEnd w:id="30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983945_1468164448"/>
      <w:bookmarkStart w:id="304" w:name="_Toc109"/>
      <w:bookmarkEnd w:id="303"/>
      <w:r>
        <w:rPr>
          <w:rtl w:val="true"/>
        </w:rPr>
        <w:t>اشارة</w:t>
      </w:r>
      <w:bookmarkStart w:id="305" w:name="pg13695_150903"/>
      <w:bookmarkEnd w:id="304"/>
    </w:p>
    <w:p>
      <w:pPr>
        <w:pStyle w:val="BookText"/>
        <w:rPr/>
      </w:pPr>
      <w:bookmarkEnd w:id="305"/>
      <w:r>
        <w:rPr>
          <w:rFonts w:ascii="IRNazanin" w:hAnsi="IRNazanin" w:eastAsia="IRNazanin"/>
          <w:color w:val="111111"/>
          <w:sz w:val="28"/>
          <w:sz w:val="28"/>
          <w:szCs w:val="28"/>
          <w:rtl w:val="true"/>
          <w:lang w:bidi="fa-IR"/>
        </w:rPr>
        <w:t>رجحان الشعائر ولو مع الخوف</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رجحان الشعائر الحسینیة ولو مع الخوف علی النفس</w:t>
      </w:r>
    </w:p>
    <w:p>
      <w:pPr>
        <w:pStyle w:val="Heading3"/>
        <w:numPr>
          <w:ilvl w:val="2"/>
          <w:numId w:val="1"/>
        </w:numPr>
        <w:rPr/>
      </w:pPr>
      <w:bookmarkStart w:id="306" w:name="__RefHeading___Toc983947_1468164448"/>
      <w:bookmarkStart w:id="307" w:name="_Toc110"/>
      <w:bookmarkEnd w:id="306"/>
      <w:r>
        <w:rPr>
          <w:rtl w:val="true"/>
        </w:rPr>
        <w:t>الحث علی زیارة الحسین علیه السلام مع الخوف</w:t>
      </w:r>
      <w:r>
        <w:rPr>
          <w:rtl w:val="true"/>
        </w:rPr>
        <w:t>:</w:t>
      </w:r>
      <w:bookmarkEnd w:id="307"/>
    </w:p>
    <w:p>
      <w:pPr>
        <w:pStyle w:val="BookText"/>
        <w:rPr/>
      </w:pPr>
      <w:r>
        <w:rPr>
          <w:rFonts w:ascii="IRNazanin" w:hAnsi="IRNazanin" w:eastAsia="IRNazanin"/>
          <w:color w:val="111111"/>
          <w:sz w:val="28"/>
          <w:sz w:val="28"/>
          <w:szCs w:val="28"/>
          <w:rtl w:val="true"/>
          <w:lang w:bidi="fa-IR"/>
        </w:rPr>
        <w:t>وردت روایات مستفیضة فی الحث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الشیخ المجلسی فی البحار إلی أن الأسانید الواردة فی ذلک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فیها التحذیر من ترک زیارة الحسین من أجل الخوف</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استفاد منها جماعة من الفقهاء رجحان عموم الشعائر الحسینیة ولو مع الخوف علی النفس فضلاً عمّا دونه من الأضرار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إلی ذلک کل من الشیخ خضر بن شلالّ فی أبواب الجنان</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محمد حسین کاشف الغطاء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الآتیة لا تقتصر علی الحث علی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تشدد ذلک وتوجب الزیارة إجمالاً کما سیظهر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w:t>
      </w:r>
    </w:p>
    <w:p>
      <w:pPr>
        <w:pStyle w:val="BookText"/>
        <w:rPr/>
      </w:pPr>
      <w:r>
        <w:rPr>
          <w:rFonts w:ascii="IRNazanin" w:hAnsi="IRNazanin" w:eastAsia="IRNazanin"/>
          <w:color w:val="111111"/>
          <w:sz w:val="28"/>
          <w:sz w:val="28"/>
          <w:szCs w:val="28"/>
          <w:rtl w:val="true"/>
          <w:lang w:bidi="fa-IR"/>
        </w:rPr>
        <w:t>تکتفی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ترتقی إلی درجة رابعة وهی التحذیر من ترک الزیارة بسبب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مدی قوة هذه الدلالة علی تأکید رجحان الزیارة کأبرز مصداق فی طبیعة الشعائر الحسینیة ولو مع الخوف علی النفس من الهلاک؛ وأن ملاک الرجحان فی الزیارة والشعائر الحسینیة تُسترخص فیه بذل النفس لإقامة وتشیید تلک الأغراض الشرعیة فی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تُسترخص النفس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شعائره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استُرخص بذل النفس فی فضیلة دون ذلک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ورد فی النص والفتوی المتفق علیهما عند المشهور أن من قُتل دون ماله فهو شهید کما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بمنزلة الشهید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خطب الدفاع عن حرمة الأموال وردع الغیر والعدوان عن الأموال لا یضاهی ولا یقایس بحرمة الولایة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الروایات الواردة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قطعیة الصدور عنه لکثرة الطرق إلی معاویة بن وهب لکل من الکلینی والصدوق وابن قولویه، بل الأخیر بإنفراده له عدة طرق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الطرق ما اشتمل جمیع سلسلته علی رؤساء المذهب؛ کطریق الصدوق عن أبیه عن سعد بن عبد الله عن یعقوب بن یزید عن ابن أبی عمیر عن معاویة بن وهب قال</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ترک زیارته رأی من الحسرة ما یتمنّی أنّ قبره کان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تُحب أن یری الله شخصَک وسوادک فیمن یدعو له رسول الله صلی الله علیه و آله وعلی وفاطمة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خضر بن شلال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أن الأخبار الواردة فی فضیلة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فائقة حدّ الإحصاء مذکورة فی مطولات الأصحاب وأنه لکثرتها ذکر والد الشیخ المجلسی</w:t>
      </w:r>
      <w:r>
        <w:rPr>
          <w:rStyle w:val="FootnoteAnchor"/>
          <w:rtl w:val="true"/>
        </w:rPr>
        <w:footnoteReference w:id="315"/>
      </w:r>
      <w:r>
        <w:rPr>
          <w:rFonts w:ascii="IRNazanin" w:hAnsi="IRNazanin" w:eastAsia="IRNazanin"/>
          <w:color w:val="111111"/>
          <w:sz w:val="28"/>
          <w:sz w:val="28"/>
          <w:szCs w:val="28"/>
          <w:rtl w:val="true"/>
          <w:lang w:bidi="fa-IR"/>
        </w:rPr>
        <w:t xml:space="preserve">أن الاحتیاط لکل من زار الحسین أو جدّه أو أباه 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مرة أن لا یقصد الاستحباب بل ینوی القربة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حیطة للوجوب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عنه أنه حمل الأخبار الواردة فی زیارة الحسین مع الخوف والتقیة علی خصوص ما لم یبلغ من الخوف والتقیة إلی مظنّة الضرر وعدم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خصوص ما یُخشی منه فوات العزة والجاه وفوات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تلف النفس والعِرض الذی قد یکون أعظم من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الجواز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فی ابتداء الأمر الذی قد نقول بوجوب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العلم بتلف النفس؛ نظراً إلی أنه من باب حفظ بیضة الإسلام الذی قد کان السرّ فی قدوم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علی</w:t>
      </w:r>
    </w:p>
    <w:p>
      <w:pPr>
        <w:pStyle w:val="BookText"/>
        <w:rPr/>
      </w:pPr>
      <w:r>
        <w:rPr>
          <w:rFonts w:ascii="IRNazanin" w:hAnsi="IRNazanin" w:eastAsia="IRNazanin"/>
          <w:color w:val="111111"/>
          <w:sz w:val="28"/>
          <w:sz w:val="28"/>
          <w:szCs w:val="28"/>
          <w:rtl w:val="true"/>
          <w:lang w:bidi="fa-IR"/>
        </w:rPr>
        <w:t>القتال، مع العلم بما یؤول إلیه الأمر الفظیع حفظ بیضته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ما قد یخفی علی بعض طغام المسلمین من فسادها</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 بعد نقل الروایات الدالة علی أفضیلة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تحث علی زیارته فی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خبر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الأسانید الجمّة محمول علی خوف ضعیف یکون مع ظن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خوف فوات العزّة والجاه وذهاب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تلف النفس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لعمومات التقیة والنهی عن إلقاء النفس إلی التهلکة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ظاهر أکثر أخبار هذا الباب وکثیر من أخبار الأبواب الآتیة وجوب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کونها من أعظم الفرائض وآکدها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القول بوجوبها فی العمر مرّة مع القدرة إلیه کما کان یمیل الوالد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التفصیل فی حدّها القریب والبعید ولا یبعد القول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شرح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خضر بن شلال فی عبارته قائلاً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قد صَدَر فی السقیفة التی قد أولدت فتنتها ما أولدته من عزل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علیه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الزهراء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ووقفة الطف التی یهون من أجلها</w:t>
      </w:r>
    </w:p>
    <w:p>
      <w:pPr>
        <w:pStyle w:val="BookText"/>
        <w:rPr/>
      </w:pPr>
      <w:r>
        <w:rPr>
          <w:rFonts w:ascii="IRNazanin" w:hAnsi="IRNazanin" w:eastAsia="IRNazanin"/>
          <w:color w:val="111111"/>
          <w:sz w:val="28"/>
          <w:sz w:val="28"/>
          <w:szCs w:val="28"/>
          <w:rtl w:val="true"/>
          <w:lang w:bidi="fa-IR"/>
        </w:rPr>
        <w:t>انطباق السماء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المفاسد التی من أقلّها تقدیم معادن الأُبَن واللؤم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معادن العلم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ما قد یستفاد منه حُسن ما ذکره المجلسی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أخری من الروایات إلی غیر ذلک مما قد یستفاد منه وجوب الإستنابة علی من لم یتمکن من زیارته فی العمر مرة، کما یُندب إلیها فی سائر الأوقات حتی لمن قد کان مصاحباً لنائبه الذی لو کان متعدداً لکان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إذا کان من العلماء الذین قد لا یرتاب ذو مسکة فی أن زیارة واحد من أتقیائهم خیر من زیارة عالم من غیرهم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الصحیحة المتقدمة هذا الموضع أیضاً من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 لزوار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وأکفِهم شرّ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ضعیف من خلقِک أو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شیاطین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یشیر إلی احتفاف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بل غالباً وفی معظم الأزمان بمخاطر ومخاوف تهدد الزوّار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من روایات مستفیضة بل متواترة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سائر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الحث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عصورهم بالإضافة إلی الحث المطلق علی ذلک؛ حثاً 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والتوبیخ الشدید علی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الزیارة فی عصورهم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محفوفة بالخوف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والمخاطر والملاحقة من بنی أمیة وبنی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الطریق إلی</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خلال بعض المناطق التی یسکنها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فی هذه الروایات الحثّ الشدید لرؤساء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الجارود، ومعاویة بن وهب، ومحمد بن مسلم، ویونس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الملک بن حکیم الخثعمی، وهؤلاء رؤساء المذهب والشیعة وممن یظنّ بهم ولا یُفرطّ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یزجّهم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المخاوف ویعاتبهم عتاباً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قولویه بسنده المتصل المُعتبر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 زار أباک علی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یؤمنه الله یوم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الملائکة بالبشارة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ولا تحزن هذا یومک الذی فیه فوزُک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هذه الروایة علی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محفوفة بالخوف والمخاطر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الدلالة علی ذلک فی روایات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الحال کذلک منذ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عصر المتوکل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الأدلة علی هذه الحقیقة التاریخیة بجملة من الروایات الآتیة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زرارة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w:t>
      </w:r>
    </w:p>
    <w:p>
      <w:pPr>
        <w:pStyle w:val="BookText"/>
        <w:rPr/>
      </w:pPr>
      <w:r>
        <w:rPr>
          <w:rFonts w:ascii="IRNazanin" w:hAnsi="IRNazanin" w:eastAsia="IRNazanin"/>
          <w:color w:val="111111"/>
          <w:sz w:val="28"/>
          <w:sz w:val="28"/>
          <w:szCs w:val="28"/>
          <w:rtl w:val="true"/>
          <w:lang w:bidi="fa-IR"/>
        </w:rPr>
        <w:t>رؤوساء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آخر لزرارة ومحمد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مقطوع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وبین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ستة عشر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سبعة عشر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تأتونه؟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فی صحیح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مقطوع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تزورون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أربعة آلاف ملک شعثاً غبراً یبکونه إلی یوم القیامة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ومعتبرة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لأقوامٍ یزعمون أنهم شیعة لنا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 یمرّ به دهراً لا یأتی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وتهاوناً وعجزاً وکسلاً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یُعلم ما فیه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تهاون وما کسل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فیه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ما یصیبه أن یُغفر ما مضی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کامل الزیارات بعدة أسانید 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فی 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لله ألف ملک شعثاًغبراً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ویرثونه لا یفترون، زواراً لقبر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وثوابهم لمن 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سدیراً قاطن فی الکوفة، والطریق مرحلتان من الکوفة إلی کربلاء ویستغرق آنذاک علی الدواب یوماً ومع ذلک فإنه یحثُّه علی الزیارة کل یوم من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طریق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زره ولا تجفه فإنه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شباب أهل الجنة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طریق 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لمحروم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متن لطریق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من زیارة قبر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متن لطریق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أن تزور قبر الحسین فی کل یوم جمعة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وبینه فراسخ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متن لطریق سادس قال قال لی أبو عبدالله یا سدیر تکثر من زیارة قبر أبی عبدالله قلت انه من الشغل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متن لطریق سابع قال،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وما علیک أن تزور قبر الحسین فی کل جمعه خمس مرات، وفی کل یوم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بیننا وبینه فراسخ کثیرة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کامل الزیارات بسنده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 وبین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وبعض یوم للماشی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أفتأتیه 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آتیه إلّا فی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قریباً منا لاتخذناه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نهاجر إلیه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شیعتنا کان منتَقص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منتقص الدین</w:t>
      </w:r>
      <w:r>
        <w:rPr>
          <w:rStyle w:val="FootnoteAnchor"/>
          <w:rtl w:val="true"/>
        </w:rPr>
        <w:footnoteReference w:id="3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دخل الجنة کان من دون المؤمنین فی الجنة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مصحح هشام بن سالمٌ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یُزار والدک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أتاه؟ 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إن کان یأتمّ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قُتل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علیه سلطان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 قطرة من دمه یُغفر له بها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وتُغسل طینته التی خلق منها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تخلص کما خلصت الأنبیاء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 عنها ما کان خالطها من أجناس 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ویُشرح صدره ویُملأ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فیلقی الله وهو مُخلص من کل ما تخالطه الأبدان والقلوب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 له شفاعة فی أهل بیته وألف من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الصلاة علیه الملائکة مع جبرئیل وملک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ویؤتی بکفنه وحنوطه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ویوسّع قبره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ویوضع له مصابیح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ویُفتح له باب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وتأتیه الملائکة بالطُرَف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بعد ثمانیة عشر یوماً إلی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فیها مع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تصیبه النفخة التی لا تُبقی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النفخة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قبره کان أول من یصافحه رسول الله صلی الله علیه و آله 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ویبشرونه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له إلزَمنا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ویقیمونه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فیشرب منه؛ ویسقی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حُبس فی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بکل یوم یُحبس ویُغتم فرحة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ضُرب بعد الحبس فی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بکلّ ضربة حوراء؛ وبکل وجع یدخل علی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ویُمحی عنه بها ألف ألف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له بها ألف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من محدّثی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فیصافحه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سل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ویؤتی بضاربه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یُسأل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یُحتسب بشیء؛ ویؤخذ بضبعیه حتی یُنتهی به إلی مَلَک یحبوه ویُتحفه بشربة من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وشربة من غسلین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ویوضع علی مقال</w:t>
      </w:r>
      <w:r>
        <w:rPr>
          <w:rStyle w:val="FootnoteAnchor"/>
          <w:rtl w:val="true"/>
        </w:rPr>
        <w:footnoteReference w:id="328"/>
      </w: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 ذُق بما قدمت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أتیت إلی هذا الذی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وفد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ویؤتی بالمضروب إلی باب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أنظر إلی ضاربک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قد 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شفیت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اقتص لک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انتصر لی ولولد رسوله منه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سؤال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فقهاء أصحاب الصادق والکاظم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بحیث یتعرض الزائر إلی القتل أو السجن أو 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کان متعارفاً معهوداً لدی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سیرتهم بالزیارة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هذه المخاطر هی بدفع وتحریک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لاسیما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کونها فی معرض القتل أو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التعذیب والتنکیل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مصححّ الحسین بن بنت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مثلها بنفس المضمون بطریق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الجمّال عن أبی عبد الله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معتبرة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زار أباک علی 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یؤمنه الله یوم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الملائکة بالبشارة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ولا تحزن هذا یومک الذی فیه فوزک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یونس بن ظبیان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الفرات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ألبس أثوابک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تمر بأزاء القبر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تمت زیارتک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هذه الروایة بوضوح الحث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حالة التقیة کما تدل علی ابتلاء الزوار بالخوف الشدید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للزیارة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یواری فیها توجّهه للقبر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یمرّ بحذائه من دون أن یتجه إلیه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یونس بن ظبیان ممّن یحافَظ ویُهتم بسلامته من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خوف ووجل؛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هذا أشدّ فالثواب فیه علی قدر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خاف فی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الله روعته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 علیه الملائکة؛ وزاره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وانقلب بنعمة من الله</w:t>
      </w:r>
    </w:p>
    <w:p>
      <w:pPr>
        <w:pStyle w:val="BookText"/>
        <w:rPr/>
      </w:pPr>
      <w:r>
        <w:rPr>
          <w:rFonts w:ascii="IRNazanin" w:hAnsi="IRNazanin" w:eastAsia="IRNazanin"/>
          <w:color w:val="111111"/>
          <w:sz w:val="28"/>
          <w:sz w:val="28"/>
          <w:szCs w:val="28"/>
          <w:rtl w:val="true"/>
          <w:lang w:bidi="fa-IR"/>
        </w:rPr>
        <w:t>وفضل لم یمسسه سوء واتبع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تتمة الحدیث</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الروایة إطلاق رجحان الزیارة مع مطلق درجات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مع ما تقدّم من الروایات المستفیضة أن الخوف کان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وأهونه السجن والضرب والأذی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فمعرضیة الخوف علی النفس معتادة فی الزیارة آنذاک بکثرة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أکثر رؤساء الشیعة من أصحاب 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ینقطعون عن الزیارة بسبب الخوف عن النفس أو السجن والملاحقة والإیذاء والاستهداف لأشخاصهم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سائر الرواة ذوی الفضیلة وکذلک عموم الشیعة؛ ومع ذلک ورد التأکید الشدید علی خصوص رؤسائهم کزرارة ومحمد بن مسلم وأبان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بکیر ومعاویة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والمفضل بن عمر وعبد الملک بن حکیم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أکابر فقهاء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التأکید بالالتزام بالزیارة رغم الظروف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عموم الفضلاء وعموم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عبد الملک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زیارة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أصحابک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فی کامل الزیارات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فی</w:t>
      </w:r>
    </w:p>
    <w:p>
      <w:pPr>
        <w:pStyle w:val="BookText"/>
        <w:rPr/>
      </w:pPr>
      <w:r>
        <w:rPr>
          <w:rFonts w:ascii="IRNazanin" w:hAnsi="IRNazanin" w:eastAsia="IRNazanin"/>
          <w:color w:val="111111"/>
          <w:sz w:val="28"/>
          <w:sz w:val="28"/>
          <w:szCs w:val="28"/>
          <w:rtl w:val="true"/>
          <w:lang w:bidi="fa-IR"/>
        </w:rPr>
        <w:t>ثواب الأعمال والفقیه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والکلینی فی الکافی بسند صحیح أعلائی عن محمد بن مسلم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إتیانه مفترض علی کل مؤمن یقرّ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الله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مفاد هذه الصحیحة القطعیة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رواتها کلّهم من زعماء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مسلم الذی هو من فقهاء الشیعة ومراجعهم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یتصدی لحث عموم الشیعة بإقامة شعیرة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الظروف الصعبة التی فیها المخاطرة فی الأنفس والتعرّض للمصاعب والملاحقة من المسالح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عسکریة وأمنیة للتفتیش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الدولة الظالمة الأمویة والعباسیة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والتضییق فی المعیشة علی من یعرف ویشتهر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 روایات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یعلّل هذا الأمر بأن الزیارة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یشیر بوضوح أن الشعائر المرتبطة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الوجوب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الوجوب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والتخییری فضلاً عن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یفوق ملاک حکم حفظ النفس</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باب الجهاد بل هو من أعظم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جهاد لإقامة صرح</w:t>
      </w:r>
      <w:bookmarkStart w:id="308" w:name="pg13695_150917"/>
    </w:p>
    <w:p>
      <w:pPr>
        <w:pStyle w:val="BookText"/>
        <w:rPr/>
      </w:pPr>
      <w:bookmarkEnd w:id="308"/>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لم یختص هذه التوصیة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مسلم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مرّ توصیته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الملک بن حکیم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عیناً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موقعیة فی الشیعة</w:t>
      </w:r>
      <w:r>
        <w:rPr>
          <w:rFonts w:eastAsia="IRNazanin" w:cs="IRNazanin"/>
          <w:color w:val="111111"/>
          <w:sz w:val="28"/>
          <w:szCs w:val="28"/>
          <w:rtl w:val="true"/>
          <w:lang w:bidi="fa-IR"/>
        </w:rPr>
        <w:t>..</w:t>
      </w:r>
    </w:p>
    <w:p>
      <w:pPr>
        <w:pStyle w:val="Heading3"/>
        <w:numPr>
          <w:ilvl w:val="2"/>
          <w:numId w:val="1"/>
        </w:numPr>
        <w:rPr/>
      </w:pPr>
      <w:bookmarkStart w:id="309" w:name="__RefHeading___Toc983949_1468164448"/>
      <w:bookmarkStart w:id="310" w:name="_Toc111"/>
      <w:bookmarkEnd w:id="309"/>
      <w:r>
        <w:rPr>
          <w:rtl w:val="true"/>
        </w:rPr>
        <w:t>زیارة الحسین</w:t>
      </w:r>
      <w:r>
        <w:rPr>
          <w:rtl w:val="true"/>
        </w:rPr>
        <w:t>(</w:t>
      </w:r>
      <w:r>
        <w:rPr>
          <w:rtl w:val="true"/>
        </w:rPr>
        <w:t>علیه السلام</w:t>
      </w:r>
      <w:r>
        <w:rPr>
          <w:rtl w:val="true"/>
        </w:rPr>
        <w:t xml:space="preserve">) </w:t>
      </w:r>
      <w:r>
        <w:rPr>
          <w:rtl w:val="true"/>
        </w:rPr>
        <w:t>فی حالة الخوف</w:t>
      </w:r>
      <w:r>
        <w:rPr>
          <w:rtl w:val="true"/>
        </w:rPr>
        <w:t>:</w:t>
      </w:r>
      <w:bookmarkEnd w:id="310"/>
    </w:p>
    <w:p>
      <w:pPr>
        <w:pStyle w:val="BookText"/>
        <w:rPr/>
      </w:pPr>
      <w:r>
        <w:rPr>
          <w:rFonts w:ascii="IRNazanin" w:hAnsi="IRNazanin" w:eastAsia="IRNazanin"/>
          <w:color w:val="111111"/>
          <w:sz w:val="28"/>
          <w:sz w:val="28"/>
          <w:szCs w:val="28"/>
          <w:rtl w:val="true"/>
          <w:lang w:bidi="fa-IR"/>
        </w:rPr>
        <w:t>ویدل علی رجحان الزیارة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خوف علی النفس فضلاً عمّا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مقتضی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رجحان الزیارة ومشروعیتها فی هذه الحالة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یستفاد من هذه المادة التشریعیة جملة من التشریعات الهامة فی باب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درجة الضرر والإضرار المشروع تحمله فی باب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دلالتها درجة أهمیة الشعائر الحسینیة فی معالم الدین وأرکانه وجملة أخری من الفوائد الصناعیة والفقهیة والمعرفیة التی سنشیر إلیها فی جملة من الأبحاث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قولویه بسند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بن عبد الملک کردین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مسمع أنت من أهل العراق؟ أما تأتی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مشهور عند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من یتبع هوی هذا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وعدونا کثیر من أهل القبائل من النصّاب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آمنهم أن یرفعوا حالی عند وِلد سلیمان فیمثلون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تذکر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والله واستعبر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مبادرته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لمسمع بحثّه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ظروف حکم خلفاء بنی مروان وسلیمان بن عبد الملک المروانی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تخفی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وإرهاب السلطة لشیعة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یخفی علیه وضع وظروف قبائل البصرة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علیه العذر الذی تذّرع به الراوی کسبب لعدم 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ورغم ذلک یبادر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الاستنکاری علی مسمع من ترکه لزیارة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ویعاتبه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هذه الظروف رغم قساوتها وشدتها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عذراً فی ترک هذا الأمر المطلوب شرعاً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أئمة أهل البیت شدّدوا فی التزام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وتجنّب الاشتهار والإذاعة والإفشاء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یوجب المخاطرة بالنفس أو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کلّ ذلک فی باب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أن التقیة مبرر لترک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رأی ضعفاً وتردداً فی الراوی من القیام بالزیارة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المجال للانقطاع وترک الارتباط بشعائر سید الشهداء فأخذ یحثه علی طریقة وآلیة أخری للشعائر الحسینیة وهی إقامة العزاء والمأتم وذکر المُصاب ممّا یبین مدی إصرار الشریعة علی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ولم یکتف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بالدرجة النازلة من إقامة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طالب</w:t>
      </w:r>
    </w:p>
    <w:p>
      <w:pPr>
        <w:pStyle w:val="BookText"/>
        <w:rPr/>
      </w:pPr>
      <w:r>
        <w:rPr>
          <w:rFonts w:ascii="IRNazanin" w:hAnsi="IRNazanin" w:eastAsia="IRNazanin"/>
          <w:color w:val="111111"/>
          <w:sz w:val="28"/>
          <w:sz w:val="28"/>
          <w:szCs w:val="28"/>
          <w:rtl w:val="true"/>
          <w:lang w:bidi="fa-IR"/>
        </w:rPr>
        <w:t>الراوی بالجزع رغم ظروف التقیة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کثیرة دالة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آنذاک التی صدرت فیها الروایات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وقبلهما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الحاثّة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مطلقات الروایات الحاثّة علی ذلک؛ صدرت فی ظرف الخوف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فبالتالی یکون 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منحصراً بذلک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واردة فی ذلک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موجهة فی بادی الأمر إلی زمن صدور النص؛ وعلی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عمومات الروایات المتواترة والمستفیضة الآمرة بزیارة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زیارة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تحثّ علی الزیارة فی ظرف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تشتمل ألفاظها علی لفظ الخوف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کافة هذه الروایات هی آمرة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ومشتملة علی طلب الزیارة فی حالة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الروایات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بسنده إلی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اعتباره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متی أنتم ونحن فی هذا القتل والخوف والشدة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سبعون فرجاً أجواب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وقت السبعین فإذا دخل وقت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الرایات تتری کأنها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 ذلک</w:t>
      </w:r>
    </w:p>
    <w:p>
      <w:pPr>
        <w:pStyle w:val="BookText"/>
        <w:rPr/>
      </w:pPr>
      <w:r>
        <w:rPr>
          <w:rFonts w:ascii="IRNazanin" w:hAnsi="IRNazanin" w:eastAsia="IRNazanin"/>
          <w:color w:val="111111"/>
          <w:sz w:val="28"/>
          <w:sz w:val="28"/>
          <w:szCs w:val="28"/>
          <w:rtl w:val="true"/>
          <w:lang w:bidi="fa-IR"/>
        </w:rPr>
        <w:t>الوقت قرّت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والجوب جمع قطعة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والجوبة الفجوة بین البیوت والفرجة بین السحاب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بین کل فرج وآخر انقطاع وتخلل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کل شدة وشدة انقطاع وفرج فلا یتصل بعضه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محسنة عبد الله بن حماد البصری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لفضیلة ما أوتی أحد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أحسبکم تعرفونها کنه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تحافظون علیها ولا علی القیام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لها لأهلاً خاصة قد سُمّوا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وأُعطوها بلا حولٍ منهم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من صنع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وسعادة حباهم الله بها ورحمة ورأفة 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الذی وصفته ولم تسمّه؟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جدّی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إلّا من امتحن الله قلبه للإیمان وعرّفه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آتیه حتی بُلیت بالسلطان وفی حفظ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للتقیة إتیانه وأنا أعرف ما فی إتیانه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فضل من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عندنا من جزیل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الفضل فیباهیه ملائکة السماء وأما ما له عندنا فالترحّم علیه کل صباح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قوماً یأتونه من نواحی الکوفة وناساً من</w:t>
      </w:r>
    </w:p>
    <w:p>
      <w:pPr>
        <w:pStyle w:val="BookText"/>
        <w:rPr/>
      </w:pP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یندبنه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بین قارئ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 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ونادب یندب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یقول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بعض ما 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الناس من یفد إلینا ویمدحنا ویرثی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عدونا من یطعن علیهم من قرابتنا وغیرهم یُهدرونهم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ویقبحون 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یهدرون دمائهم فهذا تصریح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ظرف الزائرین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ورغم ذلک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یحث علی الزیارة کشعیرة عظیمة من الشعائر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قولویه بإسناده عن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قد حجّ حجة الإسلام یرجع فیحج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یخرج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أبیک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یأتی خراسان فیسلّم علی أبی الحسن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ذلک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ینبغی أن تفعلوا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علینا وعلیکم خوفاً من السلطان وشنعة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هذا الحدیث وإن کان فی زیارة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الأولی ترک الزیارة مع الخوف؛ إلّا أن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شاهد علی کون زیاراتهم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الخوف من بنی أمیة وبنی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فی الصحیح إلی الحسین بن یسار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فیه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الفضل کمن زار والده یعنی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ولم یمکن لی الدخول داخله؛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 وراء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الحائر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دلالة علی أن زیارة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کانت علی خوف وتقیة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مصحح إلی الحسین بن یسار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 بد منه فمن وراء الحجاب</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دال علی وقوع الخوف فی زیارة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بالتحفّظ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خلاف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الحث علی الزیارة مع الخوف من دون مراعاة التحفظ</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الحسین بن بنت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خرجت فی آخر زمان بنی مروان إلی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مستخفیاً من أهل الشام حتی</w:t>
      </w:r>
    </w:p>
    <w:p>
      <w:pPr>
        <w:pStyle w:val="BookText"/>
        <w:rPr/>
      </w:pPr>
      <w:r>
        <w:rPr>
          <w:rFonts w:ascii="IRNazanin" w:hAnsi="IRNazanin" w:eastAsia="IRNazanin"/>
          <w:color w:val="111111"/>
          <w:sz w:val="28"/>
          <w:sz w:val="28"/>
          <w:szCs w:val="28"/>
          <w:rtl w:val="true"/>
          <w:lang w:bidi="fa-IR"/>
        </w:rPr>
        <w:t>انتهیت إلی کربلاء فاختفیت فی ناحیة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ذهب من اللیل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نحو القبر فلما دنوت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نحوی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مأجوراً فإنک لا تصل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فزعاً حتی إذا کان</w:t>
      </w:r>
      <w:r>
        <w:rPr>
          <w:rStyle w:val="FootnoteAnchor"/>
          <w:rtl w:val="true"/>
        </w:rPr>
        <w:footnoteReference w:id="343"/>
      </w:r>
      <w:r>
        <w:rPr>
          <w:rFonts w:ascii="IRNazanin" w:hAnsi="IRNazanin" w:eastAsia="IRNazanin"/>
          <w:color w:val="111111"/>
          <w:sz w:val="28"/>
          <w:sz w:val="28"/>
          <w:szCs w:val="28"/>
          <w:rtl w:val="true"/>
          <w:lang w:bidi="fa-IR"/>
        </w:rPr>
        <w:t>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نحوه حتی إذا دنوت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تصل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أصل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أقبلتُ من الکوفة أرید زیارته فلا تُحل بینی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أخاف أن أُصبح فیقتلونی أهل الشام إن أدرکونی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حتی إذا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یُحل بینی وبینه أحد فدنوت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 الله علی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مسرعاً مخافة أهل الشام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أنزل الأرجان</w:t>
      </w:r>
      <w:r>
        <w:rPr>
          <w:rStyle w:val="FootnoteAnchor"/>
          <w:rtl w:val="true"/>
        </w:rPr>
        <w:footnoteReference w:id="345"/>
      </w:r>
      <w:r>
        <w:rPr>
          <w:rFonts w:ascii="IRNazanin" w:hAnsi="IRNazanin" w:eastAsia="IRNazanin"/>
          <w:color w:val="111111"/>
          <w:sz w:val="28"/>
          <w:sz w:val="28"/>
          <w:szCs w:val="28"/>
          <w:rtl w:val="true"/>
          <w:lang w:bidi="fa-IR"/>
        </w:rPr>
        <w:t>وقلبی ینازعنی إلی قبر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فقلبی وجلٌ مشفق حتی أرجع خوفاً من السلطان والسعاة وأصحاب المسالح؛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یراک الله فینا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أنه من خاف لخوفنا أظلّه الله فی ظلّ عرشه؛ وکان محدّثه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وآمنه الله من أفزاع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یفزع الناس ولا یفزع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فزع وقّرته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وسکّنت قلبه بالبشارة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معنی المسالح أنها نقاط تفتیش عسکریة أمنیة من الحکم الأموی والعباسی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دالة علی أن حکومة سلطان بنی أمیة وبنی العباس کانت تمانع من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ممانعة بالإرهاب الأمنی والعسکری وکانت تقیم شبکات مخابراتیّة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لرصد ومراقبة الطریق إلی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والموضع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أنها کانت تقیم سیطرات عسکریة مسلحة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تبین بوضوح أن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محفوفة بکل هذه المخاطر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أشارت إلیه بقیة الروایات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إلی أن الروایات المطلقة الحاثة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صادر فی هذه الظروف الصعبة وهذا الجو المملوء بالمخاطر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تلک الروایات المطلقة الصادرة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مستفیضة بل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فیتم تقریب الأمر بزیارة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الخوف علی البدن والأطراف والأعضاء والأموال والعرض</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یظهر فی هذه الروایة أن ابن بکیر بعد ما ذکر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والإشفاق والاضطراب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ذلک حث الإمام علی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ببالغ التأکید والتشدید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وعظیم الأجر الخاص الذی لا یُترقب من سائر الطاعات حتی من القتل فی سبیل الله فی ساحات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 بزیارة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مثل عبد الله بن بکیر من فضلاء وفقهاء الرواة</w:t>
      </w:r>
    </w:p>
    <w:p>
      <w:pPr>
        <w:pStyle w:val="BookText"/>
        <w:rPr/>
      </w:pPr>
      <w:r>
        <w:rPr>
          <w:rFonts w:ascii="IRNazanin" w:hAnsi="IRNazanin" w:eastAsia="IRNazanin"/>
          <w:color w:val="111111"/>
          <w:sz w:val="28"/>
          <w:sz w:val="28"/>
          <w:szCs w:val="28"/>
          <w:rtl w:val="true"/>
          <w:lang w:bidi="fa-IR"/>
        </w:rPr>
        <w:t>وتلامذته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یضن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ثواب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وکأنی بالمؤمنین یزورونه ویسلّمون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فطالما أوذیتم وذللتم واضطُهدتم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یوم لا تسألونی حاجة من حوائج الدنیا والآخرة إلّا قضیتها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أکلهم وشربهم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والله الکرامة التی لا انقضاء لها ولا یُدرک منتهاها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الروایة حصول الإیذاء والذًلّ والاضطهاد فی الزیارة والطریق إلیها؛ بسبب حکام الجور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أحمد بن عبدوس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زیارة قبر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فیها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نأتیه فنسلّم علیه من وراء الحیطان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زاره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مثل ما لمن أتی قبر رسول الله صلی الله علیه و آله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التی رواها الکلینی وابن قولویه والصدوق بأسانید متعددة فیها الصحاح قطعیة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فوجدته فی مصلاّه، فی بیته، فجلست حتی قضی صلاته، فسمعته وهو یناجی ربه،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w:t>
      </w:r>
    </w:p>
    <w:p>
      <w:pPr>
        <w:pStyle w:val="BookText"/>
        <w:rPr/>
      </w:pPr>
      <w:r>
        <w:rPr>
          <w:rFonts w:ascii="IRNazanin" w:hAnsi="IRNazanin" w:eastAsia="IRNazanin"/>
          <w:color w:val="111111"/>
          <w:sz w:val="28"/>
          <w:sz w:val="28"/>
          <w:szCs w:val="28"/>
          <w:rtl w:val="true"/>
          <w:lang w:bidi="fa-IR"/>
        </w:rPr>
        <w:t>خصّنا بالکرامة، وخصنا بالوصیة، ووعدنا الشفاعة، وأعطانا علم ما مضی، وما بقی، وجعل أفئدة من الناس تهوی إلینا، اغفر لی ولإخوانی، ولزوار قبر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أنفقوا أموالهم وأشخصوا أبدانهم رغبةً فی برّنا، ورجاءً لما عندک فی صلتنا، وسروراً أدخلوه علی نبیک صلواتک علیه وآله، وإجابة منهم لأمرنا، وغیظاً أدخلوه علی عدونا، أرادوا بذلک رضاک، فکافهم عنا بالرضوان، واکلأهم باللیل والنهار، واخلف علی أهالیهم وأولادهم الذین خلفوا بأحسن الخلف، واصحبهم واکفهم شر کل جبار عنید، وکل ضعیف من خلقک، أو شدید، وشر شیاطین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وأعطهم أفضل ما أمّلوا منک فی غربتهم عن أوطانهم، وما آثرونا به علی أبنائهم وأهالیهم وقراباتهم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أعداءنا عابوا علیهم خروجهم، فلم ینههم ذلک عن الشخوص إلینا، وخلافاً منهم علی من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تلک الوجوه التی قد غیّرتها الشمس، وارحم تلک الخدود التی تقلّبت علی حفرة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وارحم تلک الأعین التی جرت دموعها رحمة لنا، وارحم تلک القلوب التی جزعت واحترقت لنا، وارحم الصرخة التی کانت لنا، اللهم إنی أستودعک تلک الأنفس، وتلک الأبدان حتی نوافیهم علی الحوض یوم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وهو ساجد یدعو بهذا الدعاء،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هذا الذی سمعت منک کان لمن لا یعرف الله، لظننت أن النار لا تطعم منه شیئاً، والله لقد تمنّیت أن کنت زرته ولم أحج،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أقربک منه، فما الذی یمنع من إتیانه،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تدع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فداک، لم أدر أن الأمر یبلغ هذا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من یدعو لزواره فی السماء أکثر ممن یدعو لهم فی الأرض</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مارواه الکلینی فی حسنة الحسن بن عباس بن الحریش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أعلم فی هذا الزمان جهاداً إلّا الحج والعمرة والجوار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جوار البقاع المقدسة ومراقد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ویتحصل من هذه الروایات المستفیضة، بل هی مع جملة الروایات المطلقة تکون متواترة، بأن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من أبرز الشعائر الحسینیة، فلا یقوی علی رفع مطلوبیتها، الخوف من هلاک النفس، فإن ملاکها أعظم من ملاک حفظ النفس، کما هو الحال فی الجهاد فی سبیل الله وغیره، بل یظهر من هذه الروایات المستفیضة والمتواترة أن باب زیارته من أعظم أبواب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 الإیمان فی قبال الجاحدین والمعاندین، الذین یریدون أن یطفئوا نور الله وهو الإیمان، وبعبارة أخری أن 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کشعیرة من الشعائر لا یُنظر إلیها من الخصوصیة الفردیة وأن الزیارة مستحبة، فکیف تُقدَّم علی حفظ النفس من الهلاک الذی هو واجب، وهو أعظم من کثیر من الواجبات، فکیف یتم هذا بحسب قواعد وصناعة الفقه؛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زیارة الحسین وبقیة الشعائر المرتبطة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والمرتبطة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زیاراتهم والشعائر المرتبطة بهم، هی متضمنة لطبائع واجبة، نظیر إقامة وحفظ الولایة، ونشر نور الإیمان، وهدایة البشر، وإقامة فریضة التولّی والتبرّی، وتجدید العهد بولایتهم ومحبتهم، والبیعة لهم، إلی غیر ذلک من طبائع الواجبات المرتبطة، ببیضة الدین والإیمان، فکیف لا تقدّم هذه الواجبات علی حفظ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السطحیة بمکان ملاحظة الطبیعة الفردیة للشعیرة کزیارة ونحوها من نماذج أفراد وأصناف الشعائر الحسینیة، أو شعائر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الإغفال عن جملة الطبائع الواجبة العظیمة، المرتبطة بأصول الدین وأرکانه، والمنطویة فی الشعائر الحسینیة تضمناً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فی هذه الغفلة، عدة کثیرة من أصحاب النظر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شطراً وافراً من هذه النکتة الصناعیة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العتبات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فی جملة کثیرة من هذه الروایات المتقدمة التعلیل بعموم أهمیة الملاک والمصلحة الشامل لکل الشعائر المضافة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تحب أن یراک الله فینا خائفاً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الذی قد مر تحت رقم الحدیث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الدال علی عموم موضوع الحکم وهو لیس لزیارتهم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لکل شعیرة تضاف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وبالتالی یدل علی رجحان الشعائر الحسینیة ولو مع الخوف علی النفس </w:t>
      </w:r>
      <w:r>
        <w:rPr>
          <w:rFonts w:eastAsia="IRNazanin" w:cs="IRNazanin"/>
          <w:color w:val="111111"/>
          <w:sz w:val="28"/>
          <w:szCs w:val="28"/>
          <w:rtl w:val="true"/>
          <w:lang w:bidi="fa-IR"/>
        </w:rPr>
        <w:t>.</w:t>
      </w:r>
      <w:bookmarkStart w:id="311" w:name="pg13695_150929"/>
    </w:p>
    <w:p>
      <w:pPr>
        <w:pStyle w:val="Heading2"/>
        <w:numPr>
          <w:ilvl w:val="1"/>
          <w:numId w:val="1"/>
        </w:numPr>
        <w:rPr/>
      </w:pPr>
      <w:bookmarkStart w:id="312" w:name="__RefHeading___Toc983951_1468164448"/>
      <w:bookmarkStart w:id="313" w:name="_Toc112"/>
      <w:bookmarkEnd w:id="311"/>
      <w:bookmarkEnd w:id="312"/>
      <w:r>
        <w:rPr>
          <w:rtl w:val="true"/>
        </w:rPr>
        <w:t xml:space="preserve">قاعدة </w:t>
      </w:r>
      <w:r>
        <w:rPr>
          <w:rtl w:val="true"/>
        </w:rPr>
        <w:t>:</w:t>
      </w:r>
      <w:r>
        <w:rPr>
          <w:rtl w:val="true"/>
        </w:rPr>
        <w:t>عمارة مراقد الأئمة فریضة شرعیة هامة</w:t>
      </w:r>
      <w:bookmarkEnd w:id="31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983953_1468164448"/>
      <w:bookmarkStart w:id="315" w:name="_Toc113"/>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عمارة مراقد الأئمة فریضة شرعیة هامة</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هناک بقاع مقدّسة مبارکة، تُعظّم ویتقرّب فیها إلی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البحث نحاول إثبات أن عمارة قبور النبی صلی الله علیه و آله وقبور عترته، هی من أرکان ومعالم الدین، باعتبارها مشاعر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وتمهیداً نذکر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یُقرّر من وجوب عمارة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ومکة المکرمة علی مدار السنة وما بقی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بذلک الآیات والروایات وضرورة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یقرّر کذلک فی عمارة قبر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البقیع أم فی العراق أم فی خراسان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فریضة عمارة المسجد الحرام تشتمل علی جملة من الواجبات وفصول من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عمارة مدینة مکة لاستقبال الحجیج والزائرین علی مدار السنة من دون اختصاص ذلک بموسم الحج الذی یستمر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موسم العُمرة لا یُحدّ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ممتد علی</w:t>
      </w:r>
      <w:bookmarkStart w:id="316" w:name="pg13695_150932"/>
    </w:p>
    <w:p>
      <w:pPr>
        <w:pStyle w:val="BookText"/>
        <w:rPr/>
      </w:pPr>
      <w:bookmarkEnd w:id="316"/>
      <w:r>
        <w:rPr>
          <w:rFonts w:ascii="IRNazanin" w:hAnsi="IRNazanin" w:eastAsia="IRNazanin"/>
          <w:color w:val="111111"/>
          <w:sz w:val="28"/>
          <w:sz w:val="28"/>
          <w:szCs w:val="28"/>
          <w:rtl w:val="true"/>
          <w:lang w:bidi="fa-IR"/>
        </w:rPr>
        <w:t>مدار السنة؛ کذلک الحال فی قبر النبی صلی الله علیه و آله والمدینة المنورة وقبر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النجف الأشرف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والمدن الواقعة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لتلک المدن ولتلک المراقد والقیام بتسهیل السُبل للزیارة وبقیة الشعائر والطقوس التی تقام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مدار السنة فضلاً عن المواسم الخاصة</w:t>
      </w:r>
      <w:r>
        <w:rPr>
          <w:rFonts w:eastAsia="IRNazanin" w:cs="IRNazanin"/>
          <w:color w:val="111111"/>
          <w:sz w:val="28"/>
          <w:szCs w:val="28"/>
          <w:rtl w:val="true"/>
          <w:lang w:bidi="fa-IR"/>
        </w:rPr>
        <w:t>.</w:t>
      </w:r>
    </w:p>
    <w:p>
      <w:pPr>
        <w:pStyle w:val="Heading3"/>
        <w:numPr>
          <w:ilvl w:val="2"/>
          <w:numId w:val="1"/>
        </w:numPr>
        <w:rPr/>
      </w:pPr>
      <w:bookmarkStart w:id="317" w:name="__RefHeading___Toc983955_1468164448"/>
      <w:bookmarkStart w:id="318" w:name="_Toc114"/>
      <w:bookmarkEnd w:id="317"/>
      <w:r>
        <w:rPr>
          <w:rtl w:val="true"/>
        </w:rPr>
        <w:t>أدلة القاعدة</w:t>
      </w:r>
      <w:r>
        <w:rPr>
          <w:rtl w:val="true"/>
        </w:rPr>
        <w:t>:</w:t>
      </w:r>
      <w:bookmarkEnd w:id="318"/>
    </w:p>
    <w:p>
      <w:pPr>
        <w:pStyle w:val="BookText"/>
        <w:rPr/>
      </w:pPr>
      <w:r>
        <w:rPr>
          <w:rFonts w:ascii="IRNazanin" w:hAnsi="IRNazanin" w:eastAsia="IRNazanin"/>
          <w:color w:val="111111"/>
          <w:sz w:val="28"/>
          <w:sz w:val="28"/>
          <w:szCs w:val="28"/>
          <w:rtl w:val="true"/>
          <w:lang w:bidi="fa-IR"/>
        </w:rPr>
        <w:t>ولتقریب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نستعرض الأدلة الواردة بشأن مکة المکرمة والمدینة المنورة علی هذه الفریضة الکبیرة </w:t>
      </w:r>
      <w:r>
        <w:rPr>
          <w:rFonts w:eastAsia="IRNazanin" w:cs="IRNazanin"/>
          <w:color w:val="111111"/>
          <w:sz w:val="28"/>
          <w:szCs w:val="28"/>
          <w:rtl w:val="true"/>
          <w:lang w:bidi="fa-IR"/>
        </w:rPr>
        <w:t>.</w:t>
      </w:r>
    </w:p>
    <w:p>
      <w:pPr>
        <w:pStyle w:val="Heading3"/>
        <w:numPr>
          <w:ilvl w:val="2"/>
          <w:numId w:val="1"/>
        </w:numPr>
        <w:rPr/>
      </w:pPr>
      <w:bookmarkStart w:id="319" w:name="__RefHeading___Toc983957_1468164448"/>
      <w:bookmarkStart w:id="320" w:name="_Toc115"/>
      <w:bookmarkEnd w:id="319"/>
      <w:r>
        <w:rPr>
          <w:rtl w:val="true"/>
        </w:rPr>
        <w:t>أما الآیات</w:t>
      </w:r>
      <w:r>
        <w:rPr>
          <w:rtl w:val="true"/>
        </w:rPr>
        <w:t>:</w:t>
      </w:r>
      <w:bookmarkEnd w:id="320"/>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الآیة یقرّر فریضیة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ورعایة الحاج فی تمام شؤون 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فی صدد أعظمیة فریضة الإیمان والجهاد علی فریضة العمارة والرعایة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الکریمة توجز هذه الفریضة فی شعبتین هامتین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المسجد الحرام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خدمات الحاج وخدمة الزائر لبیت الله الحرام وهذان</w:t>
      </w:r>
    </w:p>
    <w:p>
      <w:pPr>
        <w:pStyle w:val="BookText"/>
        <w:rPr/>
      </w:pPr>
      <w:r>
        <w:rPr>
          <w:rFonts w:ascii="IRNazanin" w:hAnsi="IRNazanin" w:eastAsia="IRNazanin"/>
          <w:color w:val="111111"/>
          <w:sz w:val="28"/>
          <w:sz w:val="28"/>
          <w:szCs w:val="28"/>
          <w:rtl w:val="true"/>
          <w:lang w:bidi="fa-IR"/>
        </w:rPr>
        <w:t>عمودان أساسیان فی هذه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الآیتان تدلان علی جملة من الوظائف فی هذه القاعدة والفریضة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البیت الحرام مثابة للناس أی مکاناً یُقصد ویُؤتی ویؤم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ویُشد الرحال إلیه وهذا نمط من عمارته وإحیائه باستمرار وفود الناس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توفیر الأمن فیه وکونه أمان ومأمن لجمیع الناس من دون استثناء لحرمة الاستجارة بالحرم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اتخاذه مقام ومحل عبادة وصلاة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 بتطهیره ونظافته وتهیئته للزیارة والمکث فیه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الخمسة من الواجبات تفصیل للواجبین الذین مرّا فی الآیة السابقة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w:t>
      </w:r>
    </w:p>
    <w:p>
      <w:pPr>
        <w:pStyle w:val="BookText"/>
        <w:rPr/>
      </w:pPr>
      <w:r>
        <w:rPr>
          <w:rFonts w:ascii="Amiri" w:hAnsi="Amiri" w:eastAsia="Amiri" w:cs="Amiri"/>
          <w:color w:val="111111"/>
          <w:sz w:val="28"/>
          <w:sz w:val="28"/>
          <w:szCs w:val="28"/>
          <w:rtl w:val="true"/>
          <w:lang w:bidi="ar-SA"/>
        </w:rPr>
        <w:t xml:space="preserve">زَرْعٍ عِنْدَ بَیْتِکَ الْمُحَرَّمِ رَبَّنا لِیُقِیمُوا الصَّلاةَ فَاجْعَلْ أَفْئِدَةً مِنَ النّاسِ تَهْوِی إِلَیْهِمْ وَ ارْزُقْهُمْ مِنَ الثَّمَراتِ لَعَلَّهُمْ یَشْکُرُونَ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تبیّن أن من الأمور وأشکال الأعمال المفترضة فی فریضة عمارة المسجد الحرام ورعایة الحجیج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القیام بإسکان المجاورین والمقیمین لاسیما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إنشاء عمران المدینة السکنیة لأن ذلک یوطّأ ویمهد لرعایة الزائرین والحجاج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إضافة إلی إقامة الصلاة فإنها من مقومات عمارة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تسهیل مجیء الزائرین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توفیر تموین الطعام للمجاورین والزائرین فیحصل بذلک عمارة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فِیهِ آیاتٌ بَیِّناتٌ مَقامُ إِبْراهِیمَ وَ مَنْ دَخَلَهُ کانَ آمِناً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وتفید الآیة الکریمة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تشعیر البیت الحرام من قبل ربّ العالمین سبحانه وتعالی</w:t>
      </w:r>
    </w:p>
    <w:p>
      <w:pPr>
        <w:pStyle w:val="BookText"/>
        <w:rPr/>
      </w:pPr>
      <w:r>
        <w:rPr>
          <w:rFonts w:ascii="IRNazanin" w:hAnsi="IRNazanin" w:eastAsia="IRNazanin"/>
          <w:color w:val="111111"/>
          <w:sz w:val="28"/>
          <w:sz w:val="28"/>
          <w:szCs w:val="28"/>
          <w:rtl w:val="true"/>
          <w:lang w:bidi="fa-IR"/>
        </w:rPr>
        <w:t>کموطن عبادة أبدی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ومرکز نبراس للهدایة ویندرج فی ذلک مطلق الأنشطة التعلیمیة والتربویة التثقیفیة والدینیة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w:t>
      </w:r>
      <w:r>
        <w:rPr>
          <w:rStyle w:val="FootnoteAnchor"/>
          <w:rtl w:val="true"/>
        </w:rPr>
        <w:footnoteReference w:id="357"/>
      </w:r>
      <w:r>
        <w:rPr>
          <w:rFonts w:ascii="IRNazanin" w:hAnsi="IRNazanin" w:eastAsia="IRNazanin"/>
          <w:color w:val="111111"/>
          <w:sz w:val="28"/>
          <w:sz w:val="28"/>
          <w:szCs w:val="28"/>
          <w:rtl w:val="true"/>
          <w:lang w:bidi="fa-IR"/>
        </w:rPr>
        <w:t>ومفادها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تقدم من الآیات فی مشعریة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مرکز لتوافد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قائم ومعموراً بذلک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یَصُدُّونَ عَنْ سَبِیلِ اللّهِ وَ الْمَسْجِدِ الْحَرامِ الَّذِی جَعَلْناهُ لِلنّاسِ سَواءً الْعاکِفُ فِیهِ وَ الْبادِ وَ مَنْ یُرِدْ فِیهِ بِإِلْحادٍ بِظُلْمٍ نُذِقْهُ مِنْ عَذابٍ أَلِیمٍ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الساکن المقیم بمکة والبادی هو الزائر الوارد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ومفاد هذه الآیة الکریمة استحقاق جمیع الناس من المسلمین زیارة البیت الحرام والوفود إلیه والإقامة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الاستحقاق متساوی فیه المجاور والآفاقی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ویعزّز هذا الحکم، بحرمة الصدّ عنه، وقد استدل جملة من الفقهاء بهذه الآیة علی حرمة تملک أراضی مکة وحرمة إجارتها لاستواء استحقاق الناس لها بمقتضی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ینبغی أن یُمنع الحاج شیئاً من دور مکة</w:t>
      </w:r>
    </w:p>
    <w:p>
      <w:pPr>
        <w:pStyle w:val="BookText"/>
        <w:rPr/>
      </w:pPr>
      <w:r>
        <w:rPr>
          <w:rFonts w:ascii="IRNazanin" w:hAnsi="IRNazanin" w:eastAsia="IRNazanin"/>
          <w:color w:val="111111"/>
          <w:sz w:val="28"/>
          <w:sz w:val="28"/>
          <w:szCs w:val="28"/>
          <w:rtl w:val="true"/>
          <w:lang w:bidi="fa-IR"/>
        </w:rPr>
        <w:t>ومنازلها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مکة لیس علی شیء منها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علّق علی بابها المصراعین معاویة بن أبی سفیان ولیس ینبغی لأحدٍ أن یمنع الحاج شیئاً من الدور ومنازلها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الجمل للسید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الإتمام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فی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النبی صلی الله علیه و آله ومشاهد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القائمین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حکی عن ابن الجنید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الحرام لا تقصیر فیه علی أحد لأن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سواء العاکف فیه والبادی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فی 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لاستواء استحقاق الناس فی مطلق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اعتاد أحدهم الجلوس فی موضع خاص استدلالاً بالآیة الکریمة</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المسالک أن هذا الاستدلال اعتمده الکثیر من</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زبدة البیان للأردبیلی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الإلحاد فی الحرم منع الناس من عمارته وقیل الاحتکار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ویتبیّن معنی الإلحاد من هذه الروایة، ففی صحیح الحلبی قال 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فِیهِ بِإِلْحادٍ بِظُلْمٍ نُذِقْهُ مِنْ عَذابٍ أَلِیمٍ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الظلم فیه 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ضربت خادمک ظلماً خشیت أن یکون إلحاداً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کان الفقهاء یکرهون سکنی مکة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فی التذکرة أن الخلاف فی جواز بیع دور مکة وعدمه فی غیر مواضع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بقاع المناسک کبقاع السعی والرمی وغیرها فحکمها حکم المساجد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فالذی ذهب إلی کراهة أخذ الأجرة للسکن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ینفی استحقاق الزائر الوارد السکنی فی مکة ولو بأجرة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نفی وجوب ذلک مجاناً، أما أصل الاستحقاق فمحل تسالم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استدلوا بالآیة الکریمة إلی عموم استحقاق المسلمین سواسیة فی المساجد لمن سبق منهم إلی ما لم یسبقه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عدم اختصاص هذا الحکم بمکة، بل یعم المدینة المنورة والنجف وکربلاء والکاظمیة وسامراء وطوس من مراقد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شُعرّت مشاعر،</w:t>
      </w:r>
      <w:bookmarkStart w:id="321" w:name="pg13695_150938"/>
    </w:p>
    <w:p>
      <w:pPr>
        <w:pStyle w:val="BookText"/>
        <w:rPr/>
      </w:pPr>
      <w:bookmarkEnd w:id="321"/>
      <w:r>
        <w:rPr>
          <w:rFonts w:ascii="IRNazanin" w:hAnsi="IRNazanin" w:eastAsia="IRNazanin"/>
          <w:color w:val="111111"/>
          <w:sz w:val="28"/>
          <w:sz w:val="28"/>
          <w:szCs w:val="28"/>
          <w:rtl w:val="true"/>
          <w:lang w:bidi="fa-IR"/>
        </w:rPr>
        <w:t>وافتُرض عمارتها بالزیارة 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بحکم المساجد بل أعظم لأنها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وبمثابة المسجد الحرام حرمةً</w:t>
      </w:r>
      <w:r>
        <w:rPr>
          <w:rFonts w:eastAsia="IRNazanin" w:cs="IRNazanin"/>
          <w:color w:val="111111"/>
          <w:sz w:val="28"/>
          <w:szCs w:val="28"/>
          <w:rtl w:val="true"/>
          <w:lang w:bidi="fa-IR"/>
        </w:rPr>
        <w:t>.</w:t>
      </w:r>
    </w:p>
    <w:p>
      <w:pPr>
        <w:pStyle w:val="Heading3"/>
        <w:numPr>
          <w:ilvl w:val="2"/>
          <w:numId w:val="1"/>
        </w:numPr>
        <w:rPr/>
      </w:pPr>
      <w:bookmarkStart w:id="322" w:name="__RefHeading___Toc983959_1468164448"/>
      <w:bookmarkStart w:id="323" w:name="_Toc116"/>
      <w:bookmarkEnd w:id="322"/>
      <w:r>
        <w:rPr>
          <w:rtl w:val="true"/>
        </w:rPr>
        <w:t>أحکام المسجد الحرام والعتبات المقدسة</w:t>
      </w:r>
      <w:r>
        <w:rPr>
          <w:rtl w:val="true"/>
        </w:rPr>
        <w:t>:</w:t>
      </w:r>
      <w:bookmarkEnd w:id="323"/>
    </w:p>
    <w:p>
      <w:pPr>
        <w:pStyle w:val="BookText"/>
        <w:rPr/>
      </w:pPr>
      <w:r>
        <w:rPr>
          <w:rFonts w:ascii="IRNazanin" w:hAnsi="IRNazanin" w:eastAsia="IRNazanin"/>
          <w:color w:val="111111"/>
          <w:sz w:val="28"/>
          <w:sz w:val="28"/>
          <w:szCs w:val="28"/>
          <w:rtl w:val="true"/>
          <w:lang w:bidi="fa-IR"/>
        </w:rPr>
        <w:t>ویتحصل من مجموع الآیات الشریفة جملة من الأحکام العامة للمسجد الحرام ومکة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النبی والمدینة المنورة وبقیة مدن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عمارة المسجد الحرام ورعایة الحاج فی تمام شؤون الرعایة فریضة 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شؤون الرعایة الخدمات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وظائف وآلیات عمارة المسجد الحرام تسهیل جعل البیت الحرام مکاناً یُقصد ویُزار وتسهیل السفر إلیه من أجل استمرار وفود الزوار والحجاج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وظائف عمارة المسجد الحرام توفیر الحالة الأمنیة والاستقرار لجمیع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المجاور أو الوافد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اتخاذه محل ومقام عبادة وصلاة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الصلاة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 بتطهیره ونظافته وتهیئته للزیارة والمکث والصلاة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عمارته وتشیید بنیانه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إسکان الناس لاسیما أهل الصلاح کمجاورین ومقیمین وإنشاء عمران السکنی فی مکة المکرمة مما یمّهد لرعایة الزائرین والمجاورین</w:t>
      </w:r>
      <w:r>
        <w:rPr>
          <w:rFonts w:eastAsia="IRNazanin" w:cs="IRNazanin"/>
          <w:color w:val="111111"/>
          <w:sz w:val="28"/>
          <w:szCs w:val="28"/>
          <w:rtl w:val="true"/>
          <w:lang w:bidi="fa-IR"/>
        </w:rPr>
        <w:t>.</w:t>
      </w:r>
      <w:bookmarkStart w:id="324" w:name="pg13695_150939"/>
    </w:p>
    <w:p>
      <w:pPr>
        <w:pStyle w:val="BookText"/>
        <w:rPr/>
      </w:pPr>
      <w:bookmarkEnd w:id="32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توفیر تموین الطعام والغذاء للمجاورین والزائرین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تشعیر البیت الحرام من قِبل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کمشعر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وکموطن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ونبراس للهدایة أبدی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جعله وإقامته کمرکز لأنشطة التعلیم والثقافة الدینیة والإسلامیة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جمیع الناس من المسلمین زیارة البیت الحرام والوفود إلیه والإقامة فیه بنحو متساوٍ بین المجاور والآفاقی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حرمة الصدّ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الصد عن السفر والوفود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فرع بعض الفقهاء علی ذلک جملة من الأحکام حول إعمار مکة والسکن فیها</w:t>
      </w:r>
      <w:r>
        <w:rPr>
          <w:rFonts w:eastAsia="IRNazanin" w:cs="IRNazanin"/>
          <w:color w:val="111111"/>
          <w:sz w:val="28"/>
          <w:szCs w:val="28"/>
          <w:rtl w:val="true"/>
          <w:lang w:bidi="fa-IR"/>
        </w:rPr>
        <w:t>.</w:t>
      </w:r>
    </w:p>
    <w:p>
      <w:pPr>
        <w:pStyle w:val="Heading3"/>
        <w:numPr>
          <w:ilvl w:val="2"/>
          <w:numId w:val="1"/>
        </w:numPr>
        <w:rPr/>
      </w:pPr>
      <w:bookmarkStart w:id="325" w:name="__RefHeading___Toc983961_1468164448"/>
      <w:bookmarkStart w:id="326" w:name="_Toc117"/>
      <w:bookmarkEnd w:id="325"/>
      <w:r>
        <w:rPr>
          <w:rtl w:val="true"/>
        </w:rPr>
        <w:t>عمومیة هذه الأحکام لکل مساجد المراقد</w:t>
      </w:r>
      <w:r>
        <w:rPr>
          <w:rtl w:val="true"/>
        </w:rPr>
        <w:t>:</w:t>
      </w:r>
      <w:bookmarkEnd w:id="326"/>
    </w:p>
    <w:p>
      <w:pPr>
        <w:pStyle w:val="BookText"/>
        <w:rPr/>
      </w:pPr>
      <w:r>
        <w:rPr>
          <w:rFonts w:ascii="IRNazanin" w:hAnsi="IRNazanin" w:eastAsia="IRNazanin"/>
          <w:color w:val="111111"/>
          <w:sz w:val="28"/>
          <w:sz w:val="28"/>
          <w:szCs w:val="28"/>
          <w:rtl w:val="true"/>
          <w:lang w:bidi="fa-IR"/>
        </w:rPr>
        <w:t>ولا یخفی أن جملة هذه الأحکام غیر مخصوصة بمکة المکرمة والمسجد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تعم المدینة المنورة والمسجد النبوی الشریف والنجف الأشرف وکربلاء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مراقد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ومشهد وسامراء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تعدی الفقهاء فی استواء الناس فی مطلق المساجد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الْعاکِفُ فِیهِ وَ الْبادِ وأن هذا حکماً عاماً لکل المساجد لاسیما ما شعّر منها کمشعر إلهی علی حذو المسجد الحرام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ظهور هذه الآیات فی ترتّب هذه الأحکام علی المسجد</w:t>
      </w:r>
    </w:p>
    <w:p>
      <w:pPr>
        <w:pStyle w:val="BookText"/>
        <w:rPr/>
      </w:pPr>
      <w:r>
        <w:rPr>
          <w:rFonts w:ascii="IRNazanin" w:hAnsi="IRNazanin" w:eastAsia="IRNazanin"/>
          <w:color w:val="111111"/>
          <w:sz w:val="28"/>
          <w:sz w:val="28"/>
          <w:szCs w:val="28"/>
          <w:rtl w:val="true"/>
          <w:lang w:bidi="fa-IR"/>
        </w:rPr>
        <w:t>الحرام بما هو مسجد کطبیعة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أشدّیة هذه الأحکام فی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ورود جملة من هذه الأحکام فی عموم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شاهداً آخر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التعلیل الوارد فی تلک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یظهر منها أن إضافة المقام لإبراهیم هو منشأ الأمر بالعبادة فی ذلک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وتعظیم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وتعظیم ذلک المقام وتقدیسه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بسبب شرافة المکان وإضافته لنبی الله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تأهّل لیکون مکاناً ومحلاً یُتقرب فیه إلی الله سبحانه وتعالی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الروایات الدالة علی هذه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صحیح عبد 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عطّل الناس الحج لوجب علی الإمام أن یجبرهم علی الحج إن شاؤوا وإن أبوا، فإن هذا البیت إنما وضع للحج</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صحیح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ترکوا الحج لکان علی الوالی أن یجبرهم علی ذلک أو علی المقام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ترکوا زیارة النبی لکان علی الوالی أن یجبرهم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المقام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لهم أموال أنفق علیهم من بیت مال المسلمین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هذین الحدیثین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فریضیة عمارة بیت الله الحرام الحاصلة عن طریق عبادة الحج وکذلک فریضیة عمارة قبر النبی صلی الله علیه و آله ومسجده الحاصلة بزیارة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هذه الفریضة لیست موکولة إلی المکلفین واختیارهم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علی الوالی إجبارهم علی ذلک لو امتنعوا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الوالی أن یمدّهم بالمؤونة المالیة من بیت المال فیما إذا عجزوا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عموم المسلمین الإقامة فی مکة المکرمة وجوباً کفائیاً وکذلک الحال فی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عمارة المدینتین فریضة تتأدّی بالإقامة والعمران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الفریضة لیست فریضة کفائیة علی المسلمین فحسب بل هی وظیفة من وظائف الدولة والنظام الإسلامی کما هو الحال فی إحجاج الناس لبیت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وتشیید زیارة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 الواجب یتعین علی الدولة الإسلامیة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وکوظیفة مالیة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ثلاثاً لیس کمثلهن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وهو حکمته ونوره؛ وبیته الذی جعله قبلة</w:t>
      </w:r>
    </w:p>
    <w:p>
      <w:pPr>
        <w:pStyle w:val="BookText"/>
        <w:rPr/>
      </w:pPr>
      <w:r>
        <w:rPr>
          <w:rFonts w:ascii="IRNazanin" w:hAnsi="IRNazanin" w:eastAsia="IRNazanin"/>
          <w:color w:val="111111"/>
          <w:sz w:val="28"/>
          <w:sz w:val="28"/>
          <w:szCs w:val="28"/>
          <w:rtl w:val="true"/>
          <w:lang w:bidi="fa-IR"/>
        </w:rPr>
        <w:t>للناس لا یُقبل من أحد توجهاً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وعترة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الصحیحة أن الحفاظ علی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والحفاظ علی المسجد الحرام بعمارته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والحفاظ علی العترة کما هو حاصل بعمارة قبورهم ومراقدهم الشریفة، هی من أعظم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أُسس الدین وبقائه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یتبین تعاظم وأساسیة هذه الفریضة فی صرح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فریضیة عمارة مراقد النبی صلی الله علیه و آله وأهل 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لما تقدم من الأدلة فی عمارة المسجد الحرام من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نستعرض جملة من الآیات والروایات الأخری الخاصة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بسطنا القول فی بیان هذه الآیة أنها واردة فی الخمسة أصحاب</w:t>
      </w:r>
    </w:p>
    <w:p>
      <w:pPr>
        <w:pStyle w:val="BookText"/>
        <w:rPr/>
      </w:pPr>
      <w:r>
        <w:rPr>
          <w:rFonts w:ascii="IRNazanin" w:hAnsi="IRNazanin" w:eastAsia="IRNazanin"/>
          <w:color w:val="111111"/>
          <w:sz w:val="28"/>
          <w:sz w:val="28"/>
          <w:szCs w:val="28"/>
          <w:rtl w:val="true"/>
          <w:lang w:bidi="fa-IR"/>
        </w:rPr>
        <w:t>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الإمامة الإلهیة</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عمارة قبور النبی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بیوتهم ومراقدهم بنص هذه الآیة قد جُعلت من قبله تعالی مشعراً إلهیاً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تعالی أن تعظّم وتُرفع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تُجعل مواطن للعبادة ولذکر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الآیة أن العمارة لیست بالبناء والعمران فحسب بل بالزیارة والتواضع وإقامة العبادة لله تعالی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فالإذن هنا بمعنی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والرفع أن تعظم وتجلل وتقدس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من هذا المفاد یستفاد جملة النقاط الاثنی عشرة المستخلصة من الآیات والست نقاط من الروایات فی إعمار مکة المکرمة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القرآن الکریم لهذه الواقعة تقریر للمؤمنین الذین کانت لهم الغلبة بقرینة ذکر اتخاذ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منه لهم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یفند اتخاذهم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مقام المدح والإطراء علیهم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هذا القبیل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فإن مفادها تشعیر مقام إبراهیم وتخلید ذکره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سبب لخلود التوحید وباعثاً للناس علی التمسک بدینهم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الحجر قد لامَس بدن نبی الله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 بهذه المثابة ویتخذ مکاناً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بسطنا دلالة الآیة علی ذلک فی المصادر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إضافة المقام إلی إبراهیم مشعر بالعلیّة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الحال بمن هو أعظم من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الدلالة فیه أیضاً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شمول هذا التقریب لمراقد آل النبی بما تکاثرت الأدلة من الآیات والروایات علی أفضلیتهم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التعبیر فی الآیة للتعظیم والتفخیم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وَ هُدیً لِلْعالَمِینَ فِیهِ آیاتٌ بَیِّناتٌ مَقامُ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الآیة دلالة علی عظمة البیت الحرام والمسجد الحرام بأن فیه مقام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ویشیر إلی نفس هذا التعلیل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w:t>
      </w:r>
    </w:p>
    <w:p>
      <w:pPr>
        <w:pStyle w:val="BookText"/>
        <w:rPr/>
      </w:pPr>
      <w:r>
        <w:rPr>
          <w:rFonts w:ascii="Amiri" w:hAnsi="Amiri" w:eastAsia="Amiri" w:cs="Amiri"/>
          <w:color w:val="111111"/>
          <w:sz w:val="28"/>
          <w:sz w:val="28"/>
          <w:szCs w:val="28"/>
          <w:rtl w:val="true"/>
          <w:lang w:bidi="ar-SA"/>
        </w:rPr>
        <w:t xml:space="preserve">إِلَیْهِمْ وَ ارْزُقْهُمْ مِنَ الثَّمَراتِ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فی هذه الآیة من غایات الوفادة والزیارة لبیت الله الحرام هو مودة وهوی قلوب المؤمنین لذریة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البیت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ونظیر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فجعلت الآیة من غایات الحج المجیء والإتیان إلی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 لبیت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وفادة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جملة الآیات المتقدمة فی بیت الله الحرام والروایات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مراقد النبی صلی الله علیه و آله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ویشیر إلی تعلیل عظمة البیت الحرام بما اصطفاهم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وَ إِنْ کانَتْ لَکَبِیرَةً إِلاّ عَلَی الَّذِینَ هَدَی اللّهُ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تبین الآیة أن عظمة وقدسیة القبلة من جهة طاعة الرسول صلی الله علیه و آله وولایته فی قبول العبادات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هذه الطائفة من الآیات أن مشاهد الأنبیاء والأوصیاء هی مواطن قربات ومشاعر لعبادة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أعظم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أهل بیته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ببقاع ثوت فیها الأجساد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فی القداسة لتلک البقاع ضروریة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حکی السمهودی فی مقدمة کتابه وفاء الوفاء إجماع المسلمین علی أفضلیة قبر النبی صلی الله علیه و آله علی الکعبة</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هذا هو ما استفاض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منبری وبیوتی روضة من ریاض الجنة فإن اقتراب بقعة المسجد من قبره وبیوته جعلته مشعراً مقدساً إلی درجة صیرورته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وبیوته شاملة لبقاع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مفصلاً فی المبحث الروائی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 وَلاَ تَرْتَدُّوا عَلَی أَدْبَارِکُمْ فَتَنقَلِبُوا خَاسِرِینَ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أن مراقد النبی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البقاع والأراضی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إسماعیل عن أبیه موسی بن جعفر عن آبائه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موتی کان کمن هاجر إلیّ فی حیاتی</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ادْخُلُوا هذِهِ الْقَرْیَةَ فَکُلُوا مِنْها حَیْثُ شِئْتُمْ</w:t>
      </w:r>
    </w:p>
    <w:p>
      <w:pPr>
        <w:pStyle w:val="BookText"/>
        <w:rPr/>
      </w:pPr>
      <w:r>
        <w:rPr>
          <w:rFonts w:ascii="Amiri" w:hAnsi="Amiri" w:eastAsia="Amiri" w:cs="Amiri"/>
          <w:color w:val="111111"/>
          <w:sz w:val="28"/>
          <w:sz w:val="28"/>
          <w:szCs w:val="28"/>
          <w:rtl w:val="true"/>
          <w:lang w:bidi="ar-SA"/>
        </w:rPr>
        <w:t xml:space="preserve">رَغَداً وَ ادْخُلُوا الْبابَ سُجَّداً وَ قُولُوا حِطَّةٌ نَغْفِرْ لَکُمْ خَطایاکُمْ وَ سَنَزِیدُ الْمُحْسِنِینَ فَبَدَّلَ الَّذِینَ ظَلَمُوا قَوْلاً غَیْرَ الَّذِی قِیلَ لَهُمْ فَأَنْزَلْنا عَلَی الَّذِینَ ظَلَمُوا رِجْزاً مِنَ السَّماءِ بِما کانُوا یَفْسُقُونَ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قالَ رَجُلانِ مِنَ الَّذِینَ یَخافُونَ أَنْعَمَ اللّهُ عَلَیْهِمَا ادْخُلُوا عَلَیْهِمُ الْبابَ فَإِذا دَخَلْتُمُوهُ فَإِنَّکُمْ غالِبُونَ وَ عَلَی اللّهِ فَتَوَکَّلُوا إِنْ کُنْتُمْ مُؤْمِنِینَ قالُوا یا مُوسی إِنّا لَنْ نَدْخُلَها أَبَداً ما دامُوا فِیها فَاذْهَبْ أَنْتَ وَ رَبُّکَ فَقاتِلا إِنّا هاهُنا قاعِدُونَ قالَ رَبِّ إِنِّی لا أَمْلِکُ إِلاّ نَفْسِی وَ أَخِی فَافْرُقْ بَیْنَنا وَ بَیْنَ الْقَوْمِ الْفاسِقِینَ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الآیات جملة من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عمارة البقاع المقدسة بالتوافد إلیها وزیارتها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تشعیر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الأراضی والبقاع وتعظیمها وتقدیسها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الأراضی المقدسة جعلت مواطن لتطهیر العباد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بزیارتها والوفود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العبادة والاستغفار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حِطَّةٌ وأن هذه الأرض کتبها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وقد ورد أن الزیارة لهم بمثابة الهجرة إلیهم</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طرق الخاصة التی نقلت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قطیعة هذه البقاع وجفاؤها ارتداد عن الإیمان علی الأدبار وانقلاب بالخسران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الأراضی والبقاع المقدسة یجب الجهاد لتحریرها من أیدی الجبارین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نزعها عن أیدی وسلطة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حکم عادل فیها علی 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التخاذل عن تحریر الأراضی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الوفود علیها حوبته وعقوبته التیه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کون مراقد النبی صلی الله علیه و آله وأهل بیته من الأراضی المقدسة المندرجة فی عموم الآیة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أنه قد وردت فی روایات الفریقین إن علی بن أبی طالب وأهل بیته بمنزلة باب حطة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أن بِقاع مراقد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البیوت التی أمر الله تعالی بتعظیمها ورفعتها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وشعّرها أماکن 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ویشهد لذلک أیضاً علی أن مراقدهم من الأراضی المقدسة الإشارة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إِبْراهِیمَ مُصَلًّی حیث أن جهة اتخاذه عبادة لتکریم مقام الإضافة إلی النبی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 فبینّت الآیات أن رسول الله صلی الله علیه و آله من أعظم أبواب حطة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واللواذ بحضرة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واستغفار النبی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شفاعته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ورد مستفیضاً من طرق الفریقین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بین منبره الشریف وقبره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واللفظ الثانی وهو البیت أکثر وروداً فی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بیوته صلی الله علیه و آله بیت علی وفاطمة وذریاتهما المطهرین وقد روی ذلک</w:t>
      </w:r>
    </w:p>
    <w:p>
      <w:pPr>
        <w:pStyle w:val="BookText"/>
        <w:rPr/>
      </w:pPr>
      <w:r>
        <w:rPr>
          <w:rFonts w:ascii="IRNazanin" w:hAnsi="IRNazanin" w:eastAsia="IRNazanin"/>
          <w:color w:val="111111"/>
          <w:sz w:val="28"/>
          <w:sz w:val="28"/>
          <w:szCs w:val="28"/>
          <w:rtl w:val="true"/>
          <w:lang w:bidi="fa-IR"/>
        </w:rPr>
        <w:t>الفریقان فی ذیل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تعالی فی تعظیم بیوت النبی یا أَیُّهَا الَّذِینَ آمَنُوا لا تَدْخُلُوا بُیُوتَ النَّبِیِّ إِلاّ أَنْ یُؤْذَنَ لَکُمْ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الفریقان فی ذیل هذه الآیة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بیوت الأنبیاء وأن بیت علی وفاطمة من أفاضلها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مر من إشارة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رَبِّ إِنَّهُنَّ أَضْلَلْنَ کَثِیراً مِنَ النّاسِ فَمَنْ تَبِعَنِی فَإِنَّهُ مِنِّی وَ مَنْ عَصانِی فَإِنَّکَ غَفُورٌ رَحِیمٌ رَبَّنا إِنِّی أَسْکَنْتُ مِنْ ذُرِّیَّتِی بِوادٍ غَیْرِ ذِی زَرْعٍ عِنْدَ بَیْتِکَ الْمُحَرَّمِ رَبَّنا لِیُقِیمُوا الصَّلاةَ فَاجْعَلْ أَفْئِدَةً مِنَ النّاسِ تَهْوِی إِلَیْهِمْ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وَ إِنْ کانَتْ لَکَبِیرَةً إِلاّ عَلَی الَّذِینَ هَدَی اللّهُ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مر أن هذه الآیات تبین قدسیة الکعبة والمسجد الحرام والقبلة إنما هو لتعظیم ذریة إبراهیم الذی هو سید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w:t>
      </w:r>
    </w:p>
    <w:p>
      <w:pPr>
        <w:pStyle w:val="BookText"/>
        <w:rPr/>
      </w:pPr>
      <w:r>
        <w:rPr>
          <w:rFonts w:ascii="Amiri" w:hAnsi="Amiri" w:eastAsia="Amiri" w:cs="Amiri"/>
          <w:color w:val="111111"/>
          <w:sz w:val="28"/>
          <w:sz w:val="28"/>
          <w:szCs w:val="28"/>
          <w:rtl w:val="true"/>
          <w:lang w:bidi="ar-SA"/>
        </w:rPr>
        <w:t>تقدیس البیت لاشتماله علی الآیات البینات ومن أعظمها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فَلا یَقْرَبُوا الْمَسْجِدَ الْحَرامَ بَعْدَ عامِهِمْ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تبین الآیة أن إبعادهم عن المسجد الحرام لأجل عدم إقرارهم بکل من الشهادة الأولی والشهادة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قیمة لحجهم وصلاتهم بدون ولایتهم لله ولرسوله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یفید أن عظمة الصلاة والحج کعبادات فی بیت الله الحرام إنما قیمتها بالولاء لله والولاء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نظیر الغایة المذکورة فی کلام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الغایة بإقامة بیت الله الحرام هو ولایة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وهوی القلوب إلی ذریة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 فجعل غایة الحج الوفود علی الله وعلی أنبیاء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أحجار الکعبة وبیت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وذریة إبراهیم من ذریة إسماعیل والتی دعا إبراهیم وإسماعیل أن تکون من ذریتهما أمة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یُبعث سید الأنبیاء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یکون الرسول منهم بنص الآیة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فِیهِمْ رَسُولاً مِنْهُمْ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أمة موحدة لم تشرک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لدعائهما ولیسوا إلّا من شهد القرآن بطهارتهم من أهل الکساء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بسطنا الحدیث عن جمیع هذه الآیات فی محلّه</w:t>
      </w:r>
      <w:r>
        <w:rPr>
          <w:rStyle w:val="FootnoteAnchor"/>
          <w:rtl w:val="true"/>
        </w:rPr>
        <w:footnoteReference w:id="389"/>
      </w:r>
      <w:r>
        <w:rPr>
          <w:rFonts w:ascii="IRNazanin" w:hAnsi="IRNazanin" w:eastAsia="IRNazanin"/>
          <w:color w:val="111111"/>
          <w:sz w:val="28"/>
          <w:sz w:val="28"/>
          <w:szCs w:val="28"/>
          <w:rtl w:val="true"/>
          <w:lang w:bidi="fa-IR"/>
        </w:rPr>
        <w:t>ویتحصل من ذلک أن عظمة المسجد الحرام والکعبة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أعظم المساجد هی بعظمة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وذریاتهم 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وأعظمهم سید الأنبیاء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تبیّن صحة ما ذکره السمهودی فی 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الأمة علی أن قبر النبی صلی الله علیه و آله أعظم من الکعبة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مراقد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ویتبین أن ما جاء مستفیضاً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أعظم وأقدس بیوت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وبیوت السماء وأرفعها تعظیماً عند الله وطهارة وقدساً هی بیوت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ورد عنهم أن البیت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اسماً لمسجد الصخرة التی صلت فیه الأنبیاء إلّا أن الأعظم منه قدسیة مسجد الکوفة ومسجد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ثواب الصلاة فی المسجد الحرام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الدرجة السابقة علی مسجد الصخرة هو بیت الإمام المعصوم الحی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متواتراً ومستفیضاً من الروایات من قدسیة وعظمة مراقد قبورهم الشریفة وقد جمع صاحب الوسائل فی أبواب المزار ما یزید علی المائة باب فی ذلک فضلاً عما جمعه غیره کالمحقق الشیخ النوری فی المستدرک والعلامة المجلسی فی البحار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أعظم البقاع قدسیة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قبر النبی صلی الله علیه و آله وقبور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اندراجاً تحت هذه الطائفة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ترتیب الأحکام الستة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أن فی هذا الزمان جهاداً إلّا الحج والعمرة والجوار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فریضیة عمارة مرقد النبی صلی الله علیه و آله ومراقد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لقبر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استفاض بین الفریقین بل تواتر التشعیر لقبر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وتشعیر الروضة المبارکة فی مسجده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تمتد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صلی الله علیه و آله المستفیض بین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بل وفی الطرق الکثیرة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وبیوتی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وبیوته تمتد إلی بیت أم زمعة فیشمل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بیتی ومنبری روضة من ریاض الجنة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المصحّح 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منبری وبیوتی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ومنبری علی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فی مسجدی تعدل ألف صلاة فیما سواه من المساجد إلّا المسجد الحرام؛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النبی صلی الله علیه و آله وبیت 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السائل سأل أن بیت علی من بیوت النبی التی هی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تختص بالبیوت التی جعل فیها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تشمل بیوت قرابته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التحدید ما بین المنبر والبیوت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فبیوت النبی صلی الله علیه و آله شاملة لبیت 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والأئمة من ذریة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أفضل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مضافاً إلی تحدید البقعة الواقعة فی البین أن کل طرف فی نفسه علی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العموم الاستغراقی والمجموعی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مطابق لما رواه السیوطی فی الدر المنثور عن ابن مردویه عن أنس بن مالک وبریدة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بیت علی وفاطمة من أفاضلها</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دال علی أن بیت علی وفاطمة نسبته إلی النبی أتم من نسبة بیوت وغرف أزواجه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فعموم بیوته شامل لبیوت ذریته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مستفیضاً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المأثور فی الإذن للدخول لمشاهدهم ومراقدهم المطهرة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وقفت علی بابٍ من أبواب بیوت نبیک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ویتطابق هذا المفاد المستظهر مع الروایات الخاصة الواردة فی کون مرقد کل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وکالمستفیضة الواردة فی کون</w:t>
      </w:r>
    </w:p>
    <w:p>
      <w:pPr>
        <w:pStyle w:val="BookText"/>
        <w:rPr/>
      </w:pPr>
      <w:r>
        <w:rPr>
          <w:rFonts w:ascii="IRNazanin" w:hAnsi="IRNazanin" w:eastAsia="IRNazanin"/>
          <w:color w:val="111111"/>
          <w:sz w:val="28"/>
          <w:sz w:val="28"/>
          <w:szCs w:val="28"/>
          <w:rtl w:val="true"/>
          <w:lang w:bidi="fa-IR"/>
        </w:rPr>
        <w:t>حرم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ریاض الجنة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 جبلی طوس قبضة قبضت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دخلها کان آمناً یوم القیامة من النار</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تواتر الروایات فی زیارة قبورهم</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رواه الصدوق فی الصحیح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إلی شیء من القبور إلّا إلی قبورنا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مقتول بالسمّ ظلماً ومدفون فی موضع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شدّ رحله إلی زیارتی استجیب دعاؤه وغُفر له ذنوبه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استفاض فی هذه الطائفة من الروایات کون زیارتهم وعمارة قبورهم من معالم شعائر الدین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عقد صاحب الوسائل ستة وتسعین باباً وأخرج مئات الأحادیث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هذه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المزار فی البحار للمجلسی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مستدرک الوسائل للمیرزا النوری فضلاً عما أوردوه فی أبواب أحکام المساجد وغیرها؛ بل قد ورد الحث منهم علی زیارة قبورهم وعمارتها فی حال 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سیرة شیعتهم منذ القرن الأول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 بل تواتر فی الروایات أن 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حرم الله وحرم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فی لسان تلک الروایات فی آداب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امش حافیاً فإنک فی حرم الله وحرم رسوله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تعددت الروایات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الکوفة أفضل البقاع بعد حرم الله وحرم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ثواب الصلاة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الفضل والعظمة بعد فضیلة المسجد الحرام والمسجد النبوی</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بها فضیلة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 المراقد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خصوص موضع قبورهم أعظم شأناً من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السمهودی فی 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إجماع الأمة علی أن مرقد النبی صلی الله علیه و آله أعظم من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مثل الصلاة فی الروضة؟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أفضل أم فی الروضة؟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 فاطمة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الطوائف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جملة الأحکام المتقدمة ذکرها للحرم المکی والحرم المدنی علی مراقد وعتبات بقیة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یقرّر مفاد هذه القاعدة الفقهیة </w:t>
      </w:r>
      <w:r>
        <w:rPr>
          <w:rFonts w:eastAsia="IRNazanin" w:cs="IRNazanin"/>
          <w:color w:val="111111"/>
          <w:sz w:val="28"/>
          <w:szCs w:val="28"/>
          <w:rtl w:val="true"/>
          <w:lang w:bidi="fa-IR"/>
        </w:rPr>
        <w:t>.</w:t>
      </w:r>
      <w:bookmarkStart w:id="327" w:name="pg13695_150957"/>
    </w:p>
    <w:p>
      <w:pPr>
        <w:pStyle w:val="Heading2"/>
        <w:numPr>
          <w:ilvl w:val="1"/>
          <w:numId w:val="1"/>
        </w:numPr>
        <w:rPr/>
      </w:pPr>
      <w:bookmarkStart w:id="328" w:name="__RefHeading___Toc983963_1468164448"/>
      <w:bookmarkStart w:id="329" w:name="_Toc118"/>
      <w:bookmarkEnd w:id="327"/>
      <w:bookmarkEnd w:id="328"/>
      <w:r>
        <w:rPr>
          <w:rtl w:val="true"/>
        </w:rPr>
        <w:t xml:space="preserve">قاعدة </w:t>
      </w:r>
      <w:r>
        <w:rPr>
          <w:rtl w:val="true"/>
        </w:rPr>
        <w:t>:</w:t>
      </w:r>
      <w:r>
        <w:rPr>
          <w:rtl w:val="true"/>
        </w:rPr>
        <w:t>تعدد طرق الحکایة والإخبار عن الواقع</w:t>
      </w:r>
      <w:bookmarkEnd w:id="32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983965_1468164448"/>
      <w:bookmarkStart w:id="331" w:name="_Toc119"/>
      <w:bookmarkEnd w:id="330"/>
      <w:r>
        <w:rPr>
          <w:rtl w:val="true"/>
        </w:rPr>
        <w:t>اشارة</w:t>
      </w:r>
      <w:bookmarkStart w:id="332" w:name="pg13695_150959"/>
      <w:bookmarkEnd w:id="331"/>
    </w:p>
    <w:p>
      <w:pPr>
        <w:pStyle w:val="BookText"/>
        <w:rPr/>
      </w:pPr>
      <w:bookmarkEnd w:id="332"/>
      <w:r>
        <w:rPr>
          <w:rFonts w:ascii="IRNazanin" w:hAnsi="IRNazanin" w:eastAsia="IRNazanin"/>
          <w:color w:val="111111"/>
          <w:sz w:val="28"/>
          <w:sz w:val="28"/>
          <w:szCs w:val="28"/>
          <w:rtl w:val="true"/>
          <w:lang w:bidi="fa-IR"/>
        </w:rPr>
        <w:t>تعدد طرق الحکایة والإخبار عن الواقع</w:t>
      </w:r>
      <w:r>
        <w:rPr>
          <w:rStyle w:val="FootnoteAnchor"/>
          <w:rtl w:val="true"/>
        </w:rPr>
        <w:footnoteReference w:id="399"/>
      </w:r>
    </w:p>
    <w:p>
      <w:pPr>
        <w:pStyle w:val="Heading3"/>
        <w:numPr>
          <w:ilvl w:val="2"/>
          <w:numId w:val="1"/>
        </w:numPr>
        <w:rPr/>
      </w:pPr>
      <w:bookmarkStart w:id="333" w:name="__RefHeading___Toc983967_1468164448"/>
      <w:bookmarkStart w:id="334" w:name="_Toc120"/>
      <w:bookmarkEnd w:id="333"/>
      <w:r>
        <w:rPr>
          <w:rtl w:val="true"/>
        </w:rPr>
        <w:t>فی تحری الوقائع والأحداث</w:t>
      </w:r>
      <w:r>
        <w:rPr>
          <w:rtl w:val="true"/>
        </w:rPr>
        <w:t>:</w:t>
      </w:r>
      <w:bookmarkEnd w:id="334"/>
    </w:p>
    <w:p>
      <w:pPr>
        <w:pStyle w:val="BookText"/>
        <w:rPr/>
      </w:pPr>
      <w:r>
        <w:rPr>
          <w:rFonts w:ascii="IRNazanin" w:hAnsi="IRNazanin" w:eastAsia="IRNazanin"/>
          <w:color w:val="111111"/>
          <w:sz w:val="28"/>
          <w:sz w:val="28"/>
          <w:szCs w:val="28"/>
          <w:rtl w:val="true"/>
          <w:lang w:bidi="fa-IR"/>
        </w:rPr>
        <w:t xml:space="preserve">لسان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کشف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والوقائع الحادثة وحقیقة مجریات الأمور لا ینحصر بنقل الکلام والأقاویل للأشخاص الذین کانوا فی أطراف الحَدث والواقعة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دار بینهم من أقوال وکلمات لا یمثل تمام مساحة الحَدث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مساحات لم تحکِها الکلمات وکذلک الشأن بالنسبة إلی الشخص الشاهد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تحکیه کلماته الواصفة للحدث من عدسة عینیه ولاقطة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تمثل تلک الکلمات تمام مساحة حقیقة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کلمات هذا الشاهد المشاهد والراوی والناقل تتطرق وتغطّی مساحات من الحدث لیست هی أقوال وکلمات کل أطراف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تشمل ما یکون من قبیل الأفعال والحالات والظروف الأخری المحیطة والملابسات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تبقی کلمات هذا الراوی المشاهد الناقل للحدث هی تعبّر عن جزء من مساحة حقیقة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 مساحات کثیرة لا تُسجّل من حروف، وکلمات الرواة المشاهدین النقلة للحَدث، فیما إذا جمدنا علی حرفیة الحروف والکلمات التی وصفوا</w:t>
      </w:r>
      <w:bookmarkStart w:id="335" w:name="pg13695_150960"/>
    </w:p>
    <w:p>
      <w:pPr>
        <w:pStyle w:val="BookText"/>
        <w:rPr/>
      </w:pPr>
      <w:bookmarkEnd w:id="335"/>
      <w:r>
        <w:rPr>
          <w:rFonts w:ascii="IRNazanin" w:hAnsi="IRNazanin" w:eastAsia="IRNazanin"/>
          <w:color w:val="111111"/>
          <w:sz w:val="28"/>
          <w:sz w:val="28"/>
          <w:szCs w:val="28"/>
          <w:rtl w:val="true"/>
          <w:lang w:bidi="fa-IR"/>
        </w:rPr>
        <w:t>بها الحدث؛ وهو ما یُعبّر عنه فی علم البلاغة بالمفاد والمدلول المطابقی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تقصّی الباحثون عن الحقیقة، کما فی علم القضاء، والبحث الجنائی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علم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العلوم التی یهمّها تحرّی الوقائع والأحداث، کعلم الفقه والکلام وغیرها من العلوم الدینیة والشرعیة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مستند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فی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فعله 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یشمل سیرته وحالاته وسجایاه وعاداته وشؤونه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تقریره یشمل سیرة من عاصره من الناس وأحوالهم وشؤونهم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یشمل الارتکازات المطویة الغامضة التی یجری علیها العُرف المعاصر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فنقل تمام هذه المساحات من الحقیقة، أو الوصول إلیها لا یمکن الاقتصار فیه علی الکلمات المنقولة من جمیع الأشخاص الشاهدین للحدث فضلاً عن الاقتصار علی الکلام المنقول بکلام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تعدّدت طرق الحجیة فی الوصول إلی حقیقة الأحداث عَبر جملة من القنوات والآلیات</w:t>
      </w:r>
      <w:r>
        <w:rPr>
          <w:rFonts w:eastAsia="IRNazanin" w:cs="IRNazanin"/>
          <w:color w:val="111111"/>
          <w:sz w:val="28"/>
          <w:szCs w:val="28"/>
          <w:rtl w:val="true"/>
          <w:lang w:bidi="fa-IR"/>
        </w:rPr>
        <w:t>:</w:t>
      </w:r>
    </w:p>
    <w:p>
      <w:pPr>
        <w:pStyle w:val="Heading3"/>
        <w:numPr>
          <w:ilvl w:val="2"/>
          <w:numId w:val="1"/>
        </w:numPr>
        <w:rPr/>
      </w:pPr>
      <w:bookmarkStart w:id="336" w:name="__RefHeading___Toc983969_1468164448"/>
      <w:bookmarkStart w:id="337" w:name="_Toc121"/>
      <w:bookmarkEnd w:id="336"/>
      <w:r>
        <w:rPr>
          <w:rtl w:val="true"/>
        </w:rPr>
        <w:t>الطریق الأول</w:t>
      </w:r>
      <w:r>
        <w:rPr>
          <w:rtl w:val="true"/>
        </w:rPr>
        <w:t xml:space="preserve">: </w:t>
      </w:r>
      <w:r>
        <w:rPr>
          <w:rtl w:val="true"/>
        </w:rPr>
        <w:t>دلالة الفعل</w:t>
      </w:r>
      <w:r>
        <w:rPr>
          <w:rtl w:val="true"/>
        </w:rPr>
        <w:t>:</w:t>
      </w:r>
      <w:bookmarkEnd w:id="33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الفعل، فالفعل مضافاً إلی حجیة إسناده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دلالته علی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ودواعی الفاعل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أُطلق الکلام الإلهی علی أفعال الله تعالی، کقضاء الله سبحانه فعل من أفعال الله، وقدره کفعل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فعل 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منها مرتبة من الکلام الإلهی</w:t>
      </w:r>
    </w:p>
    <w:p>
      <w:pPr>
        <w:pStyle w:val="BookText"/>
        <w:rPr/>
      </w:pPr>
      <w:r>
        <w:rPr>
          <w:rFonts w:ascii="IRNazanin" w:hAnsi="IRNazanin" w:eastAsia="IRNazanin"/>
          <w:color w:val="111111"/>
          <w:sz w:val="28"/>
          <w:sz w:val="28"/>
          <w:szCs w:val="28"/>
          <w:rtl w:val="true"/>
          <w:lang w:bidi="fa-IR"/>
        </w:rPr>
        <w:t>یکشف به عن مقاصد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والإیجاد فی عالم الخلقة کلامٌ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معانی ومقاصد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بتوسط التحلیل المُمعن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قراءة قضاء الله تعالی وقدره ککلام وإرادة ما جری من خطاب عبید الله بن زیاد لعنه الله للعقیلة زینب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حاول أن یجعل قراءة قضاء الله وقدره کفعل إلهی دال علی قصد الله تعالی بالنکایة والنکال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قراءة مزیفة لمدلول فعل الله بما هو بمثابة کلام إلهی دال علی مقاصد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مدلول قضاء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مدیح لموقف سید الشهداء، ودللّت علی ذلک بما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وسیجمع الله بینک وبینهم فتحاج وتخاصم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لمن 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بن مرجانة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فأشارت بأن قضاء الله وقدره فی کربلاء إنما یُحسن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فی قراءته هو بضمیمة قضاء الله وقدره فی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بتر الأفعال الإلهیة عن بعضها البعض لأنها بمثابة کلام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دلیل علی أن الفعل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 کلام وتکلّم منه تعالی مع البشر والمخلوقات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إنما یحصّل قراءته من یلمّ بمجموع الأفعال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متوفراً علی مجموع الکلام والکلمات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قاله عبیدالله بن زیاد لعنه الله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یقتل الله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أخ یدعی علیاً قتله الناس</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فحاول ابن زیاد زیفاً أن یُسند فعل الناس إلی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ویجعله فعلاً</w:t>
      </w:r>
      <w:bookmarkStart w:id="338" w:name="pg13695_150962"/>
    </w:p>
    <w:p>
      <w:pPr>
        <w:pStyle w:val="BookText"/>
        <w:rPr/>
      </w:pPr>
      <w:bookmarkEnd w:id="338"/>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یقرأ منه أن المقصد الإلهی السخط علی نهضة سید الشهداء؛ فکذبّه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الفعل هو فعل الناس ولیس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وأمثاله نمط لقراءة الفعل بمثابة کلام دال علی غایات ومقاصد وهذا منبع ومصدر لقراءة الوقائع والأحداث</w:t>
      </w:r>
      <w:r>
        <w:rPr>
          <w:rFonts w:eastAsia="IRNazanin" w:cs="IRNazanin"/>
          <w:color w:val="111111"/>
          <w:sz w:val="28"/>
          <w:szCs w:val="28"/>
          <w:rtl w:val="true"/>
          <w:lang w:bidi="fa-IR"/>
        </w:rPr>
        <w:t>.</w:t>
      </w:r>
    </w:p>
    <w:p>
      <w:pPr>
        <w:pStyle w:val="Heading3"/>
        <w:numPr>
          <w:ilvl w:val="2"/>
          <w:numId w:val="1"/>
        </w:numPr>
        <w:rPr/>
      </w:pPr>
      <w:bookmarkStart w:id="339" w:name="__RefHeading___Toc983971_1468164448"/>
      <w:bookmarkStart w:id="340" w:name="_Toc122"/>
      <w:bookmarkEnd w:id="339"/>
      <w:r>
        <w:rPr>
          <w:rtl w:val="true"/>
        </w:rPr>
        <w:t>الطریق الثانی</w:t>
      </w:r>
      <w:r>
        <w:rPr>
          <w:rtl w:val="true"/>
        </w:rPr>
        <w:t xml:space="preserve">: </w:t>
      </w:r>
      <w:r>
        <w:rPr>
          <w:rtl w:val="true"/>
        </w:rPr>
        <w:t>حجیة التقریر</w:t>
      </w:r>
      <w:r>
        <w:rPr>
          <w:rtl w:val="true"/>
        </w:rPr>
        <w:t>:</w:t>
      </w:r>
      <w:bookmarkEnd w:id="340"/>
    </w:p>
    <w:p>
      <w:pPr>
        <w:pStyle w:val="BookText"/>
        <w:rPr/>
      </w:pPr>
      <w:r>
        <w:rPr>
          <w:rFonts w:ascii="IRNazanin" w:hAnsi="IRNazanin" w:eastAsia="IRNazanin"/>
          <w:color w:val="111111"/>
          <w:sz w:val="28"/>
          <w:sz w:val="28"/>
          <w:szCs w:val="28"/>
          <w:rtl w:val="true"/>
          <w:lang w:bidi="fa-IR"/>
        </w:rPr>
        <w:t>حجیة التقریر والإمضاء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التقریر لیس من القول المنطوق ولا من إبراز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حال صامت ودلالة مبطنة کامنة فی طیات ملابسات الظروف</w:t>
      </w:r>
      <w:r>
        <w:rPr>
          <w:rFonts w:eastAsia="IRNazanin" w:cs="IRNazanin"/>
          <w:color w:val="111111"/>
          <w:sz w:val="28"/>
          <w:szCs w:val="28"/>
          <w:rtl w:val="true"/>
          <w:lang w:bidi="fa-IR"/>
        </w:rPr>
        <w:t>.</w:t>
      </w:r>
    </w:p>
    <w:p>
      <w:pPr>
        <w:pStyle w:val="Heading3"/>
        <w:numPr>
          <w:ilvl w:val="2"/>
          <w:numId w:val="1"/>
        </w:numPr>
        <w:rPr/>
      </w:pPr>
      <w:bookmarkStart w:id="341" w:name="__RefHeading___Toc983973_1468164448"/>
      <w:bookmarkStart w:id="342" w:name="_Toc123"/>
      <w:bookmarkEnd w:id="341"/>
      <w:r>
        <w:rPr>
          <w:rtl w:val="true"/>
        </w:rPr>
        <w:t>الطریق الثالث</w:t>
      </w:r>
      <w:r>
        <w:rPr>
          <w:rtl w:val="true"/>
        </w:rPr>
        <w:t xml:space="preserve">: </w:t>
      </w:r>
      <w:r>
        <w:rPr>
          <w:rtl w:val="true"/>
        </w:rPr>
        <w:t>الدلالات الالتزامیة للکلام</w:t>
      </w:r>
      <w:r>
        <w:rPr>
          <w:rtl w:val="true"/>
        </w:rPr>
        <w:t>:</w:t>
      </w:r>
      <w:bookmarkEnd w:id="342"/>
    </w:p>
    <w:p>
      <w:pPr>
        <w:pStyle w:val="BookText"/>
        <w:rPr/>
      </w:pPr>
      <w:r>
        <w:rPr>
          <w:rFonts w:ascii="IRNazanin" w:hAnsi="IRNazanin" w:eastAsia="IRNazanin"/>
          <w:color w:val="111111"/>
          <w:sz w:val="28"/>
          <w:sz w:val="28"/>
          <w:szCs w:val="28"/>
          <w:rtl w:val="true"/>
          <w:lang w:bidi="fa-IR"/>
        </w:rPr>
        <w:t>لوازم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انکشاف للمعنی من قول القائل بما یستلزمه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تکلّمه بما یدل علیه من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تترامی هذه المدالیل الإلتزامیة عبر وسائط إلی حلقات بعیدة لم یقصدها القائل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یلتفت إلیها تفصیلاً ولکنها مطویة فی کلامه بنحو یتوقف علیها من</w:t>
      </w:r>
    </w:p>
    <w:p>
      <w:pPr>
        <w:pStyle w:val="BookText"/>
        <w:rPr/>
      </w:pPr>
      <w:r>
        <w:rPr>
          <w:rFonts w:ascii="IRNazanin" w:hAnsi="IRNazanin" w:eastAsia="IRNazanin"/>
          <w:color w:val="111111"/>
          <w:sz w:val="28"/>
          <w:sz w:val="28"/>
          <w:szCs w:val="28"/>
          <w:rtl w:val="true"/>
          <w:lang w:bidi="fa-IR"/>
        </w:rPr>
        <w:t>دون أن یشعر القائل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یُحتج علی المتکلم بأقاریر کلامه من المدلولات الإلتزامیة وإن لم یفطن لها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العقلاء علی أنفسهم جائز ونافذ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نمط من استکشاف الحقیقة بعیداً عن الکلام المنقول وهو باب واسع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تنسب هذه الأقاریر من وإلی المتکلم أنه اعترف بها</w:t>
      </w:r>
      <w:r>
        <w:rPr>
          <w:rFonts w:eastAsia="IRNazanin" w:cs="IRNazanin"/>
          <w:color w:val="111111"/>
          <w:sz w:val="28"/>
          <w:szCs w:val="28"/>
          <w:rtl w:val="true"/>
          <w:lang w:bidi="fa-IR"/>
        </w:rPr>
        <w:t>.</w:t>
      </w:r>
      <w:bookmarkStart w:id="343" w:name="pg13695_150963"/>
    </w:p>
    <w:p>
      <w:pPr>
        <w:pStyle w:val="Heading3"/>
        <w:numPr>
          <w:ilvl w:val="2"/>
          <w:numId w:val="1"/>
        </w:numPr>
        <w:rPr/>
      </w:pPr>
      <w:bookmarkStart w:id="344" w:name="__RefHeading___Toc983975_1468164448"/>
      <w:bookmarkStart w:id="345" w:name="_Toc124"/>
      <w:bookmarkEnd w:id="343"/>
      <w:bookmarkEnd w:id="344"/>
      <w:r>
        <w:rPr>
          <w:rtl w:val="true"/>
        </w:rPr>
        <w:t>الطریق الرابع</w:t>
      </w:r>
      <w:r>
        <w:rPr>
          <w:rtl w:val="true"/>
        </w:rPr>
        <w:t xml:space="preserve">: </w:t>
      </w:r>
      <w:r>
        <w:rPr>
          <w:rtl w:val="true"/>
        </w:rPr>
        <w:t>إنشاء المعانی فی النفس</w:t>
      </w:r>
      <w:r>
        <w:rPr>
          <w:rtl w:val="true"/>
        </w:rPr>
        <w:t>:</w:t>
      </w:r>
      <w:bookmarkEnd w:id="345"/>
    </w:p>
    <w:p>
      <w:pPr>
        <w:pStyle w:val="BookText"/>
        <w:rPr/>
      </w:pPr>
      <w:r>
        <w:rPr>
          <w:rFonts w:ascii="Amiri" w:hAnsi="Amiri" w:eastAsia="Amiri" w:cs="Amiri"/>
          <w:color w:val="111111"/>
          <w:sz w:val="28"/>
          <w:sz w:val="28"/>
          <w:szCs w:val="28"/>
          <w:rtl w:val="true"/>
          <w:lang w:bidi="ar-SA"/>
        </w:rPr>
        <w:t>وهو ما یسمّی بحدیث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نحو تخاطب بین النفس وذات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وکثیراً ما یُحکی کمقولة یقولها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القبیل النوایا والخواطر وقد یُجعل من أمثلة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قوله تعالی فی وصف أصحاب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إِنَّما نُطْعِمُکُمْ لِوَجْهِ اللّهِ لا نُرِیدُ مِنْکُمْ جَزاءً وَ لا 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هذا الکلام لم یکن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فحدیث النفس وإنشاء المعانی فی صفحة الخاطر أو غیره من بیوت النفس هو حدیث وتکلّم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إنشاء الحالات التکوینیة للنفس الحاملة لهویة وماهیة المعانی هو تکلّم نفسانی</w:t>
      </w:r>
      <w:r>
        <w:rPr>
          <w:rFonts w:eastAsia="IRNazanin" w:cs="IRNazanin"/>
          <w:color w:val="111111"/>
          <w:sz w:val="28"/>
          <w:szCs w:val="28"/>
          <w:rtl w:val="true"/>
          <w:lang w:bidi="fa-IR"/>
        </w:rPr>
        <w:t>.</w:t>
      </w:r>
    </w:p>
    <w:p>
      <w:pPr>
        <w:pStyle w:val="Heading3"/>
        <w:numPr>
          <w:ilvl w:val="2"/>
          <w:numId w:val="1"/>
        </w:numPr>
        <w:rPr/>
      </w:pPr>
      <w:bookmarkStart w:id="346" w:name="__RefHeading___Toc983977_1468164448"/>
      <w:bookmarkStart w:id="347" w:name="_Toc125"/>
      <w:bookmarkEnd w:id="346"/>
      <w:r>
        <w:rPr>
          <w:rtl w:val="true"/>
        </w:rPr>
        <w:t>الطریق الخامس</w:t>
      </w:r>
      <w:r>
        <w:rPr>
          <w:rtl w:val="true"/>
        </w:rPr>
        <w:t xml:space="preserve">: </w:t>
      </w:r>
      <w:r>
        <w:rPr>
          <w:rtl w:val="true"/>
        </w:rPr>
        <w:t>المجمل والمفصل</w:t>
      </w:r>
      <w:r>
        <w:rPr>
          <w:rtl w:val="true"/>
        </w:rPr>
        <w:t>:</w:t>
      </w:r>
      <w:bookmarkEnd w:id="347"/>
    </w:p>
    <w:p>
      <w:pPr>
        <w:pStyle w:val="BookText"/>
        <w:rPr/>
      </w:pPr>
      <w:r>
        <w:rPr>
          <w:rFonts w:ascii="IRNazanin" w:hAnsi="IRNazanin" w:eastAsia="IRNazanin"/>
          <w:color w:val="111111"/>
          <w:sz w:val="28"/>
          <w:sz w:val="28"/>
          <w:szCs w:val="28"/>
          <w:rtl w:val="true"/>
          <w:lang w:bidi="fa-IR"/>
        </w:rPr>
        <w:t>وهو بأن یتکلم المتکلم بکلامٍ مُجمل لا بمعنی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إجمال ینطوی فیه تفاصیل کثیرة غیر مصرّح بها ولکنها مُدمجة فی المعنی الإجمالی، وتُستخرج بالتدبّر والتمعّن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قوله تعالی للملائکة عندما اعترضوا علی استخلاف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عاود سبحانه وتعالی الخطاب مع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تعلیمه الأسماء وإنباء آدم للملائکة بالأسماء واعتراف الملائکة بقصور علمهم من علم الله تعالی وحکمته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 سبحانه بقوله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bookmarkStart w:id="348" w:name="pg13695_150964"/>
    </w:p>
    <w:p>
      <w:pPr>
        <w:pStyle w:val="BookText"/>
        <w:rPr/>
      </w:pPr>
      <w:bookmarkEnd w:id="348"/>
      <w:r>
        <w:rPr>
          <w:rFonts w:ascii="Amiri" w:hAnsi="Amiri" w:eastAsia="Amiri" w:cs="Amiri"/>
          <w:color w:val="111111"/>
          <w:sz w:val="28"/>
          <w:sz w:val="28"/>
          <w:szCs w:val="28"/>
          <w:rtl w:val="true"/>
          <w:lang w:bidi="ar-SA"/>
        </w:rPr>
        <w:t>فبیّن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تفصیلاً فی معاودته للخطاب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التفصیل إلی ما أجمله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والمفصّل غیب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تُبْدُونَ وَ ما کُنْتُمْ تَکْتُمُونَ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ونظیر قوله تعالی لنوح لمّا سأله فی ابنه وأنه من أهله وَ نادی نُوحٌ رَبَّهُ فَقالَ رَبِّ إِنَّ ابْنِی مِنْ أَهْلِی وَ إِنَّ وَعْدَکَ الْحَقُّ وَ أَنْتَ أَحْکَمُ الْحاکِمِینَ فأجابه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أن سؤال نبی الله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وعد الله الحق هو إشارة إلی قوله تعالی لنوح قبل الطوفان فَاسْلُکْ فِیها مِنْ کُلٍّ زَوْجَیْنِ اثْنَیْنِ وَ أَهْلَکَ إِلاّ مَنْ سَبَقَ عَلَیْهِ الْقَوْلُ فکان استثناؤه تعالی مجملاً أوضح تفصیله لنوح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أَهْلِکَ ، أن کنعان ابنه ممن سبق علیه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فیصحّ إسناد الکلام المفصّل لمن تکلّم بالمُجمل بالمعنی المزبور کما یصح ا 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إسناد المُجمل لمن تکلّم بالمفصّل ولعلّ هذا أحد الوجوه المفسِّرة لاختلاف نوع العرض للکلام والکلمات التی یسندها القرآن الکریم لأشخاص بین موضع وآخر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تجاذب حوار أو کلام تخاطب</w:t>
      </w:r>
      <w:r>
        <w:rPr>
          <w:rFonts w:eastAsia="IRNazanin" w:cs="IRNazanin"/>
          <w:color w:val="111111"/>
          <w:sz w:val="28"/>
          <w:szCs w:val="28"/>
          <w:rtl w:val="true"/>
          <w:lang w:bidi="fa-IR"/>
        </w:rPr>
        <w:t>.</w:t>
      </w:r>
    </w:p>
    <w:p>
      <w:pPr>
        <w:pStyle w:val="Heading3"/>
        <w:numPr>
          <w:ilvl w:val="2"/>
          <w:numId w:val="1"/>
        </w:numPr>
        <w:rPr/>
      </w:pPr>
      <w:bookmarkStart w:id="349" w:name="__RefHeading___Toc983979_1468164448"/>
      <w:bookmarkStart w:id="350" w:name="_Toc126"/>
      <w:bookmarkEnd w:id="349"/>
      <w:r>
        <w:rPr>
          <w:rtl w:val="true"/>
        </w:rPr>
        <w:t>الطریق السادس</w:t>
      </w:r>
      <w:r>
        <w:rPr>
          <w:rtl w:val="true"/>
        </w:rPr>
        <w:t xml:space="preserve">: </w:t>
      </w:r>
      <w:r>
        <w:rPr>
          <w:rtl w:val="true"/>
        </w:rPr>
        <w:t>لسان الحال والتصویر</w:t>
      </w:r>
      <w:r>
        <w:rPr>
          <w:rtl w:val="true"/>
        </w:rPr>
        <w:t>:</w:t>
      </w:r>
      <w:bookmarkEnd w:id="35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حالة الشیء من ظواهر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بعدة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انکشاف المعنی عن الشیء لدلالة صفة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من أحواله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شعر به أم لا کما تُفصح آثار الدیار الخربة عن حال ساکنیها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سیماء البائس علی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فی البدءِ أن ننقل کلاماً حول حقیقة لسان الحال وحکمه، فی الحکایة والإخبار للسید ابن طاووس فی کتابه إقبال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ذلک ما یتعلق بوداع شهر رمضان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الوداع لشهر رمضان، ولیس هو من الحیوان الذی یُخاطب ویعقل ما یقال له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عادة ذوی العقول قبل الرسول ومع الرسول وبعد الرسول یخاطبون الدیار والأوطان والشباب وأوقات الصفا والأمان والإحسان، ببیان المقال، وهو محادثة لها بلسان الحال، فلمّا جاء أدب الإسلام أمضی ما شهدت بجوازه من ذلک أحکام العقول والأفهام، ونطق به مقدّس القرآن المجید،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 أنّ جهنّم ردت الجواب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إشارة إلی لسان الحال وذکر کثیراً فی القرآن المجید، وفی کلام النبی صلی الله علیه و 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وکلام أهل التعریف، فلا یحتاج ذوو الألباب الإطالة فی الجواب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قُرّر للسان الحال ضوابط وقواعد لضبط الدقة والصواب والسداد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ونقدّم جملة من الأمثلة القرآنیة الواردة علی نمط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ذلک لا بد من الإشارة إلی أدلة واقعیة الحکایة بلسان الحال وصدقها</w:t>
      </w:r>
      <w:r>
        <w:rPr>
          <w:rFonts w:eastAsia="IRNazanin" w:cs="IRNazanin"/>
          <w:color w:val="111111"/>
          <w:sz w:val="28"/>
          <w:szCs w:val="28"/>
          <w:rtl w:val="true"/>
          <w:lang w:bidi="fa-IR"/>
        </w:rPr>
        <w:t>:</w:t>
      </w:r>
      <w:bookmarkStart w:id="351" w:name="pg13695_150966"/>
    </w:p>
    <w:p>
      <w:pPr>
        <w:pStyle w:val="Heading3"/>
        <w:numPr>
          <w:ilvl w:val="2"/>
          <w:numId w:val="1"/>
        </w:numPr>
        <w:rPr/>
      </w:pPr>
      <w:bookmarkStart w:id="352" w:name="__RefHeading___Toc983981_1468164448"/>
      <w:bookmarkStart w:id="353" w:name="_Toc127"/>
      <w:bookmarkEnd w:id="351"/>
      <w:bookmarkEnd w:id="352"/>
      <w:r>
        <w:rPr>
          <w:rtl w:val="true"/>
        </w:rPr>
        <w:t>واقعیة لسان الحال</w:t>
      </w:r>
      <w:r>
        <w:rPr>
          <w:rtl w:val="true"/>
        </w:rPr>
        <w:t>:</w:t>
      </w:r>
      <w:bookmarkEnd w:id="35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تسالم بین المفسرین من الفریقین علی أن القرآن الکریم قد استعمل طریقة لسان حال فی إسناد جملة من الکلام والأقوال للأشخاص مع کون ذلک من باب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تلک الکلمات والکلام لم یصدر من أولئک الأشخاص بنحو الصوت الصادر من لسان المقال بل إنما هو حال وحالات أولئک دالة کلسان علی تلک المعانی التی أسند صدور کلماتها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أکبر شاهد علی کون طریقة لسان الحال طبق قواعد وضوابط هی مسوّغة لإسناد المقال إلی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إسناد الأفعال الإنشائیة والمعانی الاعتباریة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دلیل ضرورة تعدد الطرق المتنوعة فی الکشف عن الحقیقة لأن مساحاتها لا یمکن أن یغطیّها لسان القال والمقال وهی أعظم مساحة فی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مترامی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المقال لیس إلّا بمثابة قشرة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من شواهد استعمالیة فی القرآن الکریم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لسان الحال أصدق من لسان المقال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نقل ثالث 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نقل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المقال ما نطق به لسان الحال</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الحال یندرج فی قسم سابع فی بیان الحقیقة ألا وهو الکلام والکلمة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دلالة الأثر التکوینی علی المؤثر أو الآیة علی ذی الآیة لیست بالوضع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بالدلالة العلمیة والتسبّب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وانعکاس الأثر عمّا فی المؤثر من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لسان الحال معنی تصویریا للحدث هو أبلغ تأثیراً فی تحسّس ولمس المشاهد بواقع المجریات والإدراک التفاعلی للوقائع من المعنی السمعی أو الفکری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استعراض شواهد استعمالیة فی القرآن الکریم علی لسان الحال ولیس من الضروری صحة هذه الأمثلة بأجمعها أنها من لسان الحال ولا یعنی استعراضها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علی کون الجمیع من مصادیق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یکفی صحة بعضها فضلاً عن غیرها من الموارد التی لم نستقص ذکرها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هذه الأمثلة بغض النظر عن صحتها تبین تسالم المفسرین علی وجود لسان الحال کأسلوب فی الحکایة عن الواقع والأحداث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وَ إِنَّهُ عَلی ذلِکَ لَشَهِیدٌ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الکفر العملی لا الکفر المقالی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ائْتِیا طَوْعاً أَوْ کَرْهاً قالَتا أَتَیْنا طائِعِینَ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جملة من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إسناد القول أَتَیْنا طائِعِینَ إلی أن</w:t>
      </w:r>
    </w:p>
    <w:p>
      <w:pPr>
        <w:pStyle w:val="BookText"/>
        <w:rPr/>
      </w:pPr>
      <w:r>
        <w:rPr>
          <w:rFonts w:ascii="IRNazanin" w:hAnsi="IRNazanin" w:eastAsia="IRNazanin"/>
          <w:color w:val="111111"/>
          <w:sz w:val="28"/>
          <w:sz w:val="28"/>
          <w:szCs w:val="28"/>
          <w:rtl w:val="true"/>
          <w:lang w:bidi="fa-IR"/>
        </w:rPr>
        <w:t>المراد هو لسان الحال وأن حالهما هو الانقیاد التکوینی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الطوع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إسناد القول له تعالی مخاطباً للسماء والأرض یُراد به الفعل التکوینی منه تعالی الذی هو بمثابة تکلّم تکوینی لا قولی ومقالی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التفسیر للآیة یُقرر أن الکلام التکوینی أصدق فی انطباق عنوان القول علیه من المقال والکلام الصوتی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 أَوْ تَقُولُوا إِنَّما أَشْرَکَ آباؤُنا مِنْ قَبْلُ وَ کُنّا ذُرِّیَّةً مِنْ بَعْدِهِمْ أَ فَتُهْلِکُنا بِما فَعَلَ الْمُبْطِلُونَ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 الآیة غیر واحد من المفسّرین أن خطاب الله للذریة فی عالم الذر وإسناد القول له إنما هو بلسان الحال لا التخاطب بلسان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رکّب تعالی فی فطرهم ما یشهد تکویناً بربوبیته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 غیر واحد أن إسناد ردّ الجواب المقالی إلی جهنم إشارة إلی لسان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وحملوا جملة من الآیات الواردة فی عوالم المیثاق والعهد السابقة لنشأة الدنیا علی لسان الحال واقتضاء الاستعداد کما فی المثال اللاحق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 وَ لکِنْ لا تَفْقَهُونَ تَسْبِیحَهُمْ أن الموجودات ناطقة بالحمد بلسان الحال حیث تشهد عظمة خلقتها علی عظمة الباری سبحانه فهو بمنزلة ثناء وحمد وتمجید</w:t>
      </w:r>
      <w:r>
        <w:rPr>
          <w:rFonts w:eastAsia="Amiri" w:cs="Amiri" w:ascii="Amiri" w:hAnsi="Amiri"/>
          <w:color w:val="111111"/>
          <w:sz w:val="28"/>
          <w:szCs w:val="28"/>
          <w:rtl w:val="true"/>
          <w:lang w:bidi="ar-SA"/>
        </w:rPr>
        <w:t>.</w:t>
      </w:r>
      <w:bookmarkStart w:id="354" w:name="pg13695_150969"/>
    </w:p>
    <w:p>
      <w:pPr>
        <w:pStyle w:val="BookText"/>
        <w:rPr/>
      </w:pPr>
      <w:bookmarkEnd w:id="354"/>
      <w:r>
        <w:rPr>
          <w:rFonts w:ascii="Amiri" w:hAnsi="Amiri" w:eastAsia="Amiri" w:cs="Amiri"/>
          <w:color w:val="111111"/>
          <w:sz w:val="28"/>
          <w:sz w:val="28"/>
          <w:szCs w:val="28"/>
          <w:rtl w:val="true"/>
          <w:lang w:bidi="ar-SA"/>
        </w:rPr>
        <w:t>ونظیره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 بأنها فاعلة لذلک کأفعال قصدیة بلسان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لِسَبَإٍ فِی مَسْکَنِهِمْ آیَةٌ جَنَّتانِ عَنْ یَمِینٍ وَ شِمالٍ کُلُوا مِنْ رِزْقِ رَبِّکُمْ وَ اشْکُرُوا لَهُ بَلْدَةٌ طَیِّبَةٌ وَ رَبٌّ غَفُورٌ فکونهم یخاطبون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رِزْقِ رَبِّکُمْ وَ اشْکُرُوا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الحال لا لسان المقال ومع ذلک ذکر فی الآیة کإسناد 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السؤال کثیر من المفسرین بأنّه لیس نطقاً وإنما باقتضاء حال وطبیعة المخلوقات أنها تفتقر إلی مَدد باریها فسؤالها هو بلسان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لِلْمُشْرِکِینَ أَنْ یَعْمُرُوا مَساجِدَ اللّهِ شاهِدِینَ عَلی أَنْفُسِهِمْ بِالْکُفْرِ فقد فُسّرت شهادة الکافرین علی أنفسهم لا بنطق اللسان بل أن حالهم وموقفهم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علیه من ملّة شاهد علی جحودهم وإنکارهم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فإصدارهم لأفعالهم بمثابة الشهادة من أنفسهم علی کفرهم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983983_1468164448"/>
      <w:bookmarkStart w:id="356" w:name="_Toc128"/>
      <w:bookmarkEnd w:id="355"/>
      <w:r>
        <w:rPr>
          <w:rtl w:val="true"/>
        </w:rPr>
        <w:t>الوجه السابع</w:t>
      </w:r>
      <w:r>
        <w:rPr>
          <w:rtl w:val="true"/>
        </w:rPr>
        <w:t xml:space="preserve">: </w:t>
      </w:r>
      <w:r>
        <w:rPr>
          <w:rtl w:val="true"/>
        </w:rPr>
        <w:t>النقل بالمعنی ولسان الحال</w:t>
      </w:r>
      <w:r>
        <w:rPr>
          <w:rtl w:val="true"/>
        </w:rPr>
        <w:t>:</w:t>
      </w:r>
      <w:bookmarkEnd w:id="35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اعتمد جملة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یظهر من الروایات الواردة فی 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فی مقابلة جهالة الجهال أنهم یغضّون الطرف ویصفحون لئلا ینشغلوا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وبترّهاتهم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فإسناد قولهم أن ما یبدون من فِعال بمثابة هذا القول وأن ما یجیبون به</w:t>
      </w:r>
      <w:bookmarkStart w:id="357" w:name="pg13695_150970"/>
    </w:p>
    <w:p>
      <w:pPr>
        <w:pStyle w:val="BookText"/>
        <w:rPr/>
      </w:pPr>
      <w:bookmarkEnd w:id="357"/>
      <w:r>
        <w:rPr>
          <w:rFonts w:ascii="IRNazanin" w:hAnsi="IRNazanin" w:eastAsia="IRNazanin"/>
          <w:color w:val="111111"/>
          <w:sz w:val="28"/>
          <w:sz w:val="28"/>
          <w:szCs w:val="28"/>
          <w:rtl w:val="true"/>
          <w:lang w:bidi="fa-IR"/>
        </w:rPr>
        <w:t>خطاب الجهال کلاماً ینطبق علیه عنوان السِلم والصَفح، فإسناد لفظة السلامة إلی مقالهم بلحاظ المعنی وحال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قریب من 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ینبّه علی وجه آخر لاعتبار وحجیة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النقل بالمعنی معتبر ومعتد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نقلاً حرفیاً لألفاظ المقال لاسیما وأن النقل بالمعنی علی طبقات ودرجات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القریب من ألفاظ مقال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البعید عن تلک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حقیقة المعنی متقررة فی تلک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نظیر ما مرّ فی باب الإقرار المقالی من الشخص المقر وعموم باب التقاریر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یسند إلی المقر فی ما قاله جملة من المعانی والأمور التی لم یلتفت إلیها وإلی تفاصیلها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بالالتفات التفصیلی ولا بالالتفات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فإسناد الإقرار إلی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أقرّ بذلک مقال قریب من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یفتح الباب واسعاً لاستکشاف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الطریق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علی الألفاظ وحدود المعانی التی تکلم بها فی نطاق السطح المطابقی للکلام</w:t>
      </w:r>
      <w:r>
        <w:rPr>
          <w:rFonts w:eastAsia="IRNazanin" w:cs="IRNazanin"/>
          <w:color w:val="111111"/>
          <w:sz w:val="28"/>
          <w:szCs w:val="28"/>
          <w:rtl w:val="true"/>
          <w:lang w:bidi="fa-IR"/>
        </w:rPr>
        <w:t>.</w:t>
      </w:r>
    </w:p>
    <w:p>
      <w:pPr>
        <w:pStyle w:val="Heading3"/>
        <w:numPr>
          <w:ilvl w:val="2"/>
          <w:numId w:val="1"/>
        </w:numPr>
        <w:rPr/>
      </w:pPr>
      <w:bookmarkStart w:id="358" w:name="__RefHeading___Toc983985_1468164448"/>
      <w:bookmarkStart w:id="359" w:name="_Toc129"/>
      <w:bookmarkEnd w:id="358"/>
      <w:r>
        <w:rPr>
          <w:rtl w:val="true"/>
        </w:rPr>
        <w:t>الوجه الثامن</w:t>
      </w:r>
      <w:r>
        <w:rPr>
          <w:rtl w:val="true"/>
        </w:rPr>
        <w:t xml:space="preserve">: </w:t>
      </w:r>
      <w:r>
        <w:rPr>
          <w:rtl w:val="true"/>
        </w:rPr>
        <w:t>الکلام التکوینی للأفعال</w:t>
      </w:r>
      <w:r>
        <w:rPr>
          <w:rtl w:val="true"/>
        </w:rPr>
        <w:t>:</w:t>
      </w:r>
      <w:bookmarkEnd w:id="35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تقریر هذا الوجه ببیان آخر وهو أن کل فعلٍ یبدیه الإنسان یُعد نمطاً من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وإبرازاً لما هو مضمر فی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یشمل أفعال البدن والخواطر أی المعانی التی یوجدها فی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والحالات الروحیة التی تتکون متولدة منه ویکون له دور وتسبیب فی تکوینها ولو بلحاظ المقدمات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قوله اللسانی کلاماً لا بلحاظ الأصوات الدالة علی المعانی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متکلماً بلحاظ أنه یبرز منه بمقاله</w:t>
      </w:r>
    </w:p>
    <w:p>
      <w:pPr>
        <w:pStyle w:val="BookText"/>
        <w:rPr/>
      </w:pPr>
      <w:r>
        <w:rPr>
          <w:rFonts w:ascii="IRNazanin" w:hAnsi="IRNazanin" w:eastAsia="IRNazanin"/>
          <w:color w:val="111111"/>
          <w:sz w:val="28"/>
          <w:sz w:val="28"/>
          <w:szCs w:val="28"/>
          <w:rtl w:val="true"/>
          <w:lang w:bidi="fa-IR"/>
        </w:rPr>
        <w:t>والمعانی التی یستعملها مضمرات مکنونة فی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یشیر إلیه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 تحت لسانه</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 تحت لسانه فإذا تکلم ظهر</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لَتَعْرِفَنَّهُمْ فِی لَحْنِ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القول هنا علی حالة النفاق فی الأشخاص لیست من جهة أصوات الکلمات ودلالتها الاعتباریة الوضعیة علی المعانی الذهنیة بل من جهة أن القول فعل من أفعال الإنسان یبرز مکنون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فمعالم شخصیة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وطابع توجهه یُکشف ویبرز بإقدامه علی التعاطی بجملة من المعانی والأصوات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تکشف تکویناً عن ما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فجملة حرکات الإنسان وسکناته وأفعاله تکلّم تکوینی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کونی وجودی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 وظهر فی فلتات لسانه وصفحات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جملة من المفسرین ذهبوا إلی أن حال المخلوقات یومئذ من الفناء والهلاک بحیث لا توجد قدرة إلّا 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کل ما سواه</w:t>
      </w:r>
    </w:p>
    <w:p>
      <w:pPr>
        <w:pStyle w:val="BookText"/>
        <w:rPr/>
      </w:pPr>
      <w:r>
        <w:rPr>
          <w:rFonts w:ascii="IRNazanin" w:hAnsi="IRNazanin" w:eastAsia="IRNazanin"/>
          <w:color w:val="111111"/>
          <w:sz w:val="28"/>
          <w:sz w:val="28"/>
          <w:szCs w:val="28"/>
          <w:rtl w:val="true"/>
          <w:lang w:bidi="fa-IR"/>
        </w:rPr>
        <w:t>تتجلّی بکونها مقهورة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أنه یُخلق نداء بهذه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لسان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یا أَیُّهَا النَّمْلُ ادْخُلُوا مَساکِنَکُمْ لا یَحْطِمَنَّکُمْ سُلَیْمانُ وَ جُنُودُهُ وَ هُمْ لا یَشْعُرُونَ فَتَبَسَّمَ ضاحِکاً مِنْ قَوْلِها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ذکر عدة من المفسرین أن قول النملة لیس کلاما لها وإنما فعلها مع بقیة أفراد مجموعتها حالها بمثابة قول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أَحَطْتُ بِما لَمْ تُحِطْ بِهِ وَ جِئْتُکَ مِنْ سَبَإٍ بِنَبَإٍ یَقِینٍ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فإن کثیراً من المفسرین حملها علی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النملة ومن الهدهد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ما تُبْدُونَ وَ ما کُنْتُمْ تَکْتُمُونَ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الآیة وإن کانت قد تقدمت أنها من المفصّل لما کان مجملاً إلّا أن مفادها ینطبق علی وجه آخر أیضاً بلحاظ جهة أخری فی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التکلم عبارة عن إبراز وإظهار ما فی النفس من المعانی، فقوام القول والکلام هو إنشاء المعانی فی النفس بإنشاء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أحاسیس وخواطر ومشاعر وهواجس وإحساسات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وخیالات وأوهام وأفکار ووجدانیات ورؤی وآمال وغیرها من المعانی الکثیرة التی تنشئها النفس بتفاعل فإنها بمثابة درجة من التکلم</w:t>
      </w:r>
      <w:r>
        <w:rPr>
          <w:rFonts w:eastAsia="IRNazanin" w:cs="IRNazanin"/>
          <w:color w:val="111111"/>
          <w:sz w:val="28"/>
          <w:szCs w:val="28"/>
          <w:rtl w:val="true"/>
          <w:lang w:bidi="fa-IR"/>
        </w:rPr>
        <w:t>.</w:t>
      </w:r>
      <w:bookmarkStart w:id="360" w:name="pg13695_150973"/>
    </w:p>
    <w:p>
      <w:pPr>
        <w:pStyle w:val="BookText"/>
        <w:rPr/>
      </w:pPr>
      <w:bookmarkEnd w:id="360"/>
      <w:r>
        <w:rPr>
          <w:rFonts w:ascii="IRNazanin" w:hAnsi="IRNazanin" w:eastAsia="IRNazanin"/>
          <w:color w:val="111111"/>
          <w:sz w:val="28"/>
          <w:sz w:val="28"/>
          <w:szCs w:val="28"/>
          <w:rtl w:val="true"/>
          <w:lang w:bidi="fa-IR"/>
        </w:rPr>
        <w:t>ومن ثم أطلق علیها بالکلام النفسی والنفسانی وحدیث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درجة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فطرة الإنسان ومعدن طینته کالأمر المضمر والمُجمل والمُکمَّم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فیُفتّق رتقه لإنشاء وإبراز ذلک المُضمَر المدفون والمعدن المطمور والکنز 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درجة من درجات الإبراز والظهور فی طبقات صفحات النفس تُعدّ درجة من درجات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لسان الحال هو من حقیقة التکلّم والکلام وأنه لا یقتصر علی الإبراز بلُحمة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بالصوت القارع بشحمة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فیندرج لسان الحال حقیقةً فی الکلام والقول لأنه إبراز ما فی معدن وطینة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تکون کل أفعال الإنسان تکلّماً وقولاً</w:t>
      </w:r>
      <w:r>
        <w:rPr>
          <w:rFonts w:eastAsia="IRNazanin" w:cs="IRNazanin"/>
          <w:color w:val="111111"/>
          <w:sz w:val="28"/>
          <w:szCs w:val="28"/>
          <w:rtl w:val="true"/>
          <w:lang w:bidi="fa-IR"/>
        </w:rPr>
        <w:t>.</w:t>
      </w:r>
    </w:p>
    <w:p>
      <w:pPr>
        <w:pStyle w:val="Heading3"/>
        <w:numPr>
          <w:ilvl w:val="2"/>
          <w:numId w:val="1"/>
        </w:numPr>
        <w:rPr/>
      </w:pPr>
      <w:bookmarkStart w:id="361" w:name="__RefHeading___Toc983987_1468164448"/>
      <w:bookmarkStart w:id="362" w:name="_Toc130"/>
      <w:bookmarkEnd w:id="361"/>
      <w:r>
        <w:rPr>
          <w:rtl w:val="true"/>
        </w:rPr>
        <w:t>الوجه التاسع</w:t>
      </w:r>
      <w:r>
        <w:rPr>
          <w:rtl w:val="true"/>
        </w:rPr>
        <w:t xml:space="preserve">: </w:t>
      </w:r>
      <w:r>
        <w:rPr>
          <w:rtl w:val="true"/>
        </w:rPr>
        <w:t>التمثیل والتصویر</w:t>
      </w:r>
      <w:r>
        <w:rPr>
          <w:rtl w:val="true"/>
        </w:rPr>
        <w:t>:</w:t>
      </w:r>
      <w:bookmarkEnd w:id="362"/>
    </w:p>
    <w:p>
      <w:pPr>
        <w:pStyle w:val="BookText"/>
        <w:rPr/>
      </w:pPr>
      <w:r>
        <w:rPr>
          <w:rFonts w:ascii="IRNazanin" w:hAnsi="IRNazanin" w:eastAsia="IRNazanin"/>
          <w:color w:val="111111"/>
          <w:sz w:val="28"/>
          <w:sz w:val="28"/>
          <w:szCs w:val="28"/>
          <w:rtl w:val="true"/>
          <w:lang w:bidi="fa-IR"/>
        </w:rPr>
        <w:t>یعتبر التمثیل والتصویر نمطان بارزان من أنماط لسان الحال ولا یقتصر التمثیل والاستعمال للسان الحال بمنزلة الکلام والقول علی الآیات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من الروایات الشیء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أضمر أحدٌ شیئاً إلّا ظهر فی فلتات لسانه وصفحات وجهه</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هذا الحدیث یطابق ما مرّ تقریره من أن حقیقة الکلام غیر منحصرة بإبرازه بلحمة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ما یُضمر فی النفس والوجدان من ما ینشئ فی صفحاتها من معانی وأحادیث</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بعض الروایات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من یوم یأتی علی ابن آدم إلاّ قال له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أنا یوم جدید، وأنا علیک شهید، فقل خیراً واعمل فیّ خیراً، أشهد لک به یوم القیامة، فإنک لن ترانی بعدها أبداً</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ورد فی دعاء وداع شهر رمضان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فنحن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شهر الله الأکبر، ویا عید أولیائه، السلام علیک یا أکرم مصحوب من الأوقات</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ثواب صوت المؤذن وأنه یشهد له کلّ رطب ویابس یصل إلیه صوته، کما ورد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المؤذنون یخرجون من قبورهم یوم القیامة یؤذنون ویغفر للمؤذن مدّ صوته، ویشهد له کل شیء سمعه من شجر أو مدر أو حجر رطب، أو یابس</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مصحح أبی هارون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أنشدنی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فانشدته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کما تنشدون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 فقل لأعظمه الزکیة</w:t>
      </w:r>
    </w:p>
    <w:p>
      <w:pPr>
        <w:pStyle w:val="BookText"/>
        <w:rPr/>
      </w:pPr>
      <w:r>
        <w:rPr>
          <w:rFonts w:ascii="IRNazanin" w:hAnsi="IRNazanin" w:eastAsia="IRNazanin"/>
          <w:color w:val="111111"/>
          <w:sz w:val="28"/>
          <w:sz w:val="28"/>
          <w:szCs w:val="28"/>
          <w:rtl w:val="true"/>
          <w:lang w:bidi="fa-IR"/>
        </w:rPr>
        <w:t>یا أعظماً لا زلت من وطفاء ساکبة رویة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مررت بقبره فأطل به وقف المطیة</w:t>
      </w:r>
    </w:p>
    <w:p>
      <w:pPr>
        <w:pStyle w:val="BookText"/>
        <w:rPr/>
      </w:pPr>
      <w:r>
        <w:rPr>
          <w:rFonts w:ascii="IRNazanin" w:hAnsi="IRNazanin" w:eastAsia="IRNazanin"/>
          <w:color w:val="111111"/>
          <w:sz w:val="28"/>
          <w:sz w:val="28"/>
          <w:szCs w:val="28"/>
          <w:rtl w:val="true"/>
          <w:lang w:bidi="fa-IR"/>
        </w:rPr>
        <w:t>وابک المطهّر للمطهّر والمطهرةِ النقیة</w:t>
      </w:r>
    </w:p>
    <w:p>
      <w:pPr>
        <w:pStyle w:val="BookText"/>
        <w:rPr/>
      </w:pPr>
      <w:r>
        <w:rPr>
          <w:rFonts w:ascii="IRNazanin" w:hAnsi="IRNazanin" w:eastAsia="IRNazanin"/>
          <w:color w:val="111111"/>
          <w:sz w:val="28"/>
          <w:sz w:val="28"/>
          <w:szCs w:val="28"/>
          <w:rtl w:val="true"/>
          <w:lang w:bidi="fa-IR"/>
        </w:rPr>
        <w:t>کبکاء معولة أتت یوماً لواحدها المنیة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القصیدة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البکاء من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من أنشد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فبکی وأبکی عشراً کتبت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أنشد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فبکی وأبکی خمساً کتبت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أنشد فی الحسین شعراً فبکی وأبکی واحداً کتبت لهما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مضمون الأبیات التی ذکرها المُنشد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تمثیل وتصویر بلسان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الإخبار وکلام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فلیس هناک حوار بین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عظام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استعارة تمثیلیة ذکرها المُنشد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تصویر 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قلوب المؤمنین منجذبة ومرتبطة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قرحة المصاب وآلام الحزن لا زالت تُبکی عیون المحبین من شیعة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التقریب یکون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بالإنشاد هو بهذا المنوال والشاکلة الذی یکون الغالب فیه؛ طریقة لسان الحال ممّا یتم الترکیز فیه علی المعانی والحالات المعنویة؛ والمشاعر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والعواطف النفسانیة؛ والتی هی جزء من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مرّ أن الواقع والحقیقة لا یقتصر علی المحسوس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المشهد الروحی والنفسانی والفکری والقلبی والعقلی</w:t>
      </w:r>
    </w:p>
    <w:p>
      <w:pPr>
        <w:pStyle w:val="BookText"/>
        <w:rPr/>
      </w:pPr>
      <w:r>
        <w:rPr>
          <w:rFonts w:ascii="IRNazanin" w:hAnsi="IRNazanin" w:eastAsia="IRNazanin"/>
          <w:color w:val="111111"/>
          <w:sz w:val="28"/>
          <w:sz w:val="28"/>
          <w:szCs w:val="28"/>
          <w:rtl w:val="true"/>
          <w:lang w:bidi="fa-IR"/>
        </w:rPr>
        <w:t>فی واقعة الطف 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حافل بکثیر من الحقائق والمقامات والأهوال ومضمار المیادین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أوسع أُفقاً ورحابةً من البقعة الجغرافیة لواقعة الأبدان فی معرکة الطف فإن الزخم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والتفاعل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ذو مشاهد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وکثیرة بل هو بحور هائلة من المعانی لا تحصی ولا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الآلیة الراصدة والمجهر الکاشف لکل تلک المساحات الغائبة عن أعین البصر المادی والجسمانی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أذان البدن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لعاقل أن ینحسر نظره عن کل تلک المساحات من حقیقة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هی بمثابة الروح واللب للواقعة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ویقتصر علی القشور والهوامش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منازلة الطف هی منازلة روحیة فی أساسها وأصلها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ومواجهة عقلیة ومقابلة 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ومحاربة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هی اشتباک عسکری بالأبدان والأجساد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وبتقریب ثان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أمر الراثی بالإنشاد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قصیدته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مرّت أنها بلسان الحال حیث تعکس الجوانب الروحیة والمعنویة فی بحر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أکّد له بمزید من الطلب والأمر والحث والترغیب علی مثل هذا الشعر والإنشاد؛ ورغّبه بعظیم الثواب والجزاء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وبتقریب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بإنشاد الشعر بعنوان الشعر لا بعنوان النثر والکلام النثری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دال علی تقریر باب لسان الحال فی التذکیر بواقعة الطف وأن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الأبواب التی یمکنها کشف مساحات عظیمة مغفول عنها فی تلک الملحمة</w:t>
      </w:r>
      <w:r>
        <w:rPr>
          <w:rFonts w:eastAsia="IRNazanin" w:cs="IRNazanin"/>
          <w:color w:val="111111"/>
          <w:sz w:val="28"/>
          <w:szCs w:val="28"/>
          <w:rtl w:val="true"/>
          <w:lang w:bidi="fa-IR"/>
        </w:rPr>
        <w:t>.</w:t>
      </w:r>
      <w:bookmarkStart w:id="363" w:name="pg13695_150977"/>
    </w:p>
    <w:p>
      <w:pPr>
        <w:pStyle w:val="BookText"/>
        <w:rPr/>
      </w:pPr>
      <w:bookmarkEnd w:id="363"/>
      <w:r>
        <w:rPr>
          <w:rFonts w:ascii="Amiri" w:hAnsi="Amiri" w:eastAsia="Amiri" w:cs="Amiri"/>
          <w:color w:val="111111"/>
          <w:sz w:val="28"/>
          <w:sz w:val="28"/>
          <w:szCs w:val="28"/>
          <w:rtl w:val="true"/>
          <w:lang w:bidi="ar-SA"/>
        </w:rPr>
        <w:t>حیث أن الشعر بطبعه فیه حالة التحلیق فی عالم الخیال وإثارة الأحاسیس النفسانیة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وتکثر فیه البراعة فی التصویر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والإثارة النفسانیة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مع وقع تفعیلة الأوزان الشعریة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صوت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جُعلت المباینة بینه وبین القرآن الکریم الذی هو کلام الله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 إِنْ هُوَ إِلاّ ذِکْرٌ وَ قُرْآنٌ مُبِینٌ 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أَ لَمْ تَرَ أَنَّهُمْ فِی کُلِّ وادٍ یَهِیمُونَ وَ أَنَّهُمْ یَقُولُونَ ما لا یَفْعَلُونَ إِلاَّ الَّذِینَ آمَنُوا وَ عَمِلُوا الصّالِحاتِ وَ ذَکَرُوا اللّهَ کَثِیراً وَ انْتَصَرُوا مِنْ بَعْدِ ما ظُلِمُوا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فبینت هذه الآیات أن الشعر بطبیعته التخیّلیة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غوایة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یسلک بصاحبه إلی کل اتجاه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أقواله لیست نابعه من إلتزام وصدقیة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ثرثرة معانی وتزویق کلمات</w:t>
      </w:r>
      <w:r>
        <w:rPr>
          <w:rFonts w:eastAsia="IRNazanin" w:cs="IRNazanin"/>
          <w:color w:val="111111"/>
          <w:sz w:val="28"/>
          <w:szCs w:val="28"/>
          <w:rtl w:val="true"/>
          <w:lang w:bidi="fa-IR"/>
        </w:rPr>
        <w:t>.</w:t>
      </w:r>
    </w:p>
    <w:p>
      <w:pPr>
        <w:pStyle w:val="Heading3"/>
        <w:numPr>
          <w:ilvl w:val="2"/>
          <w:numId w:val="1"/>
        </w:numPr>
        <w:rPr/>
      </w:pPr>
      <w:bookmarkStart w:id="364" w:name="__RefHeading___Toc983989_1468164448"/>
      <w:bookmarkStart w:id="365" w:name="_Toc131"/>
      <w:bookmarkEnd w:id="364"/>
      <w:r>
        <w:rPr>
          <w:rtl w:val="true"/>
        </w:rPr>
        <w:t xml:space="preserve">القرآن والدعوة للإنشاد والشعر فی أهل البیت </w:t>
      </w:r>
      <w:r>
        <w:rPr>
          <w:rtl w:val="true"/>
        </w:rPr>
        <w:t>(</w:t>
      </w:r>
      <w:r>
        <w:rPr>
          <w:rtl w:val="true"/>
        </w:rPr>
        <w:t>علیهم السلام</w:t>
      </w:r>
      <w:r>
        <w:rPr>
          <w:rtl w:val="true"/>
        </w:rPr>
        <w:t>) :</w:t>
      </w:r>
      <w:bookmarkEnd w:id="365"/>
    </w:p>
    <w:p>
      <w:pPr>
        <w:pStyle w:val="BookText"/>
        <w:rPr/>
      </w:pPr>
      <w:r>
        <w:rPr>
          <w:rFonts w:ascii="IRNazanin" w:hAnsi="IRNazanin" w:eastAsia="IRNazanin"/>
          <w:color w:val="111111"/>
          <w:sz w:val="28"/>
          <w:sz w:val="28"/>
          <w:szCs w:val="28"/>
          <w:rtl w:val="true"/>
          <w:lang w:bidi="fa-IR"/>
        </w:rPr>
        <w:t>ولکنه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المؤمنین العاملین للصالحات والذاکرین الله کثیراً والذین یستخدمون آلة الشعر لنصرة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وتقریع الظالم وهذا باب عظیم لتقسیم وتصنیف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أبداه القرآن الکریم؛ فذکر لمواصفات الشعر الصالح الهادف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منطلقاً من مقتضیات الإیمان والاعتقادات الحقة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منطلقاً وداعیاً إلی العمل الصالح بخلاف الشعر الذی</w:t>
      </w:r>
    </w:p>
    <w:p>
      <w:pPr>
        <w:pStyle w:val="BookText"/>
        <w:rPr/>
      </w:pPr>
      <w:r>
        <w:rPr>
          <w:rFonts w:ascii="IRNazanin" w:hAnsi="IRNazanin" w:eastAsia="IRNazanin"/>
          <w:color w:val="111111"/>
          <w:sz w:val="28"/>
          <w:sz w:val="28"/>
          <w:szCs w:val="28"/>
          <w:rtl w:val="true"/>
          <w:lang w:bidi="fa-IR"/>
        </w:rPr>
        <w:t>یدعو إلی البطر والأشر واللهو والمجون والفسق والتحلّق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یوجب التذکیر بالله تعالی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النمط الآخر من الشعر الذی یصدق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نصرةً للمظلوم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ومواجهةً للظالم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أرکان أربعة للشعر الهادف الممدوح أساساً فی القرآن الکریم؛ فنلاحظ انطباق هذه الأسس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الشعر الذی یُنشد فی 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رثائهم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فضح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أعظم مصائبهم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الأساس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مقتضی فریضة الإیمان بولایتهم وخلافتهم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ووصایتهم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الأساس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إنشاد الشعر فی أهل البیت هو امتثال للأمر بصلتهم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أعظم رحم أوصی به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أبرز 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هو طاعة للمودّة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الأساس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جُعلوا السبیل إلی الله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إِلاّ مَنْ شاءَ أَنْ یَتَّخِذَ إِلی</w:t>
      </w:r>
    </w:p>
    <w:p>
      <w:pPr>
        <w:pStyle w:val="BookText"/>
        <w:rPr/>
      </w:pPr>
      <w:r>
        <w:rPr>
          <w:rFonts w:ascii="IRNazanin" w:hAnsi="IRNazanin" w:eastAsia="IRNazanin"/>
          <w:color w:val="111111"/>
          <w:sz w:val="28"/>
          <w:sz w:val="28"/>
          <w:szCs w:val="28"/>
          <w:rtl w:val="true"/>
          <w:lang w:bidi="fa-IR"/>
        </w:rPr>
        <w:t>رَبِّهِ سَبِیلاً فبیّن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أجر الرسالة هی مودة قربی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الأجر نفعه عائد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المودة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السبیل إلی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هم السبیل إلیک والمسلک إلی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الأساس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ظُلموا واُبعدوا عن الحق الذی جعله الله لهم واضطهدوا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ودُفعوا عن مراتبهم التی رتبّهم الله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الحقیقة أن نصرتهم هی نصرة للدین القویم کما أشار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 نری سیرة النبی صلی الله علیه و آله علی حث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کحسان بن ثابت وغیره فی إنشاد الشعر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والفضائل التی أنزلها القرآن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ولأجل ذلک قد ورد مستفیضاً الحث علی إنشاد الشعر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الصدوق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المتضمنة للحث علی إنشاد الشعر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عقد السید البروجردی فی 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 استحباب انشاد الشعر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ثمان وعشرین روایة فی ج</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وعقد صاحب الوسائل باباً فی استحباب إنشاد الشعر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إسناد القول والکلام إلی الشخص بلحاظ واقع حاله</w:t>
      </w:r>
      <w:bookmarkStart w:id="366" w:name="pg13695_150980"/>
    </w:p>
    <w:p>
      <w:pPr>
        <w:pStyle w:val="BookText"/>
        <w:rPr/>
      </w:pPr>
      <w:bookmarkEnd w:id="366"/>
      <w:r>
        <w:rPr>
          <w:rFonts w:ascii="IRNazanin" w:hAnsi="IRNazanin" w:eastAsia="IRNazanin"/>
          <w:color w:val="111111"/>
          <w:sz w:val="28"/>
          <w:sz w:val="28"/>
          <w:szCs w:val="28"/>
          <w:rtl w:val="true"/>
          <w:lang w:bidi="fa-IR"/>
        </w:rPr>
        <w:t>لسان أصدق وأبین وأثبت من لسان المقال، وأن هذا الإسناد حقیقی سواء بلحاظ الفعل الصادر عنه علی مستوی جوارح البدن أو علی مستوی 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حالاً من الأحوال وسواء کان للبدن أو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الحال إلی کونه فعلاً صادراً منه بحسب النظر الدقیق الممعِن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الإسناد لیس علی نحو المجاز أو التوسّع شریطة أن یکون الحال حقیقیاً</w:t>
      </w:r>
      <w:r>
        <w:rPr>
          <w:rFonts w:eastAsia="IRNazanin" w:cs="IRNazanin"/>
          <w:color w:val="111111"/>
          <w:sz w:val="28"/>
          <w:szCs w:val="28"/>
          <w:rtl w:val="true"/>
          <w:lang w:bidi="fa-IR"/>
        </w:rPr>
        <w:t>.</w:t>
      </w:r>
    </w:p>
    <w:p>
      <w:pPr>
        <w:pStyle w:val="Heading3"/>
        <w:numPr>
          <w:ilvl w:val="2"/>
          <w:numId w:val="1"/>
        </w:numPr>
        <w:rPr/>
      </w:pPr>
      <w:bookmarkStart w:id="367" w:name="__RefHeading___Toc983991_1468164448"/>
      <w:bookmarkStart w:id="368" w:name="_Toc132"/>
      <w:bookmarkEnd w:id="367"/>
      <w:r>
        <w:rPr>
          <w:rtl w:val="true"/>
        </w:rPr>
        <w:t>التصویر</w:t>
      </w:r>
      <w:r>
        <w:rPr>
          <w:rtl w:val="true"/>
        </w:rPr>
        <w:t>:</w:t>
      </w:r>
      <w:bookmarkEnd w:id="368"/>
    </w:p>
    <w:p>
      <w:pPr>
        <w:pStyle w:val="BookText"/>
        <w:rPr/>
      </w:pPr>
      <w:r>
        <w:rPr>
          <w:rFonts w:ascii="IRNazanin" w:hAnsi="IRNazanin" w:eastAsia="IRNazanin"/>
          <w:color w:val="111111"/>
          <w:sz w:val="28"/>
          <w:sz w:val="28"/>
          <w:szCs w:val="28"/>
          <w:rtl w:val="true"/>
          <w:lang w:bidi="fa-IR"/>
        </w:rPr>
        <w:t>أما ما ورد فی التصویر، فعدة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مصححة أبی هارون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ترثیه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 فقل لأعظمه الزکیة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بکی، أمسکتُ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قومی فاندبی مولاکِ وعلی الحسین فاسعدی ببکاکِ</w:t>
      </w:r>
    </w:p>
    <w:p>
      <w:pPr>
        <w:pStyle w:val="BookText"/>
        <w:rPr/>
      </w:pPr>
      <w:r>
        <w:rPr>
          <w:rFonts w:ascii="IRNazanin" w:hAnsi="IRNazanin" w:eastAsia="IRNazanin"/>
          <w:color w:val="111111"/>
          <w:sz w:val="28"/>
          <w:sz w:val="28"/>
          <w:szCs w:val="28"/>
          <w:rtl w:val="true"/>
          <w:lang w:bidi="fa-IR"/>
        </w:rPr>
        <w:t>قال فبکی وتهایج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الشاعر والمنشد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القارئ والملّا</w:t>
      </w:r>
    </w:p>
    <w:p>
      <w:pPr>
        <w:pStyle w:val="BookText"/>
        <w:rPr/>
      </w:pPr>
      <w:r>
        <w:rPr>
          <w:rFonts w:ascii="IRNazanin" w:hAnsi="IRNazanin" w:eastAsia="IRNazanin"/>
          <w:color w:val="111111"/>
          <w:sz w:val="28"/>
          <w:sz w:val="28"/>
          <w:szCs w:val="28"/>
          <w:rtl w:val="true"/>
          <w:lang w:bidi="fa-IR"/>
        </w:rPr>
        <w:t>قام بعملیة تصویر فی کل من البیتین مشیراً للمشاعر والعواطف بنحو التصویر الذی یقوم به الشعراء، ففی البیت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بتصویر شخص یخاطب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ویأمره بالمرور علی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صوّر الشاعر حوار وتخاطب بینه وبین العظام الزاکیات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بعملیة حوار مفصّل فی الأبیات الأخری بین شخص الزائر وجثمان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 فی تصویرک وتابع بقیة المشهد التصویری الذی أنشأته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القصیدة الثانیة التی مطلعها البیت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یخفی وجه التصویر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صوّر تعاطف وتعاون رجل وامرأته علی الرثاء والبکاء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أقاما مأتماً یتناشدان فیه مصاب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نری أن هذا التصویر زاد من حرقة بکاء نساء وحرم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وتهایجن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وأشعل مزید من الحزن لدیهن بصراخ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وحثّه علی هذا الطریق وحثّ غیره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مدی الثواب العظیم لذلک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المفید فی المزار، والسید ابن طاووس والشهید الأول فی مزاره، أنه إذا أردت زیارة النبی صلی الله علیه و آله فیما عدا المدینة الطیبة، من البلدان، فاغتسل ومثّل بین یدیک شبه القبر، واکتب علیه اسمه الشریف، ثم قف، وتوجّه بقلبک إلیه،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w:t>
      </w:r>
    </w:p>
    <w:p>
      <w:pPr>
        <w:pStyle w:val="BookText"/>
        <w:rPr/>
      </w:pPr>
      <w:r>
        <w:rPr>
          <w:rFonts w:ascii="IRNazanin" w:hAnsi="IRNazanin" w:eastAsia="IRNazanin"/>
          <w:color w:val="111111"/>
          <w:sz w:val="28"/>
          <w:sz w:val="28"/>
          <w:szCs w:val="28"/>
          <w:rtl w:val="true"/>
          <w:lang w:bidi="fa-IR"/>
        </w:rPr>
        <w:t>شریک له، وأشهد أن محمداً عبده ورسوله</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المشهدی فی المزار الکبیر، بسنده الصحیح عن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حدیث عن کیفیة الزیارة لسید الشهداء من البعد، 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تسلّم وتحوّل وجهک نحو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ومضجعه، فتمثل لنفسک مصرعه، ومن کان معه، وتلعن قاتلیه، وتبرأ من أفعالهم، یرفع الله عَزَّ وَجَلَّ لک بذلک فی الجنة من الدرجات، ویحط عنک من السیئات</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ویتحصّل من کلّ ما مرّ، استعراض تسعة وجوه وطرق للحکایة عن الواقع، تختلف عن حکایة الکلام الإخباری بل هی طرق أخری ترصد فی الأصل مساحات من الحقیقة والواقع غیر محسوسة بالبصر ولا مسموعة بالأُذن، إلاّ أنّ الواقع یعیشها، ویتعامل معها بتفاعل، فلإنکشافها وإظهارها آلیات، تغایر قالب وإطار الکلام والنطق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حصر القنوات الرافعة للستار والکاشفة اللثام، والمزیلة للغطاء عن الواقع، إلاّ بضمیمة هذه الطرق والقنوات الأخری، وما استعرضناه، لیس استقصاءاً نهائیاً لتلک الطرق، وإنما، ذکرنا جملة مهمة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بعد یحتاج إلی المزید من الاستقراء وإمعان من التحلیل والتتبّع</w:t>
      </w:r>
      <w:r>
        <w:rPr>
          <w:rFonts w:eastAsia="IRNazanin" w:cs="IRNazanin"/>
          <w:color w:val="111111"/>
          <w:sz w:val="28"/>
          <w:szCs w:val="28"/>
          <w:rtl w:val="true"/>
          <w:lang w:bidi="fa-IR"/>
        </w:rPr>
        <w:t>.</w:t>
      </w:r>
      <w:bookmarkStart w:id="369" w:name="pg13695_150983"/>
    </w:p>
    <w:p>
      <w:pPr>
        <w:pStyle w:val="Heading2"/>
        <w:numPr>
          <w:ilvl w:val="1"/>
          <w:numId w:val="1"/>
        </w:numPr>
        <w:rPr/>
      </w:pPr>
      <w:bookmarkStart w:id="370" w:name="__RefHeading___Toc983993_1468164448"/>
      <w:bookmarkStart w:id="371" w:name="_Toc133"/>
      <w:bookmarkEnd w:id="369"/>
      <w:bookmarkEnd w:id="370"/>
      <w:r>
        <w:rPr>
          <w:rtl w:val="true"/>
        </w:rPr>
        <w:t>فائدة</w:t>
      </w:r>
      <w:r>
        <w:rPr>
          <w:rtl w:val="true"/>
        </w:rPr>
        <w:t>:</w:t>
      </w:r>
      <w:r>
        <w:rPr>
          <w:rtl w:val="true"/>
        </w:rPr>
        <w:t>فی عموم مانعیة الغرر عن الصحة</w:t>
      </w:r>
      <w:bookmarkEnd w:id="37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983995_1468164448"/>
      <w:bookmarkStart w:id="373" w:name="_Toc134"/>
      <w:bookmarkEnd w:id="372"/>
      <w:r>
        <w:rPr>
          <w:rtl w:val="true"/>
        </w:rPr>
        <w:t>اشارة</w:t>
      </w:r>
      <w:bookmarkStart w:id="374" w:name="pg13695_150985"/>
      <w:bookmarkEnd w:id="373"/>
    </w:p>
    <w:p>
      <w:pPr>
        <w:pStyle w:val="Heading3"/>
        <w:numPr>
          <w:ilvl w:val="2"/>
          <w:numId w:val="1"/>
        </w:numPr>
        <w:rPr/>
      </w:pPr>
      <w:bookmarkStart w:id="375" w:name="__RefHeading___Toc983997_1468164448"/>
      <w:bookmarkStart w:id="376" w:name="_Toc135"/>
      <w:bookmarkEnd w:id="374"/>
      <w:bookmarkEnd w:id="375"/>
      <w:r>
        <w:rPr>
          <w:rtl w:val="true"/>
        </w:rPr>
        <w:t>فائدة فی عموم مانعیّة الغرر والشروط</w:t>
      </w:r>
      <w:bookmarkEnd w:id="376"/>
    </w:p>
    <w:p>
      <w:pPr>
        <w:pStyle w:val="Heading3"/>
        <w:numPr>
          <w:ilvl w:val="2"/>
          <w:numId w:val="1"/>
        </w:numPr>
        <w:rPr/>
      </w:pPr>
      <w:bookmarkStart w:id="377" w:name="__RefHeading___Toc983999_1468164448"/>
      <w:bookmarkStart w:id="378" w:name="_Toc136"/>
      <w:bookmarkEnd w:id="377"/>
      <w:r>
        <w:rPr>
          <w:rtl w:val="true"/>
        </w:rPr>
        <w:t>العقلائیة للصحة</w:t>
      </w:r>
      <w:bookmarkEnd w:id="378"/>
    </w:p>
    <w:p>
      <w:pPr>
        <w:pStyle w:val="Heading3"/>
        <w:numPr>
          <w:ilvl w:val="2"/>
          <w:numId w:val="1"/>
        </w:numPr>
        <w:rPr/>
      </w:pPr>
      <w:bookmarkStart w:id="379" w:name="__RefHeading___Toc984001_1468164448"/>
      <w:bookmarkStart w:id="380" w:name="_Toc137"/>
      <w:bookmarkEnd w:id="379"/>
      <w:r>
        <w:rPr>
          <w:rtl w:val="true"/>
        </w:rPr>
        <w:t>وتطبیقها فی عقد التامین انموذجا</w:t>
      </w:r>
      <w:bookmarkEnd w:id="380"/>
    </w:p>
    <w:p>
      <w:pPr>
        <w:pStyle w:val="Heading4"/>
        <w:numPr>
          <w:ilvl w:val="3"/>
          <w:numId w:val="1"/>
        </w:numPr>
        <w:rPr/>
      </w:pPr>
      <w:bookmarkStart w:id="381" w:name="__RefHeading___Toc984003_1468164448"/>
      <w:bookmarkStart w:id="382" w:name="_Toc138"/>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 xml:space="preserve">وهو مبنی علی عموم مانعیّة الغرر فی العقود وعدم اختصاصه بالبیع، أی علی تمامیّة تلک الکبری، فقد وقع الکلام عن الدلیل علی ذلک؛ إذ النصّ الوارد المعتبر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یعثر علی روایة ولو مرسلة فیها التعمیم وإن ادّعی البعض العثور علیها، فغایة ما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استظهر البعض عدم خصوصیّة البیع، وأنّ النهی أعمّ وإن ورد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الغرر مانع فی کلّ العقود لا فی خصوص البیع، والوجه فی ذلک هو البناء العقلائی علی مانعیّة الغرر فی بقیّة العقود، خلافاً لما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الغرر لیس من الشروط العامّة فی صحّة کلّ العقود، فلا یسلّم بمانعیّته فی عقد التأمین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أدلّة الصحّة فی العقود موضوعها المعاملة العقلائیّة العرفیّة،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416"/>
      </w:r>
      <w:r>
        <w:rPr>
          <w:rFonts w:ascii="IRNazanin" w:hAnsi="IRNazanin" w:eastAsia="IRNazanin"/>
          <w:color w:val="111111"/>
          <w:sz w:val="28"/>
          <w:sz w:val="28"/>
          <w:szCs w:val="28"/>
          <w:rtl w:val="true"/>
          <w:lang w:bidi="fa-IR"/>
        </w:rPr>
        <w:t>کدلیل للصحّة أخذ فی موضوعه البیع العرفی لا الشرعی، وإلّا لکان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البیع العرفی الذی یصحّحه الشارع یجب أن یکون فی الرتبة السابقة واجداً للشروط العقلائیّة العرفیّة؛ إذ بدونها لا یکون البیع فی نظرهم موجوداً، فلا یکفی فی البیع توفّر الشروط الشرعیّة التأسیسیّة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العرف هاهنا بمعنی لغة القانون البشری الوضعی، وهذا باب ینفتح منه اعتبار الشروط فی المعاوضات وإن لم یرد فیه نصّ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یفرض أن یضیف الشارع بعض الشروط أو یلغی بعضها، وهذا تقدیر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مانعیّة الغرر عند العقلاء غیر مخصوصة بالبیع، بل فی مطلق ماهیّة المعاوضة؛ إذ التعاوض نوع مساواة مالیّة بین الطرفین ولا تتمّ المعاوضة والمساواة بین المالین إلّا بالعلم بذات وقدر الطرف الآخر وتقرّره، فلابدَّ من الإحاطة بکلّ من الطرفین کی یتمکّن من عملیّة المعاوضة بینهما، وإلّا لم تکن معاوضة، بل هبة مبتدأة أو شبهها أو صالحاً لا یبتنی علی التعاوض، بل علی التقابل بالرضا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قیل بجواز هدیة المجهول،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 ما فی 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الوقف، وفی المضاربة، وغیرها من العقود الإذنیّة، وهذا بخلاف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نقصر الکلام فی الإحاطة والعلم بالعوضین علی خصوصیّتهما أو مالیّتهما، بل الکلام فی مطلق جعل التقابل بینهما،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 عند ما یقابل بعوض مالی، معیار هذه المقابلة هی الموازنة والمساواة المالیّة، ولو بحسب اختیار المتعاقدین، ومن ثمّ فلو لم تکن مساواة بحسب الواقع لا یبطل البیع، بل غایة الأمر یثبت خیار الغبن، فالمقابلة قائمة علی التوزین المالی، وهو متوقّف علی معرفة العوض کی تجری فیه المعاوضة والمساومة والمساواة، فثبوت خیار الغبن لا ینافی اعتبار مانعیّة الغرر، بل یتوقّف علیها؛ إذ لا یمکن فرض الغبن وخیاره إلّا مع عدم الغرر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المتعاقدین یوازن ویقابل العوضین عالماً بالمقابلة، وإن لم یعلم القیمة الواقعیّة، فالمقابلة معلومة فی البین، ومن ثمّ تُقایَس مع القیمة الواقعیّة کی یُتبیّن وجود الغبن أو عدمه، فتصویر الغبن وعدمه مبتن علی معلومیّة أصل المقابلة، وظهور الغبن لا ینافی کون البیع الواقع خالیاً من الغرر؛ إذ لیس انتفاء الغرر والجهالة هو بحسب الإحاطة والعلم بذات العوض علی ما هو علیه فی الواقع بجمیع صفاته وخصوصیّاته، بل هو بحسب أحد صفات العوض المهمّة التی یمکن ضبط بقیّة صفاته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فیکفی فی تحقّق المقابلة فی المعاوضات العلم بالمقابلة بحسب أحد الصفات المهمّة، فمدار انتفاء الغرر وعدمه لا ینافی وقوع الجهل بصفة المالیّة الواقعیّة، فلا ینافی تصویر خیار الغبن؛ ولذلک اشترطوا فی البیع عدم الغرر مع قولهم بخیار الغبن فیه، ولم یعدّ ذلک تهافتاً لإمکان تصوّر وقوع البیع الصحیح الخالی عن الغرر الموجب</w:t>
      </w:r>
      <w:bookmarkStart w:id="383" w:name="pg13695_150988"/>
    </w:p>
    <w:p>
      <w:pPr>
        <w:pStyle w:val="BookText"/>
        <w:rPr/>
      </w:pPr>
      <w:bookmarkEnd w:id="383"/>
      <w:r>
        <w:rPr>
          <w:rFonts w:ascii="IRNazanin" w:hAnsi="IRNazanin" w:eastAsia="IRNazanin"/>
          <w:color w:val="111111"/>
          <w:sz w:val="28"/>
          <w:sz w:val="28"/>
          <w:szCs w:val="28"/>
          <w:rtl w:val="true"/>
          <w:lang w:bidi="fa-IR"/>
        </w:rPr>
        <w:t>مع ذلک لخیار الغبن، وأنّ الغرر ینتفی بالعلم بالمالیّة الجعلیّة المسمّاة بحسب المقابلة لا بخصوص العلم بالمالیّة الواقعیّة وتسمیة المالیّة هی عین المقابلة بخلاف المالیّة الواقعیّة، فالغبن قائم علی حیثیّة تختلف عن الحیثیّة التی تقوم علیها المقابلة</w:t>
      </w:r>
      <w:r>
        <w:rPr>
          <w:rFonts w:eastAsia="IRNazanin" w:cs="IRNazanin"/>
          <w:color w:val="111111"/>
          <w:sz w:val="28"/>
          <w:szCs w:val="28"/>
          <w:rtl w:val="true"/>
          <w:lang w:bidi="fa-IR"/>
        </w:rPr>
        <w:t>.</w:t>
      </w:r>
    </w:p>
    <w:p>
      <w:pPr>
        <w:pStyle w:val="Heading4"/>
        <w:numPr>
          <w:ilvl w:val="3"/>
          <w:numId w:val="1"/>
        </w:numPr>
        <w:rPr/>
      </w:pPr>
      <w:bookmarkStart w:id="384" w:name="__RefHeading___Toc984005_1468164448"/>
      <w:bookmarkStart w:id="385" w:name="_Toc139"/>
      <w:bookmarkEnd w:id="384"/>
      <w:r>
        <w:rPr>
          <w:rtl w:val="true"/>
        </w:rPr>
        <w:t>تذییل بنکتة</w:t>
      </w:r>
      <w:r>
        <w:rPr>
          <w:rtl w:val="true"/>
        </w:rPr>
        <w:t>:</w:t>
      </w:r>
      <w:bookmarkEnd w:id="385"/>
    </w:p>
    <w:p>
      <w:pPr>
        <w:pStyle w:val="BookText"/>
        <w:rPr/>
      </w:pPr>
      <w:r>
        <w:rPr>
          <w:rFonts w:ascii="IRNazanin" w:hAnsi="IRNazanin" w:eastAsia="IRNazanin"/>
          <w:color w:val="111111"/>
          <w:sz w:val="28"/>
          <w:sz w:val="28"/>
          <w:szCs w:val="28"/>
          <w:rtl w:val="true"/>
          <w:lang w:bidi="fa-IR"/>
        </w:rPr>
        <w:t>إنّ طبیعة المعاوضات من المعانی التشکیکیّة، کما هو الحال فی الغرر، والجهالة أیضاً، فالمعاوضة فی البیع قائمة علی المقابلة بنمط دقیق لوقوع نقل رقبة العین فیه، وحیث أنّ العین بتمامها تُنقل فیتشدّدون فی إبعاده عن الغرر، فالغرر بحسب البیع یتفاوت مع الغرر بحسب الشرکة أو القرض مثلًا، وکذا الحال فی الإجارة؛ لأنّ المنقول فیها المنفعة فقط، وإن اشتهر أنّ الإجارة صنو البیع، وهذا التفاوت لا ینافی اعتبار عدم الغرر فی مطلق المعاوضات، إلّا أنّه فی کلّ عقد بحسبه لاختلاف درجات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تمامیّة کبری مانعیة الغرر فی العقود، وعلیه فالتأمین إمّا ضمان أو ماهیّة مستقلّة، وعلی کلا التقدیرین فهی معاوضة، فیشترط فیه عدم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الکلام صغرویاً بحسب الخارج فی کون عقد التأمین یستلزم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یتأتّی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التأمین بحسب أدواته الحدیثة قد أوجب انخفاض نسبة الجهالة وتصاعد النسبة الاحتمالیّة إلی درجة متّفقة عند</w:t>
      </w:r>
    </w:p>
    <w:p>
      <w:pPr>
        <w:pStyle w:val="BookText"/>
        <w:rPr/>
      </w:pPr>
      <w:r>
        <w:rPr>
          <w:rFonts w:ascii="IRNazanin" w:hAnsi="IRNazanin" w:eastAsia="IRNazanin"/>
          <w:color w:val="111111"/>
          <w:sz w:val="28"/>
          <w:sz w:val="28"/>
          <w:szCs w:val="28"/>
          <w:rtl w:val="true"/>
          <w:lang w:bidi="fa-IR"/>
        </w:rPr>
        <w:t>العقلاء؛ إذ بات علماً یدرس فی الجامعات، فیعیّن فیه درجة الخطورة ودرجة الثمن الذی یقابل الخطر، ومدّة التأمین، والبلد الذی یجری فیه عقد التأمین، والحرَف التی یجری علیها التامین،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آلات الإحصاء بدرجة تخمینیّة تقارب الواقع، فتُدرس کلّ هذه الزوایا ویحدّد جمیعها فی عقد التأمین، ومع کلّ هذه الدراسات والبرامج لا مجال لدعوی الغرر فی عقد التأمین، بل المتداول منه حالیاً یجری مع نسبة کبیرة من إبصار الواقع بالأدوات والدراسات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إشکال الغرر کان متأتّیاً فی الأزمان السابقة لعدم إمکان الاحصائیّات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المسألة الواقعة فی البیع فی العصر الحاضر بدائرة وسیعة، لا سیّما</w:t>
      </w:r>
    </w:p>
    <w:p>
      <w:pPr>
        <w:pStyle w:val="BookText"/>
        <w:rPr/>
      </w:pPr>
      <w:r>
        <w:rPr>
          <w:rFonts w:ascii="IRNazanin" w:hAnsi="IRNazanin" w:eastAsia="IRNazanin"/>
          <w:color w:val="111111"/>
          <w:sz w:val="28"/>
          <w:sz w:val="28"/>
          <w:szCs w:val="28"/>
          <w:rtl w:val="true"/>
          <w:lang w:bidi="fa-IR"/>
        </w:rPr>
        <w:t>فی البیوعات الخطیرة وذات الکمّیات الکبیرة، حیث یتمّ التصافق علی بیع الأشیاء بوجودها الشخصی بقیمة یوم التخلیص من الجمرک أو بقیمة یوم القبض، وقد أفتی جملة من أعلام العصر ببطلان هذا البیع لعدم تحدید الثمن فیه، وهذا النمط من البیع هو الرائج حالیاً فی بیع النفط والغاز وغیرها من المنتوجات الطبیعیّة لکلّ بلد من بقیّة المعادن أو الزراعات أو المنتوجات المصنّعة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وتنقیح الحال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الجهالة والغرر بحسب سوق المال والتجارة العصریّة یقرّرونه ویجدونه حالیا فی تعیین الثمن فی مثل هذه الموارد حیث أنّ تعیینه لا یُعلم فیه مدی اجور الکلفة التی سوف تقع علی عاتق البائع،</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فی تعیینه بحسب وقت التعاقد لا یحصل العلم بنسبة الربح والخسارة؛ وذلک لأنّ الأسعار فی مثل هذه الموارد تُعیّنها أسواق البورصة، وبیاناتها فی القیمة إنّما هو بلحاظ السعر الحاضر الفعلی لا القیمة المستقبلیّة، وبالتالی فیعدّ تعیین البائع الثمن فی عدد معیّن هو بمثابة اللاتعیین واللاتحدید، بخلاف ما لو حدّد الثمن بقیمة البورصة أو السوق یوم التقابض، فإنّ هذا القید الزمنی أضبط تحدیداً وأدقّ تعییناً للقیمة من العدد والحساب الکمّی، وکذلک الحال فی جانب المشتری، وهذا التبدّل فی ضوابط التعیین والتحدید، وفی نحو تقرّر وجود الغرر والجهالة هو بسبب تغیّر عالم الأسواق المالیّة وبیئة التعامل التجاری، فهو من التغییر فی المصادیق لا فی المفاهیم والمعانی، ولا ریب أنّ تقرّر وجود المصادیق إنّما هو بحسب الأنظار العقلائیّة والعرفیّة الجاریة</w:t>
      </w:r>
      <w:r>
        <w:rPr>
          <w:rFonts w:eastAsia="IRNazanin" w:cs="IRNazanin"/>
          <w:color w:val="111111"/>
          <w:sz w:val="28"/>
          <w:szCs w:val="28"/>
          <w:rtl w:val="true"/>
          <w:lang w:bidi="fa-IR"/>
        </w:rPr>
        <w:t>.</w:t>
      </w:r>
      <w:bookmarkStart w:id="386" w:name="pg13695_150991"/>
    </w:p>
    <w:p>
      <w:pPr>
        <w:pStyle w:val="Heading2"/>
        <w:numPr>
          <w:ilvl w:val="1"/>
          <w:numId w:val="1"/>
        </w:numPr>
        <w:rPr/>
      </w:pPr>
      <w:bookmarkStart w:id="387" w:name="__RefHeading___Toc984007_1468164448"/>
      <w:bookmarkStart w:id="388" w:name="_Toc140"/>
      <w:bookmarkEnd w:id="386"/>
      <w:bookmarkEnd w:id="387"/>
      <w:r>
        <w:rPr>
          <w:rtl w:val="true"/>
        </w:rPr>
        <w:t xml:space="preserve">فائدة </w:t>
      </w:r>
      <w:r>
        <w:rPr>
          <w:rtl w:val="true"/>
        </w:rPr>
        <w:t>:</w:t>
      </w:r>
      <w:r>
        <w:rPr>
          <w:rtl w:val="true"/>
        </w:rPr>
        <w:t>لوازم مخالفة عقد المضاربة للقاعدة</w:t>
      </w:r>
      <w:bookmarkEnd w:id="38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984009_1468164448"/>
      <w:bookmarkStart w:id="390" w:name="_Toc141"/>
      <w:bookmarkEnd w:id="389"/>
      <w:r>
        <w:rPr>
          <w:rtl w:val="true"/>
        </w:rPr>
        <w:t>اشارة</w:t>
      </w:r>
      <w:bookmarkStart w:id="391" w:name="pg13695_150993"/>
      <w:bookmarkEnd w:id="390"/>
    </w:p>
    <w:p>
      <w:pPr>
        <w:pStyle w:val="BookText"/>
        <w:rPr/>
      </w:pPr>
      <w:bookmarkEnd w:id="391"/>
      <w:r>
        <w:rPr>
          <w:rFonts w:ascii="Amiri" w:hAnsi="Amiri" w:eastAsia="Amiri" w:cs="Amiri"/>
          <w:color w:val="111111"/>
          <w:sz w:val="28"/>
          <w:sz w:val="28"/>
          <w:szCs w:val="28"/>
          <w:rtl w:val="true"/>
          <w:lang w:bidi="ar-SA"/>
        </w:rPr>
        <w:t>لوازم مخالفة عقد المضاربة للقاعدة</w:t>
      </w:r>
    </w:p>
    <w:p>
      <w:pPr>
        <w:pStyle w:val="Heading3"/>
        <w:numPr>
          <w:ilvl w:val="2"/>
          <w:numId w:val="1"/>
        </w:numPr>
        <w:rPr/>
      </w:pPr>
      <w:bookmarkStart w:id="392" w:name="__RefHeading___Toc984011_1468164448"/>
      <w:bookmarkStart w:id="393" w:name="_Toc142"/>
      <w:bookmarkEnd w:id="392"/>
      <w:r>
        <w:rPr>
          <w:rtl w:val="true"/>
        </w:rPr>
        <w:t>توطئة</w:t>
      </w:r>
      <w:r>
        <w:rPr>
          <w:rtl w:val="true"/>
        </w:rPr>
        <w:t>:</w:t>
      </w:r>
      <w:bookmarkEnd w:id="393"/>
    </w:p>
    <w:p>
      <w:pPr>
        <w:pStyle w:val="BookText"/>
        <w:rPr/>
      </w:pPr>
      <w:r>
        <w:rPr>
          <w:rFonts w:ascii="IRNazanin" w:hAnsi="IRNazanin" w:eastAsia="IRNazanin"/>
          <w:color w:val="111111"/>
          <w:sz w:val="28"/>
          <w:sz w:val="28"/>
          <w:szCs w:val="28"/>
          <w:rtl w:val="true"/>
          <w:lang w:bidi="fa-IR"/>
        </w:rPr>
        <w:t>أنّ المضاربة وأخویها علی خلاف مقتضی القاعدة وذلک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النماء یجب أن یکون تابعاً للأصل ویملک الفرع من یملک الأصل، بینما الحال فی هذه العقود الثلاثة لیس کذلک، حیث أنّ مالک مال التجارة لا تکون الأرباح کلّها له، بل تکون بینه وبین عامل المضاربة، وهذا علی خلاف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المضاربة لیس معاملة واحدة غالباً، بل معاملات یرد بعضها علی بعض یجریها عامل المضاربة، فإذا کان رأس مال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للعامل نصف الربح، فاتّجر العامل به واشتری سلعة بمائة دینار، ثمّ باعها بمأتی دینار، کان مقتضی العقد اختصاص المالک بمائة وخمسین دیناراً، واختصاص العامل بخمسین دیناراً فقط، فلو اشتری بعد ذلک شیئاً بمأتی دینار ثمّ باعه بأربعمائة دینار، فمقتضی العقد أن یکون للعامل مائة وخمسون دیناراً، وللمالک مائتان وخمسون دیناراً، وهو مخالف للقاعدة من حیث أنّ مأتی الدینار الحاصلة من التجارة الثانیة إنّما هی ربح لمجموع خمسین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حصّة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ومائة وخمسین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 أن یکون رُبع هذا المبلغ وثلاثة الأرباع الباقیة بینه وبین الملک، وهذا یعنی أن یکون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وخمسة وسبعون دیناراً، وللمالک منه مائتان‌و خمسة وعشرون دیناراً فقط، والحال أنّه لا یأخذ إلّا مائة وخمسین دیناراً، ولازمه أن یکون ربح العامل أیضاً مناصفة بینه وبین المالک، وهو علی خلاف القاعدة، حیث أنّ المالک لم یعمل فیه شیئاً، بل ذلک المال حصّة العامل بتمامه فی العمل فیه من العامل، فلا وجه لأن یکون للمالک نصف ربحه فی ما إذا بُنی علی أنّ النماء منذ أوّل ظهوره لا یدخل فی ملک مالک الأصل، فتکون المضاربة مخالفة للقاعدة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مالک المال، وجهة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بُنی علی أنّ النماء لا یملّک إلی غیر مالک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أوّل آن الظهور، وإنّما بعد الظهور،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النماء أوّل ما یظهر یدخل فی ملک المالک، ومن ثَمّ یملّک للأجنبی لکی لا یکون خلاف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آخر لمقتضی القاعدة سنذکره فی المورد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عقد المضاربة تملیکاً لشیء معدوم علی نحو التعلیق،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تعلیقی لمعدوم لم یظهر، بنحو شرط النتیجة لا بنحو شرط الفعل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یقول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واتّجر بمالی، فإذا ظهر الربح سأُملّکک کذا، فهذا من شرط الفعل وهو یغایر عقد المضاربة، فإنّه یتمّ التملیک بنحو شرط النتیجة بنفس عقد المضاربة، فمن الآن الأوّل الملکیّة انشئت معلّقة للمملوک المعدوم، وهو خلاف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ما لا یملک</w:t>
      </w:r>
    </w:p>
    <w:p>
      <w:pPr>
        <w:pStyle w:val="BookText"/>
        <w:rPr/>
      </w:pPr>
      <w:r>
        <w:rPr>
          <w:rFonts w:ascii="IRNazanin" w:hAnsi="IRNazanin" w:eastAsia="IRNazanin"/>
          <w:color w:val="111111"/>
          <w:sz w:val="28"/>
          <w:sz w:val="28"/>
          <w:szCs w:val="28"/>
          <w:rtl w:val="true"/>
          <w:lang w:bidi="fa-IR"/>
        </w:rPr>
        <w:t>وبیع ما 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فالتملیک بعد الوجود وبعد الدخول فی ملک صاحب الأصل تملیک لشیء معدوم بنحو شرط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کلمات الشهید الأوّل والمحقّق الکرکی أنّ مخالفة القاعدة فی عقد المضاربة وأخویها من جهة الغرر الکائن فیها؛ لأنّ عامل المضاربة قد یعمل ویذهب عمله سُدی؛ إذ قد لا یکون ربح فی البین فهو نوع إقدام علی الجهالة، وکذلک بالنسبة إلی صاحب المال أو الأرض عند عدم الربح، ففیه جهالة وغرر، فیقتصر فی رفع الید عن دلیل بطلان الغرر علی القدر المتیقّن، وهو ما کان الربح مشاعاً، ویبقی الباقی مشمولًا لأدلّة الغرر الحاکمة ببطلان تلک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لوازم کون عقد المضاربة مخالف للقاعدة هو</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التمسّک بالعمومات والإطلاقات الواردة فیها، وإن کانت نسبتها مع عمومات القواعد نسبة الدلیل الخاصّ 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إطلاق الخاصّ مقدّماً علی إطلاق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عمومات القواعد الأوّلیّة اصول مقرّرة فی الأبواب العدیدة، فعمومها کالآبی عن التخصیص، لا یرفع الید عنه إلّا مقدار القدر المتیقّن الأقوی دلالةً منه، لا بمجرّد درجة ظهور الخاصّ، فضلًا عن إطلاق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فیلتزم بالقدر المتیقّن بخلاف ما لو کانت دلالة مدلول الخاص مطابقة لمقتضی القواعد، فیمکن التمسّک بالعمومات فی المضاربة التی هی من قبیل اطلاق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المضاربة نوع مشارکة بین العمل ورأس المال، والشرکة فیهما غیر صحیحة، إلّا فی ضمن تلک العقود الثلاثة، فمع کون تلک الثلاثة علی خلاف القاعدة أیضاً، یقتصر فی تصحیح شرکة الأعمال مع الأموال علی تلک العقود بخلاف ما لو کانت العقود الثلاثة مطابقة للقاعدة، فإنّه یمکن التعدّی والقول بأنّه لا خصوصیّة فی المضاربة وأخویها، فتصحّح مطلق شرکة العمل والمال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ویستظهر التعمیم ممّا ورد فی أخبار المساقاة، بأنّ أهل الحجاز یصعب علیهم مباشرة البساتین بأنفسهم؛ إذ یسقون من الآبار، فیحتاجون إلی المساقاة، وهذا التعلیل یؤیّد تعمیم صحّة شرکة الأعمال والأموال لموارد الحاجة، ولهذا البحث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صاحب المهذّب السیّد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العقود الثلاثة علی مقتضی القاعدة، ولذلک خالف المشهور فی کثیر من أبحاث المضاربة، وقرّر ذلک بأنّ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معاملة عقلائیّة لم یخترعها الشارع فیتوسّع فیها قدر الإطلاق العرفی، إلّا أن یردع الشارع عنها، فما ورد من الأدلّة الشرعیّة إمضاء لا تأسیس، بخلاف ما لو کانت هی معاملة مخترعة من قِبل الشارع فیجب أن یقتصر علی القدر المتیقّن، أو قدر ما دلّ علیه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لعقلائیّتها أنّها بحاجة معاشیّة فی النظام الاقتصادی؛إذ قد یکون صاحب المال لا یحسن الاتّجار، وقد لا یکون مال عند من یحسن الاتّجار، فلأجل ذلک تتولّد الحاجة إلی معاملة عقلائیّة فی البین، فالمضاربة معاملة إمضائیّة</w:t>
      </w:r>
    </w:p>
    <w:p>
      <w:pPr>
        <w:pStyle w:val="BookText"/>
        <w:rPr/>
      </w:pPr>
      <w:r>
        <w:rPr>
          <w:rFonts w:ascii="IRNazanin" w:hAnsi="IRNazanin" w:eastAsia="IRNazanin"/>
          <w:color w:val="111111"/>
          <w:sz w:val="28"/>
          <w:sz w:val="28"/>
          <w:szCs w:val="28"/>
          <w:rtl w:val="true"/>
          <w:lang w:bidi="fa-IR"/>
        </w:rPr>
        <w:t>ولیست بتعبّدیّة، فیمکن أن نتمسّک بالإطلاق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أموالهم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أنّ لصاحب المال أن یملّک النماء لغیره، أو یجعل النماء غیر تابع للأصل؛ إذ هو مِلکه وتحت سلطنته، فیستطیع أن یجعل النماء ملکاً لآخر، کما فی منافع الدار تجعل ملکاً لغیر مالک الدار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منافع الدار معدومة تنوجد طوال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عقد الإجارة، وقد مُلّکت تلک المنافع المعدومة فی 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تملیک المعدوم لیس ممنوعاً مطلقاً؛ إذ فی ما ترتّبت علیه ثمرات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أقوال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المساقاة ذهبوا إلی أنّها من مخترعات الشارع ولیست لها سابقة عقلائیّة عَقَدها النبیّ الأکرم صلی الله علیه و آله مع یهود خیبر؛ إذ لو بنی علی کونها تأسیسیّة فیقتصر علی مقدار دلالة الأدلّة، وإذا بنی علی أنّها ماهیّة عقلائیّة إمضائیّة فلابدَّ من معرفة ماهیّتها عندهم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بدایة المجتهد لابن رشد یذکر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المسلمین فی جوار القراض، وأنّه ممّا کان فی الجاهلیّة فأقرّه الإسلام، وأجمعوا علی أنّ صفته أن یعطی الرجل الرجل المال علی أن یتّجر به علی جزء معلوم یأخذه العامل من ربح المال، أی جزء کان ممّا یتّفقان علیه، ثلثاً أو ربعاً أو نصفاً،</w:t>
      </w:r>
    </w:p>
    <w:p>
      <w:pPr>
        <w:pStyle w:val="BookText"/>
        <w:rPr/>
      </w:pPr>
      <w:r>
        <w:rPr>
          <w:rFonts w:ascii="IRNazanin" w:hAnsi="IRNazanin" w:eastAsia="IRNazanin"/>
          <w:color w:val="111111"/>
          <w:sz w:val="28"/>
          <w:sz w:val="28"/>
          <w:szCs w:val="28"/>
          <w:rtl w:val="true"/>
          <w:lang w:bidi="fa-IR"/>
        </w:rPr>
        <w:t>وأنّ هذا مستثنی من الإجارة المجهولة، وأنّ الرخصة فی ذلک إنّما هی لموضع الرفق بالناس، وأنّه لا ضمان</w:t>
      </w:r>
    </w:p>
    <w:p>
      <w:pPr>
        <w:pStyle w:val="BookText"/>
        <w:rPr/>
      </w:pPr>
      <w:r>
        <w:rPr>
          <w:rFonts w:ascii="IRNazanin" w:hAnsi="IRNazanin" w:eastAsia="IRNazanin"/>
          <w:color w:val="111111"/>
          <w:sz w:val="28"/>
          <w:sz w:val="28"/>
          <w:szCs w:val="28"/>
          <w:rtl w:val="true"/>
          <w:lang w:bidi="fa-IR"/>
        </w:rPr>
        <w:t>علی العامل فی ما تلف عن رأس المال اذا لم یتعدّ، وکذلک أجمعوا بالجملة علی أنّه لا یقترن به شرط یزید فی مجهلة الربح أو فی الغرر الذی فیه،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الرحمن الجزیری فی الفقه علی المذاهب الأربعة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المضاربة فی اللغة عبارة عن أن یدفع شخص مالًا لاخر یتّجر فیه علی أن یکون الربح بینهما علی ما شرط أو الخسارة علی صاحب المال، وعند الفقهاء عبارة عن عقد بین اثنین یتضمّن أن یدفع أحدهما للآخر مالًا یملکه لیتّجر فیه بجزء شائع معلوم من الربح، کالنصف أو الثلث أو نحوهما بشرائط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المضاربة بالنظر لغرض المتعاقدین یکون شرکة فی الربح؛ لأنّه دفع من جانب المالک، وبذل عمل من جانب المضارب بأن یتّجر فی المال لیشترک مع صاحبه فی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من ذلک العقد هو الاشتراک فی الربح، ومن أجل ذلک 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عقد علی الشرکة فی الربح بمال من أحد الجانبین وعمل من الآخر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المضاربة فی الشرع عقد توکیل صادر من ربّ المال لغیره علی أن یتّجر بخصوص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المضروبین ضرباً یتعادل به، ولابدَّ أن یدفع ربّ المال للعامل القدر الذی یرید أن یتّجر فیه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المضاربة عبارة عن أن یدفع صاحب المال قدراً معیّناً من ماله إلی من یتّجر فیه بجزء مشاع معلوم من ربحه، ولابدَّ فی ذلک المال من أن یکون نقداً مضروباً ویقوم مقام دفع المال، وأن یکون قد أودع عند شخص مالًا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w:t>
      </w:r>
    </w:p>
    <w:p>
      <w:pPr>
        <w:pStyle w:val="BookText"/>
        <w:rPr/>
      </w:pPr>
      <w:r>
        <w:rPr>
          <w:rFonts w:ascii="IRNazanin" w:hAnsi="IRNazanin" w:eastAsia="IRNazanin"/>
          <w:color w:val="111111"/>
          <w:sz w:val="28"/>
          <w:sz w:val="28"/>
          <w:szCs w:val="28"/>
          <w:rtl w:val="true"/>
          <w:lang w:bidi="fa-IR"/>
        </w:rPr>
        <w:t>فی ذلک المال المودع مضاربة، فتصبح المضاربة عندهم بالودیعة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المضاربة عقد یقتضی أن یدفع شخص لآخر مالًا یتّجر فیه علی أن یکون لکلّ منهما نصیب فی الربح بشروط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المضاربة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أجمع المسلمون علی جواز ذلک النوع من المعاملة، ولم یخالف فیه أحد، وقد کان معروفاً فی الجاهلیّة فأقرّه الإسلام؛ لما فیه من المصلحة، فالمضاربة عقد قد یکون فیه مصلحة ضروریّة للنّاس، وعند ذلک یکون داخلًا فی القاعدة العامّة، وهی الحثّ علی عمل ما فیه المصلحة، ویکون له حکم الفائدة المترتّبة علیه، فکلّما عظمت فائدة المضاربة کان طلبها مؤکّداً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ممّا ذکره فی المهذّب والبدایة وکتاب الجزیری أنّها قاعدة عقلائیّة أمضاها الشارع، فبعض منهم یرونها شرکة، وبعض آخر إجارة أو ودیعة، لکنّ هذا الإمضاء یجب أن لا یتنافی مع القاعدة المحکّمة وهی النهی عن الغرر والتعامل علی الشیء المجهول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لابدَّ من تنقیح الحال فی أنّ المضاربة وإن کانت عقلائیّة، فهل تجب أن تکون علی وفق القواعد والعمومات أم لا؟ إذ مع کون المعاملة</w:t>
      </w:r>
    </w:p>
    <w:p>
      <w:pPr>
        <w:pStyle w:val="BookText"/>
        <w:rPr/>
      </w:pPr>
      <w:r>
        <w:rPr>
          <w:rFonts w:ascii="IRNazanin" w:hAnsi="IRNazanin" w:eastAsia="IRNazanin"/>
          <w:color w:val="111111"/>
          <w:sz w:val="28"/>
          <w:sz w:val="28"/>
          <w:szCs w:val="28"/>
          <w:rtl w:val="true"/>
          <w:lang w:bidi="fa-IR"/>
        </w:rPr>
        <w:t>عقلائیّة أمضاها الشارع، فلا تجب أن تکون علی وفق العمومات؛ لأنّ إمضاء الشارع لتلک العقود مع کونها خلاف القاعدة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لدی الشارع،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ما لیس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 لا یملک وتملیک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أنّ الإمضاء بملاک آخر، فیؤخذ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القواعد العامّة تکون محکّمة فی جمیع المعاملات، وأرجع الشارع المتشابه والمستجدّ منها إلیها بخلاف المضاربة وأخویها،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حیث کانت علی خلاف مقتضی القواعد الشرعیّة فإنّ بنی علی أنّها إجارة مجهولة أو جعالة أو شرکة کذلک، فالشرکة تقتضی الاشتراک فی کلّ الربح بنحو الشیوع بالنسبة المقرّرة، وفی الإجارة تکون النسبة مجهولة بهذا المقدار الجائز لا الأزید من ذلک وکذلک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تلک العقود الثلاثة ترجع إمّا إلی الإجارة، أو الجعالة، أو الشرکة، فلیست بماهیّة جدیدة تأسیسیّة، ومع کونها تنافی قاعدة الغرر وعدم جواز تملیک ما لا یملک، فلا إطلاق فیها فی ماهیّتها العقلائیّة ولا إمضاؤها تعبّد صرف بملاک معاملی مستقلّ، بل برزخ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نحن فیه یجب أن تکون الإشاعة فی الربح، بعد کون الأکثر ذهبوا إلی أنّها شرکة ومقتضاها الإشاعة فی کلّ الربح لا فی بعضه دون بعض، وأمّا إذا کانت جعالة أو إجارة ففیهما أیضاً یجری لزوم کون العوض معلوماً فیهما، ولا یکون غرریاً ولا عن الجهالة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هو رفع الید عن الغرر فی فرد، وهو النسبة الشائعة بأدلّة إمضائها، وأمّا الزائد علی هذا فیدخل فی دلیل النهی عن الغرر، فلو کنّا</w:t>
      </w:r>
    </w:p>
    <w:p>
      <w:pPr>
        <w:pStyle w:val="BookText"/>
        <w:rPr/>
      </w:pPr>
      <w:r>
        <w:rPr>
          <w:rFonts w:ascii="IRNazanin" w:hAnsi="IRNazanin" w:eastAsia="IRNazanin"/>
          <w:color w:val="111111"/>
          <w:sz w:val="28"/>
          <w:sz w:val="28"/>
          <w:szCs w:val="28"/>
          <w:rtl w:val="true"/>
          <w:lang w:bidi="fa-IR"/>
        </w:rPr>
        <w:t>نحن ومقتضی القاعدة، فاللازم عدم تسویغ بقیّة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تعریفات المضاربة، کالضرب بسهم فی الربح، أو تعریفها بأنّ القراض مع 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الموازنة هی المساهمة، أی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فالمضاربة إن کانت شرکة بین العمل والمال فهی تقتضی الإشاعة لا التمیّز، وإن کانت إجارة وجعالة فلابدَّ فیهما من اشتراط جزء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رفع الشارع یده عن تعیین العلم أو اشتراط العلم بعوض الإجارة والجعالة، بلحاظ وجود نسبة کسریّة فی المضاربة، ولا یخفی أنّ النسبة الکسریّة أفضل الطرق للاطمئنان بالاجرة؛ لأنّه إن اشترط قدراً معیّناً لمالک المال فیحتمل أن لا یکون لعامل المضاربة أی عوض، فهو نوع تغریر زائد علی أصل التغریر الأوّل فی أصل 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القدر المعیّن شرطاً لعامل المضاربة لا لمالک المال، فهو علی وفاق مع الإجارة، إلّا أنّه خلاف مقتضی قاعدة تبعیّة النماء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إمّا تخصّص قاعدة أنّ النماء تابع للأصل فی ما إذا کان التملیک بنحو شرط النتیجة، أی أنّه یدخل فی ملک العامل ابتداءً من دون دخوله فی ملک مالک المال، أو أنّ المعدوم لا یملک بخلاف ما إذا کان بنحو شرط الفعل أو الشرط المعلّق علی تملّک مالک المال للنماء ثمّ تملیکه للعامل، فهاهنا عمومان تخالفهما المضاربة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 أنّ المضاربة إجارة، فلابدَّ أن تفرض إجارة وشیء آخر، ولیست بإجارة فقط؛ لأنّ مقتضاها لیس مجدّد تملیک للعامل، بل تملیک</w:t>
      </w:r>
    </w:p>
    <w:p>
      <w:pPr>
        <w:pStyle w:val="BookText"/>
        <w:rPr/>
      </w:pPr>
      <w:r>
        <w:rPr>
          <w:rFonts w:ascii="IRNazanin" w:hAnsi="IRNazanin" w:eastAsia="IRNazanin"/>
          <w:color w:val="111111"/>
          <w:sz w:val="28"/>
          <w:sz w:val="28"/>
          <w:szCs w:val="28"/>
          <w:rtl w:val="true"/>
          <w:lang w:bidi="fa-IR"/>
        </w:rPr>
        <w:t>للمالک أیضاً، فلابدَّ أن تفترض شرکة وإجارة، وأنّ بین مالیّة عمل العامل ومال المالک شرکة، فعمل العامل مورد للإجارة فهو لحاظ لمالیّة اخری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نرد إرجاع المضاربة إلی عقود اخری، فلا أقلّ هی شبیهة بماهیّة الشرکة، فمقتضی عقد المضاربة فی نفسه مخالف لاشتراط القدر المعیّن</w:t>
      </w:r>
      <w:r>
        <w:rPr>
          <w:rFonts w:eastAsia="IRNazanin" w:cs="IRNazanin"/>
          <w:color w:val="111111"/>
          <w:sz w:val="28"/>
          <w:szCs w:val="28"/>
          <w:rtl w:val="true"/>
          <w:lang w:bidi="fa-IR"/>
        </w:rPr>
        <w:t>.</w:t>
      </w:r>
      <w:bookmarkStart w:id="394" w:name="pg13695_15100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5" w:name="__RefHeading___Toc984013_1468164448"/>
      <w:bookmarkStart w:id="396" w:name="_Toc143"/>
      <w:bookmarkEnd w:id="394"/>
      <w:bookmarkEnd w:id="395"/>
      <w:r>
        <w:rPr>
          <w:rtl w:val="true"/>
        </w:rPr>
        <w:t xml:space="preserve">فائدة </w:t>
      </w:r>
      <w:r>
        <w:rPr>
          <w:rtl w:val="true"/>
        </w:rPr>
        <w:t>:</w:t>
      </w:r>
      <w:r>
        <w:rPr>
          <w:rtl w:val="true"/>
        </w:rPr>
        <w:t>فی المعاملات المستجدة</w:t>
      </w:r>
      <w:bookmarkEnd w:id="396"/>
    </w:p>
    <w:p>
      <w:pPr>
        <w:pStyle w:val="BookText"/>
        <w:rPr/>
      </w:pPr>
      <w:r>
        <w:rPr>
          <w:rFonts w:ascii="IRNazanin" w:hAnsi="IRNazanin" w:eastAsia="IRNazanin"/>
          <w:color w:val="111111"/>
          <w:sz w:val="28"/>
          <w:sz w:val="28"/>
          <w:szCs w:val="28"/>
          <w:rtl w:val="true"/>
          <w:lang w:bidi="fa-IR"/>
        </w:rPr>
        <w:t>فی المعاملات المستجدة</w:t>
      </w:r>
    </w:p>
    <w:p>
      <w:pPr>
        <w:pStyle w:val="BookText"/>
        <w:rPr/>
      </w:pPr>
      <w:r>
        <w:rPr>
          <w:rFonts w:ascii="IRNazanin" w:hAnsi="IRNazanin" w:eastAsia="IRNazanin"/>
          <w:color w:val="111111"/>
          <w:sz w:val="28"/>
          <w:sz w:val="28"/>
          <w:szCs w:val="28"/>
          <w:rtl w:val="true"/>
          <w:lang w:bidi="fa-IR"/>
        </w:rPr>
        <w:t xml:space="preserve">ان مقتضی القاعدة الاولیة بحسب عمومات النکاح وامضاء الشروط ان عقد المتعة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فی محله من سند النکاح ، وقد اشار الی ذلک بعض المتقدمین من الاصحاب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العمومات فی الآیات والسنة الدالة علی امضاء مطلق النکاح شاملة للمتعة کما حررنا بیانه فی سند النکاح ان نکاح المتعة ماهیته ماهیة النکاح، وتختلف عن ماهیة الزنا والسفاح والاخدان، غایة الامر ان الشروط النافذة بین المسلمین قد تصوغ العقد بصیاغاتواشکال مختلفة، فیسمی ذات العقد بتسمیات متعددة مادامت تلک الشروط لاتخالف الکتاب والسنة ولاتناقض مقتضی العقد، ومن الواضح ان اشتراط الاجل فی النکاح فضلاً عن المهر لاینافی مقتضی ماهیة النکاح، لأنّه انّما هو یقتضی اقتران الزوجین وتملیک البضع، غایة الامر اذا اطلق کان مرسلا ً للملکیة فتکون مطلقة، ومرسلة للاقتران فتکون دائمة مؤبدة بخلاف ما اذا قیّد بالاجل وحدد فیرتفع الارسال والاطلاق والتأبید، نظیر ما قیل فی الفرق بین البیع والاجارة، فانّ کلاً منهما تملیک للعین، ومن ثم تتعلق الاجارة وتسند الی العین نفسها، ویقع بالتملیک کل من العقدین، غایة الامر ان التملیک فی الاجارة محدد بالاجل خلاف البیع، ومن ثم قیل بان الاجارة متولدة من البیع، وقد وردت نصوص مستفیضة علی وقوع الایجاب فی الاجارة بلفظ البیع مع ضم التقیید بالمدة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مخالفة الشرط للکتاب فلما یظهر من الآیة من سورة النساء لاسیّما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واشعار لفظ الاجرة بذلک فی الآیة، وامّا ما یقال بأنّ آیات الطلاق بعمومها تخالف هذا الشرط فمن ثمّ قیل بأنّها ناسخة لآیة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الطلاق رفع وفسخ مافیه اقتضاء البقاء والدوام لا ما کان فی نفسه متصرما وزائلا، فشمول عمومات الطلاق للنکاح المؤقت محل تأمل واضح، ومن ثم یظهر وهن دعوی النسخ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وجوه أخری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من عدم مخالفة هذا الشرط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من روایات الفریقین مع أنّ العمدة هو ما تبینه العترة من سنّة النبی المطهرة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ویتحصّل أنّ صحة عقد المتعة هو بمقتضی القاعدة فی عمومات النکاح وعمومات الشروط، ومما یشیر الی ما ذکرناه من اختلاف صیاغات العقد کالنکاح بالشروط، وتلونه بتسمیات بحسب هذه الشروط، ما یشاهد حالیاً من تولد عقود نکاحیه جدیدة کعقد المسیار وعقد نهایة الاسبوع والعقد الصیفی للاصطیاف والزواج بشرط الطلاق وجملة من الصیاغات التابعة للتبانی علی شروط مختلفة، لانّ هذه التسمیات والانواع الجدیدة والعناوین لم تخرجها عن ماهیة النکاح مادام الشروط لاتخالف الکتاب والسنة ولاتنافی مقتضی ماهیة عقد النکاح، ولیس هذا خاص بعقد النکاح، بل هو سیّان فی جملة من العقود الصحیحة فانّه بحسب مقتضی ما جاءت البیئات العصریة الحدیثة، تتجدد شروط تلبی الحاجات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فتتلون تلک العقود بتسمیات جدیدة، وعندما تترامی تتوالد هذه العقود بالشروط فتندمج انواع والوان من العقود لایکاد الناظر والباحث فیها یتفطن الی أصلها المنحدرة منه، بل قد تدمج ماهیتان صحیحتان أو ماهیات من العقود الصحیحة فی معاوضة فوقانیة فتتلون بتسمیة جدیدة، وهذه ضابطة تحلیلیة نافعة جدا فی باب المعاملات المستجدة، بل وکذا فی باب المعاملات التقلیدیة الاولیة</w:t>
      </w:r>
      <w:r>
        <w:rPr>
          <w:rFonts w:eastAsia="IRNazanin" w:cs="IRNazanin"/>
          <w:color w:val="111111"/>
          <w:sz w:val="28"/>
          <w:szCs w:val="28"/>
          <w:rtl w:val="true"/>
          <w:lang w:bidi="fa-IR"/>
        </w:rPr>
        <w:t>.</w:t>
      </w:r>
      <w:bookmarkStart w:id="397" w:name="pg13695_15100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8" w:name="__RefHeading___Toc984015_1468164448"/>
      <w:bookmarkStart w:id="399" w:name="_Toc144"/>
      <w:bookmarkEnd w:id="397"/>
      <w:bookmarkEnd w:id="398"/>
      <w:r>
        <w:rPr>
          <w:rtl w:val="true"/>
        </w:rPr>
        <w:t xml:space="preserve">فائدة </w:t>
      </w:r>
      <w:r>
        <w:rPr>
          <w:rtl w:val="true"/>
        </w:rPr>
        <w:t>:</w:t>
      </w:r>
      <w:r>
        <w:rPr>
          <w:rtl w:val="true"/>
        </w:rPr>
        <w:t>فی الفرق بین القیود العلامیة والتوصیفیة</w:t>
      </w:r>
      <w:bookmarkEnd w:id="399"/>
    </w:p>
    <w:p>
      <w:pPr>
        <w:pStyle w:val="BookText"/>
        <w:rPr/>
      </w:pPr>
      <w:r>
        <w:rPr>
          <w:rFonts w:ascii="IRNazanin" w:hAnsi="IRNazanin" w:eastAsia="IRNazanin"/>
          <w:color w:val="111111"/>
          <w:sz w:val="28"/>
          <w:sz w:val="28"/>
          <w:szCs w:val="28"/>
          <w:rtl w:val="true"/>
          <w:lang w:bidi="fa-IR"/>
        </w:rPr>
        <w:t>فی الفرق بین القیود العلامیة والتوصیفیة</w:t>
      </w:r>
    </w:p>
    <w:p>
      <w:pPr>
        <w:pStyle w:val="BookText"/>
        <w:rPr/>
      </w:pPr>
      <w:r>
        <w:rPr>
          <w:rFonts w:ascii="IRNazanin" w:hAnsi="IRNazanin" w:eastAsia="IRNazanin"/>
          <w:color w:val="111111"/>
          <w:sz w:val="28"/>
          <w:sz w:val="28"/>
          <w:szCs w:val="28"/>
          <w:rtl w:val="true"/>
          <w:lang w:bidi="fa-IR"/>
        </w:rPr>
        <w:t>اعلم انّ القیود التی تذکر فی موضوعات الأحکام أو القیود للاحکام نفسها تارة تکون وصفا دخیلا فی تمامیة الملاک فتکون مخصصة للموضوع، کالعدالة فی الشاهدین والمفتی والقاضی، وأخری تکون أمارة وعلامة محضة لاحراز الموضوع غیر دخیلة فی واقع الموضوع اصلا کالبینة ورؤیة الهلال، وثالثة قیودا فی الموضوع لکن علامیة أیضا ففیها کل من خاصیة القسم الأول والثانی، واطلق علیها فی الفقه انها تحدید فی تقریب وتقریب فی تحدید کخفاء الأذان والجدران وتحدید الکر بالحجم، کما اطلق علیها انها اسباب شرعیة معرفات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التقسیمات الثلاث تطابق ما یذکر فی علم الاصول فی القطع من أنه یؤخذ فی الموضوع بنحو الصفتیة وثانیة لا یؤخذ بل یکون طریقا محضا وثالثة یؤخذ فی الموضوع بنحو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اختلاف آثار کل قسم من الاقسام الثلاثة عن الاخر وبرزخیة آثار القسم الثالث کما حرر ذلک فی علم الاصول، وحیث ان الظاهر من التقادیر المأخوذة فی الروایات المتقدمة انها من النمط الثالث وهو یختلف عن الأولین کما لا یخفی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مع العلم بزوال الاسم أو القید الاخر فهو مجری للاصول المفرغة دون الاستصحاب لتبدل الموضوع إلا أن یبنی علی احتمال کون مثل الجلل حیثیة تعلیلیة بقاء حتی تنقضی مدة الاستبراء، لکن العموم اللفظی لحلّ الانعام أو انواع الحیوان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العموم الازمانی منه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الصحیح فی العمومات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استصحاب حکم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فرض الشبهة مفهومیة، نعم لو غض النظر عن العموم فلا اشکال فی استصحاب الجلل بناء علی احتمال التعلیلیة فیه وان کانت الشبهة مفهومیة کما تقدم التفصیل فیها، وأما الشبهة المصداقیة لحدوث الجلل فاستصحاب العدم محرز لعموم الحل واما الموضوعیة بقاء فاستصحاب البقاء</w:t>
      </w:r>
      <w:r>
        <w:rPr>
          <w:rFonts w:eastAsia="IRNazanin" w:cs="IRNazanin"/>
          <w:color w:val="111111"/>
          <w:sz w:val="28"/>
          <w:szCs w:val="28"/>
          <w:rtl w:val="true"/>
          <w:lang w:bidi="fa-IR"/>
        </w:rPr>
        <w:t>.</w:t>
      </w:r>
      <w:bookmarkStart w:id="400" w:name="pg13695_15101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1" w:name="__RefHeading___Toc984017_1468164448"/>
      <w:bookmarkStart w:id="402" w:name="_Toc145"/>
      <w:bookmarkEnd w:id="400"/>
      <w:bookmarkEnd w:id="401"/>
      <w:r>
        <w:rPr>
          <w:rtl w:val="true"/>
        </w:rPr>
        <w:t xml:space="preserve">فائدة </w:t>
      </w:r>
      <w:r>
        <w:rPr>
          <w:rtl w:val="true"/>
        </w:rPr>
        <w:t>:</w:t>
      </w:r>
      <w:r>
        <w:rPr>
          <w:rtl w:val="true"/>
        </w:rPr>
        <w:t>فی کثرة الشک</w:t>
      </w:r>
      <w:bookmarkEnd w:id="402"/>
    </w:p>
    <w:p>
      <w:pPr>
        <w:pStyle w:val="BookText"/>
        <w:rPr/>
      </w:pPr>
      <w:r>
        <w:rPr>
          <w:rFonts w:ascii="IRNazanin" w:hAnsi="IRNazanin" w:eastAsia="IRNazanin"/>
          <w:color w:val="111111"/>
          <w:sz w:val="28"/>
          <w:sz w:val="28"/>
          <w:szCs w:val="28"/>
          <w:rtl w:val="true"/>
          <w:lang w:bidi="fa-IR"/>
        </w:rPr>
        <w:t>فی کثرة الشک</w:t>
      </w:r>
    </w:p>
    <w:p>
      <w:pPr>
        <w:pStyle w:val="BookText"/>
        <w:rPr/>
      </w:pPr>
      <w:r>
        <w:rPr>
          <w:rFonts w:ascii="IRNazanin" w:hAnsi="IRNazanin" w:eastAsia="IRNazanin"/>
          <w:color w:val="111111"/>
          <w:sz w:val="28"/>
          <w:sz w:val="28"/>
          <w:szCs w:val="28"/>
          <w:rtl w:val="true"/>
          <w:lang w:bidi="fa-IR"/>
        </w:rPr>
        <w:t xml:space="preserve">المشهور بین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بشک کثیر الشک سواء کان فی الاجزاء أم فی الشرائط أم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عموم التعلیل الوارد فی أکثر أخبار کثیر الشک بل قد یستفاد منها الاعتداد بالتظنی فی الافعال المرکبة مطلقا، کصحیح زرارة وأبی بصیر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کثیرا فی صلاته حتی لا یدری کم صلّی ولا ما بقی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یکثر علیه ذلک کلما أعاد 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شکّه،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تعودوا الخبیث من أنفسکم نقض الصلاة فتطمعوه، فانّ الشیطان خبیث معتاد لما عوّد، فلیمض أحدکم فی الوهم، ولا یکثرن نقض الصلاة، فانّه اذا فعل ذلک مرات لم یعد إلیه الشک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الشخص المتعارف السالم القوی والحواس لا یأتیه اعتیاد وکثرة الشک من نفسه کیف وقد فرض سالما، فدخول الوهم علی المصلّی منشأه الصور والاحتمالات التی یحدثها فی صفحة الذهن، نعم اذا کان منشأها ضعف القوی واختلال التوازن فیدخل فی الوسواس ونحوه، فلا یشکک بأن الکثرة فی غیر الصلاة لا یحرز أن منشأها شیطانی، والا لتأتی ذلک فی الصلاة أیضا فلا یصح الاطلاق فی کثرة الشک، فاذا کانت القیمة الاحتمالیة للشک الناشئ من الکثرة والاعتیاد والتکرار، لا یعتد بها لعدم نشئوها من إراءة الواقع بل من الصور الوهمیة، فلا یفرق فی ذلک بین ما کانت الکثرة المزبورة فی الصلاة أو بقیة الأفعال کالحج والغسل والخمس والزکاة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لو فرض انّ شکا حدث لکثیر الشک مغایر للکثرة التی اعتاد علیها أی کان من منشأ معتد به عقلائیا لما کان مشمولا لحکم کثرة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خواص التعلیل انّه معمم من جهة ومخصص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صحیح ابن سنان ذکرت لأبی عبد الله علیه السّلام رجلا مبتلی بالوضوء والصلاة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عاقل فقال ابو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وهو یطیع الشیطان؟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یطیع الشیطان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فانّه یقول لک من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مفاده خروج الاعتداد بالشک الناشئ عن غیر الأسباب المتعارفة عن الرویّة العقلیة الی طاعة الشیطان الوهمی، ولا یختص ذلک بالشک الناشئ من ضعف القوی کما فی الوسواس بل یعم الناشئ من الکثرة والاعتیاد من الصور الوهمیة وان کان عنوان المبتلی ظاهر فی الوسواس لکن الجواب والتعلیل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التعلیل فی الصحیح والذی قبله یعم الشک الناشئ من غیر الکثرة وغیر الوسواس أی من المنشأ الذی لا یعتنی به عقلائیا کالمتناهی فی الضعف والضآلة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نظیرهما صحیح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کثر علیک السهو فامض فی صلاتک، فانّه یوشک أن یدعک، انّما هو من الشیطان</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ظاهره التعلیل لعدم الاعتناء بفساد منشأ الشک، فیعم بقیة الأبواب</w:t>
      </w:r>
      <w:r>
        <w:rPr>
          <w:rFonts w:eastAsia="IRNazanin" w:cs="IRNazanin"/>
          <w:color w:val="111111"/>
          <w:sz w:val="28"/>
          <w:szCs w:val="28"/>
          <w:rtl w:val="true"/>
          <w:lang w:bidi="fa-IR"/>
        </w:rPr>
        <w:t>.</w:t>
      </w:r>
      <w:bookmarkStart w:id="403" w:name="pg13695_151017"/>
    </w:p>
    <w:p>
      <w:pPr>
        <w:pStyle w:val="Heading2"/>
        <w:numPr>
          <w:ilvl w:val="1"/>
          <w:numId w:val="1"/>
        </w:numPr>
        <w:rPr/>
      </w:pPr>
      <w:bookmarkStart w:id="404" w:name="__RefHeading___Toc984019_1468164448"/>
      <w:bookmarkStart w:id="405" w:name="_Toc146"/>
      <w:bookmarkEnd w:id="403"/>
      <w:bookmarkEnd w:id="404"/>
      <w:r>
        <w:rPr>
          <w:rtl w:val="true"/>
        </w:rPr>
        <w:t xml:space="preserve">فائدة </w:t>
      </w:r>
      <w:r>
        <w:rPr>
          <w:rtl w:val="true"/>
        </w:rPr>
        <w:t>:</w:t>
      </w:r>
      <w:r>
        <w:rPr>
          <w:rtl w:val="true"/>
        </w:rPr>
        <w:t>فی المرتد وأحکامه</w:t>
      </w:r>
      <w:bookmarkEnd w:id="40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984021_1468164448"/>
      <w:bookmarkStart w:id="407" w:name="_Toc147"/>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فی المرتد وأحکامه</w:t>
      </w:r>
    </w:p>
    <w:p>
      <w:pPr>
        <w:pStyle w:val="BookText"/>
        <w:rPr/>
      </w:pPr>
      <w:r>
        <w:rPr>
          <w:rFonts w:ascii="IRNazanin" w:hAnsi="IRNazanin" w:eastAsia="IRNazanin"/>
          <w:color w:val="111111"/>
          <w:sz w:val="28"/>
          <w:sz w:val="28"/>
          <w:szCs w:val="28"/>
          <w:rtl w:val="true"/>
          <w:lang w:bidi="fa-IR"/>
        </w:rPr>
        <w:t xml:space="preserve">قال السید الیزدی فی العروة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الکافر بین الأصلی والمرتد الملی بل الفطری أیضا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توبته باطنا وظاهرا أیضا فتقبل عباداته ویطهر بدنه نعم یجب قتله إن أمکن وتبین زوجته وتعتد عدة الوفاة وتنتقل أمواله الموجودة حال الارتداد إلی ورثته ولا تسقط هذه الأحکام بالتوبة لکن یملک ما اکتسبه بعد التوبة ویصح الرجوع إلی زوجته بعقد جدید حتی قبل خروج العدة علی الأقوی</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الأول وهو الأصلی فبالضرورة وأما الثانی فلا خلاف محکی فیه وأما الثالث الذی عن فطرة فعن المشهور أنها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الشهید الثانی وجماعة نفی القبول بلحاظ الظاهر لا الباطن، وذهب آخرون من متأخری الأعصار الی عدم قبولها بلحاظ الاحکام الثلاثة فقط دون الباطنة والظاهرة فی بقیة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الجنید أنها تقبل مطلقا کالملی ومال إلیه الشهید فی المسالک والمجلسی فی البحار وحقّ الیقین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فی قاعدة کفر منکری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 الاول من هذا الکتاب</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کل من المفید فی أوائل المقالات والشیخ فی الاقتصاد</w:t>
      </w:r>
    </w:p>
    <w:p>
      <w:pPr>
        <w:pStyle w:val="BookText"/>
        <w:rPr/>
      </w:pPr>
      <w:r>
        <w:rPr>
          <w:rFonts w:ascii="IRNazanin" w:hAnsi="IRNazanin" w:eastAsia="IRNazanin"/>
          <w:color w:val="111111"/>
          <w:sz w:val="28"/>
          <w:sz w:val="28"/>
          <w:szCs w:val="28"/>
          <w:rtl w:val="true"/>
          <w:lang w:bidi="fa-IR"/>
        </w:rPr>
        <w:t>والحمصی فی المنقذ أن المرتد المنکر للضروری ان کان عن شبهة یستتاب أی تقبل توبته وکذا عبارة کاشف الغطاء ومال إلیه صاحب الجواهر لا سیما مع الدخول فی اسم أحد الطوائف المنتحلة للاسلام وعلله بالشک فی شمول أدلّة المرتد الفطری له، وکأنه للتعبیر الوارد فیها بالکفر بأحد الأصلین أو هتک أحد المقدسات العلیا فی الدین، وأما الدخول فی اسم أحد الطوائف فکأنه لما فی روایات کفر تلک الطوائف من قبول توبتهم اذا رجعوا فتکون خاصة فی منکر الضروری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یظهر من المسالک فی بعض کلامه التفصیل بنحو اخر وهو قبول توبة المرتد الفطری لو تاب دون استتابته نظرا لأن الروایات الخاصة فیه تنفی الاستتابة دون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 بعض المعاصرین بین ما اذا کان الارتداد عاما بین جماعة عن شبهة وما اذا کان خاصا بفرد واستدل له بسیرتهم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مناظرة ومحاجّة أصحاب الزندقة کابن أبی العوجاء وغیره وکما فی مصحح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أکره أن یقال انّ محمدا استعان بقوم حتی اذا ظفر بعدوّه قتلهم لضربت اعناق قوم کثیر</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أضعف الأقوال حیث ان سیرتهم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مع بسط یدهم مع ان کثیرا من طائفة الزنادقة کانوا مدسوسین من الخلفاء للمناظرة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ولذلک تری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بنی ناجیة قد قاتلهم فی القصة المعروفة، وأما الشبهة فان لم یصاحبها إنکار وإنشاء للارتداد فلا عبرة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والظاهر من روایات حدّ المرتد لا ینطبق علی قول ابن الجنید، لأن الروایات وإن کان فیها لسان الاطلاق فی الاستتابة فإن لم یتب یقتل، کما ورد فیها لسان الاطلاق بنفی التوبة، إلا أن هناک طائفة ثالثة مفصلة أو خاصة فی المرتد الفطری تبلغ الخمس روایات ذکرها الشیخ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مخصصة لکلا الاطلاقین حتی فیما ورد من استتابة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للمرتدین فی عدة من الموارد، فانها قابلة للحمل علی الملی بعد کون العهد قریب من بدء الدعوة وانتشار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الشهید الثانی الأخیر فیدفعه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الاسلام وکفر بما انزل علی محمد صلی الله علیه و آله بعد اسلامه فلا توبة له وقد وجب قتله وبانت منه امرأته ویقسم ما ترک علی ولده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البدوی من هذا الصحیح أیضا نفی التوبة بقول مطلق ظاهرا وباطنا بلحاظ الأحکام الثلاثة وغیرها، وأما بقیة الروایات الخاصة فی المرتد الفطری فانّها کلها مشتملة علی نفی الاستتابة ولزوم القتل، فان حمل ذلک علی نفی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أن لو کانت التوبة مقبولة لشرعت ولزمت الاستتابة بعد فتح باب التوبة فنفی الاستتابة لازمه نفی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مفادها کالصحیح المزبور، وان لم یحمل علی نفی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نفی الاستتابة أعم من نفیها اذ لعله من باب التشدید فی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دالّة</w:t>
      </w:r>
    </w:p>
    <w:p>
      <w:pPr>
        <w:pStyle w:val="BookText"/>
        <w:rPr/>
      </w:pPr>
      <w:r>
        <w:rPr>
          <w:rFonts w:ascii="IRNazanin" w:hAnsi="IRNazanin" w:eastAsia="IRNazanin"/>
          <w:color w:val="111111"/>
          <w:sz w:val="28"/>
          <w:sz w:val="28"/>
          <w:szCs w:val="28"/>
          <w:rtl w:val="true"/>
          <w:lang w:bidi="fa-IR"/>
        </w:rPr>
        <w:t>علی ثبوت حکم الارتداد والکفر والاحکام الثلاثة علی تقدیر عدم التوبة فقط دون ما لو تحققت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فی نفی التوبة أن یکون بلحاظ الاحکام الثلاثة وما هو من وظیفة الحاکم من عدم اسقاط الحدّ والآثار الظاهریة دون سائر الأحکام الأخری وان کانت الظاهریة، ولا أقلّ من الأحکام الباطنیة أی التی فیما بینه وبین الله تعالی، لکن بالالتفات الی ما ورد فی روایات الشهادتین والآثار المترتبة علی الاقرار بهما من حرمة دمه وماله وجواز نکاحه، والتی هی أمثلة أمهات الأحکام الظاهریة یظهر أن نفیها بالارتداد مثال لذهاب تلک العصمة والحصانة التی ترتبت بالاقرار بالشهادتین، کحقن دمه وماله وعرضه وحلّ ذبیحته ونکاحه، له ما للمسلمین وعلیه ما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بالاقرار بالارتداد أی بالخروج من الاسلام تذهب تلک الآثار المترتبة علی الشهادتین ولا تعود بالاقرار والتلفظ بهما مرة أخری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محرر فی مبحث نجاسة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درجات الأولی انشائی اعتباری ظاهری ینشأ ویوجد بالاقرار والذی هو نحو ایقاع والتزام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وما بعدها هو تکوینی خارجی بحسب القلب والجوانح والجوارح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الدرجات وقعت موضوعا لطائفة من الأحکام، فالدرجة الأولی هی اعتباریة قائمة بلحاظ الآخرین وبحسب الالزام والالتزام البینی فی دار الاسلام وما یسمی حدیثا بأحکام التعایش الاجتماعی والحصانة الاجتماعیة، کحرمة الدم والمال والعرض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الدرجة الثانیة فهی موضوع لصحة العبادة ولتعلق التکالیف الشرعیة، فالدرجة الأولی بمنزلة العقد الاجتماعی للمجتمع المبنی علی العقیدة کرابطة للعقدة الاجتماعیة هی دار الاسلام بخلاف دار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أن النفی هاهنا بلحاظ الأحکام الظاهریة فقط، لما تقدم فی مبحث نجاسة الکافر من أن الاقرار بالشهادتین والآثار المترتبة علیهما بما هو اقرار ملحوظ فیه جانب الالزام والالتزام من الغیر، کذلک الاقرار بالخروج والارتداد، وأما الآثار التی بحسب الواقع کصحة العبادات والایمان وثواب الآخرة فهو مرتبط بعقد القلب وان اشترط فیه التسلیم باللسان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یظهر أن المحصل من مفاد نفی التوبة هو ذلک لا نفی الایمان والاسلام بحسب الواقع لو تاب ولا ارتفاع التکلیف لکون شرطه غیر مقدور وهو الاسلام والطهارة ونحو ذلک، وکذا یظهر قوّة ما ذکره فی الجواهر من التفصیل فی الطهارة لبدنه بالإضافة الی نفسه بخلاف الاضافة الی الآخرین فیحکمون بالنجاسة فانّه لیس من باب أن الحکمین نسبیین، بل من اختلاف الحکم بثبوت الموضوع وعدمه، کما هو الحال فی العکس ای فیمن أقرّ بالشهادتین ولم یبرز ارتداده، ولکن کان فی الواقع جاحدا للربوبیة أو للنبوة فانّه نجس بحسب الواقع وباطلة عباداته، وان حکم علیه فی الظاهر بالطهارة والصحة للاعمال وهو المراد من اماریة الاقرار بالشهادتین علی الاسلام وان کان فی الاقرار جهة أخری وهی الالزام والأخذ بمؤدی الاقرار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یظهر الخلل فی ما استدل به علی قبول التوبة بقول مطلق</w:t>
      </w:r>
    </w:p>
    <w:p>
      <w:pPr>
        <w:pStyle w:val="BookText"/>
        <w:rPr/>
      </w:pPr>
      <w:r>
        <w:rPr>
          <w:rFonts w:ascii="IRNazanin" w:hAnsi="IRNazanin" w:eastAsia="IRNazanin"/>
          <w:color w:val="111111"/>
          <w:sz w:val="28"/>
          <w:sz w:val="28"/>
          <w:szCs w:val="28"/>
          <w:rtl w:val="true"/>
          <w:lang w:bidi="fa-IR"/>
        </w:rPr>
        <w:t>أو فیما عدا الاحکام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عدم القبول تکلیف بما لا یطاق، اذ لا یمکن القول بسقوط التکلیف عنه فی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تأکید عمومات التوبة لا یمکن 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رحمة والشریعة سمحاء وأنه قد سبقت رحمته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یَرْتَدِدْ مِنْکُمْ عَنْ دِینِهِ فَیَمُتْ وَ هُوَ کافِرٌ فَأُولئِکَ حَبِطَتْ أَعْمالُهُمْ فِی الدُّنْیا وَ الْآخِرَةِ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قیّد بالموت فی حال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فی تحقق الایمان بعد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النفی للتوبة مقید بحسب السیاق بالأحکام الثلاثة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النفی فی الفطری من باب التشدید من الحاکم لا کون</w:t>
      </w:r>
    </w:p>
    <w:p>
      <w:pPr>
        <w:pStyle w:val="BookText"/>
        <w:rPr/>
      </w:pPr>
      <w:r>
        <w:rPr>
          <w:rFonts w:ascii="IRNazanin" w:hAnsi="IRNazanin" w:eastAsia="IRNazanin"/>
          <w:color w:val="111111"/>
          <w:sz w:val="28"/>
          <w:sz w:val="28"/>
          <w:szCs w:val="28"/>
          <w:rtl w:val="true"/>
          <w:lang w:bidi="fa-IR"/>
        </w:rPr>
        <w:t>حکمه مغایرا للملی، بقرینة الاطلاقات والموارد الخاصة، وبعد کونها کلها فی الفطری، کما ورد التشدید بالقتل فی المرتدة أم الولد التی تنصرت وتزوجت نصرانی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عن الادلة والوجوه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ذلک أن التوبة المنفیة کما عرفت هی الظاهریة بالمعنی الذی عرفت وان المستدل به فی هذه الوجوه انما هو التوبة بحسب الواقع والباطن لا بحسب آثار الظاهر والنسبة عند الآخرین، وأما بقاء تلک الأحکام الظاهریة للارتداد مع قبول التوبة بحسب الظاهر، فلعل وجه الحکمة فیه هو ردع فتح باب المروق من الدین، وأنها من قبیل بقیة الحدود التی لا تسقط بالتوبة بعد الثبوت لدی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لک ضعف التفکیک بین الأحکام الثلاثة وبقیة الأحکام الظاهریة بعد ما عرفت من ان لسان هذه الأحکام الثلاثة هی لسان ترتب اضدادها عند الدخول فی الاسلام یراد بها أمهات الأحکام الظاهریة فی الأبواب، بلحاظ حرمة النفس والمال والعرض، وبذلک یظهر لک عدة امور اهمها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نکاحه من زوجته لا فی العدّة ولا بعدها ولا من مسلمة أخری، نعم یصح نکاحه من الکتابیة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الی أمواله التی یکتسبها، بعد سواء حال الارتداد أو بعد التوبة بحسب الباطن فیملکها کما هو الحال فی الکافر لکن لا تکون ملکیته محترمة کبقیة الکفار، ویحتمل أن الأولی بها حینئذ هو ورثته عطفا علی حکم أمواله السابقة، اذ هو بعد ما ارتد سقطت عصمة نفسه وأمواله</w:t>
      </w:r>
      <w:bookmarkStart w:id="408" w:name="pg13695_151026"/>
    </w:p>
    <w:p>
      <w:pPr>
        <w:pStyle w:val="BookText"/>
        <w:rPr/>
      </w:pPr>
      <w:bookmarkEnd w:id="408"/>
      <w:r>
        <w:rPr>
          <w:rFonts w:ascii="IRNazanin" w:hAnsi="IRNazanin" w:eastAsia="IRNazanin"/>
          <w:color w:val="111111"/>
          <w:sz w:val="28"/>
          <w:sz w:val="28"/>
          <w:szCs w:val="28"/>
          <w:rtl w:val="true"/>
          <w:lang w:bidi="fa-IR"/>
        </w:rPr>
        <w:t>کما عرفت من لسان الروایات، وهو مقتضی القاعدة فیکون الحکم بکون أمواله لورثته لأنهم أولی الناس به، لا ما قیل من کون الحکم المزبور لأجل عدّه کالمیت لوجوب قتله کما ذهب إلیه المیرزا القمی، اذ لیس کل من وجب قتله بالحدّ قسمت أمواله بین ورثته، فیستظهر أن التقسیم بلحاظ الأولویة المزبورة بعد ذهاب حرمة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تسقط عنه التکالیف الشرعیة العبادیة وغیرها سواء حال الارتداد وبعد التوبة، لما عرفت من أنه قادر علی التوبة بحسب الواقع</w:t>
      </w:r>
      <w:r>
        <w:rPr>
          <w:rFonts w:eastAsia="IRNazanin" w:cs="IRNazanin"/>
          <w:color w:val="111111"/>
          <w:sz w:val="28"/>
          <w:szCs w:val="28"/>
          <w:rtl w:val="true"/>
          <w:lang w:bidi="fa-IR"/>
        </w:rPr>
        <w:t>.</w:t>
      </w:r>
    </w:p>
    <w:p>
      <w:pPr>
        <w:pStyle w:val="Heading3"/>
        <w:numPr>
          <w:ilvl w:val="2"/>
          <w:numId w:val="1"/>
        </w:numPr>
        <w:rPr/>
      </w:pPr>
      <w:bookmarkStart w:id="409" w:name="__RefHeading___Toc984023_1468164448"/>
      <w:bookmarkStart w:id="410" w:name="_Toc148"/>
      <w:bookmarkEnd w:id="409"/>
      <w:r>
        <w:rPr>
          <w:rtl w:val="true"/>
        </w:rPr>
        <w:t>حصر المرتد الفطری بمنکر الشهادتین</w:t>
      </w:r>
      <w:r>
        <w:rPr>
          <w:rtl w:val="true"/>
        </w:rPr>
        <w:t>:</w:t>
      </w:r>
      <w:bookmarkEnd w:id="41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عدم عموم حکم المرتد الفطری لکل ردة وانکار لکل ضروری بل اختصاصها لمنکر الاصلین ونحوه کما ذهب إلیه صاحبی کشف الغطاء والجواهر وتقدم نسبته الی المفید والشیخ والحمصی، والوجه فی ذلک أن ما ورد فی الروایات المزبورة هو انکار الأصلین أو هتک أحد المقدسات الأولیة فی الدین ونحو ذلک، مضافا الی ظهور بعض الروایات فی قبول توبتهم، وکذا ورد اطلاق الکفر علی عدة من الطوائف المنکرة لبعض الضرورات کالجبریة والمجسمة ونحوهما مع انّ السیرة المعاصرة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 الاحکام الظاهریة علیهم، مع تقریر ذلک فی روایات التذکیة والنکاح فلاحظ ما تقدم فی المجسمة والمجبرة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الصحیح ان الانکار ان عدّ ردّة أی اقرار بالخروج عن الاسلام فهو رغبة عن الاسلام فیصدق العنوان الماخوذ فی صحیح ابن مسلم، نعم غایة الامر ان بعض الضروریات حیث وقع الاختلاف فیها کنفی التجسیم</w:t>
      </w:r>
    </w:p>
    <w:p>
      <w:pPr>
        <w:pStyle w:val="BookText"/>
        <w:rPr/>
      </w:pPr>
      <w:r>
        <w:rPr>
          <w:rFonts w:ascii="IRNazanin" w:hAnsi="IRNazanin" w:eastAsia="IRNazanin"/>
          <w:color w:val="111111"/>
          <w:sz w:val="28"/>
          <w:sz w:val="28"/>
          <w:szCs w:val="28"/>
          <w:rtl w:val="true"/>
          <w:lang w:bidi="fa-IR"/>
        </w:rPr>
        <w:t xml:space="preserve">والاختیار ونحوهما، فلا یعد المنکر له مرتدا وان کفر بحسب الواقع، وهذا ما یومی إلیه تقیید صاحب الجواهر عدم ترتیب أحکام المرتد الفطری علیه بما اذا صدق علیه اسم أحد الطوائف المنتحلة للاسلام، وکذا هو محط کلام الشیخ المفید والطوسی والحمصی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المرتد الملی یظهر من معتبرة مسمع بن عبد الملک تحدید استتابته بثلاثة أیام وکذا عزل زوجته وأکل ذبیحته أی سائر ما یترتب علی الاسلام فان تاب وإلا فقتل الظاهر فی عدم قبول توبته ورجوعه الظاهری الی عقد الاسلام الاعتباری، وهی بطریق الکلینی 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معتبرة السکونی بطریق الصدوق تحدیده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تقییدها بالیوم وهی اما ظاهرة فی ذلک أو مجملة مرددة بین ذلک وبین ثلاث مرات فلا تقوی علی معارضة المعتبرة السابقة، نعم لو بنی علی التعارض لوصلت النوبة الی العمومات الواردة فی أبواب حدّ المرتد بأنه یستتاب فان تاب وإلا یقتل الظاهرة فی کفایة صرف الوجود من الاستتابة، کما لا معارضة بین الروایات العدیدة الواردة فی تلک الابواب، من 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استتابة المرتد فی المجلس الواحد ثم قتله عند إبائه التوبة المحمولة علی المرتد الملی إما لکونه فعلا مجملا لا یناهض الدلالة اللفظیة، واما لترجیح مضمون الاستتابة الی ثلاث علیها للاحتیاط فی الدماء، وهو مرجح مضمونی متبع عند التعارض فی روایات الحدود، وإما لحملها علی المرتد الفطری غایة الأمر ان استتابته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لا لقبول التوبة الظاهریة وسقوط الحدّ بل لهدایتهم الی التوبة بحسب القلب والباطن وان لم یسقط الحد</w:t>
      </w:r>
    </w:p>
    <w:p>
      <w:pPr>
        <w:pStyle w:val="BookText"/>
        <w:rPr/>
      </w:pPr>
      <w:r>
        <w:rPr>
          <w:rFonts w:ascii="IRNazanin" w:hAnsi="IRNazanin" w:eastAsia="IRNazanin"/>
          <w:color w:val="111111"/>
          <w:sz w:val="28"/>
          <w:sz w:val="28"/>
          <w:szCs w:val="28"/>
          <w:rtl w:val="true"/>
          <w:lang w:bidi="fa-IR"/>
        </w:rPr>
        <w:t>لینجون فی الآخرة، وإما للاعتداد بما مضی من المدة فی الاستتابة ثلاثا، وإما لأن الردّة من بعضهم کانت باطنیة بحسب الواقع ولم تکن انشائیة لفسخ عقد الاسلام الانشائی فالاستتابة لأجل فعل المعصیة والاصرار علیها یعد بعد ذلک إنشاء للردة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التحدید بثلاثة هو من ضرب الحاکم مدة کمبدإ للاستتابة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مما مرّ فی الفرع الرابع یتبین أن المنکر للضروری ونحوه یلزم فی الحکم علیه بالارتداد حکم الحاکم، لکونه من الموضوعات المستنبطة الخلافیة المبتنی علی تشخیص الموضوع فیه علی مقدمات اجتهادیة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الشاک ما لم یبرز شکه ویبنی علیه فی الظاهر محکوم ببقاء اسلامه الاعتباری، بخلاف ما اذا أبرزه کإنشاء للالتزام والبناء علی الشک، فإنه یعدّ حینئذ إنشاء للردة والخروج عن عقد الالتزام والاقرار بالاسلام ولو کان عن قصور، اذ هو نحو من الجحود ومن ثم لو أتی فی الخفاء بفعل علی الملّة الاخری من دون قصده لابرازه وإنشاء الردة والخروج، واتفق أن اطّلع علیه غیره لا یعدّ ذلک منه ردة إنشائیة، وان کان ردّة واقعیة ونفاق کما وقع مثل ذلک فی الصدر الأول من بعضهم</w:t>
      </w:r>
      <w:r>
        <w:rPr>
          <w:rFonts w:eastAsia="IRNazanin" w:cs="IRNazanin"/>
          <w:color w:val="111111"/>
          <w:sz w:val="28"/>
          <w:szCs w:val="28"/>
          <w:rtl w:val="true"/>
          <w:lang w:bidi="fa-IR"/>
        </w:rPr>
        <w:t>.</w:t>
      </w:r>
      <w:bookmarkStart w:id="411" w:name="pg13695_15102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2" w:name="__RefHeading___Toc984025_1468164448"/>
      <w:bookmarkStart w:id="413" w:name="_Toc149"/>
      <w:bookmarkEnd w:id="411"/>
      <w:bookmarkEnd w:id="412"/>
      <w:r>
        <w:rPr>
          <w:rtl w:val="true"/>
        </w:rPr>
        <w:t xml:space="preserve">فائدة </w:t>
      </w:r>
      <w:r>
        <w:rPr>
          <w:rtl w:val="true"/>
        </w:rPr>
        <w:t>:</w:t>
      </w:r>
      <w:r>
        <w:rPr>
          <w:rtl w:val="true"/>
        </w:rPr>
        <w:t>فی حدود ما یسوغ النظر إلیه عند إرادة التزویج</w:t>
      </w:r>
      <w:bookmarkEnd w:id="413"/>
    </w:p>
    <w:p>
      <w:pPr>
        <w:pStyle w:val="BookText"/>
        <w:rPr/>
      </w:pPr>
      <w:r>
        <w:rPr>
          <w:rFonts w:ascii="IRNazanin" w:hAnsi="IRNazanin" w:eastAsia="IRNazanin"/>
          <w:color w:val="111111"/>
          <w:sz w:val="28"/>
          <w:sz w:val="28"/>
          <w:szCs w:val="28"/>
          <w:rtl w:val="true"/>
          <w:lang w:bidi="fa-IR"/>
        </w:rPr>
        <w:t>فی حدود ما یسوغ النظر إلیه عند إرادة التزیج</w:t>
      </w:r>
    </w:p>
    <w:p>
      <w:pPr>
        <w:pStyle w:val="BookText"/>
        <w:rPr/>
      </w:pPr>
      <w:r>
        <w:rPr>
          <w:rFonts w:ascii="IRNazanin" w:hAnsi="IRNazanin" w:eastAsia="IRNazanin"/>
          <w:color w:val="111111"/>
          <w:sz w:val="28"/>
          <w:sz w:val="28"/>
          <w:szCs w:val="28"/>
          <w:rtl w:val="true"/>
          <w:lang w:bidi="fa-IR"/>
        </w:rPr>
        <w:t>أن مقتضی لسان الروایات الواردة بلسان الاستثناء هو حرمة طبیعة هذا الفعل، لولا العنوان المرخّص به و هو إرادة التزویج، و إن کان الجواز شاملًا لما لو علم بوقوع التلذّذ، فإن الجواز لیس بلحاظ ذلک؛ و لذلک لا یجوز له استدامة النظر عند حصول الالتذاذ، مضافاً إلی ما فی مرسلة عبد الله بن الفضل من اشتراط عدم الالتذاذ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حسنة أو مصححة عبد الله بن سنان، المتضمّنة لجواز النظر إلی شعر من یرید تزویجها و کذلک صحیحة یونس بن یعقوب و موثّق الیسع، حیث إنه فی صحیح یونس بن یعقوب، إنها ترقق له الثیاب، و فی موثّق الیسع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محاسنها، و کذلک موثّقة غیاث و مرسل عبد الله بن الفضل عنه عن أبیه، إذ یظهر منها التعمیم إلی عموم الأعضاء التی هی محل اهتمام، لکن الانصاف إنها لا یظهر منها جواز النظر إلی تلک المواضع بدون ثیاب، لا سیما إذا فسرت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تخفف، لا بمعنی ما یحکی ما تحته من البشرة، و المحاسن یتم النظر إلیها و لو من وراء الثیاب الرقیقة، و إن لم تکن تشف ما تحتها من البشرة، و لکن یظهر بها حجم الأعضاء و ما شابهه، و لقد ورد نظیره فی روایات النظر إلی الأمة التی یرید شراءها، حیث یتضمن النظر إلی محاسنها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جاء فی روایة الحسین بن علوان من الکشف عن ساقیها، مضافاً إلی ضعف سندها و کون موردها الجاریة، لا یظهر منها جواز النظر إلیها</w:t>
      </w:r>
    </w:p>
    <w:p>
      <w:pPr>
        <w:pStyle w:val="BookText"/>
        <w:rPr/>
      </w:pPr>
      <w:r>
        <w:rPr>
          <w:rFonts w:ascii="IRNazanin" w:hAnsi="IRNazanin" w:eastAsia="IRNazanin"/>
          <w:color w:val="111111"/>
          <w:sz w:val="28"/>
          <w:sz w:val="28"/>
          <w:szCs w:val="28"/>
          <w:rtl w:val="true"/>
          <w:lang w:bidi="fa-IR"/>
        </w:rPr>
        <w:t>مع التعری فی مواضع ما عدا العورة، بل لعل المراد من الساقین ما دون الفخذین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من الروایات جواز النظر إلی الشعر و الرقبة و الجید و الید و نحوها، مما لا یستره الإزار، فینظر إلی باقی الأعضاء من خلال الثیاب الرقیقة، کالخصر و الورک، و بذلک یتحقق النظر إلی محاسنها، کما ورد فی</w:t>
      </w:r>
    </w:p>
    <w:p>
      <w:pPr>
        <w:pStyle w:val="BookText"/>
        <w:rPr/>
      </w:pPr>
      <w:r>
        <w:rPr>
          <w:rFonts w:ascii="IRNazanin" w:hAnsi="IRNazanin" w:eastAsia="IRNazanin"/>
          <w:color w:val="111111"/>
          <w:sz w:val="28"/>
          <w:sz w:val="28"/>
          <w:szCs w:val="28"/>
          <w:rtl w:val="true"/>
          <w:lang w:bidi="fa-IR"/>
        </w:rPr>
        <w:t>موثّق أو صحیح یونس بن یعقوب الآخر من أنها تحتجز، و احتجازها بالإزار فقط نظیر ترقیق الثیاب، ثمّ إن مقتضی التعبیر فی الروایة السابقة بالإزار انکشاف الساقین فی الجملة جواز النظر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التقیید فی جملة من الروایات الأخری بالوجه و المعصم و نحوهما، فلا یعارض الروایات الناصّة علی الشعر و المحاسن، لضعف المفهوم فی قبال المنطوق المنصوص، مع احتمال الوجه للإمام فی قبال الخلف، و أن التدرج فی بیان الجواز أخذاً بالحیطة و التحفظ فی الأعراض، کما یشیر إلیه موثّق أو صحیح یونس بن یعقوب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الاستئذان فنقل عدم الخلاف فی أنه لا یشترط فی جواز النظر، إلّا أن الظاهر المتراءی منه محل تأمل؛ لأن النظر و إن لم یکن حقاً محضاً للمنظور إلیه، بل فیه حق الله و الحکم الشرعی، لکنّه متضمّن لحق الناس أیضاً،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تمسکوا بإطلاق الروایات فی المقام، نظیر جواز أکل المار للثمر، الذی عرف بحق المارّة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بین المقامین فرق، حیث إن جعل جواز أکل المارّة هناک ظاهر</w:t>
      </w:r>
    </w:p>
    <w:p>
      <w:pPr>
        <w:pStyle w:val="BookText"/>
        <w:rPr/>
      </w:pPr>
      <w:r>
        <w:rPr>
          <w:rFonts w:ascii="IRNazanin" w:hAnsi="IRNazanin" w:eastAsia="IRNazanin"/>
          <w:color w:val="111111"/>
          <w:sz w:val="28"/>
          <w:sz w:val="28"/>
          <w:szCs w:val="28"/>
          <w:rtl w:val="true"/>
          <w:lang w:bidi="fa-IR"/>
        </w:rPr>
        <w:t>أدلته ابتداءً هی بدون إذن لا بتوسط الإطلاق، بخلاف المقام، فإن المنساق غالباً منه هو عند المقاولة و مشارفة الطرفین للتراضی بالعقد، فالتمسک بالإطلاق محل تأمل، فالاحتیاط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 الأصحاب أن الإذن هو بظاهر حال المقاولة، و یشهد لذلک التعبیر فی بعض الروایات بأنها تحتجز له بإزار أو ترقق له الثیاب ، فالظاهر منه أنه إقدام منها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الشروط الأخری التی ذکرها الأصحاب، من کونها خلیة و أن لا تکون ذات عدّة و لا أخت الزوجة، فالظاهر إنها شروط مسلّمة فی فرض موضوع الروایات و لا حاجة للتنبیه علیها</w:t>
      </w:r>
      <w:r>
        <w:rPr>
          <w:rFonts w:eastAsia="IRNazanin" w:cs="IRNazanin"/>
          <w:color w:val="111111"/>
          <w:sz w:val="28"/>
          <w:szCs w:val="28"/>
          <w:rtl w:val="true"/>
          <w:lang w:bidi="fa-IR"/>
        </w:rPr>
        <w:t>.</w:t>
      </w:r>
      <w:bookmarkStart w:id="414" w:name="pg13695_151035"/>
    </w:p>
    <w:p>
      <w:pPr>
        <w:pStyle w:val="Heading2"/>
        <w:numPr>
          <w:ilvl w:val="1"/>
          <w:numId w:val="1"/>
        </w:numPr>
        <w:rPr/>
      </w:pPr>
      <w:bookmarkStart w:id="415" w:name="__RefHeading___Toc984027_1468164448"/>
      <w:bookmarkStart w:id="416" w:name="_Toc150"/>
      <w:bookmarkEnd w:id="414"/>
      <w:bookmarkEnd w:id="415"/>
      <w:r>
        <w:rPr>
          <w:rtl w:val="true"/>
        </w:rPr>
        <w:t xml:space="preserve">فائدة </w:t>
      </w:r>
      <w:r>
        <w:rPr>
          <w:rtl w:val="true"/>
        </w:rPr>
        <w:t>:</w:t>
      </w:r>
      <w:r>
        <w:rPr>
          <w:rtl w:val="true"/>
        </w:rPr>
        <w:t>فی عدم اعتبار الشروط المتبانی علیها قبل عقد النکاح من دون التصریح بها فی العقد</w:t>
      </w:r>
      <w:bookmarkEnd w:id="41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984029_1468164448"/>
      <w:bookmarkStart w:id="418" w:name="_Toc151"/>
      <w:bookmarkEnd w:id="417"/>
      <w:r>
        <w:rPr>
          <w:rtl w:val="true"/>
        </w:rPr>
        <w:t>اشارة</w:t>
      </w:r>
      <w:bookmarkStart w:id="419" w:name="pg13695_151037"/>
      <w:bookmarkEnd w:id="418"/>
    </w:p>
    <w:p>
      <w:pPr>
        <w:pStyle w:val="BookText"/>
        <w:rPr/>
      </w:pPr>
      <w:bookmarkEnd w:id="419"/>
      <w:r>
        <w:rPr>
          <w:rFonts w:ascii="IRNazanin" w:hAnsi="IRNazanin" w:eastAsia="IRNazanin"/>
          <w:color w:val="111111"/>
          <w:sz w:val="28"/>
          <w:sz w:val="28"/>
          <w:szCs w:val="28"/>
          <w:rtl w:val="true"/>
          <w:lang w:bidi="fa-IR"/>
        </w:rPr>
        <w:t>فی عدم اعتبار الشروط المتبانی علیها قبل النکاح من دون التصریح بها فی العقد</w:t>
      </w:r>
    </w:p>
    <w:p>
      <w:pPr>
        <w:pStyle w:val="BookText"/>
        <w:rPr/>
      </w:pPr>
      <w:r>
        <w:rPr>
          <w:rFonts w:ascii="IRNazanin" w:hAnsi="IRNazanin" w:eastAsia="IRNazanin"/>
          <w:color w:val="111111"/>
          <w:sz w:val="28"/>
          <w:sz w:val="28"/>
          <w:szCs w:val="28"/>
          <w:rtl w:val="true"/>
          <w:lang w:bidi="fa-IR"/>
        </w:rPr>
        <w:t>والبحث فی مقامین</w:t>
      </w:r>
      <w:r>
        <w:rPr>
          <w:rFonts w:eastAsia="IRNazanin" w:cs="IRNazanin"/>
          <w:color w:val="111111"/>
          <w:sz w:val="28"/>
          <w:szCs w:val="28"/>
          <w:rtl w:val="true"/>
          <w:lang w:bidi="fa-IR"/>
        </w:rPr>
        <w:t>:</w:t>
      </w:r>
    </w:p>
    <w:p>
      <w:pPr>
        <w:pStyle w:val="Heading3"/>
        <w:numPr>
          <w:ilvl w:val="2"/>
          <w:numId w:val="1"/>
        </w:numPr>
        <w:rPr/>
      </w:pPr>
      <w:bookmarkStart w:id="420" w:name="__RefHeading___Toc984031_1468164448"/>
      <w:bookmarkStart w:id="421" w:name="_Toc152"/>
      <w:bookmarkEnd w:id="420"/>
      <w:r>
        <w:rPr>
          <w:rtl w:val="true"/>
        </w:rPr>
        <w:t>الأول</w:t>
      </w:r>
      <w:r>
        <w:rPr>
          <w:rtl w:val="true"/>
        </w:rPr>
        <w:t xml:space="preserve">: </w:t>
      </w:r>
      <w:r>
        <w:rPr>
          <w:rtl w:val="true"/>
        </w:rPr>
        <w:t>الروایات</w:t>
      </w:r>
      <w:r>
        <w:rPr>
          <w:rtl w:val="true"/>
        </w:rPr>
        <w:t>:</w:t>
      </w:r>
      <w:bookmarkEnd w:id="421"/>
    </w:p>
    <w:p>
      <w:pPr>
        <w:pStyle w:val="BookText"/>
        <w:rPr/>
      </w:pPr>
      <w:r>
        <w:rPr>
          <w:rFonts w:ascii="IRNazanin" w:hAnsi="IRNazanin" w:eastAsia="IRNazanin"/>
          <w:color w:val="111111"/>
          <w:sz w:val="28"/>
          <w:sz w:val="28"/>
          <w:szCs w:val="28"/>
          <w:rtl w:val="true"/>
          <w:lang w:bidi="fa-IR"/>
        </w:rPr>
        <w:t>اما الروایات فعلی طوائف، منها ما ورد فی ان ترک ذکر الأجل یوجب ان ینعقد النکاح دائماً کموثّق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شرط قبل النکاح هدمه النکاح و ما کان بعد النکاح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سمی الأجل فهو متعة، و إن لم یسم الأجل فهو نکاح بات</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وصدر الروایة ظاهر فی تأسیس عموم دال علی عدم نفوذ الشروط التی یتقاول علیها قبل النکاح إذا لم یصرّح بها لفظاً أثناء إنشاء الصیغة، 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 لهذا العموم ذکر الأجل فی النکاح، و من ثمّ لا یکفی التبانی علیه، بل لابدَّ من التصریح به أثناء النکاح کی یقع متعة، و بهذا التقریب فی تطبیق العموم علی شرطیة الأجل فی النکاح تفید الروایة المطلوب فی المثال الذی نحن فی صدده، و هو لو أنه تشارطا علی الأجل فی المقاولة قبل صیغة النکاح ثمّ لم یذکر الأجل فی الصیغة، فإنه ینعقد نکاحاً باتاً،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ذیل الروایة أورده صاحب الوسائل فی ذلک الباب مع حذف</w:t>
      </w:r>
    </w:p>
    <w:p>
      <w:pPr>
        <w:pStyle w:val="BookText"/>
        <w:rPr/>
      </w:pPr>
      <w:r>
        <w:rPr>
          <w:rFonts w:ascii="IRNazanin" w:hAnsi="IRNazanin" w:eastAsia="IRNazanin"/>
          <w:color w:val="111111"/>
          <w:sz w:val="28"/>
          <w:sz w:val="28"/>
          <w:szCs w:val="28"/>
          <w:rtl w:val="true"/>
          <w:lang w:bidi="fa-IR"/>
        </w:rPr>
        <w:t>صدر الروایة، فتوهم من هذا الذیل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مغایرة المتعة مع النکاح الدائم بذکر الأجل وعدم ذکره، بینما بقرینة صدر الروایة المحذوف یتبیّن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تطبیق العموم الذی ذکره فی صدر الروایة بعد الفراغ عن تباین المنقطع والدائم بشرطیة الأجل، وإنما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أن هذه الشرطیة للأجل المفرّقة بین العقدین إنما تعدّ مشروطة فی العقد إذا ذکرت مع الصیغة، ولایعتدّ بذکر الأجل والشرط فی المقاولة قبل العقد مع متارکة ذکره مع الصیغة، فمع هذا التقریب تکون الموثّقة نصّ فیما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لها إذا خلوت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أتزوّجک متعة علی کتاب الله وسنة نبیه صلی الله علیه و آله لا وارثة ولا موروثة کذا وکذا یوماً، وإن شئت کذا وکذا سنة بکذا وکذا درهماً، وتسمّی من الأجر ما تراضیتما علیه قلیلًا کان أم کثیرة، فإذا قالت نعم فقد رضیت فهی امرأتک وأنت أولی الناس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أستحیی أن أذکر شرط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أضر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تشترط کان تزویج مقام ولزمتک النفقة فی العدّة، وکانت وارثة ولم تقدر علی أن تطلقها إلّا طلاق السنة</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رواها الکلینی بطریقین عن إبراهیم بن الفضل عن أبان والأول صحیح، وأما إبراهیم بن الفضل فهو وإن لم یوثق إلّا أن الشیخ قال عنه فی رجاله أسند عنه، أی أنه ممن یروی عنه، وهو یفید قرینة فی الحسن علی</w:t>
      </w:r>
    </w:p>
    <w:p>
      <w:pPr>
        <w:pStyle w:val="BookText"/>
        <w:rPr/>
      </w:pPr>
      <w:r>
        <w:rPr>
          <w:rFonts w:ascii="IRNazanin" w:hAnsi="IRNazanin" w:eastAsia="IRNazanin"/>
          <w:color w:val="111111"/>
          <w:sz w:val="28"/>
          <w:sz w:val="28"/>
          <w:szCs w:val="28"/>
          <w:rtl w:val="true"/>
          <w:lang w:bidi="fa-IR"/>
        </w:rPr>
        <w:t>الأصح فی معنی هذه اللفظة، مضافاً إلی روایة جعفر بن بشیر عنه، وقد استشعر الوحید فی تعلیقته الوثاقة من ذلک، فلا أقل من الحسن بل فوق الحسن ویکفی ذلک فی اعتبار الروایة، لا سیما وأن الروایة عن الراوی فی عرف الرواة تلمّذ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الروایة فهی نص بالمطلوب أیضاً، فإنه بیّن قصده للمنقطع فی الانشاء إلّا أنه لم یذکر شرط الأجل استحیاءً لفظا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هذه المعتبرة فی خصوص مَن کان ملتفتاً إلی شرطیة الأجل ولم یذکره تعمّداً، ولو بداعی الاستحیاء، وهذا بخلاف مَن لم یذکره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الروایة مَن تعمّد بناء اللفظ علی العدم، فکأنه قصد العدم وبنی اللفظ علیه بخلاف الناسی والغافل؟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الفرق إن تم فی معتبرة أبان فلیس بتام فی موثّقة ابن بکیر مضافاً إلی ان ما فی معتبرة أبان وان کان تعمد من جهة الموضوع إلّا انه ناشئ عن الجهل بالحکم، وبالتالی فلیس عمد تام؛ إذ لیس کل عامد بالموضوع عالم بالحکم، فالمورد مشوب بالجهل والغفلة أیضاً وبناءه علی کفایة قصد الشرط من دون التصریح له فلم یبن اللفظ علی العدم، أی لم یستعمل الترکیب المجموعی للجملة فی إرادة الدائم بنحو الجد، ولو من باب تعدّد الدال والمدلول، إذ أن المعنی المستعمل فیه النکاح فی القسمین واحد وإنما التغایر آت من ضمیمة الشرط، وهذا بنفسه تقریب آخر لدلالة الموثّقة والمعتبرة سیأتی بیانه فی الطائفة الثانیة، الدالة علی أن قوام التغایر بین</w:t>
      </w:r>
    </w:p>
    <w:p>
      <w:pPr>
        <w:pStyle w:val="BookText"/>
        <w:rPr/>
      </w:pPr>
      <w:r>
        <w:rPr>
          <w:rFonts w:ascii="IRNazanin" w:hAnsi="IRNazanin" w:eastAsia="IRNazanin"/>
          <w:color w:val="111111"/>
          <w:sz w:val="28"/>
          <w:sz w:val="28"/>
          <w:szCs w:val="28"/>
          <w:rtl w:val="true"/>
          <w:lang w:bidi="fa-IR"/>
        </w:rPr>
        <w:t>القسمین هو الضمیمة لماهیة النکاح لا بنفس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المرأة متعة مرةً مبهمة؟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أشدّ علیک ترثها وترثک، ولا یجوز لک ان تطلقها إلّا علی طهر وشاهدین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فکیف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معدودة بشیء مسمّی مقدار ما تراضیتم به، فإذا مضت أیامها کان طلاقها فی شرطها ولا نفقة ولا عدّة لها علیک</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لیس فی سندها ما یتوقف فیه إلّا موسی‌بن سعدان الحنّاط وعبدالله بن القاسم الحضرمی، وقد ضعف النجاشی الحناط فی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الحدیث کوفی له کتب کثیرة ثمّ ذکر سنده إلی کتبه،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لکتبه محمد بن الحسین بن أبی الخطاب الکوفی الثقة الجلیل ولکن الشیخ فی الفهرست لم یضعفه وسنده إلی کتابه صحیح، عن ابن أبی سعید عن ابن الولید عن الصفار عن ابن أبی الخطاب عن موسی بن سعدان، ویظهر من ذلک اعتماد بن الولید القمی شیخ الصدوق علی کتابه والصفار، هذا مع ما عرف من تشدّد بن الولید الا انه اعتمد علی کتابه مضافاً إلی ابن أبی الخطاب الکوفی، وقال ابن الغضائری ضعیف فی مذهبه واعترض الشیخ الوحید علی تضعیفه بأن ضعف الحدیث غیر ضعف الرجل وان نسبة الغلو من القدماء لا یعتنی بها وذکر جملة من الروایات التی رواها 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 هذه رمی بالغلو، نظیر أن الأئمة یزدادون علماً فی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رمیه بالغلو لعلّه لروایته عن عبدالله بن القاسم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جملة من القرائن للاعتماد علیه، وأما عبدالله بن القاسم الحضرمی، فهو وإن ضعفه ابن الغضائری والنجاشی، وذکر أنه کذّاب غال وذکر سنده إلی کتابه والرمی بالکذب معلول عند القدماء للرمی بالغلو مع التصریح بکلا الصفتین، وجملة روایاته فی المعارف من نفائس الروایات التی یمج من قبولها المشرب الکلامی السطحی الجاف مثل ما رواه الکافی عنه فی باب أن الأئمة نور الله عَزَّ وَجَلَّ، وما رواه الصدوق عنه من أنه ینادی یوم القیامة أن علی بن أبی طالب یدخل الجنة من شاء ویدخل النار من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روی حدیث اللوح فی أسماء الأئمة، وذکر بعض ذلک النمازی فی مستدرکاته، هذا مع أن الروایة فی المقام لیست فی المعارف، أی لیس فی الباب الذی ضعف فیه الروایات، وهذه نکتة یجدر الالتفات إلیها، وهی أن التضعیف إذا کان مخصوصاً بباب علی تقدیر التسلیم بصحة مدرکه یخص ببابه، کما لو کان التضعیف من جهة المذهب الاعتقادی، أی المسائل الاعتقادیة التی یعتقد بها الراوی أو کان التضعیف من جهة الوقف، أو من جهة مذهب فقهی فی بعض المسائل الفقهیة، کما یقع ذلک لبعض الرواة ونحو ذلک فیخصّ بذلک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الروایة فهی منطبقة علی المقام، حیث یقصد من النکاح المتعة إلّا انه لا یقید علی صعید الانشاء اللفظی جهلًا منه بالحکم، کما مر فی تقریر ما سبق</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الشروط المتبانی علیها عند المتعاقدین خاصة الروایات الواردة من أن الشرط السابق علی النکاح لیس بنافذ بخلاف</w:t>
      </w:r>
    </w:p>
    <w:p>
      <w:pPr>
        <w:pStyle w:val="BookText"/>
        <w:rPr/>
      </w:pPr>
      <w:r>
        <w:rPr>
          <w:rFonts w:ascii="IRNazanin" w:hAnsi="IRNazanin" w:eastAsia="IRNazanin"/>
          <w:color w:val="111111"/>
          <w:sz w:val="28"/>
          <w:sz w:val="28"/>
          <w:szCs w:val="28"/>
          <w:rtl w:val="true"/>
          <w:lang w:bidi="fa-IR"/>
        </w:rPr>
        <w:t>الذی یذکر مع العقد کروایة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اشترطت علی المرأة شروط المتعة فرضیت به وأوجبت التزویج فاردد علیها شرطک الأوّل بعد النکاح فإن أجازته فقد جاز وإن لم تجزه فلا یجوز علیها من شرط قبل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أن شروط المتعة والذی عمدته الأجل والمهر إذا ذکر فی المقاولة قبل العقد فلا یعتد به ولا ینفذ إذا کانت الصیغة مطلقة، وأنه لابدَّ فی نفوذ الشرط مع نفوذ العقد مرتبطاً فی ضمنه من‌ذکر الشروط مع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دلالتها بالاقتضاء أن العقد فی الصورة الأولی نافذ دواماً وإن قصد به ما تشارطا من المنقطع فی المقاولة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صحیحة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فِیما تَراضَیْتُمْ بِهِ مِنْ بَعْدِ الْفَرِیضَةِ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تراضوا به من بعد النکاح فهو جائز وما کان قبل النکاح فلا یجوز إلّا برضاها وبشیء یعطیها فترضی به</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مقدار ما یستفاد من هذه الطائفة هو کون النکاح یهدم الشروط السابقة المتبانی علیها عند المتعاقدین خاصّة دون ما کان التبانی علیها عند نوع العقلاء والعرف، کما هو صریح مورد تلک الروایات کالتعبیر بشرطک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موثّق بن بکیر مما یوهم الإطلاق أنه بقرینة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تشخیص الشروط بالخاصة عند المتعاقدین، أی مما جری تداولها بینهما فی العقد، بخلاف الشروط النوعیة عند العقلاء فلا توصف بالقبلیة، فالقدر المتیقن</w:t>
      </w:r>
      <w:bookmarkStart w:id="422" w:name="pg13695_151043"/>
    </w:p>
    <w:p>
      <w:pPr>
        <w:pStyle w:val="BookText"/>
        <w:rPr/>
      </w:pPr>
      <w:bookmarkEnd w:id="422"/>
      <w:r>
        <w:rPr>
          <w:rFonts w:ascii="IRNazanin" w:hAnsi="IRNazanin" w:eastAsia="IRNazanin"/>
          <w:color w:val="111111"/>
          <w:sz w:val="28"/>
          <w:sz w:val="28"/>
          <w:szCs w:val="28"/>
          <w:rtl w:val="true"/>
          <w:lang w:bidi="fa-IR"/>
        </w:rPr>
        <w:t>من هذه الطائفة هدم الشروط الخاصة عند المتعاقدین ویبقی الباقی علی مقتضی القاعدة وهو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بیان أن صیغة المتعة متقوّمة بالشروط کموثّقة سماعة عن أبی بصیر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أن یقول فیه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متعة کذا وکذا یوماً بکذا وکذا درهماً نکاحاً غیر سفاح علی کتاب الله وسنة نبیه وعلی ان لا ترثینی ولا أرثک علی أن تعتدّی خمسة وأربعین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الموثّقة أن قوام المتعة بالشروط وبالتالی تخالفها مع الدائم بذلک لا فی مادة وماهیة النکاح وأن المتعة طور من النکاح متولّد من الشروط وغیرها من الروایات فی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کلّ ذلک أن الاختلاف بالشرط هو أنه لا تباین فی أصل قصد النکاح، وأنه لا اختلاف فی أصل قصد النکاح وإنما الاختلاف فی الشروط علی ذلک لو أنشأ النکاح مع الغفلة عن الشروط عن ذکرها مع الصیغة أو لم یذکرها لأسباب أخری فإن النکاح یقع باتاً</w:t>
      </w:r>
      <w:r>
        <w:rPr>
          <w:rFonts w:eastAsia="IRNazanin" w:cs="IRNazanin"/>
          <w:color w:val="111111"/>
          <w:sz w:val="28"/>
          <w:szCs w:val="28"/>
          <w:rtl w:val="true"/>
          <w:lang w:bidi="fa-IR"/>
        </w:rPr>
        <w:t>.</w:t>
      </w:r>
    </w:p>
    <w:p>
      <w:pPr>
        <w:pStyle w:val="Heading3"/>
        <w:numPr>
          <w:ilvl w:val="2"/>
          <w:numId w:val="1"/>
        </w:numPr>
        <w:rPr/>
      </w:pPr>
      <w:bookmarkStart w:id="423" w:name="__RefHeading___Toc984033_1468164448"/>
      <w:bookmarkStart w:id="424" w:name="_Toc153"/>
      <w:bookmarkEnd w:id="423"/>
      <w:r>
        <w:rPr>
          <w:rtl w:val="true"/>
        </w:rPr>
        <w:t>الثانی</w:t>
      </w:r>
      <w:r>
        <w:rPr>
          <w:rtl w:val="true"/>
        </w:rPr>
        <w:t xml:space="preserve">: </w:t>
      </w:r>
      <w:r>
        <w:rPr>
          <w:rtl w:val="true"/>
        </w:rPr>
        <w:t>مقتضی الأصل</w:t>
      </w:r>
      <w:r>
        <w:rPr>
          <w:rtl w:val="true"/>
        </w:rPr>
        <w:t>:</w:t>
      </w:r>
      <w:bookmarkEnd w:id="42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عند الشک فی کون العقد دائم أو منقطع، فإن أصالة عدم الاشتراط تقتضی دوام العقد، کما هو الحال لو حصل نزاع بین الزوجین فإن مدّعی الدوام یکون منکراً، ولا یتوهم أن هذا من الأصل المثبت وذلک لأن موضوع الدوام هو صرف العقد لا وصف التجرد لیشکل بأن</w:t>
      </w:r>
    </w:p>
    <w:p>
      <w:pPr>
        <w:pStyle w:val="BookText"/>
        <w:rPr/>
      </w:pPr>
      <w:r>
        <w:rPr>
          <w:rFonts w:ascii="IRNazanin" w:hAnsi="IRNazanin" w:eastAsia="IRNazanin"/>
          <w:color w:val="111111"/>
          <w:sz w:val="28"/>
          <w:sz w:val="28"/>
          <w:szCs w:val="28"/>
          <w:rtl w:val="true"/>
          <w:lang w:bidi="fa-IR"/>
        </w:rPr>
        <w:t>هذا العنوان وجودی لا یمکن إحرازه، کما أن موضوع المنقطع مرکب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عدمه وهو محرز للموضوع وهو الدوام ویترتب علیه حرمة نکاح الخامسة وغیرها من آثار النکاح الدئم</w:t>
      </w:r>
      <w:r>
        <w:rPr>
          <w:rFonts w:eastAsia="IRNazanin" w:cs="IRNazanin"/>
          <w:color w:val="111111"/>
          <w:sz w:val="28"/>
          <w:szCs w:val="28"/>
          <w:rtl w:val="true"/>
          <w:lang w:bidi="fa-IR"/>
        </w:rPr>
        <w:t>.</w:t>
      </w:r>
      <w:bookmarkStart w:id="425" w:name="pg13695_15104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6" w:name="__RefHeading___Toc984035_1468164448"/>
      <w:bookmarkStart w:id="427" w:name="_Toc154"/>
      <w:bookmarkEnd w:id="425"/>
      <w:bookmarkEnd w:id="426"/>
      <w:r>
        <w:rPr>
          <w:rtl w:val="true"/>
        </w:rPr>
        <w:t xml:space="preserve">فائدة </w:t>
      </w:r>
      <w:r>
        <w:rPr>
          <w:rtl w:val="true"/>
        </w:rPr>
        <w:t>:</w:t>
      </w:r>
      <w:r>
        <w:rPr>
          <w:rtl w:val="true"/>
        </w:rPr>
        <w:t>فی تحقق قاعدة الفراش والعدة من إراقة الماء علی الفرج</w:t>
      </w:r>
      <w:bookmarkEnd w:id="427"/>
    </w:p>
    <w:p>
      <w:pPr>
        <w:pStyle w:val="BookText"/>
        <w:rPr/>
      </w:pPr>
      <w:r>
        <w:rPr>
          <w:rFonts w:ascii="IRNazanin" w:hAnsi="IRNazanin" w:eastAsia="IRNazanin"/>
          <w:color w:val="111111"/>
          <w:sz w:val="28"/>
          <w:sz w:val="28"/>
          <w:szCs w:val="28"/>
          <w:rtl w:val="true"/>
          <w:lang w:bidi="fa-IR"/>
        </w:rPr>
        <w:t>فی تحقق قاعدة الفراش والعدة من إراقة الماء علی الفرج</w:t>
      </w:r>
    </w:p>
    <w:p>
      <w:pPr>
        <w:pStyle w:val="BookText"/>
        <w:rPr/>
      </w:pPr>
      <w:r>
        <w:rPr>
          <w:rFonts w:ascii="IRNazanin" w:hAnsi="IRNazanin" w:eastAsia="IRNazanin"/>
          <w:color w:val="111111"/>
          <w:sz w:val="28"/>
          <w:sz w:val="28"/>
          <w:szCs w:val="28"/>
          <w:rtl w:val="true"/>
          <w:lang w:bidi="fa-IR"/>
        </w:rPr>
        <w:t>ثم انّه فی حکم الدخول لو باشر المرأة ولکن لم یدخل، ولکنه أراق ماءه علی فم الفرج، أو فیه، کما حکم المشهور بتحقق قاعدة الفراش فی المجبوب وهو مقطوع الذکر والانثیین، ولکنه ینزل، أو مع سلامة الانثیین لکی ینزل بهما وقد صرّح فی کشف اللثام فی باب اللعان بتعمیمهم لقاعدة الفراش للوطی دون الفرج، ویمکن ان یستدل له بصحیحة علی بن جعفر عن أخیه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قبل أن یدخل بها، فادّعت أنها حامل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اقامت البینة علی انّه أرخی علیها ستراً ثم انکر الولد لاعنها، ثم بانت منه</w:t>
      </w:r>
      <w:r>
        <w:rPr>
          <w:rStyle w:val="FootnoteAnchor"/>
          <w:rtl w:val="true"/>
        </w:rPr>
        <w:footnoteReference w:id="43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ان المراد من ذلک الخلوة والمباشرة ولو دون الوطی فی الفرج</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البختری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أتی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امرأتی هذه حامل وهی جاریة حدثة وهی عذراء وهی حامل فی تسعة أشهر، ولا أعلم الاّ خیراً، وأنا شیخ کبیر ما افترعتها وإنها لعلی حالها،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کنت تهریق علی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فرج ثقبین، ثقب یدخل</w:t>
      </w:r>
    </w:p>
    <w:p>
      <w:pPr>
        <w:pStyle w:val="BookText"/>
        <w:rPr/>
      </w:pPr>
      <w:r>
        <w:rPr>
          <w:rFonts w:ascii="IRNazanin" w:hAnsi="IRNazanin" w:eastAsia="IRNazanin"/>
          <w:color w:val="111111"/>
          <w:sz w:val="28"/>
          <w:sz w:val="28"/>
          <w:szCs w:val="28"/>
          <w:rtl w:val="true"/>
          <w:lang w:bidi="fa-IR"/>
        </w:rPr>
        <w:t>فیه ماء الرجل، وثقب یخرج منه البول وان افواه الرحم تحت الثقب الذی یدخل فیه ماء الرجل فاذا دخل الماء فی فم واحد من أفواه الرحم حملت المرأة بولد</w:t>
      </w:r>
      <w:r>
        <w:rPr>
          <w:rStyle w:val="FootnoteAnchor"/>
          <w:rtl w:val="true"/>
        </w:rPr>
        <w:footnoteReference w:id="432"/>
      </w:r>
      <w:r>
        <w:rPr>
          <w:rFonts w:ascii="IRNazanin" w:hAnsi="IRNazanin" w:eastAsia="IRNazanin"/>
          <w:color w:val="111111"/>
          <w:sz w:val="28"/>
          <w:sz w:val="28"/>
          <w:szCs w:val="28"/>
          <w:rtl w:val="true"/>
          <w:lang w:bidi="fa-IR"/>
        </w:rPr>
        <w:t>الحدیث، ومثلها مارواه المفید فی الارشاد</w:t>
      </w:r>
      <w:r>
        <w:rPr>
          <w:rStyle w:val="FootnoteAnchor"/>
          <w:rtl w:val="true"/>
        </w:rPr>
        <w:footnoteReference w:id="433"/>
      </w:r>
      <w:r>
        <w:rPr>
          <w:rFonts w:ascii="IRNazanin" w:hAnsi="IRNazanin" w:eastAsia="IRNazanin"/>
          <w:color w:val="111111"/>
          <w:sz w:val="28"/>
          <w:sz w:val="28"/>
          <w:szCs w:val="28"/>
          <w:rtl w:val="true"/>
          <w:lang w:bidi="fa-IR"/>
        </w:rPr>
        <w:t>وفی 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یطلق المرأة وقد مسّ کل شیء منها الا أنّه لم یجامعها ألها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 له أبوه علی بن الحسین صلی الله علیه و آله ، اذا اغلق بابا وارخی ستراً فوجب المهر والعدّة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موثق زرارة</w:t>
      </w:r>
      <w:r>
        <w:rPr>
          <w:rStyle w:val="FootnoteAnchor"/>
          <w:rtl w:val="true"/>
        </w:rPr>
        <w:footnoteReference w:id="435"/>
      </w:r>
      <w:r>
        <w:rPr>
          <w:rFonts w:ascii="IRNazanin" w:hAnsi="IRNazanin" w:eastAsia="IRNazanin"/>
          <w:color w:val="111111"/>
          <w:sz w:val="28"/>
          <w:sz w:val="28"/>
          <w:szCs w:val="28"/>
          <w:rtl w:val="true"/>
          <w:lang w:bidi="fa-IR"/>
        </w:rPr>
        <w:t>وموثق اسحاق بن عمار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وان کان معارضاً بما دل علی عدم العدة وعدم المهر من دون الدخول، الا انّ الجمع بین المفادین ممکن بتقیید الروایات النافیة بما اذا لم ینزل الماء علی فرجها، بقرینة ما فی صحیح الحلبی مع أنه مسّ کل شیء منها دون الدخول وهو شامل لما لو وضعه فی فم الفرج</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تأیید هذا الجمع بما تقدم من روایة أبی البختری وروایة المفید فی الارشاد، بل فی موثق اسحاق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یتزوج المرأة فیدخل بها، فیغلق علیها باباً، ویرخی علیها</w:t>
      </w:r>
    </w:p>
    <w:p>
      <w:pPr>
        <w:pStyle w:val="BookText"/>
        <w:rPr/>
      </w:pPr>
      <w:r>
        <w:rPr>
          <w:rFonts w:ascii="IRNazanin" w:hAnsi="IRNazanin" w:eastAsia="IRNazanin"/>
          <w:color w:val="111111"/>
          <w:sz w:val="28"/>
          <w:sz w:val="28"/>
          <w:szCs w:val="28"/>
          <w:rtl w:val="true"/>
          <w:lang w:bidi="fa-IR"/>
        </w:rPr>
        <w:t>ستراً، ویزعم أنّه لم یمسّها، وتصدقه هی بذلک، علیها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فانّه شیء من دون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 الماء اعتدّت، یعنی اذا کانا مأمونین صدقا</w:t>
      </w:r>
      <w:r>
        <w:rPr>
          <w:rStyle w:val="FootnoteAnchor"/>
          <w:rtl w:val="true"/>
        </w:rPr>
        <w:footnoteReference w:id="437"/>
      </w:r>
      <w:r>
        <w:rPr>
          <w:rFonts w:ascii="IRNazanin" w:hAnsi="IRNazanin" w:eastAsia="IRNazanin"/>
          <w:color w:val="111111"/>
          <w:sz w:val="28"/>
          <w:sz w:val="28"/>
          <w:szCs w:val="28"/>
          <w:rtl w:val="true"/>
          <w:lang w:bidi="fa-IR"/>
        </w:rPr>
        <w:t xml:space="preserve">وفسرها المجلسی فی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ألصق الذکر بالفرج أو ادخل اقل من الحشفة، وأنه مع الانزال احتمل دخول الماء فی الرحم فیجب علیه العدّة وتستحق المهر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یری بهذا التفصیل قائلاً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ان الذیل الذی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الکلینی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ویعضد هذا المفاد بموثق اسحاق بن عمّار ما فی صحیح عبدالله بن سنان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 وأنا حاضر عن رجل تزوج امرأة فادخلت علیه فلم یمسّها، ولم یصل الیها حتی طلقها هل علیها عدّة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العدّة من الماء</w:t>
      </w:r>
      <w:r>
        <w:rPr>
          <w:rStyle w:val="FootnoteAnchor"/>
          <w:rtl w:val="true"/>
        </w:rPr>
        <w:footnoteReference w:id="43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bookmarkStart w:id="428" w:name="pg13695_15105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9" w:name="__RefHeading___Toc984037_1468164448"/>
      <w:bookmarkStart w:id="430" w:name="_Toc155"/>
      <w:bookmarkEnd w:id="428"/>
      <w:bookmarkEnd w:id="429"/>
      <w:r>
        <w:rPr>
          <w:rtl w:val="true"/>
        </w:rPr>
        <w:t xml:space="preserve">فائدة </w:t>
      </w:r>
      <w:r>
        <w:rPr>
          <w:rtl w:val="true"/>
        </w:rPr>
        <w:t>:</w:t>
      </w:r>
      <w:r>
        <w:rPr>
          <w:rtl w:val="true"/>
        </w:rPr>
        <w:t>فی أن جدة میقات للتمتع</w:t>
      </w:r>
      <w:bookmarkEnd w:id="430"/>
    </w:p>
    <w:p>
      <w:pPr>
        <w:pStyle w:val="BookText"/>
        <w:rPr/>
      </w:pPr>
      <w:r>
        <w:rPr>
          <w:rFonts w:ascii="IRNazanin" w:hAnsi="IRNazanin" w:eastAsia="IRNazanin"/>
          <w:color w:val="111111"/>
          <w:sz w:val="28"/>
          <w:sz w:val="28"/>
          <w:szCs w:val="28"/>
          <w:rtl w:val="true"/>
          <w:lang w:bidi="fa-IR"/>
        </w:rPr>
        <w:t>فی أن جدة میقات للتمتع</w:t>
      </w:r>
    </w:p>
    <w:p>
      <w:pPr>
        <w:pStyle w:val="BookText"/>
        <w:rPr/>
      </w:pPr>
      <w:r>
        <w:rPr>
          <w:rFonts w:ascii="IRNazanin" w:hAnsi="IRNazanin" w:eastAsia="IRNazanin"/>
          <w:color w:val="111111"/>
          <w:sz w:val="28"/>
          <w:sz w:val="28"/>
          <w:szCs w:val="28"/>
          <w:rtl w:val="true"/>
          <w:lang w:bidi="fa-IR"/>
        </w:rPr>
        <w:t>هذا والبحث وإن کان عاماً لا فی خصوص جدة إلا انّه یجدر الالفات إلی بعض ما یتعلّق بها مقدمةً لبحوث عدیدة وذلک لکثرة الابتلاء بالسفر الیها حالیاً عن طریق الجوا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المقدمة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جدة کما هو ثابت بالتواریخ مأهولة ومسکونة قبل الاسلام بل فی بعض الروایات</w:t>
      </w:r>
      <w:r>
        <w:rPr>
          <w:rStyle w:val="FootnoteAnchor"/>
          <w:rtl w:val="true"/>
        </w:rPr>
        <w:footnoteReference w:id="440"/>
      </w:r>
      <w:r>
        <w:rPr>
          <w:rFonts w:ascii="IRNazanin" w:hAnsi="IRNazanin" w:eastAsia="IRNazanin"/>
          <w:color w:val="111111"/>
          <w:sz w:val="28"/>
          <w:sz w:val="28"/>
          <w:szCs w:val="28"/>
          <w:rtl w:val="true"/>
          <w:lang w:bidi="fa-IR"/>
        </w:rPr>
        <w:t>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من سرندیب إلی جدة بعد هبوطه إلی الارض وان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إلی مکة اتجه منها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اتخذ مرفأ لمکة من عهد عثمان کمیناء بحری وکانت القوافل البحریة تمر علیها بل فی بعض الروایات وقع السؤال عن جواز الخروج بین عمرة التمتع والحج لعروض حاجة إلی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جدة لیست خارجة عن منطقة المواقیت بل هی امّا علی خط محیط المنطقة المزبورة أو داخلها ودون المواقیت وخلفها، کما انّ الصحیح امتناع ما فرضه فی الشرائع والقواعد من عدم تأدیة بعض الطرق إلی المواقیت ولا إلی‌محاذاتها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مضافاً إلی ما تقدم ویقرر بالوجوه التالیة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بالعموم الوارد فی میقات التمتع انّه بقدر مرحلتان، وان ذلک هو المقوم لماهیة التمتع، کما هو الحال فی قرن المنازل ویلملم</w:t>
      </w:r>
    </w:p>
    <w:p>
      <w:pPr>
        <w:pStyle w:val="BookText"/>
        <w:rPr/>
      </w:pPr>
      <w:r>
        <w:rPr>
          <w:rFonts w:ascii="IRNazanin" w:hAnsi="IRNazanin" w:eastAsia="IRNazanin"/>
          <w:color w:val="111111"/>
          <w:sz w:val="28"/>
          <w:sz w:val="28"/>
          <w:szCs w:val="28"/>
          <w:rtl w:val="true"/>
          <w:lang w:bidi="fa-IR"/>
        </w:rPr>
        <w:t>وذات عرق التی هی علی قدر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ذهب إلیه العلّامة فی القواعد وولده فی الشرح من الاجتزاء بالاحرام بأدنی الحل فیما لو لم یؤدی الطریق إلی المحاذاة واستحسنه فی المدارک وقال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انّه یحرم من مساواة أقرب المواقیت إلی مکة، أی محل یکون بینه وبین مکة بقدر ما بین مکة وبین أقرب المواقیت الیها، وهو مرحلتان کما تقدم أنه عبارة عن ثمانیة وأربعین میلًا قالوا لأن هذه المسافة لا یجوز لأحد قطعها إلا محرماً من أی جهة دخل وإنّما الاختلاف فیما زاد علیها، ورد بأن ذلک انّما ثبت مع المرور علی المیقات لا مطلقاً، ثمّ ذکر الأقوال السابقة وتوقف لعدم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انّ هذه المسافة حکمها لیس مقیداً بمن مرّ علی المواقیت بل انّ هذا الحکم شامل لمن کان بمکة وأراد التمتع وذلک لتقوم ماهیة التمتع به کما حرر فی أقسام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اعتمر فی شهر رمضان أو قبله وأقام إلی الحج فلیس بتمتع وانّما هو مجاور أفرد العمرة فإن هو أحب أن یتمتع فی أشهر الحج بالعمرة إلی الحج فلیخرج منها حتی یجاوز ذات عرق أو یجاوز عسفان فیدخل متمتعاً بالعمرة إلی الحج فإن هو أحب أن یفرد إلی الحج فلیخرج إلی الجعرانة فیلبی منها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 هذه الموثقة الاجتزاء فی احرام عمرة التمتع بذلک القدر من المسافة بأی نقطة تبعد ذلک القدر وهو المرحلتان الثمانیة والاربعون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هو الحدّ الفاصل بین الحاضر والنائی المأخوذ فی ماهیّة التمتع فی الآیات والروایات، مع انّ عسفان لیست میقاتاً خارج منطقة المواقیت بل هی دون الجحفة ومسجد الشجرة لکنها بقدر الحد الذی علیه ذات عرق وقرن المنازل ویلملم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هذه الموثقة هو من لم یمرّ علی المواقیت البعیدة لا خصوص المقیم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وینطبق هذا الموضوع علی الآتی من جدة من منطقة المطار المستحدث حالیاً حیث انّه یبعد عن مکة بقدر مرحلتین ونصف وهو أکثر من بعد عسفان من مکة کما دلّت علی ذلک الخرائط الجغرافیة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مصحح اسحاق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المعتمر بمکة یجرد الحج أو یتمتع مرّة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أحب الیّ ولیکن احرامه من مسیرة لیلة أو لیلتین</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وهذا الحد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 قرن المنازل الذی هو علی بعد مرحلتین، فتدلّ علی انّ الضابط فی احرام المتمتع الذی لم یمر علی المواقیت البعیدة هو احرامه من بعد ذلک القدر من دون تقید ذلک بالذهاب إلی خصوص قرن المنازل أو یلملم أو ذات عرق أو عسفان مما یدلل علی انّ منطقة المواقیت حوالی مکة هی دائرة قطرها ذلک القدر من کل جوانب مکة کما تشیر إلیه روایات أخری آتیة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والتردید فی الروایة باللیلة واللیلتین لیس للتردید فی القدر بل لأن</w:t>
      </w:r>
    </w:p>
    <w:p>
      <w:pPr>
        <w:pStyle w:val="BookText"/>
        <w:rPr/>
      </w:pPr>
      <w:r>
        <w:rPr>
          <w:rFonts w:ascii="IRNazanin" w:hAnsi="IRNazanin" w:eastAsia="IRNazanin"/>
          <w:color w:val="111111"/>
          <w:sz w:val="28"/>
          <w:sz w:val="28"/>
          <w:szCs w:val="28"/>
          <w:rtl w:val="true"/>
          <w:lang w:bidi="fa-IR"/>
        </w:rPr>
        <w:t>ذلک وهی المرحلتان إذا اتصل سیر النهار باللیل فیطوی فی لیلة واحدة وإذا انقطع فیطوی فی لیلتین نظیر ما ورد فی تحدید حدّ مسافة التقصیر فی روایات صلاة المسافر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ومثلهما صحیحة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فی کتابه ذلِکَ لِمَنْ لَمْ یَکُنْ أَهْلُهُ حاضِرِی الْمَسْجِدِ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أهل مکة لیس علیهم متعة کل من کان أهله دون ثمانیة وأربعون میلًا ذات عرق وعسفان کما یدور حول مکة فهو ممن دخل فی هذه الآیة وکل من کان أهله وراء ذلک فعلیهم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ومثلها صحیحه الآخر وفیه فما حدّ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واربعین میلًا من جمیع نواحی مکة دون عسفان وذات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بحث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 الآیة دالّة علی أخذ البعد المزبور فی احرام عمرة التمتع، وانّ محصل الروایات فی الحاضر والنائی انّ مشروعیة التمتع تدور مدار ذلک البعد کمیقات لاحرام عمرة التمتع، وغیرها من الروایات، وبذلک یرفع الید عن العموم الأولی الفوقانی الذی تمسک به العلّامة وجماعة وهو المنع عن دخول مکة والحرم إلا محرماً المقتضی لاجتزاء الاحرام من أدنی الحل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بذلک صحیح عبد الرحمن بن الحجاج الوارد فی احرام المجاور الذی وظیفته الافراد من أدنی الحل واعتراض سفیان من فقهاء العامة علی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انّ أصحاب رسول الله صلی الله علیه و آله أحرموا من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اولئک کانوا متمتعین فی أعناقهم الدماء وإن هؤلاء</w:t>
      </w:r>
    </w:p>
    <w:p>
      <w:pPr>
        <w:pStyle w:val="BookText"/>
        <w:rPr/>
      </w:pPr>
      <w:r>
        <w:rPr>
          <w:rFonts w:ascii="IRNazanin" w:hAnsi="IRNazanin" w:eastAsia="IRNazanin"/>
          <w:color w:val="111111"/>
          <w:sz w:val="28"/>
          <w:sz w:val="28"/>
          <w:szCs w:val="28"/>
          <w:rtl w:val="true"/>
          <w:lang w:bidi="fa-IR"/>
        </w:rPr>
        <w:t>قطنوا مکة فصاروا کأنهم من أهل مکة وأهل مکة لا متعة لهم فأحببت أن یخرجوا من مکة إلی بعض المواقیت وأن یستغبوا به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المواقیت الجعرانة ونحوها من معالم أدنی الحل فهذه الصحیحة صریحة فی تخصیص العموم الفوقانی الأول لمیقات أدنی الحل بغیر من یرید التمتع فی حالة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ممّن جمع بین الحکم فی المجاور بمکة أقل من المدة التی ینقلب فیها فرضه بأن یحرم من المواقیت البعیدة، أو المسافة بقدر مرحلتین کما دلّت علی ذلک الروایات، وإن وردت روایات اخری دالّة علی احرامه من ادنی الحل لکنها محمولة علی التعذر کما تقدم، وبین الحکم فیمن سلک طریقاً لا یؤدی الی المحاذاة بأن احرامه ادنی الحل، فانّ الموضوع فیها واحد وهو من لم یمر علی المواقیت البعیدة، وکذلک الحال فی الجمع بین ذلک وبین الحکم فی الناسی والجاهل للاحرام من المواقیت البعیدة وقد دخل الحرم أو مکة بأن علیه العود والاحرام من المیقات وإلا بقدر ما یستطیعه من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هذا الوجه یتم بعد عدم لزوم المرور علی المواقیت کما نسب للمشهور، ولعله متسالم بینهم بل الروایات المزبورة دالّة علیه، کما انّ مفاد لسان الروایات الواردة فی المواقیت البعیدة عدم جواز تجاوزها إلا بالاحرام مقیداً بمن مرّ علیه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الواصل إلی جدة من الحجیج لا یخلو امّا أن یکون محاذیاً للمواقیت کما هو الصحیح لدینا فی معنی المحاذاة وهو الوقوف علی محیط</w:t>
      </w:r>
    </w:p>
    <w:p>
      <w:pPr>
        <w:pStyle w:val="BookText"/>
        <w:rPr/>
      </w:pPr>
      <w:r>
        <w:rPr>
          <w:rFonts w:ascii="IRNazanin" w:hAnsi="IRNazanin" w:eastAsia="IRNazanin"/>
          <w:color w:val="111111"/>
          <w:sz w:val="28"/>
          <w:sz w:val="28"/>
          <w:szCs w:val="28"/>
          <w:rtl w:val="true"/>
          <w:lang w:bidi="fa-IR"/>
        </w:rPr>
        <w:t>منطقة المواقیت البعیدة وهو الخط الواصل بین المواقیت المزبورة، أو هو دون المواقیت البعیدة، بدعوی ملاحظته للجحفة والشجرة، ولا یحتمل انّه خارج منطقة المواقیت، لأن أهالی جدة ونحوهم من المدن الواقعة علی ساحل البحر لا یجب علیهم الذهاب إلی أحد المواقیت المعروفة بل یحرمون من دویریة أهلهم، وحینئذ فیجزئ الاحرام منها، أما علی الأول فظاهر، وأمّا علی الثانی فیشمله عموم من کان منزله دون المواقیت فاحرامه منه ولا یلزم بالذهاب للمواقیت البعیدة، لأن الفرض أنه لم یمر علیها، وقد عرفت التسالم علی عدم لزوم المرور علیها، ولا یصدق علیه انّه تجاوزها ولم یحرم منها، فهو نظیر من دخل منطقة المواقیت ثمّ بدا له أن یعتمر فإنّ احرامه من منزله الذی نوی فیه، وقد عرفت انّ بُعد جدة هو علی القدر الذی أخذ فی ماهیّة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یستدل للاجتزاء بالاحرام علی التقدیر الثانی بعموم عقد الاحرام بالتلبیة ونحوها، غایة الأمر قد خصص هذا العموم بالمواقیت البعیدة لمن مرّ علیها وبالعموم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الحرم إلا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دلّ علی انّ ماهیة التمتع متقومة بالاحرام من بعد مرحلتین ثمانیة وأربعین میلًا، والمفروض انّ جدة علی هذا البعد حیث المطار الذی یصل إلیه الحجیج</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جدلًا انّ جدة قبل المواقیت وانّ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وسط الطریق بین جدة ومکة هی نقطة المحاذاة للمواقیت فانّه یحرم من جدة ویستمر علی تجدید التلبیة إلی أن یتجاوز المدن الواقعة فی الطریق المحتملة للمحاذاة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التقدیر الثالث لا مجال لاحتماله بعد ما عرفت من الأدلّة الدالّة علی تقوم ماهیّة التمتع بالاحرام من علی بعد مرحلتین فما</w:t>
      </w:r>
    </w:p>
    <w:p>
      <w:pPr>
        <w:pStyle w:val="BookText"/>
        <w:rPr/>
      </w:pPr>
      <w:r>
        <w:rPr>
          <w:rFonts w:ascii="IRNazanin" w:hAnsi="IRNazanin" w:eastAsia="IRNazanin"/>
          <w:color w:val="111111"/>
          <w:sz w:val="28"/>
          <w:sz w:val="28"/>
          <w:szCs w:val="28"/>
          <w:rtl w:val="true"/>
          <w:lang w:bidi="fa-IR"/>
        </w:rPr>
        <w:t>زاد، والمدن الواقعة فی الطریق هی دون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جدّة واقعة علی حدود منطقة المواقیت، أی محاذیة للمواقیت کما ذکر ذلک ابن ادریس، ویدلل علیه بشواهد، منها ما تقدم فی معنی المحاذاة من أنّها عبارة عن المحیط الواصل بین المواقیت البعیدة، غایة الأمر انّه لا یوصل بالخط المحیط بین الجحفة ویلملم لا یوصل بخط مستقیم، بل بخط یمر علی جدة بمقتضی مفاد موثق سماعة المتقدم وصحیحتی زرارة وغیرها من الروایات المتقدمة فی الوجه الأول الدالّة علی انّ منطقة المواقیت قرب مکة هی عبارة عن دائرة مرکزها مکة وقطرها بقدر ثمانیة وأربعین میلًا، غایة الأمر انّ تلک الدائرة یتوسع محیطها شمالًا إلی مسجد الشجرة والجحفة، ومقتضاها بالتالی المرور علی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معاضدات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أهالی جدّة ومقیمیها لا یلزم علیهم الذهاب إلی المواقیت بعیدة کیلملم والجحفة، بل احرامه نفس جدّة کما علیه أکثر الخاصّة والعامّة، أو باحرامهم من الطریق إلی مکة عند بئر الشمیس أو حدة کما ذهب إلیه البعض النادر، وهو ضعیف لأنه لو کان لبان لما عرفت من تقادم عهد حاضرة جدّة وأنّها کانت مرفأً منذ عهد عثمان، مع انّ وظیفتهم هی التمتع</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قد وضع المواقیت شمالًا وجنوباً وشرقاً ولم یضع فی الغرب حداً ووقتاً معیناً، مع انّ جدّه منذ عهد الثالث أو ما قبله کانت مرفأ بحریاً هامّاً لکثیر من الحجیج ولا زالت کذلک، بل أصبحت الیوم مرفأً</w:t>
      </w:r>
    </w:p>
    <w:p>
      <w:pPr>
        <w:pStyle w:val="BookText"/>
        <w:rPr/>
      </w:pPr>
      <w:r>
        <w:rPr>
          <w:rFonts w:ascii="IRNazanin" w:hAnsi="IRNazanin" w:eastAsia="IRNazanin"/>
          <w:color w:val="111111"/>
          <w:sz w:val="28"/>
          <w:sz w:val="28"/>
          <w:szCs w:val="28"/>
          <w:rtl w:val="true"/>
          <w:lang w:bidi="fa-IR"/>
        </w:rPr>
        <w:t>جویاً هامّاً للحجیج، فلو کانت خارجة من منطقة المواقیت مع خروج النواحی الغربیة الساحلیة لکان من المناسب وضع میقات من ذلک الاتجاه، مع انّه قد تقدم صعوبة تحدید المحاذاة واحرازها من جهة الشبهة المفهومیة الموضوعیة لعامّة الناس، مع انّ المتعارف عند رسم شکل محیط ذی اضلاع مختلفة هو بیان اختلاف الاضلاع، أمّا المتشابه فیکتفی ببیانه عن بقیتها، فالمواقیت القریبة المحیطة من جهة الشرق والجنوب هی علی بعد مرحلتین وهو نفس القدر لجدّة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 انّ الآتی جواً أو بحراً إلی جدة أو بقیة المدن الساحلیة بین یلملم والجحفة یصدق علیه انّه حاذی المواقیت بلحاظ الشکل والخط المحیط المرسوم بمجموعها ویصدق علیه المدار المأخوذ مستفیضاً فی الروایات أنّه لم یحرم قبلها ولا بعدها علی من یحرم من جدّة ونحوها، أی أنّه أحرم من منطقة المواقیت لا قبلها ولا بعدها، بخلاف من یمر علی الجحفة أو یلملم مثلًا ثمّ یتوجه إلی جدّة فانّه یحرم بعد المیقات، کالذی مرّ علی الشجرة ولم یحرم واتّجه إلی الجحفة، أی من مرّ علی میقات ولم یحرم منه وأمامه میقات آخر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 العائدة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الحدیثة المحققة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والجزء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العائدة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نبوی مشهور، رواه صاحب 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مواضع أُخری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تفسیر للعینة هو أنّ یبیع سلعة بثمن إلی رجل معلوم، ثمّ یشتریها نفسه نقداً بثمن أقلّ، وفی نهایة الأجل یدفع المشتری الثمن الأوّل، والفرق بین الثمنین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اشتری الشیء بالشیء نسیئة أو اشتری بنسیة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الکلینی، عن عدّة من أصحابنا، عن أحمد بن محمّد، عن الحسن بن محبوب، عن الحسین بن سعید، عن النضر بن سوید، عن عبد اللّه بن سنان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الکلینی، عن محمّد بن یحیی، عن أحمد بن محمّد، عن علیّ بن النعمان، عن ابن مسکان، عن سلیمان بن خالد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التهذیب فی ثلاثة مواضع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السند فی الأوّل مطابق للأصل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الموضع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عن محمّد بن خالد، عن القاسم بن محمّد، عن محمّد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البرقی، عن محمّد بن القاسم، عن 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البرقی، عن القاسم بن محمّد، عن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محمّد بن خالد، عن القاسم بن محمّد، عن محمّد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السند من یتوقّف فیه إلّا القاسم بن محمّد، وهو الجوهری، ولا أقلّ من کون الروایة به حسنة أو قویّة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الحسن بن محمّد بن سماعة، عن علیّ بن رئاب وعبدالله بن جبلة، عن إسحاق بن عمّار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عقد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صفوان، عن إسحاق بن عمّار وعبد الرحمن جمیعاً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عن محمّد بن أحمد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الحسین، عن علیّ بن أسباط، عن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المرادی ولم یرد فیه توثیق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علیّ بن إبراهیم، عن أبیه، عن ابن أبی عمیر، عن عبد الرحمن بن الحجّاج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بإسناده عن أبی الصباح الکنانی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ضعیفة لشعیب بن واقد والحسین بن زید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النضر، عن عبدالله بن سنان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صفوان، عن ابن سنان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عن الحسین بن سعید، عن صفوان، عن موسی بن بکر، عن حدید بن حکیم والد علیّ بن حدید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عن الحسین بن سعید، عن ابن أبی عمیر، عن یحیی بن الحجّاج، عن خالد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نجیح، وکلاهما مهملان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عن الحسین بن سعید، عن فضالة، عن أبان، عن عبد الرحمن بن أبی عبدالله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عن الحسین بن سعید، عن صفوان، عن منصور بن حازم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فضالة، عن معاویة بن عمّار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حمّاد، عن حریز وصفوان، عن العلاء جمیعاً، عن محمّد بن مسلم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صفوان، عن عبد الرحمن بن الحجّاج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صفوان، عن عبد الحمید بن سعد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للتعبّد اصطلاحات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بمعنی ما لم یعلم ملاکه، وتارة بمعنی ما یلزم به الشرع، واخری بمعنی ما یؤسّسه الشرع، واخری بمعنی ما یمضیه الشرع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النضر، عن عبدالله بن سنان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صفوان، عن منصور بن حازم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حمّاد، عن حریز وصفوان، عن العلاء جمیعاً، عن محمّد بن مسلم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الحسین بن سعید، عن صفوان، عن عبد الرحمن بن الحجّاج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بإسناده عن حمّاد عن الحلبی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علیّ بن إبراهیم، عن أبیه، عن ابن أبی نجران، عن عاصم بن حمید، عن محمّد بن قیس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محمّد بن جعفر الرزّاز، عن أحمد، عن الحسن بن محبوب، عن النضر بن قرواش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مهمل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عدّة من أصحابنا، عن أحمد بن محمّد، وعن علیّ بن إبراهیم، عن أبیه، عن عثمان بن عیسی، عن سماعة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عبدالله بن جعفر فی قرب الإسناد، عن الحسن بن ظریف، عن الحسین بن علوان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عن علیّ بن الحسن، عن محمّد وأحمد، عن أبیهما، عن ثعلبة بن میمون، عن معمر بن یحیی بن سالم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علیّ بن إبراهیم، عن أبیه، عن ابن أبی عمیر، عن منصور بن حازم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ولصاحب الوسائل سند صحیح إلی کتاب علیّ بن جعفر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یحرم بالرضاع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علیّ بن إبراهیم، عن أبیه، عن ابن أبی عمیر، عن منصور بن یونس، عن منصور بن حازم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بإسناده عن محمّد بن أحمد بن یحیی، عن محمّد بن الحسین، عن علیّ بن أسباط، عن سلیمان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المرادی، ولم یرد فیه توثیق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بإسناده عن محمّد بن أحمد بن یحیی، عن أحمد بن الحسن بن علیّ بن فضال، عن عمرو بن سعید، عن مصدق بن صدقة، عن عمّار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بإسناده عن عبد الرحمن بن الحجّاج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بإسناده عن شعیب بن واقد، عن الحسین بن زید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کتاب الطهارة،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الوضوء،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النجاسات،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النجاسات،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النجاسات،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نواقض الوضوء،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النجاسات،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النجاسات،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أبواب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الوصایا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الجواهر،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 کتاب الحج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شرطیة البلوغ</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وسائب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وسائب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باب المملوک یتمتع بإذن مولاه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الحج،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کتاب الحج،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 لبحث أستاذنا الشیخ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 جناب الأخ عباس اللامی دام توفیقه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المواقیت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ینبغی أن یُحرم دون الوقت الذی وقّته رسول الله صلی الله علیه و آله إلاّ أن یخاف فوت الشهر فی العمرة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یجیء معتمراً ینوی عمرة رجب، فیدخل علیه الهلال قبل أن یبلغ العقیق فیحرم قبل الوقت، ویجعلها لرجب، أم یؤخر الأحرام الی العقیق ویجعلها لشعبان، قال یحرم قبل الوقت لرجب، فإن لرجب فضلاً وهو الذی نوی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المواقیت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ابواب المواقیت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الاحرام قبل المیقات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 المجلس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مجلد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أحکام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للالوسی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ابواب الاغسال المسنونة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تقدیم الغسل یوم الخمیس لمن خاف قلة الماء یوم الجمعة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وما یناسبه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المزار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 الأمالی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فی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 الجنید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المزار ،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المزار ،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الکافی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مسافة ما بین الکفین أن ابسطهما وهو قدر مد الیدین وما بینهما من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المزار ،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المزار ،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الذی یغتسل فی المدینة للاحرام أیجُزیه عن الغسل فی المیقات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حوالی اللئالئ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الحج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احرام الحج والوقوف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للطوسی،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من الزیادة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 لبحث أستاذنا الشیخ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بقلم جناب الأخ عباس اللامی دائم توفیقه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فی ذیل الآیة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الاحتاج ، فی مستدرک الوسائل أبواب القیام الباب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مجمع البیان ، ذیل الآیة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وجوب الحج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أبواب وجوب الحج ،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 أب وجوب الحج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وجوب الحج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الحج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نذر المشی فخالف نذره فحج راکباً فإن کان المنذور الحج ماشیاً من غیر تقیید بسنة معیّنة وجب علیه الإعادة ولا کفارة إلاّ إذا ترکها أیضاً وإن کان المنذور الحج ماشیاً فی سنة معینة فخالف وأتی به راکباً وجب علیه القضاء والکفارة ، وإذا کان المنذور المشی فی حج معیّن وجبت الکفارة دون القضاء لقوات محل النذر ، والحجّ صحیح فی جمیع الصور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النذر و العهد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وجوب الحجّ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وجوب الحجّ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الوجوب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لم یناصح أخاه المؤمن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العبادات ، الباب ،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المصدر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27/101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ascii="IRNazanin" w:hAnsi="IRNazanin" w:eastAsia="IRNazanin"/>
          <w:b w:val="false"/>
          <w:b w:val="false"/>
          <w:bCs w:val="false"/>
          <w:i w:val="false"/>
          <w:i w:val="false"/>
          <w:iCs w:val="false"/>
          <w:color w:val="333333"/>
          <w:sz w:val="20"/>
          <w:sz w:val="20"/>
          <w:szCs w:val="20"/>
          <w:rtl w:val="true"/>
        </w:rPr>
        <w:t xml:space="preserve">، أبواب المزار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المزار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 لأبحاث شیخنا الأستاذ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 جناب الأخ السید ریاض الموسوی دام توفیقه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نقل کلامه والمصدر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خضر شلال فی کتاب أبواب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 مفترضة مأمور بها وما ورد من الذنب والتأنیب والتوّعد علی 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لا تترک من الخوف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فضل زیارة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أنضجه وشواه حتی ینضج، والمقلی والمقلاة الآلة، جمعها مقالی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النسخة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 من بلاد فارس ولعلها ما تسمی حالیاً أرگان قرب الأهواز</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 لأبحاث شیخنا الأستاذ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 جناب الأخ السید ریاض الموسوی دام توفیقه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للشیخ الطوسی ج</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الزیارات من فقه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یصح بیعه وما لا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إدریس ج</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الجمعة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الإلهیة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فاء الوفاء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 ج</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 ج</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ونذکر علی سبیل المثال بعض المصادر لا علی سبیل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ذیل الآیة 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الأوسط الطبرانی ج</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 ج</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فی ذیل آیة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مصادر الإمامیة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الإلهیة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المنبر والروضة 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ذکر فیه صحاح عدیدة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وکتابی المزار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کتب الزیارات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الزیارات التی أوردها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 لأبحاث شیخنا الأستاذ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 جناب الأخ السید ریاض الموسوی دام توفیقه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الأمیر لعلی بن محمد اللیثی الواسطی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 ج</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بحار الأنوار 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زیارة النبی صلی الله علیه و آله من البعد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القواعد الفقهیة،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84743</Words>
  <Characters>384334</Characters>
  <CharactersWithSpaces>466446</CharactersWithSpaces>
  <Paragraphs>2631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2026-08-28T09:26:24Z</dcterms:created>
  <dc:creator>ghaemiyeh.com</dc:creator>
  <dc:description/>
  <dc:language>en-US</dc:language>
  <cp:lastModifiedBy/>
  <dcterms:modified xsi:type="dcterms:W3CDTF">2026-08-28T12:58:42Z</dcterms:modified>
  <cp:revision>1</cp:revision>
  <dc:subject/>
  <dc:title>بحوث فی القواعد الفقهیه تقریرات محمدالسند جلد 3</dc:title>
</cp:coreProperties>
</file>

<file path=docProps/custom.xml><?xml version="1.0" encoding="utf-8"?>
<Properties xmlns="http://schemas.openxmlformats.org/officeDocument/2006/custom-properties" xmlns:vt="http://schemas.openxmlformats.org/officeDocument/2006/docPropsVTypes"/>
</file>