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صباح </w:t>
      </w:r>
      <w:r>
        <w:rPr>
          <w:rtl w:val="true"/>
        </w:rPr>
        <w:t xml:space="preserve">- </w:t>
      </w:r>
      <w:r>
        <w:rPr>
          <w:rtl w:val="true"/>
        </w:rPr>
        <w:t xml:space="preserve">پاسخگوی پرسش های دینی </w:t>
      </w:r>
      <w:r>
        <w:rPr>
          <w:rtl w:val="true"/>
        </w:rPr>
        <w:t xml:space="preserve">- </w:t>
      </w:r>
      <w:r>
        <w:rPr>
          <w:rtl w:val="true"/>
        </w:rPr>
        <w:t xml:space="preserve">شماره </w:t>
      </w:r>
      <w:r>
        <w:rPr/>
        <w:t>4</w:t>
      </w:r>
      <w:r>
        <w:rPr>
          <w:rtl w:val="true"/>
        </w:rPr>
        <w:t xml:space="preserve">- </w:t>
      </w:r>
      <w:r>
        <w:rPr>
          <w:rtl w:val="true"/>
        </w:rPr>
        <w:t>مرداد</w:t>
      </w:r>
      <w:r>
        <w:rPr>
          <w:rtl w:val="true"/>
        </w:rPr>
        <w:t>-</w:t>
      </w:r>
      <w:r>
        <w:rPr>
          <w:rtl w:val="true"/>
        </w:rPr>
        <w:t xml:space="preserve">آبان </w:t>
      </w:r>
      <w:r>
        <w:rPr/>
        <w:t>1381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391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63917_1051229030">
            <w:r>
              <w:rPr>
                <w:webHidden/>
                <w:rStyle w:val="IndexLink"/>
                <w:rtl w:val="true"/>
              </w:rPr>
              <w:t>سخن سردبير</w:t>
            </w:r>
            <w:r>
              <w:rPr>
                <w:rStyle w:val="IndexLink"/>
                <w:rtl w:val="true"/>
              </w:rPr>
              <w:tab/>
            </w:r>
            <w:r>
              <w:rPr>
                <w:rStyle w:val="IndexLink"/>
              </w:rPr>
              <w:t>7</w:t>
            </w:r>
          </w:hyperlink>
        </w:p>
        <w:p>
          <w:pPr>
            <w:pStyle w:val="Contents2"/>
            <w:tabs>
              <w:tab w:val="clear" w:pos="8743"/>
              <w:tab w:val="right" w:pos="9026" w:leader="dot"/>
            </w:tabs>
            <w:rPr/>
          </w:pPr>
          <w:hyperlink w:anchor="__RefHeading___Toc2563919_1051229030">
            <w:r>
              <w:rPr>
                <w:webHidden/>
                <w:rStyle w:val="IndexLink"/>
                <w:rtl w:val="true"/>
              </w:rPr>
              <w:t>نقد انديشه</w:t>
            </w:r>
            <w:r>
              <w:rPr>
                <w:rStyle w:val="IndexLink"/>
                <w:rtl w:val="true"/>
              </w:rPr>
              <w:tab/>
            </w:r>
            <w:r>
              <w:rPr>
                <w:rStyle w:val="IndexLink"/>
              </w:rPr>
              <w:t>9</w:t>
            </w:r>
          </w:hyperlink>
        </w:p>
        <w:p>
          <w:pPr>
            <w:pStyle w:val="Contents3"/>
            <w:tabs>
              <w:tab w:val="clear" w:pos="8459"/>
              <w:tab w:val="right" w:pos="9026" w:leader="dot"/>
            </w:tabs>
            <w:rPr/>
          </w:pPr>
          <w:hyperlink w:anchor="__RefHeading___Toc2563921_105122903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563923_1051229030">
            <w:r>
              <w:rPr>
                <w:webHidden/>
                <w:rStyle w:val="IndexLink"/>
                <w:rtl w:val="true"/>
              </w:rPr>
              <w:t>ديدگاه كانت در قلمرو دين و انتظار بشر از دين چيست؟</w:t>
            </w:r>
            <w:r>
              <w:rPr>
                <w:rStyle w:val="IndexLink"/>
                <w:rtl w:val="true"/>
              </w:rPr>
              <w:tab/>
            </w:r>
            <w:r>
              <w:rPr>
                <w:rStyle w:val="IndexLink"/>
              </w:rPr>
              <w:t>9</w:t>
            </w:r>
          </w:hyperlink>
        </w:p>
        <w:p>
          <w:pPr>
            <w:pStyle w:val="Contents3"/>
            <w:tabs>
              <w:tab w:val="clear" w:pos="8459"/>
              <w:tab w:val="right" w:pos="9026" w:leader="dot"/>
            </w:tabs>
            <w:rPr/>
          </w:pPr>
          <w:hyperlink w:anchor="__RefHeading___Toc2563925_1051229030">
            <w:r>
              <w:rPr>
                <w:webHidden/>
                <w:rStyle w:val="IndexLink"/>
                <w:rtl w:val="true"/>
              </w:rPr>
              <w:t>چالش هاى معرفت شناسى كانت در زمينه ى گستره ى دين چيست؟</w:t>
            </w:r>
            <w:r>
              <w:rPr>
                <w:rStyle w:val="IndexLink"/>
                <w:rtl w:val="true"/>
              </w:rPr>
              <w:tab/>
            </w:r>
            <w:r>
              <w:rPr>
                <w:rStyle w:val="IndexLink"/>
              </w:rPr>
              <w:t>12</w:t>
            </w:r>
          </w:hyperlink>
        </w:p>
        <w:p>
          <w:pPr>
            <w:pStyle w:val="Contents2"/>
            <w:tabs>
              <w:tab w:val="clear" w:pos="8743"/>
              <w:tab w:val="right" w:pos="9026" w:leader="dot"/>
            </w:tabs>
            <w:rPr/>
          </w:pPr>
          <w:hyperlink w:anchor="__RefHeading___Toc2563927_1051229030">
            <w:r>
              <w:rPr>
                <w:webHidden/>
                <w:rStyle w:val="IndexLink"/>
                <w:rtl w:val="true"/>
              </w:rPr>
              <w:t>دين پژوهى</w:t>
            </w:r>
            <w:r>
              <w:rPr>
                <w:rStyle w:val="IndexLink"/>
                <w:rtl w:val="true"/>
              </w:rPr>
              <w:tab/>
            </w:r>
            <w:r>
              <w:rPr>
                <w:rStyle w:val="IndexLink"/>
              </w:rPr>
              <w:t>15</w:t>
            </w:r>
          </w:hyperlink>
        </w:p>
        <w:p>
          <w:pPr>
            <w:pStyle w:val="Contents3"/>
            <w:tabs>
              <w:tab w:val="clear" w:pos="8459"/>
              <w:tab w:val="right" w:pos="9026" w:leader="dot"/>
            </w:tabs>
            <w:rPr/>
          </w:pPr>
          <w:hyperlink w:anchor="__RefHeading___Toc2563929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563931_1051229030">
            <w:r>
              <w:rPr>
                <w:webHidden/>
                <w:rStyle w:val="IndexLink"/>
                <w:rtl w:val="true"/>
              </w:rPr>
              <w:t xml:space="preserve">دخالت دادن پيش دانسته ها در تفسير قرآن تا چه اندازه رواست؟ </w:t>
            </w:r>
            <w:r>
              <w:rPr>
                <w:rStyle w:val="IndexLink"/>
                <w:rtl w:val="true"/>
              </w:rPr>
              <w:t xml:space="preserve">/ </w:t>
            </w:r>
            <w:r>
              <w:rPr>
                <w:rStyle w:val="IndexLink"/>
                <w:rtl w:val="true"/>
              </w:rPr>
              <w:t>على مهدوى فريد</w:t>
            </w:r>
            <w:r>
              <w:rPr>
                <w:rStyle w:val="IndexLink"/>
                <w:rtl w:val="true"/>
              </w:rPr>
              <w:tab/>
            </w:r>
            <w:r>
              <w:rPr>
                <w:rStyle w:val="IndexLink"/>
              </w:rPr>
              <w:t>15</w:t>
            </w:r>
          </w:hyperlink>
        </w:p>
        <w:p>
          <w:pPr>
            <w:pStyle w:val="Contents3"/>
            <w:tabs>
              <w:tab w:val="clear" w:pos="8459"/>
              <w:tab w:val="right" w:pos="9026" w:leader="dot"/>
            </w:tabs>
            <w:rPr/>
          </w:pPr>
          <w:hyperlink w:anchor="__RefHeading___Toc2563933_1051229030">
            <w:r>
              <w:rPr>
                <w:webHidden/>
                <w:rStyle w:val="IndexLink"/>
                <w:rtl w:val="true"/>
              </w:rPr>
              <w:t xml:space="preserve">راز اختلاف فقيهان و مفسران در فهم متون دينى چيست؟ </w:t>
            </w:r>
            <w:r>
              <w:rPr>
                <w:rStyle w:val="IndexLink"/>
                <w:rtl w:val="true"/>
              </w:rPr>
              <w:t xml:space="preserve">/ </w:t>
            </w:r>
            <w:r>
              <w:rPr>
                <w:rStyle w:val="IndexLink"/>
                <w:rtl w:val="true"/>
              </w:rPr>
              <w:t>محمد كريمى</w:t>
            </w:r>
            <w:r>
              <w:rPr>
                <w:rStyle w:val="IndexLink"/>
                <w:rtl w:val="true"/>
              </w:rPr>
              <w:tab/>
            </w:r>
            <w:r>
              <w:rPr>
                <w:rStyle w:val="IndexLink"/>
              </w:rPr>
              <w:t>20</w:t>
            </w:r>
          </w:hyperlink>
        </w:p>
        <w:p>
          <w:pPr>
            <w:pStyle w:val="Contents3"/>
            <w:tabs>
              <w:tab w:val="clear" w:pos="8459"/>
              <w:tab w:val="right" w:pos="9026" w:leader="dot"/>
            </w:tabs>
            <w:rPr/>
          </w:pPr>
          <w:hyperlink w:anchor="__RefHeading___Toc2563935_1051229030">
            <w:r>
              <w:rPr>
                <w:webHidden/>
                <w:rStyle w:val="IndexLink"/>
                <w:rtl w:val="true"/>
              </w:rPr>
              <w:t xml:space="preserve">پى آمدهاى منفى پاى بندى به نظريه ى قرائت هاى گوناگون چيست؟ </w:t>
            </w:r>
            <w:r>
              <w:rPr>
                <w:rStyle w:val="IndexLink"/>
                <w:rtl w:val="true"/>
              </w:rPr>
              <w:t xml:space="preserve">/ </w:t>
            </w:r>
            <w:r>
              <w:rPr>
                <w:rStyle w:val="IndexLink"/>
                <w:rtl w:val="true"/>
              </w:rPr>
              <w:t>حامد وحيدى</w:t>
            </w:r>
            <w:r>
              <w:rPr>
                <w:rStyle w:val="IndexLink"/>
                <w:rtl w:val="true"/>
              </w:rPr>
              <w:tab/>
            </w:r>
            <w:r>
              <w:rPr>
                <w:rStyle w:val="IndexLink"/>
              </w:rPr>
              <w:t>23</w:t>
            </w:r>
          </w:hyperlink>
        </w:p>
        <w:p>
          <w:pPr>
            <w:pStyle w:val="Contents3"/>
            <w:tabs>
              <w:tab w:val="clear" w:pos="8459"/>
              <w:tab w:val="right" w:pos="9026" w:leader="dot"/>
            </w:tabs>
            <w:rPr/>
          </w:pPr>
          <w:hyperlink w:anchor="__RefHeading___Toc2563937_1051229030">
            <w:r>
              <w:rPr>
                <w:webHidden/>
                <w:rStyle w:val="IndexLink"/>
                <w:rtl w:val="true"/>
              </w:rPr>
              <w:t xml:space="preserve">ادلّه و مبانى نظريه ى قرائت هاى گوناگون را بررسى و نقد كنيد </w:t>
            </w:r>
            <w:r>
              <w:rPr>
                <w:rStyle w:val="IndexLink"/>
                <w:rtl w:val="true"/>
              </w:rPr>
              <w:t xml:space="preserve">/ </w:t>
            </w:r>
            <w:r>
              <w:rPr>
                <w:rStyle w:val="IndexLink"/>
                <w:rtl w:val="true"/>
              </w:rPr>
              <w:t>محمد كريمى</w:t>
            </w:r>
            <w:r>
              <w:rPr>
                <w:rStyle w:val="IndexLink"/>
                <w:rtl w:val="true"/>
              </w:rPr>
              <w:tab/>
            </w:r>
            <w:r>
              <w:rPr>
                <w:rStyle w:val="IndexLink"/>
              </w:rPr>
              <w:t>26</w:t>
            </w:r>
          </w:hyperlink>
        </w:p>
        <w:p>
          <w:pPr>
            <w:pStyle w:val="Contents4"/>
            <w:tabs>
              <w:tab w:val="clear" w:pos="8176"/>
              <w:tab w:val="right" w:pos="9026" w:leader="dot"/>
            </w:tabs>
            <w:rPr/>
          </w:pPr>
          <w:hyperlink w:anchor="__RefHeading___Toc2563939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563941_1051229030">
            <w:r>
              <w:rPr>
                <w:webHidden/>
                <w:rStyle w:val="IndexLink"/>
              </w:rPr>
              <w:t>1</w:t>
            </w:r>
            <w:r>
              <w:rPr>
                <w:rStyle w:val="IndexLink"/>
                <w:rtl w:val="true"/>
              </w:rPr>
              <w:t xml:space="preserve">. </w:t>
            </w:r>
            <w:r>
              <w:rPr>
                <w:rStyle w:val="IndexLink"/>
                <w:rtl w:val="true"/>
              </w:rPr>
              <w:t>نسبى گرايى</w:t>
            </w:r>
            <w:r>
              <w:rPr>
                <w:rStyle w:val="IndexLink"/>
                <w:rtl w:val="true"/>
              </w:rPr>
              <w:tab/>
            </w:r>
            <w:r>
              <w:rPr>
                <w:rStyle w:val="IndexLink"/>
              </w:rPr>
              <w:t>26</w:t>
            </w:r>
          </w:hyperlink>
        </w:p>
        <w:p>
          <w:pPr>
            <w:pStyle w:val="Contents4"/>
            <w:tabs>
              <w:tab w:val="clear" w:pos="8176"/>
              <w:tab w:val="right" w:pos="9026" w:leader="dot"/>
            </w:tabs>
            <w:rPr/>
          </w:pPr>
          <w:hyperlink w:anchor="__RefHeading___Toc2563943_1051229030">
            <w:r>
              <w:rPr>
                <w:webHidden/>
                <w:rStyle w:val="IndexLink"/>
              </w:rPr>
              <w:t>2</w:t>
            </w:r>
            <w:r>
              <w:rPr>
                <w:rStyle w:val="IndexLink"/>
                <w:rtl w:val="true"/>
              </w:rPr>
              <w:t xml:space="preserve">. </w:t>
            </w:r>
            <w:r>
              <w:rPr>
                <w:rStyle w:val="IndexLink"/>
                <w:rtl w:val="true"/>
              </w:rPr>
              <w:t>هرمنوتيك</w:t>
            </w:r>
            <w:r>
              <w:rPr>
                <w:rStyle w:val="IndexLink"/>
                <w:rtl w:val="true"/>
              </w:rPr>
              <w:tab/>
            </w:r>
            <w:r>
              <w:rPr>
                <w:rStyle w:val="IndexLink"/>
              </w:rPr>
              <w:t>27</w:t>
            </w:r>
          </w:hyperlink>
        </w:p>
        <w:p>
          <w:pPr>
            <w:pStyle w:val="Contents5"/>
            <w:tabs>
              <w:tab w:val="clear" w:pos="7892"/>
              <w:tab w:val="right" w:pos="9026" w:leader="dot"/>
            </w:tabs>
            <w:rPr/>
          </w:pPr>
          <w:hyperlink w:anchor="__RefHeading___Toc2563945_105122903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563947_1051229030">
            <w:r>
              <w:rPr>
                <w:webHidden/>
                <w:rStyle w:val="IndexLink"/>
                <w:rtl w:val="true"/>
              </w:rPr>
              <w:t xml:space="preserve">الف </w:t>
            </w:r>
            <w:r>
              <w:rPr>
                <w:rStyle w:val="IndexLink"/>
                <w:rtl w:val="true"/>
              </w:rPr>
              <w:t xml:space="preserve">- </w:t>
            </w:r>
            <w:r>
              <w:rPr>
                <w:rStyle w:val="IndexLink"/>
                <w:rtl w:val="true"/>
              </w:rPr>
              <w:t>صامت انگارى متن</w:t>
            </w:r>
            <w:r>
              <w:rPr>
                <w:rStyle w:val="IndexLink"/>
                <w:rtl w:val="true"/>
              </w:rPr>
              <w:tab/>
            </w:r>
            <w:r>
              <w:rPr>
                <w:rStyle w:val="IndexLink"/>
              </w:rPr>
              <w:t>27</w:t>
            </w:r>
          </w:hyperlink>
        </w:p>
        <w:p>
          <w:pPr>
            <w:pStyle w:val="Contents5"/>
            <w:tabs>
              <w:tab w:val="clear" w:pos="7892"/>
              <w:tab w:val="right" w:pos="9026" w:leader="dot"/>
            </w:tabs>
            <w:rPr/>
          </w:pPr>
          <w:hyperlink w:anchor="__RefHeading___Toc2563949_1051229030">
            <w:r>
              <w:rPr>
                <w:webHidden/>
                <w:rStyle w:val="IndexLink"/>
                <w:rtl w:val="true"/>
              </w:rPr>
              <w:t xml:space="preserve">ب </w:t>
            </w:r>
            <w:r>
              <w:rPr>
                <w:rStyle w:val="IndexLink"/>
                <w:rtl w:val="true"/>
              </w:rPr>
              <w:t xml:space="preserve">- </w:t>
            </w:r>
            <w:r>
              <w:rPr>
                <w:rStyle w:val="IndexLink"/>
                <w:rtl w:val="true"/>
              </w:rPr>
              <w:t>دخالت پيش فرض هاى ذهنى</w:t>
            </w:r>
            <w:r>
              <w:rPr>
                <w:rStyle w:val="IndexLink"/>
                <w:rtl w:val="true"/>
              </w:rPr>
              <w:tab/>
            </w:r>
            <w:r>
              <w:rPr>
                <w:rStyle w:val="IndexLink"/>
              </w:rPr>
              <w:t>28</w:t>
            </w:r>
          </w:hyperlink>
        </w:p>
        <w:p>
          <w:pPr>
            <w:pStyle w:val="Contents5"/>
            <w:tabs>
              <w:tab w:val="clear" w:pos="7892"/>
              <w:tab w:val="right" w:pos="9026" w:leader="dot"/>
            </w:tabs>
            <w:rPr/>
          </w:pPr>
          <w:hyperlink w:anchor="__RefHeading___Toc2563951_1051229030">
            <w:r>
              <w:rPr>
                <w:webHidden/>
                <w:rStyle w:val="IndexLink"/>
                <w:rtl w:val="true"/>
              </w:rPr>
              <w:t xml:space="preserve">ج </w:t>
            </w:r>
            <w:r>
              <w:rPr>
                <w:rStyle w:val="IndexLink"/>
                <w:rtl w:val="true"/>
              </w:rPr>
              <w:t xml:space="preserve">- </w:t>
            </w:r>
            <w:r>
              <w:rPr>
                <w:rStyle w:val="IndexLink"/>
                <w:rtl w:val="true"/>
              </w:rPr>
              <w:t>اثبات و ابطال ناپذيرى قرائت خاص</w:t>
            </w:r>
            <w:r>
              <w:rPr>
                <w:rStyle w:val="IndexLink"/>
                <w:rtl w:val="true"/>
              </w:rPr>
              <w:tab/>
            </w:r>
            <w:r>
              <w:rPr>
                <w:rStyle w:val="IndexLink"/>
              </w:rPr>
              <w:t>29</w:t>
            </w:r>
          </w:hyperlink>
        </w:p>
        <w:p>
          <w:pPr>
            <w:pStyle w:val="Contents3"/>
            <w:tabs>
              <w:tab w:val="clear" w:pos="8459"/>
              <w:tab w:val="right" w:pos="9026" w:leader="dot"/>
            </w:tabs>
            <w:rPr/>
          </w:pPr>
          <w:hyperlink w:anchor="__RefHeading___Toc2563953_1051229030">
            <w:r>
              <w:rPr>
                <w:webHidden/>
                <w:rStyle w:val="IndexLink"/>
                <w:rtl w:val="true"/>
              </w:rPr>
              <w:t xml:space="preserve">پيشينه و انگيزه ى طرح نظريه ى قرائت هاى گوناگون چيست؟ </w:t>
            </w:r>
            <w:r>
              <w:rPr>
                <w:rStyle w:val="IndexLink"/>
                <w:rtl w:val="true"/>
              </w:rPr>
              <w:t xml:space="preserve">/ </w:t>
            </w:r>
            <w:r>
              <w:rPr>
                <w:rStyle w:val="IndexLink"/>
                <w:rtl w:val="true"/>
              </w:rPr>
              <w:t>محمد كريمى</w:t>
            </w:r>
            <w:r>
              <w:rPr>
                <w:rStyle w:val="IndexLink"/>
                <w:rtl w:val="true"/>
              </w:rPr>
              <w:tab/>
            </w:r>
            <w:r>
              <w:rPr>
                <w:rStyle w:val="IndexLink"/>
              </w:rPr>
              <w:t>30</w:t>
            </w:r>
          </w:hyperlink>
        </w:p>
        <w:p>
          <w:pPr>
            <w:pStyle w:val="Contents2"/>
            <w:tabs>
              <w:tab w:val="clear" w:pos="8743"/>
              <w:tab w:val="right" w:pos="9026" w:leader="dot"/>
            </w:tabs>
            <w:rPr/>
          </w:pPr>
          <w:hyperlink w:anchor="__RefHeading___Toc2563955_1051229030">
            <w:r>
              <w:rPr>
                <w:webHidden/>
                <w:rStyle w:val="IndexLink"/>
                <w:rtl w:val="true"/>
              </w:rPr>
              <w:t>مشاوره و تربيت</w:t>
            </w:r>
            <w:r>
              <w:rPr>
                <w:rStyle w:val="IndexLink"/>
                <w:rtl w:val="true"/>
              </w:rPr>
              <w:tab/>
            </w:r>
            <w:r>
              <w:rPr>
                <w:rStyle w:val="IndexLink"/>
              </w:rPr>
              <w:t>33</w:t>
            </w:r>
          </w:hyperlink>
        </w:p>
        <w:p>
          <w:pPr>
            <w:pStyle w:val="Contents3"/>
            <w:tabs>
              <w:tab w:val="clear" w:pos="8459"/>
              <w:tab w:val="right" w:pos="9026" w:leader="dot"/>
            </w:tabs>
            <w:rPr/>
          </w:pPr>
          <w:hyperlink w:anchor="__RefHeading___Toc2563957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563959_1051229030">
            <w:r>
              <w:rPr>
                <w:webHidden/>
                <w:rStyle w:val="IndexLink"/>
                <w:rtl w:val="true"/>
              </w:rPr>
              <w:t xml:space="preserve">پى آمدهاى ديدن بازى هاى رايانه اى خشونت زا چيست؟ با توجه به اين كه فيلم هاى خارجى و بازى ها، پيام هاى زيان بار و منفى دارند، چه بايد كرد؟ </w:t>
            </w:r>
            <w:r>
              <w:rPr>
                <w:rStyle w:val="IndexLink"/>
                <w:rtl w:val="true"/>
              </w:rPr>
              <w:t xml:space="preserve">/ </w:t>
            </w:r>
            <w:r>
              <w:rPr>
                <w:rStyle w:val="IndexLink"/>
                <w:rtl w:val="true"/>
              </w:rPr>
              <w:t>محمد صادق شجاعى</w:t>
            </w:r>
            <w:r>
              <w:rPr>
                <w:rStyle w:val="IndexLink"/>
                <w:rtl w:val="true"/>
              </w:rPr>
              <w:tab/>
            </w:r>
            <w:r>
              <w:rPr>
                <w:rStyle w:val="IndexLink"/>
              </w:rPr>
              <w:t>33</w:t>
            </w:r>
          </w:hyperlink>
        </w:p>
        <w:p>
          <w:pPr>
            <w:pStyle w:val="Contents3"/>
            <w:tabs>
              <w:tab w:val="clear" w:pos="8459"/>
              <w:tab w:val="right" w:pos="9026" w:leader="dot"/>
            </w:tabs>
            <w:rPr/>
          </w:pPr>
          <w:hyperlink w:anchor="__RefHeading___Toc2563961_1051229030">
            <w:r>
              <w:rPr>
                <w:webHidden/>
                <w:rStyle w:val="IndexLink"/>
                <w:rtl w:val="true"/>
              </w:rPr>
              <w:t xml:space="preserve">آيا محدوديت ها و برخوردهاى فيزيكى مانند جمع آورى ماهواره يا محدود كردن اينترنت، براى تربيت اجتماعى جوانان، پى آمدهاى منفى ندارد؟ </w:t>
            </w:r>
            <w:r>
              <w:rPr>
                <w:rStyle w:val="IndexLink"/>
                <w:rtl w:val="true"/>
              </w:rPr>
              <w:t xml:space="preserve">/ </w:t>
            </w:r>
            <w:r>
              <w:rPr>
                <w:rStyle w:val="IndexLink"/>
                <w:rtl w:val="true"/>
              </w:rPr>
              <w:t>محمد صادق شجاعى</w:t>
            </w:r>
            <w:r>
              <w:rPr>
                <w:rStyle w:val="IndexLink"/>
                <w:rtl w:val="true"/>
              </w:rPr>
              <w:tab/>
            </w:r>
            <w:r>
              <w:rPr>
                <w:rStyle w:val="IndexLink"/>
              </w:rPr>
              <w:t>36</w:t>
            </w:r>
          </w:hyperlink>
        </w:p>
        <w:p>
          <w:pPr>
            <w:pStyle w:val="Contents3"/>
            <w:tabs>
              <w:tab w:val="clear" w:pos="8459"/>
              <w:tab w:val="right" w:pos="9026" w:leader="dot"/>
            </w:tabs>
            <w:rPr/>
          </w:pPr>
          <w:hyperlink w:anchor="__RefHeading___Toc2563963_1051229030">
            <w:r>
              <w:rPr>
                <w:webHidden/>
                <w:rStyle w:val="IndexLink"/>
                <w:rtl w:val="true"/>
              </w:rPr>
              <w:t xml:space="preserve">با توجه به تلاش گسترده ى رسانه هاى مهاجم، براى تبليغ دوره اى چه جايگاهى قايل هستيد؟ آيا بهتر نيست براى پرورش اساسى اجتماع به جاى تبليغات دوره اى، به برنامه هاى درازمدت روى آوريم؟ </w:t>
            </w:r>
            <w:r>
              <w:rPr>
                <w:rStyle w:val="IndexLink"/>
                <w:rtl w:val="true"/>
              </w:rPr>
              <w:t xml:space="preserve">/ </w:t>
            </w:r>
            <w:r>
              <w:rPr>
                <w:rStyle w:val="IndexLink"/>
                <w:rtl w:val="true"/>
              </w:rPr>
              <w:t>محمدصادق شجاعى</w:t>
            </w:r>
            <w:r>
              <w:rPr>
                <w:rStyle w:val="IndexLink"/>
                <w:rtl w:val="true"/>
              </w:rPr>
              <w:tab/>
            </w:r>
            <w:r>
              <w:rPr>
                <w:rStyle w:val="IndexLink"/>
              </w:rPr>
              <w:t>39</w:t>
            </w:r>
          </w:hyperlink>
        </w:p>
        <w:p>
          <w:pPr>
            <w:pStyle w:val="Contents3"/>
            <w:tabs>
              <w:tab w:val="clear" w:pos="8459"/>
              <w:tab w:val="right" w:pos="9026" w:leader="dot"/>
            </w:tabs>
            <w:rPr/>
          </w:pPr>
          <w:hyperlink w:anchor="__RefHeading___Toc2563965_1051229030">
            <w:r>
              <w:rPr>
                <w:webHidden/>
                <w:rStyle w:val="IndexLink"/>
                <w:rtl w:val="true"/>
              </w:rPr>
              <w:t xml:space="preserve">اثرگذارى كدام يك از رسانه ها در تربيت امروزى بيشتر است؟ </w:t>
            </w:r>
            <w:r>
              <w:rPr>
                <w:rStyle w:val="IndexLink"/>
                <w:rtl w:val="true"/>
              </w:rPr>
              <w:t xml:space="preserve">/ </w:t>
            </w:r>
            <w:r>
              <w:rPr>
                <w:rStyle w:val="IndexLink"/>
                <w:rtl w:val="true"/>
              </w:rPr>
              <w:t>محمدصادق شجاعى</w:t>
            </w:r>
            <w:r>
              <w:rPr>
                <w:rStyle w:val="IndexLink"/>
                <w:rtl w:val="true"/>
              </w:rPr>
              <w:tab/>
            </w:r>
            <w:r>
              <w:rPr>
                <w:rStyle w:val="IndexLink"/>
              </w:rPr>
              <w:t>42</w:t>
            </w:r>
          </w:hyperlink>
        </w:p>
        <w:p>
          <w:pPr>
            <w:pStyle w:val="Contents3"/>
            <w:tabs>
              <w:tab w:val="clear" w:pos="8459"/>
              <w:tab w:val="right" w:pos="9026" w:leader="dot"/>
            </w:tabs>
            <w:rPr/>
          </w:pPr>
          <w:hyperlink w:anchor="__RefHeading___Toc2563967_1051229030">
            <w:r>
              <w:rPr>
                <w:webHidden/>
                <w:rStyle w:val="IndexLink"/>
                <w:rtl w:val="true"/>
              </w:rPr>
              <w:t xml:space="preserve">ديدن عكس هاى نامناسب در اينترنت براى اخلاق اجتماعى چه پى آمدهايى دارد؟ </w:t>
            </w:r>
            <w:r>
              <w:rPr>
                <w:rStyle w:val="IndexLink"/>
                <w:rtl w:val="true"/>
              </w:rPr>
              <w:t xml:space="preserve">/ </w:t>
            </w:r>
            <w:r>
              <w:rPr>
                <w:rStyle w:val="IndexLink"/>
                <w:rtl w:val="true"/>
              </w:rPr>
              <w:t>هادى حسين خانى</w:t>
            </w:r>
            <w:r>
              <w:rPr>
                <w:rStyle w:val="IndexLink"/>
                <w:rtl w:val="true"/>
              </w:rPr>
              <w:tab/>
            </w:r>
            <w:r>
              <w:rPr>
                <w:rStyle w:val="IndexLink"/>
              </w:rPr>
              <w:t>45</w:t>
            </w:r>
          </w:hyperlink>
        </w:p>
        <w:p>
          <w:pPr>
            <w:pStyle w:val="Contents2"/>
            <w:tabs>
              <w:tab w:val="clear" w:pos="8743"/>
              <w:tab w:val="right" w:pos="9026" w:leader="dot"/>
            </w:tabs>
            <w:rPr/>
          </w:pPr>
          <w:hyperlink w:anchor="__RefHeading___Toc2563969_1051229030">
            <w:r>
              <w:rPr>
                <w:webHidden/>
                <w:rStyle w:val="IndexLink"/>
                <w:rtl w:val="true"/>
              </w:rPr>
              <w:t>حقوق و سياست</w:t>
            </w:r>
            <w:r>
              <w:rPr>
                <w:rStyle w:val="IndexLink"/>
                <w:rtl w:val="true"/>
              </w:rPr>
              <w:tab/>
            </w:r>
            <w:r>
              <w:rPr>
                <w:rStyle w:val="IndexLink"/>
              </w:rPr>
              <w:t>47</w:t>
            </w:r>
          </w:hyperlink>
        </w:p>
        <w:p>
          <w:pPr>
            <w:pStyle w:val="Contents3"/>
            <w:tabs>
              <w:tab w:val="clear" w:pos="8459"/>
              <w:tab w:val="right" w:pos="9026" w:leader="dot"/>
            </w:tabs>
            <w:rPr/>
          </w:pPr>
          <w:hyperlink w:anchor="__RefHeading___Toc2563971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563973_1051229030">
            <w:r>
              <w:rPr>
                <w:webHidden/>
                <w:rStyle w:val="IndexLink"/>
                <w:rtl w:val="true"/>
              </w:rPr>
              <w:t xml:space="preserve">رژيم اشغال گر قدس و حقوق بين الملل، گفتوگو با دكتر عباس كدخدائى </w:t>
            </w:r>
            <w:r>
              <w:rPr>
                <w:rStyle w:val="IndexLink"/>
                <w:rtl w:val="true"/>
              </w:rPr>
              <w:t xml:space="preserve">/ </w:t>
            </w:r>
            <w:r>
              <w:rPr>
                <w:rStyle w:val="IndexLink"/>
                <w:rtl w:val="true"/>
              </w:rPr>
              <w:t>محمد رضا باقرزاده</w:t>
            </w:r>
            <w:r>
              <w:rPr>
                <w:rStyle w:val="IndexLink"/>
                <w:rtl w:val="true"/>
              </w:rPr>
              <w:tab/>
            </w:r>
            <w:r>
              <w:rPr>
                <w:rStyle w:val="IndexLink"/>
              </w:rPr>
              <w:t>47</w:t>
            </w:r>
          </w:hyperlink>
        </w:p>
        <w:p>
          <w:pPr>
            <w:pStyle w:val="Contents4"/>
            <w:tabs>
              <w:tab w:val="clear" w:pos="8176"/>
              <w:tab w:val="right" w:pos="9026" w:leader="dot"/>
            </w:tabs>
            <w:rPr/>
          </w:pPr>
          <w:hyperlink w:anchor="__RefHeading___Toc2563975_1051229030">
            <w:r>
              <w:rPr>
                <w:webHidden/>
                <w:rStyle w:val="IndexLink"/>
                <w:rtl w:val="true"/>
              </w:rPr>
              <w:t>پيدايش اسراييل را از ديدگاه حقوق بين الملل چگونه تحليل مى كنيد؟</w:t>
            </w:r>
            <w:r>
              <w:rPr>
                <w:rStyle w:val="IndexLink"/>
                <w:rtl w:val="true"/>
              </w:rPr>
              <w:tab/>
            </w:r>
            <w:r>
              <w:rPr>
                <w:rStyle w:val="IndexLink"/>
              </w:rPr>
              <w:t>47</w:t>
            </w:r>
          </w:hyperlink>
        </w:p>
        <w:p>
          <w:pPr>
            <w:pStyle w:val="Contents4"/>
            <w:tabs>
              <w:tab w:val="clear" w:pos="8176"/>
              <w:tab w:val="right" w:pos="9026" w:leader="dot"/>
            </w:tabs>
            <w:rPr/>
          </w:pPr>
          <w:hyperlink w:anchor="__RefHeading___Toc2563977_1051229030">
            <w:r>
              <w:rPr>
                <w:webHidden/>
                <w:rStyle w:val="IndexLink"/>
                <w:rtl w:val="true"/>
              </w:rPr>
              <w:t xml:space="preserve">اشاره فرموديد كه هدف از قطع نامه ى قيموميت، </w:t>
            </w:r>
            <w:r>
              <w:rPr>
                <w:rStyle w:val="IndexLink"/>
                <w:rtl w:val="true"/>
              </w:rPr>
              <w:t>...</w:t>
              <w:tab/>
            </w:r>
            <w:r>
              <w:rPr>
                <w:rStyle w:val="IndexLink"/>
              </w:rPr>
              <w:t>52</w:t>
            </w:r>
          </w:hyperlink>
        </w:p>
        <w:p>
          <w:pPr>
            <w:pStyle w:val="Contents4"/>
            <w:tabs>
              <w:tab w:val="clear" w:pos="8176"/>
              <w:tab w:val="right" w:pos="9026" w:leader="dot"/>
            </w:tabs>
            <w:rPr/>
          </w:pPr>
          <w:hyperlink w:anchor="__RefHeading___Toc2563979_1051229030">
            <w:r>
              <w:rPr>
                <w:webHidden/>
                <w:rStyle w:val="IndexLink"/>
                <w:rtl w:val="true"/>
              </w:rPr>
              <w:t>چگونه اين اقدام ها در برابر ديد سازمان ملل رخ مى داد كه خود با اهداف و موازين سازمانى اش آشنا بود؟ چرا سازمان ملل هيچ واكنشى نشان نمى دهد؟</w:t>
            </w:r>
            <w:r>
              <w:rPr>
                <w:rStyle w:val="IndexLink"/>
                <w:rtl w:val="true"/>
              </w:rPr>
              <w:tab/>
            </w:r>
            <w:r>
              <w:rPr>
                <w:rStyle w:val="IndexLink"/>
              </w:rPr>
              <w:t>53</w:t>
            </w:r>
          </w:hyperlink>
        </w:p>
        <w:p>
          <w:pPr>
            <w:pStyle w:val="Contents4"/>
            <w:tabs>
              <w:tab w:val="clear" w:pos="8176"/>
              <w:tab w:val="right" w:pos="9026" w:leader="dot"/>
            </w:tabs>
            <w:rPr/>
          </w:pPr>
          <w:hyperlink w:anchor="__RefHeading___Toc2563981_1051229030">
            <w:r>
              <w:rPr>
                <w:webHidden/>
                <w:rStyle w:val="IndexLink"/>
                <w:rtl w:val="true"/>
              </w:rPr>
              <w:t>اگر اهالى يك سرزمين از آن جا مهاجرت كنند، حق حاكميت آنان چه وضعيتى مى يابد؟ بر اين اساس، حق حاكميت مردم مهاجر فلسطين چگونه خواهد بود؟</w:t>
            </w:r>
            <w:r>
              <w:rPr>
                <w:rStyle w:val="IndexLink"/>
                <w:rtl w:val="true"/>
              </w:rPr>
              <w:tab/>
            </w:r>
            <w:r>
              <w:rPr>
                <w:rStyle w:val="IndexLink"/>
              </w:rPr>
              <w:t>54</w:t>
            </w:r>
          </w:hyperlink>
        </w:p>
        <w:p>
          <w:pPr>
            <w:pStyle w:val="Contents4"/>
            <w:tabs>
              <w:tab w:val="clear" w:pos="8176"/>
              <w:tab w:val="right" w:pos="9026" w:leader="dot"/>
            </w:tabs>
            <w:rPr/>
          </w:pPr>
          <w:hyperlink w:anchor="__RefHeading___Toc2563983_1051229030">
            <w:r>
              <w:rPr>
                <w:webHidden/>
                <w:rStyle w:val="IndexLink"/>
                <w:rtl w:val="true"/>
              </w:rPr>
              <w:t>آيا حق حاكميت قابل واگذارى است؟</w:t>
            </w:r>
            <w:r>
              <w:rPr>
                <w:rStyle w:val="IndexLink"/>
                <w:rtl w:val="true"/>
              </w:rPr>
              <w:tab/>
            </w:r>
            <w:r>
              <w:rPr>
                <w:rStyle w:val="IndexLink"/>
              </w:rPr>
              <w:t>55</w:t>
            </w:r>
          </w:hyperlink>
        </w:p>
        <w:p>
          <w:pPr>
            <w:pStyle w:val="Contents4"/>
            <w:tabs>
              <w:tab w:val="clear" w:pos="8176"/>
              <w:tab w:val="right" w:pos="9026" w:leader="dot"/>
            </w:tabs>
            <w:rPr/>
          </w:pPr>
          <w:hyperlink w:anchor="__RefHeading___Toc2563985_1051229030">
            <w:r>
              <w:rPr>
                <w:webHidden/>
                <w:rStyle w:val="IndexLink"/>
                <w:rtl w:val="true"/>
              </w:rPr>
              <w:t>آيا مى توانيم بگوييم قيم آن ها اين حق را داشت كه حاكميت را واگذار كند؟</w:t>
            </w:r>
            <w:r>
              <w:rPr>
                <w:rStyle w:val="IndexLink"/>
                <w:rtl w:val="true"/>
              </w:rPr>
              <w:tab/>
            </w:r>
            <w:r>
              <w:rPr>
                <w:rStyle w:val="IndexLink"/>
              </w:rPr>
              <w:t>55</w:t>
            </w:r>
          </w:hyperlink>
        </w:p>
        <w:p>
          <w:pPr>
            <w:pStyle w:val="Contents4"/>
            <w:tabs>
              <w:tab w:val="clear" w:pos="8176"/>
              <w:tab w:val="right" w:pos="9026" w:leader="dot"/>
            </w:tabs>
            <w:rPr/>
          </w:pPr>
          <w:hyperlink w:anchor="__RefHeading___Toc2563987_1051229030">
            <w:r>
              <w:rPr>
                <w:webHidden/>
                <w:rStyle w:val="IndexLink"/>
                <w:rtl w:val="true"/>
              </w:rPr>
              <w:t>قابل واگذارى نبودن حاكميت براساس حقوق موضوعه است يا حقوق عرفى؟</w:t>
            </w:r>
            <w:r>
              <w:rPr>
                <w:rStyle w:val="IndexLink"/>
                <w:rtl w:val="true"/>
              </w:rPr>
              <w:tab/>
            </w:r>
            <w:r>
              <w:rPr>
                <w:rStyle w:val="IndexLink"/>
              </w:rPr>
              <w:t>56</w:t>
            </w:r>
          </w:hyperlink>
        </w:p>
        <w:p>
          <w:pPr>
            <w:pStyle w:val="Contents4"/>
            <w:tabs>
              <w:tab w:val="clear" w:pos="8176"/>
              <w:tab w:val="right" w:pos="9026" w:leader="dot"/>
            </w:tabs>
            <w:rPr/>
          </w:pPr>
          <w:hyperlink w:anchor="__RefHeading___Toc2563989_1051229030">
            <w:r>
              <w:rPr>
                <w:webHidden/>
                <w:rStyle w:val="IndexLink"/>
                <w:rtl w:val="true"/>
              </w:rPr>
              <w:t>حال اگر بگوييم كه حتى يك نسل مالك يك سرزمين نيست، آيا نمى توانيم بگوييم كه يك نسل حق ندارد يك سرزمين را بفروشد؟</w:t>
            </w:r>
            <w:r>
              <w:rPr>
                <w:rStyle w:val="IndexLink"/>
                <w:rtl w:val="true"/>
              </w:rPr>
              <w:tab/>
            </w:r>
            <w:r>
              <w:rPr>
                <w:rStyle w:val="IndexLink"/>
              </w:rPr>
              <w:t>56</w:t>
            </w:r>
          </w:hyperlink>
        </w:p>
        <w:p>
          <w:pPr>
            <w:pStyle w:val="Contents4"/>
            <w:tabs>
              <w:tab w:val="clear" w:pos="8176"/>
              <w:tab w:val="right" w:pos="9026" w:leader="dot"/>
            </w:tabs>
            <w:rPr/>
          </w:pPr>
          <w:hyperlink w:anchor="__RefHeading___Toc2563991_1051229030">
            <w:r>
              <w:rPr>
                <w:webHidden/>
                <w:rStyle w:val="IndexLink"/>
                <w:rtl w:val="true"/>
              </w:rPr>
              <w:t>با توجه به تعريف شما از حق حاكميت، آيا كشورى كه در قيموميت به سر مى برد، مى تواند حق حاكميتش را به دست آورد يا در عمل از همان آغاز نيز حق حاكميت ندارد؟</w:t>
            </w:r>
            <w:r>
              <w:rPr>
                <w:rStyle w:val="IndexLink"/>
                <w:rtl w:val="true"/>
              </w:rPr>
              <w:tab/>
            </w:r>
            <w:r>
              <w:rPr>
                <w:rStyle w:val="IndexLink"/>
              </w:rPr>
              <w:t>57</w:t>
            </w:r>
          </w:hyperlink>
        </w:p>
        <w:p>
          <w:pPr>
            <w:pStyle w:val="Contents4"/>
            <w:tabs>
              <w:tab w:val="clear" w:pos="8176"/>
              <w:tab w:val="right" w:pos="9026" w:leader="dot"/>
            </w:tabs>
            <w:rPr/>
          </w:pPr>
          <w:hyperlink w:anchor="__RefHeading___Toc2563993_1051229030">
            <w:r>
              <w:rPr>
                <w:webHidden/>
                <w:rStyle w:val="IndexLink"/>
                <w:rtl w:val="true"/>
              </w:rPr>
              <w:t>يكى از مسايل مطرح درباره ى رژيم صهيونيستى، پيوند اين رژيم با بحث تروريسم هست</w:t>
            </w:r>
            <w:r>
              <w:rPr>
                <w:rStyle w:val="IndexLink"/>
                <w:rtl w:val="true"/>
              </w:rPr>
              <w:t xml:space="preserve">. </w:t>
            </w:r>
            <w:r>
              <w:rPr>
                <w:rStyle w:val="IndexLink"/>
                <w:rtl w:val="true"/>
              </w:rPr>
              <w:t>پيش از پرداختن به اين بحث، تعريفى از تروريسم ارايه دهيد</w:t>
            </w:r>
            <w:r>
              <w:rPr>
                <w:rStyle w:val="IndexLink"/>
                <w:rtl w:val="true"/>
              </w:rPr>
              <w:t>.</w:t>
              <w:tab/>
            </w:r>
            <w:r>
              <w:rPr>
                <w:rStyle w:val="IndexLink"/>
              </w:rPr>
              <w:t>57</w:t>
            </w:r>
          </w:hyperlink>
        </w:p>
        <w:p>
          <w:pPr>
            <w:pStyle w:val="Contents4"/>
            <w:tabs>
              <w:tab w:val="clear" w:pos="8176"/>
              <w:tab w:val="right" w:pos="9026" w:leader="dot"/>
            </w:tabs>
            <w:rPr/>
          </w:pPr>
          <w:hyperlink w:anchor="__RefHeading___Toc2563995_1051229030">
            <w:r>
              <w:rPr>
                <w:webHidden/>
                <w:rStyle w:val="IndexLink"/>
                <w:rtl w:val="true"/>
              </w:rPr>
              <w:t>تروريسم با دفاع مشروع چه تفاوتى دارد؟</w:t>
            </w:r>
            <w:r>
              <w:rPr>
                <w:rStyle w:val="IndexLink"/>
                <w:rtl w:val="true"/>
              </w:rPr>
              <w:tab/>
            </w:r>
            <w:r>
              <w:rPr>
                <w:rStyle w:val="IndexLink"/>
              </w:rPr>
              <w:t>58</w:t>
            </w:r>
          </w:hyperlink>
        </w:p>
        <w:p>
          <w:pPr>
            <w:pStyle w:val="Contents4"/>
            <w:tabs>
              <w:tab w:val="clear" w:pos="8176"/>
              <w:tab w:val="right" w:pos="9026" w:leader="dot"/>
            </w:tabs>
            <w:rPr/>
          </w:pPr>
          <w:hyperlink w:anchor="__RefHeading___Toc2563997_1051229030">
            <w:r>
              <w:rPr>
                <w:webHidden/>
                <w:rStyle w:val="IndexLink"/>
                <w:rtl w:val="true"/>
              </w:rPr>
              <w:t>رژيم صهيونيستى با پديده ى تروريسم چه رابطه اى دارد؟</w:t>
            </w:r>
            <w:r>
              <w:rPr>
                <w:rStyle w:val="IndexLink"/>
                <w:rtl w:val="true"/>
              </w:rPr>
              <w:tab/>
            </w:r>
            <w:r>
              <w:rPr>
                <w:rStyle w:val="IndexLink"/>
              </w:rPr>
              <w:t>59</w:t>
            </w:r>
          </w:hyperlink>
        </w:p>
        <w:p>
          <w:pPr>
            <w:pStyle w:val="Contents4"/>
            <w:tabs>
              <w:tab w:val="clear" w:pos="8176"/>
              <w:tab w:val="right" w:pos="9026" w:leader="dot"/>
            </w:tabs>
            <w:rPr/>
          </w:pPr>
          <w:hyperlink w:anchor="__RefHeading___Toc2563999_1051229030">
            <w:r>
              <w:rPr>
                <w:webHidden/>
                <w:rStyle w:val="IndexLink"/>
                <w:rtl w:val="true"/>
              </w:rPr>
              <w:t>اسراييلى ها اين جوخه هاى اعدام را با چه توجيهى تشكيل مى دهند؟</w:t>
            </w:r>
            <w:r>
              <w:rPr>
                <w:rStyle w:val="IndexLink"/>
                <w:rtl w:val="true"/>
              </w:rPr>
              <w:tab/>
            </w:r>
            <w:r>
              <w:rPr>
                <w:rStyle w:val="IndexLink"/>
              </w:rPr>
              <w:t>61</w:t>
            </w:r>
          </w:hyperlink>
        </w:p>
        <w:p>
          <w:pPr>
            <w:pStyle w:val="Contents4"/>
            <w:tabs>
              <w:tab w:val="clear" w:pos="8176"/>
              <w:tab w:val="right" w:pos="9026" w:leader="dot"/>
            </w:tabs>
            <w:rPr/>
          </w:pPr>
          <w:hyperlink w:anchor="__RefHeading___Toc2564001_1051229030">
            <w:r>
              <w:rPr>
                <w:webHidden/>
                <w:rStyle w:val="IndexLink"/>
                <w:rtl w:val="true"/>
              </w:rPr>
              <w:t>يكى از مسايل ديگر، رابطه ى رژيم صهيونيستى با نژادپرستى 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2564003_1051229030">
            <w:r>
              <w:rPr>
                <w:webHidden/>
                <w:rStyle w:val="IndexLink"/>
                <w:rtl w:val="true"/>
              </w:rPr>
              <w:t xml:space="preserve">صهيونيسم با يهود چه تفاوتى دارد؟ </w:t>
            </w:r>
            <w:r>
              <w:rPr>
                <w:rStyle w:val="IndexLink"/>
                <w:rtl w:val="true"/>
              </w:rPr>
              <w:t xml:space="preserve">/ </w:t>
            </w:r>
            <w:r>
              <w:rPr>
                <w:rStyle w:val="IndexLink"/>
                <w:rtl w:val="true"/>
              </w:rPr>
              <w:t>على جديد بناب</w:t>
            </w:r>
            <w:r>
              <w:rPr>
                <w:rStyle w:val="IndexLink"/>
                <w:rtl w:val="true"/>
              </w:rPr>
              <w:tab/>
            </w:r>
            <w:r>
              <w:rPr>
                <w:rStyle w:val="IndexLink"/>
              </w:rPr>
              <w:t>65</w:t>
            </w:r>
          </w:hyperlink>
        </w:p>
        <w:p>
          <w:pPr>
            <w:pStyle w:val="Contents4"/>
            <w:tabs>
              <w:tab w:val="clear" w:pos="8176"/>
              <w:tab w:val="right" w:pos="9026" w:leader="dot"/>
            </w:tabs>
            <w:rPr/>
          </w:pPr>
          <w:hyperlink w:anchor="__RefHeading___Toc2564005_105122903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564007_1051229030">
            <w:r>
              <w:rPr>
                <w:webHidden/>
                <w:rStyle w:val="IndexLink"/>
              </w:rPr>
              <w:t>1</w:t>
            </w:r>
            <w:r>
              <w:rPr>
                <w:rStyle w:val="IndexLink"/>
                <w:rtl w:val="true"/>
              </w:rPr>
              <w:t>. «</w:t>
            </w:r>
            <w:r>
              <w:rPr>
                <w:rStyle w:val="IndexLink"/>
                <w:rtl w:val="true"/>
              </w:rPr>
              <w:t>يهود</w:t>
            </w:r>
            <w:r>
              <w:rPr>
                <w:rStyle w:val="IndexLink"/>
                <w:rtl w:val="true"/>
              </w:rPr>
              <w:t>»</w:t>
              <w:tab/>
            </w:r>
            <w:r>
              <w:rPr>
                <w:rStyle w:val="IndexLink"/>
              </w:rPr>
              <w:t>65</w:t>
            </w:r>
          </w:hyperlink>
        </w:p>
        <w:p>
          <w:pPr>
            <w:pStyle w:val="Contents4"/>
            <w:tabs>
              <w:tab w:val="clear" w:pos="8176"/>
              <w:tab w:val="right" w:pos="9026" w:leader="dot"/>
            </w:tabs>
            <w:rPr/>
          </w:pPr>
          <w:hyperlink w:anchor="__RefHeading___Toc2564009_1051229030">
            <w:r>
              <w:rPr>
                <w:webHidden/>
                <w:rStyle w:val="IndexLink"/>
              </w:rPr>
              <w:t>2</w:t>
            </w:r>
            <w:r>
              <w:rPr>
                <w:rStyle w:val="IndexLink"/>
                <w:rtl w:val="true"/>
              </w:rPr>
              <w:t>. «</w:t>
            </w:r>
            <w:r>
              <w:rPr>
                <w:rStyle w:val="IndexLink"/>
                <w:rtl w:val="true"/>
              </w:rPr>
              <w:t>يهود</w:t>
            </w:r>
            <w:r>
              <w:rPr>
                <w:rStyle w:val="IndexLink"/>
                <w:rtl w:val="true"/>
              </w:rPr>
              <w:t xml:space="preserve">» </w:t>
            </w:r>
            <w:r>
              <w:rPr>
                <w:rStyle w:val="IndexLink"/>
                <w:rtl w:val="true"/>
              </w:rPr>
              <w:t>در اصطلاح</w:t>
            </w:r>
            <w:r>
              <w:rPr>
                <w:rStyle w:val="IndexLink"/>
                <w:rtl w:val="true"/>
              </w:rPr>
              <w:tab/>
            </w:r>
            <w:r>
              <w:rPr>
                <w:rStyle w:val="IndexLink"/>
              </w:rPr>
              <w:t>65</w:t>
            </w:r>
          </w:hyperlink>
        </w:p>
        <w:p>
          <w:pPr>
            <w:pStyle w:val="Contents4"/>
            <w:tabs>
              <w:tab w:val="clear" w:pos="8176"/>
              <w:tab w:val="right" w:pos="9026" w:leader="dot"/>
            </w:tabs>
            <w:rPr/>
          </w:pPr>
          <w:hyperlink w:anchor="__RefHeading___Toc2564011_1051229030">
            <w:r>
              <w:rPr>
                <w:webHidden/>
                <w:rStyle w:val="IndexLink"/>
              </w:rPr>
              <w:t>3</w:t>
            </w:r>
            <w:r>
              <w:rPr>
                <w:rStyle w:val="IndexLink"/>
                <w:rtl w:val="true"/>
              </w:rPr>
              <w:t xml:space="preserve">. </w:t>
            </w:r>
            <w:r>
              <w:rPr>
                <w:rStyle w:val="IndexLink"/>
                <w:rtl w:val="true"/>
              </w:rPr>
              <w:t>صهيون، صهيونى و صهيونيسم در لغت و اصطلاح</w:t>
            </w:r>
            <w:r>
              <w:rPr>
                <w:rStyle w:val="IndexLink"/>
                <w:rtl w:val="true"/>
              </w:rPr>
              <w:tab/>
            </w:r>
            <w:r>
              <w:rPr>
                <w:rStyle w:val="IndexLink"/>
              </w:rPr>
              <w:t>65</w:t>
            </w:r>
          </w:hyperlink>
        </w:p>
        <w:p>
          <w:pPr>
            <w:pStyle w:val="Contents5"/>
            <w:tabs>
              <w:tab w:val="clear" w:pos="7892"/>
              <w:tab w:val="right" w:pos="9026" w:leader="dot"/>
            </w:tabs>
            <w:rPr/>
          </w:pPr>
          <w:hyperlink w:anchor="__RefHeading___Toc2564013_1051229030">
            <w:r>
              <w:rPr>
                <w:webHidden/>
                <w:rStyle w:val="IndexLink"/>
                <w:rtl w:val="true"/>
              </w:rPr>
              <w:t xml:space="preserve">الف </w:t>
            </w:r>
            <w:r>
              <w:rPr>
                <w:rStyle w:val="IndexLink"/>
                <w:rtl w:val="true"/>
              </w:rPr>
              <w:t xml:space="preserve">- </w:t>
            </w:r>
            <w:r>
              <w:rPr>
                <w:rStyle w:val="IndexLink"/>
                <w:rtl w:val="true"/>
              </w:rPr>
              <w:t>صهيون</w:t>
            </w:r>
            <w:r>
              <w:rPr>
                <w:rStyle w:val="IndexLink"/>
                <w:rtl w:val="true"/>
              </w:rPr>
              <w:tab/>
            </w:r>
            <w:r>
              <w:rPr>
                <w:rStyle w:val="IndexLink"/>
              </w:rPr>
              <w:t>65</w:t>
            </w:r>
          </w:hyperlink>
        </w:p>
        <w:p>
          <w:pPr>
            <w:pStyle w:val="Contents5"/>
            <w:tabs>
              <w:tab w:val="clear" w:pos="7892"/>
              <w:tab w:val="right" w:pos="9026" w:leader="dot"/>
            </w:tabs>
            <w:rPr/>
          </w:pPr>
          <w:hyperlink w:anchor="__RefHeading___Toc2564015_1051229030">
            <w:r>
              <w:rPr>
                <w:webHidden/>
                <w:rStyle w:val="IndexLink"/>
                <w:rtl w:val="true"/>
              </w:rPr>
              <w:t xml:space="preserve">ب </w:t>
            </w:r>
            <w:r>
              <w:rPr>
                <w:rStyle w:val="IndexLink"/>
                <w:rtl w:val="true"/>
              </w:rPr>
              <w:t xml:space="preserve">- </w:t>
            </w:r>
            <w:r>
              <w:rPr>
                <w:rStyle w:val="IndexLink"/>
                <w:rtl w:val="true"/>
              </w:rPr>
              <w:t>صهيونى</w:t>
            </w:r>
            <w:r>
              <w:rPr>
                <w:rStyle w:val="IndexLink"/>
                <w:rtl w:val="true"/>
              </w:rPr>
              <w:tab/>
            </w:r>
            <w:r>
              <w:rPr>
                <w:rStyle w:val="IndexLink"/>
              </w:rPr>
              <w:t>66</w:t>
            </w:r>
          </w:hyperlink>
        </w:p>
        <w:p>
          <w:pPr>
            <w:pStyle w:val="Contents5"/>
            <w:tabs>
              <w:tab w:val="clear" w:pos="7892"/>
              <w:tab w:val="right" w:pos="9026" w:leader="dot"/>
            </w:tabs>
            <w:rPr/>
          </w:pPr>
          <w:hyperlink w:anchor="__RefHeading___Toc2564017_1051229030">
            <w:r>
              <w:rPr>
                <w:webHidden/>
                <w:rStyle w:val="IndexLink"/>
                <w:rtl w:val="true"/>
              </w:rPr>
              <w:t xml:space="preserve">ج </w:t>
            </w:r>
            <w:r>
              <w:rPr>
                <w:rStyle w:val="IndexLink"/>
                <w:rtl w:val="true"/>
              </w:rPr>
              <w:t xml:space="preserve">- </w:t>
            </w:r>
            <w:r>
              <w:rPr>
                <w:rStyle w:val="IndexLink"/>
                <w:rtl w:val="true"/>
              </w:rPr>
              <w:t>صهيونيسم</w:t>
            </w:r>
            <w:r>
              <w:rPr>
                <w:rStyle w:val="IndexLink"/>
                <w:rtl w:val="true"/>
              </w:rPr>
              <w:tab/>
            </w:r>
            <w:r>
              <w:rPr>
                <w:rStyle w:val="IndexLink"/>
              </w:rPr>
              <w:t>66</w:t>
            </w:r>
          </w:hyperlink>
        </w:p>
        <w:p>
          <w:pPr>
            <w:pStyle w:val="Contents3"/>
            <w:tabs>
              <w:tab w:val="clear" w:pos="8459"/>
              <w:tab w:val="right" w:pos="9026" w:leader="dot"/>
            </w:tabs>
            <w:rPr/>
          </w:pPr>
          <w:hyperlink w:anchor="__RefHeading___Toc2564019_1051229030">
            <w:r>
              <w:rPr>
                <w:webHidden/>
                <w:rStyle w:val="IndexLink"/>
                <w:rtl w:val="true"/>
              </w:rPr>
              <w:t xml:space="preserve">شناسايى اسراييل از ديدگاه حقوق بين الملل </w:t>
            </w:r>
            <w:r>
              <w:rPr>
                <w:rStyle w:val="IndexLink"/>
                <w:rtl w:val="true"/>
              </w:rPr>
              <w:t xml:space="preserve">/ </w:t>
            </w:r>
            <w:r>
              <w:rPr>
                <w:rStyle w:val="IndexLink"/>
                <w:rtl w:val="true"/>
              </w:rPr>
              <w:t>محمد رضا باقرزاده</w:t>
            </w:r>
            <w:r>
              <w:rPr>
                <w:rStyle w:val="IndexLink"/>
                <w:rtl w:val="true"/>
              </w:rPr>
              <w:tab/>
            </w:r>
            <w:r>
              <w:rPr>
                <w:rStyle w:val="IndexLink"/>
              </w:rPr>
              <w:t>70</w:t>
            </w:r>
          </w:hyperlink>
        </w:p>
        <w:p>
          <w:pPr>
            <w:pStyle w:val="Contents3"/>
            <w:tabs>
              <w:tab w:val="clear" w:pos="8459"/>
              <w:tab w:val="right" w:pos="9026" w:leader="dot"/>
            </w:tabs>
            <w:rPr/>
          </w:pPr>
          <w:hyperlink w:anchor="__RefHeading___Toc2564021_1051229030">
            <w:r>
              <w:rPr>
                <w:webHidden/>
                <w:rStyle w:val="IndexLink"/>
                <w:rtl w:val="true"/>
              </w:rPr>
              <w:t xml:space="preserve">عادى شدن روابط كشورها با اسراييل و شناسايى آن كشور چه پى آمدهاى نامطلوبى براى منطقه دارد؟ </w:t>
            </w:r>
            <w:r>
              <w:rPr>
                <w:rStyle w:val="IndexLink"/>
                <w:rtl w:val="true"/>
              </w:rPr>
              <w:t xml:space="preserve">/ </w:t>
            </w:r>
            <w:r>
              <w:rPr>
                <w:rStyle w:val="IndexLink"/>
                <w:rtl w:val="true"/>
              </w:rPr>
              <w:t>اشراق حسينى</w:t>
            </w:r>
            <w:r>
              <w:rPr>
                <w:rStyle w:val="IndexLink"/>
                <w:rtl w:val="true"/>
              </w:rPr>
              <w:tab/>
            </w:r>
            <w:r>
              <w:rPr>
                <w:rStyle w:val="IndexLink"/>
              </w:rPr>
              <w:t>73</w:t>
            </w:r>
          </w:hyperlink>
        </w:p>
        <w:p>
          <w:pPr>
            <w:pStyle w:val="Contents2"/>
            <w:tabs>
              <w:tab w:val="clear" w:pos="8743"/>
              <w:tab w:val="right" w:pos="9026" w:leader="dot"/>
            </w:tabs>
            <w:rPr/>
          </w:pPr>
          <w:hyperlink w:anchor="__RefHeading___Toc2564023_1051229030">
            <w:r>
              <w:rPr>
                <w:webHidden/>
                <w:rStyle w:val="IndexLink"/>
                <w:rtl w:val="true"/>
              </w:rPr>
              <w:t>قرآن و تفسير</w:t>
            </w:r>
            <w:r>
              <w:rPr>
                <w:rStyle w:val="IndexLink"/>
                <w:rtl w:val="true"/>
              </w:rPr>
              <w:tab/>
            </w:r>
            <w:r>
              <w:rPr>
                <w:rStyle w:val="IndexLink"/>
              </w:rPr>
              <w:t>77</w:t>
            </w:r>
          </w:hyperlink>
        </w:p>
        <w:p>
          <w:pPr>
            <w:pStyle w:val="Contents3"/>
            <w:tabs>
              <w:tab w:val="clear" w:pos="8459"/>
              <w:tab w:val="right" w:pos="9026" w:leader="dot"/>
            </w:tabs>
            <w:rPr/>
          </w:pPr>
          <w:hyperlink w:anchor="__RefHeading___Toc2564025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564027_1051229030">
            <w:r>
              <w:rPr>
                <w:webHidden/>
                <w:rStyle w:val="IndexLink"/>
                <w:rtl w:val="true"/>
              </w:rPr>
              <w:t>عوامل عزت و ذلت را از ديدگاه قرآن بيان كنيد</w:t>
            </w:r>
            <w:r>
              <w:rPr>
                <w:rStyle w:val="IndexLink"/>
                <w:rtl w:val="true"/>
              </w:rPr>
              <w:t xml:space="preserve">. / </w:t>
            </w:r>
            <w:r>
              <w:rPr>
                <w:rStyle w:val="IndexLink"/>
                <w:rtl w:val="true"/>
              </w:rPr>
              <w:t>على اميرخانى</w:t>
            </w:r>
            <w:r>
              <w:rPr>
                <w:rStyle w:val="IndexLink"/>
                <w:rtl w:val="true"/>
              </w:rPr>
              <w:tab/>
            </w:r>
            <w:r>
              <w:rPr>
                <w:rStyle w:val="IndexLink"/>
              </w:rPr>
              <w:t>77</w:t>
            </w:r>
          </w:hyperlink>
        </w:p>
        <w:p>
          <w:pPr>
            <w:pStyle w:val="Contents4"/>
            <w:tabs>
              <w:tab w:val="clear" w:pos="8176"/>
              <w:tab w:val="right" w:pos="9026" w:leader="dot"/>
            </w:tabs>
            <w:rPr/>
          </w:pPr>
          <w:hyperlink w:anchor="__RefHeading___Toc2564029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564031_1051229030">
            <w:r>
              <w:rPr>
                <w:webHidden/>
                <w:rStyle w:val="IndexLink"/>
              </w:rPr>
              <w:t>1</w:t>
            </w:r>
            <w:r>
              <w:rPr>
                <w:rStyle w:val="IndexLink"/>
                <w:rtl w:val="true"/>
              </w:rPr>
              <w:t xml:space="preserve">. </w:t>
            </w:r>
            <w:r>
              <w:rPr>
                <w:rStyle w:val="IndexLink"/>
                <w:rtl w:val="true"/>
              </w:rPr>
              <w:t>عزّت خواهى از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2564033_1051229030">
            <w:r>
              <w:rPr>
                <w:webHidden/>
                <w:rStyle w:val="IndexLink"/>
              </w:rPr>
              <w:t>2</w:t>
            </w:r>
            <w:r>
              <w:rPr>
                <w:rStyle w:val="IndexLink"/>
                <w:rtl w:val="true"/>
              </w:rPr>
              <w:t xml:space="preserve">. </w:t>
            </w:r>
            <w:r>
              <w:rPr>
                <w:rStyle w:val="IndexLink"/>
                <w:rtl w:val="true"/>
              </w:rPr>
              <w:t>پاى بندى به قرآن كريم و دين مقدس اسلام</w:t>
            </w:r>
            <w:r>
              <w:rPr>
                <w:rStyle w:val="IndexLink"/>
                <w:rtl w:val="true"/>
              </w:rPr>
              <w:tab/>
            </w:r>
            <w:r>
              <w:rPr>
                <w:rStyle w:val="IndexLink"/>
              </w:rPr>
              <w:t>79</w:t>
            </w:r>
          </w:hyperlink>
        </w:p>
        <w:p>
          <w:pPr>
            <w:pStyle w:val="Contents4"/>
            <w:tabs>
              <w:tab w:val="clear" w:pos="8176"/>
              <w:tab w:val="right" w:pos="9026" w:leader="dot"/>
            </w:tabs>
            <w:rPr/>
          </w:pPr>
          <w:hyperlink w:anchor="__RefHeading___Toc2564035_1051229030">
            <w:r>
              <w:rPr>
                <w:webHidden/>
                <w:rStyle w:val="IndexLink"/>
              </w:rPr>
              <w:t>3</w:t>
            </w:r>
            <w:r>
              <w:rPr>
                <w:rStyle w:val="IndexLink"/>
                <w:rtl w:val="true"/>
              </w:rPr>
              <w:t xml:space="preserve">. </w:t>
            </w:r>
            <w:r>
              <w:rPr>
                <w:rStyle w:val="IndexLink"/>
                <w:rtl w:val="true"/>
              </w:rPr>
              <w:t>پيروى از رسول خدا</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 اهل بيت</w:t>
            </w:r>
            <w:r>
              <w:rPr>
                <w:rStyle w:val="IndexLink"/>
                <w:rtl w:val="true"/>
              </w:rPr>
              <w:t>(</w:t>
            </w:r>
            <w:r>
              <w:rPr>
                <w:rStyle w:val="IndexLink"/>
                <w:rtl w:val="true"/>
              </w:rPr>
              <w:t>عليهما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564037_1051229030">
            <w:r>
              <w:rPr>
                <w:webHidden/>
                <w:rStyle w:val="IndexLink"/>
              </w:rPr>
              <w:t>4</w:t>
            </w:r>
            <w:r>
              <w:rPr>
                <w:rStyle w:val="IndexLink"/>
                <w:rtl w:val="true"/>
              </w:rPr>
              <w:t xml:space="preserve">. </w:t>
            </w:r>
            <w:r>
              <w:rPr>
                <w:rStyle w:val="IndexLink"/>
                <w:rtl w:val="true"/>
              </w:rPr>
              <w:t>پيوند با مؤمنان</w:t>
            </w:r>
            <w:r>
              <w:rPr>
                <w:rStyle w:val="IndexLink"/>
                <w:rtl w:val="true"/>
              </w:rPr>
              <w:tab/>
            </w:r>
            <w:r>
              <w:rPr>
                <w:rStyle w:val="IndexLink"/>
              </w:rPr>
              <w:t>80</w:t>
            </w:r>
          </w:hyperlink>
        </w:p>
        <w:p>
          <w:pPr>
            <w:pStyle w:val="Contents4"/>
            <w:tabs>
              <w:tab w:val="clear" w:pos="8176"/>
              <w:tab w:val="right" w:pos="9026" w:leader="dot"/>
            </w:tabs>
            <w:rPr/>
          </w:pPr>
          <w:hyperlink w:anchor="__RefHeading___Toc2564039_1051229030">
            <w:r>
              <w:rPr>
                <w:webHidden/>
                <w:rStyle w:val="IndexLink"/>
              </w:rPr>
              <w:t>5</w:t>
            </w:r>
            <w:r>
              <w:rPr>
                <w:rStyle w:val="IndexLink"/>
                <w:rtl w:val="true"/>
              </w:rPr>
              <w:t xml:space="preserve">. </w:t>
            </w:r>
            <w:r>
              <w:rPr>
                <w:rStyle w:val="IndexLink"/>
                <w:rtl w:val="true"/>
              </w:rPr>
              <w:t>روزى حلال</w:t>
            </w:r>
            <w:r>
              <w:rPr>
                <w:rStyle w:val="IndexLink"/>
                <w:rtl w:val="true"/>
              </w:rPr>
              <w:tab/>
            </w:r>
            <w:r>
              <w:rPr>
                <w:rStyle w:val="IndexLink"/>
              </w:rPr>
              <w:t>81</w:t>
            </w:r>
          </w:hyperlink>
        </w:p>
        <w:p>
          <w:pPr>
            <w:pStyle w:val="Contents3"/>
            <w:tabs>
              <w:tab w:val="clear" w:pos="8459"/>
              <w:tab w:val="right" w:pos="9026" w:leader="dot"/>
            </w:tabs>
            <w:rPr/>
          </w:pPr>
          <w:hyperlink w:anchor="__RefHeading___Toc2564041_1051229030">
            <w:r>
              <w:rPr>
                <w:webHidden/>
                <w:rStyle w:val="IndexLink"/>
                <w:rtl w:val="true"/>
              </w:rPr>
              <w:t xml:space="preserve">پى آمدهاى عوام زدگى و راه كارهاى مبارزه با آن از ديدگاه قرآن و حديث چيست؟ </w:t>
            </w:r>
            <w:r>
              <w:rPr>
                <w:rStyle w:val="IndexLink"/>
                <w:rtl w:val="true"/>
              </w:rPr>
              <w:t xml:space="preserve">/ </w:t>
            </w:r>
            <w:r>
              <w:rPr>
                <w:rStyle w:val="IndexLink"/>
                <w:rtl w:val="true"/>
              </w:rPr>
              <w:t>سيد جواد حسينى</w:t>
            </w:r>
            <w:r>
              <w:rPr>
                <w:rStyle w:val="IndexLink"/>
                <w:rtl w:val="true"/>
              </w:rPr>
              <w:tab/>
            </w:r>
            <w:r>
              <w:rPr>
                <w:rStyle w:val="IndexLink"/>
              </w:rPr>
              <w:t>83</w:t>
            </w:r>
          </w:hyperlink>
        </w:p>
        <w:p>
          <w:pPr>
            <w:pStyle w:val="Contents4"/>
            <w:tabs>
              <w:tab w:val="clear" w:pos="8176"/>
              <w:tab w:val="right" w:pos="9026" w:leader="dot"/>
            </w:tabs>
            <w:rPr/>
          </w:pPr>
          <w:hyperlink w:anchor="__RefHeading___Toc2564043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564045_1051229030">
            <w:r>
              <w:rPr>
                <w:webHidden/>
                <w:rStyle w:val="IndexLink"/>
                <w:rtl w:val="true"/>
              </w:rPr>
              <w:t>پى آمدهاى عوام زدگى</w:t>
            </w:r>
            <w:r>
              <w:rPr>
                <w:rStyle w:val="IndexLink"/>
                <w:rtl w:val="true"/>
              </w:rPr>
              <w:tab/>
            </w:r>
            <w:r>
              <w:rPr>
                <w:rStyle w:val="IndexLink"/>
              </w:rPr>
              <w:t>84</w:t>
            </w:r>
          </w:hyperlink>
        </w:p>
        <w:p>
          <w:pPr>
            <w:pStyle w:val="Contents5"/>
            <w:tabs>
              <w:tab w:val="clear" w:pos="7892"/>
              <w:tab w:val="right" w:pos="9026" w:leader="dot"/>
            </w:tabs>
            <w:rPr/>
          </w:pPr>
          <w:hyperlink w:anchor="__RefHeading___Toc2564047_1051229030">
            <w:r>
              <w:rPr>
                <w:webHidden/>
                <w:rStyle w:val="IndexLink"/>
              </w:rPr>
              <w:t>1</w:t>
            </w:r>
            <w:r>
              <w:rPr>
                <w:rStyle w:val="IndexLink"/>
                <w:rtl w:val="true"/>
              </w:rPr>
              <w:t xml:space="preserve">. </w:t>
            </w:r>
            <w:r>
              <w:rPr>
                <w:rStyle w:val="IndexLink"/>
                <w:rtl w:val="true"/>
              </w:rPr>
              <w:t>سطحى انديشيدن</w:t>
            </w:r>
            <w:r>
              <w:rPr>
                <w:rStyle w:val="IndexLink"/>
                <w:rtl w:val="true"/>
              </w:rPr>
              <w:tab/>
            </w:r>
            <w:r>
              <w:rPr>
                <w:rStyle w:val="IndexLink"/>
              </w:rPr>
              <w:t>84</w:t>
            </w:r>
          </w:hyperlink>
        </w:p>
        <w:p>
          <w:pPr>
            <w:pStyle w:val="Contents5"/>
            <w:tabs>
              <w:tab w:val="clear" w:pos="7892"/>
              <w:tab w:val="right" w:pos="9026" w:leader="dot"/>
            </w:tabs>
            <w:rPr/>
          </w:pPr>
          <w:hyperlink w:anchor="__RefHeading___Toc2564049_1051229030">
            <w:r>
              <w:rPr>
                <w:webHidden/>
                <w:rStyle w:val="IndexLink"/>
              </w:rPr>
              <w:t>2</w:t>
            </w:r>
            <w:r>
              <w:rPr>
                <w:rStyle w:val="IndexLink"/>
                <w:rtl w:val="true"/>
              </w:rPr>
              <w:t xml:space="preserve">. </w:t>
            </w:r>
            <w:r>
              <w:rPr>
                <w:rStyle w:val="IndexLink"/>
                <w:rtl w:val="true"/>
              </w:rPr>
              <w:t>واپس گرايى</w:t>
            </w:r>
            <w:r>
              <w:rPr>
                <w:rStyle w:val="IndexLink"/>
                <w:rtl w:val="true"/>
              </w:rPr>
              <w:tab/>
            </w:r>
            <w:r>
              <w:rPr>
                <w:rStyle w:val="IndexLink"/>
              </w:rPr>
              <w:t>84</w:t>
            </w:r>
          </w:hyperlink>
        </w:p>
        <w:p>
          <w:pPr>
            <w:pStyle w:val="Contents5"/>
            <w:tabs>
              <w:tab w:val="clear" w:pos="7892"/>
              <w:tab w:val="right" w:pos="9026" w:leader="dot"/>
            </w:tabs>
            <w:rPr/>
          </w:pPr>
          <w:hyperlink w:anchor="__RefHeading___Toc2564051_1051229030">
            <w:r>
              <w:rPr>
                <w:webHidden/>
                <w:rStyle w:val="IndexLink"/>
              </w:rPr>
              <w:t>3</w:t>
            </w:r>
            <w:r>
              <w:rPr>
                <w:rStyle w:val="IndexLink"/>
                <w:rtl w:val="true"/>
              </w:rPr>
              <w:t xml:space="preserve">. </w:t>
            </w:r>
            <w:r>
              <w:rPr>
                <w:rStyle w:val="IndexLink"/>
                <w:rtl w:val="true"/>
              </w:rPr>
              <w:t>سكوت و سكون</w:t>
            </w:r>
            <w:r>
              <w:rPr>
                <w:rStyle w:val="IndexLink"/>
                <w:rtl w:val="true"/>
              </w:rPr>
              <w:tab/>
            </w:r>
            <w:r>
              <w:rPr>
                <w:rStyle w:val="IndexLink"/>
              </w:rPr>
              <w:t>85</w:t>
            </w:r>
          </w:hyperlink>
        </w:p>
        <w:p>
          <w:pPr>
            <w:pStyle w:val="Contents5"/>
            <w:tabs>
              <w:tab w:val="clear" w:pos="7892"/>
              <w:tab w:val="right" w:pos="9026" w:leader="dot"/>
            </w:tabs>
            <w:rPr/>
          </w:pPr>
          <w:hyperlink w:anchor="__RefHeading___Toc2564053_1051229030">
            <w:r>
              <w:rPr>
                <w:webHidden/>
                <w:rStyle w:val="IndexLink"/>
              </w:rPr>
              <w:t>4</w:t>
            </w:r>
            <w:r>
              <w:rPr>
                <w:rStyle w:val="IndexLink"/>
                <w:rtl w:val="true"/>
              </w:rPr>
              <w:t xml:space="preserve">. </w:t>
            </w:r>
            <w:r>
              <w:rPr>
                <w:rStyle w:val="IndexLink"/>
                <w:rtl w:val="true"/>
              </w:rPr>
              <w:t>افزايش روح مسامحه كارى</w:t>
            </w:r>
            <w:r>
              <w:rPr>
                <w:rStyle w:val="IndexLink"/>
                <w:rtl w:val="true"/>
              </w:rPr>
              <w:tab/>
            </w:r>
            <w:r>
              <w:rPr>
                <w:rStyle w:val="IndexLink"/>
              </w:rPr>
              <w:t>85</w:t>
            </w:r>
          </w:hyperlink>
        </w:p>
        <w:p>
          <w:pPr>
            <w:pStyle w:val="Contents5"/>
            <w:tabs>
              <w:tab w:val="clear" w:pos="7892"/>
              <w:tab w:val="right" w:pos="9026" w:leader="dot"/>
            </w:tabs>
            <w:rPr/>
          </w:pPr>
          <w:hyperlink w:anchor="__RefHeading___Toc2564055_1051229030">
            <w:r>
              <w:rPr>
                <w:webHidden/>
                <w:rStyle w:val="IndexLink"/>
              </w:rPr>
              <w:t>5</w:t>
            </w:r>
            <w:r>
              <w:rPr>
                <w:rStyle w:val="IndexLink"/>
                <w:rtl w:val="true"/>
              </w:rPr>
              <w:t xml:space="preserve">. </w:t>
            </w:r>
            <w:r>
              <w:rPr>
                <w:rStyle w:val="IndexLink"/>
                <w:rtl w:val="true"/>
              </w:rPr>
              <w:t>دل خون شدن آزادمردان و اصلاح طلبان</w:t>
            </w:r>
            <w:r>
              <w:rPr>
                <w:rStyle w:val="IndexLink"/>
                <w:rtl w:val="true"/>
              </w:rPr>
              <w:tab/>
            </w:r>
            <w:r>
              <w:rPr>
                <w:rStyle w:val="IndexLink"/>
              </w:rPr>
              <w:t>86</w:t>
            </w:r>
          </w:hyperlink>
        </w:p>
        <w:p>
          <w:pPr>
            <w:pStyle w:val="Contents5"/>
            <w:tabs>
              <w:tab w:val="clear" w:pos="7892"/>
              <w:tab w:val="right" w:pos="9026" w:leader="dot"/>
            </w:tabs>
            <w:rPr/>
          </w:pPr>
          <w:hyperlink w:anchor="__RefHeading___Toc2564057_1051229030">
            <w:r>
              <w:rPr>
                <w:webHidden/>
                <w:rStyle w:val="IndexLink"/>
              </w:rPr>
              <w:t>6</w:t>
            </w:r>
            <w:r>
              <w:rPr>
                <w:rStyle w:val="IndexLink"/>
                <w:rtl w:val="true"/>
              </w:rPr>
              <w:t xml:space="preserve">. </w:t>
            </w:r>
            <w:r>
              <w:rPr>
                <w:rStyle w:val="IndexLink"/>
                <w:rtl w:val="true"/>
              </w:rPr>
              <w:t>به رنج افتادن مردم</w:t>
            </w:r>
            <w:r>
              <w:rPr>
                <w:rStyle w:val="IndexLink"/>
                <w:rtl w:val="true"/>
              </w:rPr>
              <w:tab/>
            </w:r>
            <w:r>
              <w:rPr>
                <w:rStyle w:val="IndexLink"/>
              </w:rPr>
              <w:t>87</w:t>
            </w:r>
          </w:hyperlink>
        </w:p>
        <w:p>
          <w:pPr>
            <w:pStyle w:val="Contents5"/>
            <w:tabs>
              <w:tab w:val="clear" w:pos="7892"/>
              <w:tab w:val="right" w:pos="9026" w:leader="dot"/>
            </w:tabs>
            <w:rPr/>
          </w:pPr>
          <w:hyperlink w:anchor="__RefHeading___Toc2564059_1051229030">
            <w:r>
              <w:rPr>
                <w:webHidden/>
                <w:rStyle w:val="IndexLink"/>
              </w:rPr>
              <w:t>7</w:t>
            </w:r>
            <w:r>
              <w:rPr>
                <w:rStyle w:val="IndexLink"/>
                <w:rtl w:val="true"/>
              </w:rPr>
              <w:t xml:space="preserve">. </w:t>
            </w:r>
            <w:r>
              <w:rPr>
                <w:rStyle w:val="IndexLink"/>
                <w:rtl w:val="true"/>
              </w:rPr>
              <w:t>از دست دادن يارى خداوند و ولايت الهى</w:t>
            </w:r>
            <w:r>
              <w:rPr>
                <w:rStyle w:val="IndexLink"/>
                <w:rtl w:val="true"/>
              </w:rPr>
              <w:tab/>
            </w:r>
            <w:r>
              <w:rPr>
                <w:rStyle w:val="IndexLink"/>
              </w:rPr>
              <w:t>87</w:t>
            </w:r>
          </w:hyperlink>
        </w:p>
        <w:p>
          <w:pPr>
            <w:pStyle w:val="Contents5"/>
            <w:tabs>
              <w:tab w:val="clear" w:pos="7892"/>
              <w:tab w:val="right" w:pos="9026" w:leader="dot"/>
            </w:tabs>
            <w:rPr/>
          </w:pPr>
          <w:hyperlink w:anchor="__RefHeading___Toc2564061_1051229030">
            <w:r>
              <w:rPr>
                <w:webHidden/>
                <w:rStyle w:val="IndexLink"/>
              </w:rPr>
              <w:t>8</w:t>
            </w:r>
            <w:r>
              <w:rPr>
                <w:rStyle w:val="IndexLink"/>
                <w:rtl w:val="true"/>
              </w:rPr>
              <w:t xml:space="preserve">. </w:t>
            </w:r>
            <w:r>
              <w:rPr>
                <w:rStyle w:val="IndexLink"/>
                <w:rtl w:val="true"/>
              </w:rPr>
              <w:t>تباهى جهان</w:t>
            </w:r>
            <w:r>
              <w:rPr>
                <w:rStyle w:val="IndexLink"/>
                <w:rtl w:val="true"/>
              </w:rPr>
              <w:tab/>
            </w:r>
            <w:r>
              <w:rPr>
                <w:rStyle w:val="IndexLink"/>
              </w:rPr>
              <w:t>87</w:t>
            </w:r>
          </w:hyperlink>
        </w:p>
        <w:p>
          <w:pPr>
            <w:pStyle w:val="Contents4"/>
            <w:tabs>
              <w:tab w:val="clear" w:pos="8176"/>
              <w:tab w:val="right" w:pos="9026" w:leader="dot"/>
            </w:tabs>
            <w:rPr/>
          </w:pPr>
          <w:hyperlink w:anchor="__RefHeading___Toc2564063_1051229030">
            <w:r>
              <w:rPr>
                <w:webHidden/>
                <w:rStyle w:val="IndexLink"/>
                <w:rtl w:val="true"/>
              </w:rPr>
              <w:t>پيش زمينه هاى عوام زدگى</w:t>
            </w:r>
            <w:r>
              <w:rPr>
                <w:rStyle w:val="IndexLink"/>
                <w:rtl w:val="true"/>
              </w:rPr>
              <w:tab/>
            </w:r>
            <w:r>
              <w:rPr>
                <w:rStyle w:val="IndexLink"/>
              </w:rPr>
              <w:t>88</w:t>
            </w:r>
          </w:hyperlink>
        </w:p>
        <w:p>
          <w:pPr>
            <w:pStyle w:val="Contents5"/>
            <w:tabs>
              <w:tab w:val="clear" w:pos="7892"/>
              <w:tab w:val="right" w:pos="9026" w:leader="dot"/>
            </w:tabs>
            <w:rPr/>
          </w:pPr>
          <w:hyperlink w:anchor="__RefHeading___Toc2564065_1051229030">
            <w:r>
              <w:rPr>
                <w:webHidden/>
                <w:rStyle w:val="IndexLink"/>
              </w:rPr>
              <w:t>1</w:t>
            </w:r>
            <w:r>
              <w:rPr>
                <w:rStyle w:val="IndexLink"/>
                <w:rtl w:val="true"/>
              </w:rPr>
              <w:t xml:space="preserve">. </w:t>
            </w:r>
            <w:r>
              <w:rPr>
                <w:rStyle w:val="IndexLink"/>
                <w:rtl w:val="true"/>
              </w:rPr>
              <w:t>وابستگى مالى</w:t>
            </w:r>
            <w:r>
              <w:rPr>
                <w:rStyle w:val="IndexLink"/>
                <w:rtl w:val="true"/>
              </w:rPr>
              <w:tab/>
            </w:r>
            <w:r>
              <w:rPr>
                <w:rStyle w:val="IndexLink"/>
              </w:rPr>
              <w:t>88</w:t>
            </w:r>
          </w:hyperlink>
        </w:p>
        <w:p>
          <w:pPr>
            <w:pStyle w:val="Contents5"/>
            <w:tabs>
              <w:tab w:val="clear" w:pos="7892"/>
              <w:tab w:val="right" w:pos="9026" w:leader="dot"/>
            </w:tabs>
            <w:rPr/>
          </w:pPr>
          <w:hyperlink w:anchor="__RefHeading___Toc2564067_1051229030">
            <w:r>
              <w:rPr>
                <w:webHidden/>
                <w:rStyle w:val="IndexLink"/>
              </w:rPr>
              <w:t>2</w:t>
            </w:r>
            <w:r>
              <w:rPr>
                <w:rStyle w:val="IndexLink"/>
                <w:rtl w:val="true"/>
              </w:rPr>
              <w:t xml:space="preserve">. </w:t>
            </w:r>
            <w:r>
              <w:rPr>
                <w:rStyle w:val="IndexLink"/>
                <w:rtl w:val="true"/>
              </w:rPr>
              <w:t>حفظ جايگاه اجتماعى</w:t>
            </w:r>
            <w:r>
              <w:rPr>
                <w:rStyle w:val="IndexLink"/>
                <w:rtl w:val="true"/>
              </w:rPr>
              <w:tab/>
            </w:r>
            <w:r>
              <w:rPr>
                <w:rStyle w:val="IndexLink"/>
              </w:rPr>
              <w:t>88</w:t>
            </w:r>
          </w:hyperlink>
        </w:p>
        <w:p>
          <w:pPr>
            <w:pStyle w:val="Contents5"/>
            <w:tabs>
              <w:tab w:val="clear" w:pos="7892"/>
              <w:tab w:val="right" w:pos="9026" w:leader="dot"/>
            </w:tabs>
            <w:rPr/>
          </w:pPr>
          <w:hyperlink w:anchor="__RefHeading___Toc2564069_1051229030">
            <w:r>
              <w:rPr>
                <w:webHidden/>
                <w:rStyle w:val="IndexLink"/>
              </w:rPr>
              <w:t>3</w:t>
            </w:r>
            <w:r>
              <w:rPr>
                <w:rStyle w:val="IndexLink"/>
                <w:rtl w:val="true"/>
              </w:rPr>
              <w:t xml:space="preserve"> . </w:t>
            </w:r>
            <w:r>
              <w:rPr>
                <w:rStyle w:val="IndexLink"/>
                <w:rtl w:val="true"/>
              </w:rPr>
              <w:t>سستى اراده</w:t>
            </w:r>
            <w:r>
              <w:rPr>
                <w:rStyle w:val="IndexLink"/>
                <w:rtl w:val="true"/>
              </w:rPr>
              <w:tab/>
            </w:r>
            <w:r>
              <w:rPr>
                <w:rStyle w:val="IndexLink"/>
              </w:rPr>
              <w:t>88</w:t>
            </w:r>
          </w:hyperlink>
        </w:p>
        <w:p>
          <w:pPr>
            <w:pStyle w:val="Contents5"/>
            <w:tabs>
              <w:tab w:val="clear" w:pos="7892"/>
              <w:tab w:val="right" w:pos="9026" w:leader="dot"/>
            </w:tabs>
            <w:rPr/>
          </w:pPr>
          <w:hyperlink w:anchor="__RefHeading___Toc2564071_1051229030">
            <w:r>
              <w:rPr>
                <w:webHidden/>
                <w:rStyle w:val="IndexLink"/>
              </w:rPr>
              <w:t>4</w:t>
            </w:r>
            <w:r>
              <w:rPr>
                <w:rStyle w:val="IndexLink"/>
                <w:rtl w:val="true"/>
              </w:rPr>
              <w:t xml:space="preserve"> . </w:t>
            </w:r>
            <w:r>
              <w:rPr>
                <w:rStyle w:val="IndexLink"/>
                <w:rtl w:val="true"/>
              </w:rPr>
              <w:t>سستى اخلاص</w:t>
            </w:r>
            <w:r>
              <w:rPr>
                <w:rStyle w:val="IndexLink"/>
                <w:rtl w:val="true"/>
              </w:rPr>
              <w:tab/>
            </w:r>
            <w:r>
              <w:rPr>
                <w:rStyle w:val="IndexLink"/>
              </w:rPr>
              <w:t>88</w:t>
            </w:r>
          </w:hyperlink>
        </w:p>
        <w:p>
          <w:pPr>
            <w:pStyle w:val="Contents5"/>
            <w:tabs>
              <w:tab w:val="clear" w:pos="7892"/>
              <w:tab w:val="right" w:pos="9026" w:leader="dot"/>
            </w:tabs>
            <w:rPr/>
          </w:pPr>
          <w:hyperlink w:anchor="__RefHeading___Toc2564073_1051229030">
            <w:r>
              <w:rPr>
                <w:webHidden/>
                <w:rStyle w:val="IndexLink"/>
              </w:rPr>
              <w:t>5</w:t>
            </w:r>
            <w:r>
              <w:rPr>
                <w:rStyle w:val="IndexLink"/>
                <w:rtl w:val="true"/>
              </w:rPr>
              <w:t xml:space="preserve">. </w:t>
            </w:r>
            <w:r>
              <w:rPr>
                <w:rStyle w:val="IndexLink"/>
                <w:rtl w:val="true"/>
              </w:rPr>
              <w:t>ناآگاهى از زمان</w:t>
            </w:r>
            <w:r>
              <w:rPr>
                <w:rStyle w:val="IndexLink"/>
                <w:rtl w:val="true"/>
              </w:rPr>
              <w:tab/>
            </w:r>
            <w:r>
              <w:rPr>
                <w:rStyle w:val="IndexLink"/>
              </w:rPr>
              <w:t>89</w:t>
            </w:r>
          </w:hyperlink>
        </w:p>
        <w:p>
          <w:pPr>
            <w:pStyle w:val="Contents4"/>
            <w:tabs>
              <w:tab w:val="clear" w:pos="8176"/>
              <w:tab w:val="right" w:pos="9026" w:leader="dot"/>
            </w:tabs>
            <w:rPr/>
          </w:pPr>
          <w:hyperlink w:anchor="__RefHeading___Toc2564075_1051229030">
            <w:r>
              <w:rPr>
                <w:webHidden/>
                <w:rStyle w:val="IndexLink"/>
                <w:rtl w:val="true"/>
              </w:rPr>
              <w:t>راه كارهاى مبارزه با عوام زدگى</w:t>
            </w:r>
            <w:r>
              <w:rPr>
                <w:rStyle w:val="IndexLink"/>
                <w:rtl w:val="true"/>
              </w:rPr>
              <w:tab/>
            </w:r>
            <w:r>
              <w:rPr>
                <w:rStyle w:val="IndexLink"/>
              </w:rPr>
              <w:t>89</w:t>
            </w:r>
          </w:hyperlink>
        </w:p>
        <w:p>
          <w:pPr>
            <w:pStyle w:val="Contents5"/>
            <w:tabs>
              <w:tab w:val="clear" w:pos="7892"/>
              <w:tab w:val="right" w:pos="9026" w:leader="dot"/>
            </w:tabs>
            <w:rPr/>
          </w:pPr>
          <w:hyperlink w:anchor="__RefHeading___Toc2564077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564079_1051229030">
            <w:r>
              <w:rPr>
                <w:webHidden/>
                <w:rStyle w:val="IndexLink"/>
              </w:rPr>
              <w:t>1</w:t>
            </w:r>
            <w:r>
              <w:rPr>
                <w:rStyle w:val="IndexLink"/>
                <w:rtl w:val="true"/>
              </w:rPr>
              <w:t xml:space="preserve">. </w:t>
            </w:r>
            <w:r>
              <w:rPr>
                <w:rStyle w:val="IndexLink"/>
                <w:rtl w:val="true"/>
              </w:rPr>
              <w:t>اصلاح معاش انديشمندان جامعه</w:t>
            </w:r>
            <w:r>
              <w:rPr>
                <w:rStyle w:val="IndexLink"/>
                <w:rtl w:val="true"/>
              </w:rPr>
              <w:tab/>
            </w:r>
            <w:r>
              <w:rPr>
                <w:rStyle w:val="IndexLink"/>
              </w:rPr>
              <w:t>89</w:t>
            </w:r>
          </w:hyperlink>
        </w:p>
        <w:p>
          <w:pPr>
            <w:pStyle w:val="Contents5"/>
            <w:tabs>
              <w:tab w:val="clear" w:pos="7892"/>
              <w:tab w:val="right" w:pos="9026" w:leader="dot"/>
            </w:tabs>
            <w:rPr/>
          </w:pPr>
          <w:hyperlink w:anchor="__RefHeading___Toc2564081_1051229030">
            <w:r>
              <w:rPr>
                <w:webHidden/>
                <w:rStyle w:val="IndexLink"/>
              </w:rPr>
              <w:t>2</w:t>
            </w:r>
            <w:r>
              <w:rPr>
                <w:rStyle w:val="IndexLink"/>
                <w:rtl w:val="true"/>
              </w:rPr>
              <w:t xml:space="preserve">. </w:t>
            </w:r>
            <w:r>
              <w:rPr>
                <w:rStyle w:val="IndexLink"/>
                <w:rtl w:val="true"/>
              </w:rPr>
              <w:t>سامان دهى پايگاه هاى فكرى جامعه</w:t>
            </w:r>
            <w:r>
              <w:rPr>
                <w:rStyle w:val="IndexLink"/>
                <w:rtl w:val="true"/>
              </w:rPr>
              <w:tab/>
            </w:r>
            <w:r>
              <w:rPr>
                <w:rStyle w:val="IndexLink"/>
              </w:rPr>
              <w:t>89</w:t>
            </w:r>
          </w:hyperlink>
        </w:p>
        <w:p>
          <w:pPr>
            <w:pStyle w:val="Contents5"/>
            <w:tabs>
              <w:tab w:val="clear" w:pos="7892"/>
              <w:tab w:val="right" w:pos="9026" w:leader="dot"/>
            </w:tabs>
            <w:rPr/>
          </w:pPr>
          <w:hyperlink w:anchor="__RefHeading___Toc2564083_1051229030">
            <w:r>
              <w:rPr>
                <w:webHidden/>
                <w:rStyle w:val="IndexLink"/>
              </w:rPr>
              <w:t>3</w:t>
            </w:r>
            <w:r>
              <w:rPr>
                <w:rStyle w:val="IndexLink"/>
                <w:rtl w:val="true"/>
              </w:rPr>
              <w:t xml:space="preserve">. </w:t>
            </w:r>
            <w:r>
              <w:rPr>
                <w:rStyle w:val="IndexLink"/>
                <w:rtl w:val="true"/>
              </w:rPr>
              <w:t>تقويت معنويت و خداباورى</w:t>
            </w:r>
            <w:r>
              <w:rPr>
                <w:rStyle w:val="IndexLink"/>
                <w:rtl w:val="true"/>
              </w:rPr>
              <w:tab/>
            </w:r>
            <w:r>
              <w:rPr>
                <w:rStyle w:val="IndexLink"/>
              </w:rPr>
              <w:t>90</w:t>
            </w:r>
          </w:hyperlink>
        </w:p>
        <w:p>
          <w:pPr>
            <w:pStyle w:val="Contents5"/>
            <w:tabs>
              <w:tab w:val="clear" w:pos="7892"/>
              <w:tab w:val="right" w:pos="9026" w:leader="dot"/>
            </w:tabs>
            <w:rPr/>
          </w:pPr>
          <w:hyperlink w:anchor="__RefHeading___Toc2564085_1051229030">
            <w:r>
              <w:rPr>
                <w:webHidden/>
                <w:rStyle w:val="IndexLink"/>
              </w:rPr>
              <w:t>4</w:t>
            </w:r>
            <w:r>
              <w:rPr>
                <w:rStyle w:val="IndexLink"/>
                <w:rtl w:val="true"/>
              </w:rPr>
              <w:t xml:space="preserve">. </w:t>
            </w:r>
            <w:r>
              <w:rPr>
                <w:rStyle w:val="IndexLink"/>
                <w:rtl w:val="true"/>
              </w:rPr>
              <w:t>دورى از ستايش گران سودجو</w:t>
            </w:r>
            <w:r>
              <w:rPr>
                <w:rStyle w:val="IndexLink"/>
                <w:rtl w:val="true"/>
              </w:rPr>
              <w:tab/>
            </w:r>
            <w:r>
              <w:rPr>
                <w:rStyle w:val="IndexLink"/>
              </w:rPr>
              <w:t>90</w:t>
            </w:r>
          </w:hyperlink>
        </w:p>
        <w:p>
          <w:pPr>
            <w:pStyle w:val="Contents5"/>
            <w:tabs>
              <w:tab w:val="clear" w:pos="7892"/>
              <w:tab w:val="right" w:pos="9026" w:leader="dot"/>
            </w:tabs>
            <w:rPr/>
          </w:pPr>
          <w:hyperlink w:anchor="__RefHeading___Toc2564087_1051229030">
            <w:r>
              <w:rPr>
                <w:webHidden/>
                <w:rStyle w:val="IndexLink"/>
              </w:rPr>
              <w:t>5</w:t>
            </w:r>
            <w:r>
              <w:rPr>
                <w:rStyle w:val="IndexLink"/>
                <w:rtl w:val="true"/>
              </w:rPr>
              <w:t xml:space="preserve">. </w:t>
            </w:r>
            <w:r>
              <w:rPr>
                <w:rStyle w:val="IndexLink"/>
                <w:rtl w:val="true"/>
              </w:rPr>
              <w:t>پرهيز از زودباورى</w:t>
            </w:r>
            <w:r>
              <w:rPr>
                <w:rStyle w:val="IndexLink"/>
                <w:rtl w:val="true"/>
              </w:rPr>
              <w:tab/>
            </w:r>
            <w:r>
              <w:rPr>
                <w:rStyle w:val="IndexLink"/>
              </w:rPr>
              <w:t>91</w:t>
            </w:r>
          </w:hyperlink>
        </w:p>
        <w:p>
          <w:pPr>
            <w:pStyle w:val="Contents5"/>
            <w:tabs>
              <w:tab w:val="clear" w:pos="7892"/>
              <w:tab w:val="right" w:pos="9026" w:leader="dot"/>
            </w:tabs>
            <w:rPr/>
          </w:pPr>
          <w:hyperlink w:anchor="__RefHeading___Toc2564089_1051229030">
            <w:r>
              <w:rPr>
                <w:webHidden/>
                <w:rStyle w:val="IndexLink"/>
              </w:rPr>
              <w:t>6</w:t>
            </w:r>
            <w:r>
              <w:rPr>
                <w:rStyle w:val="IndexLink"/>
                <w:rtl w:val="true"/>
              </w:rPr>
              <w:t xml:space="preserve">. </w:t>
            </w:r>
            <w:r>
              <w:rPr>
                <w:rStyle w:val="IndexLink"/>
                <w:rtl w:val="true"/>
              </w:rPr>
              <w:t>نهراسيدن از روى گردانى مردم و سرزنش سرزنش كنندگان</w:t>
            </w:r>
            <w:r>
              <w:rPr>
                <w:rStyle w:val="IndexLink"/>
                <w:rtl w:val="true"/>
              </w:rPr>
              <w:tab/>
            </w:r>
            <w:r>
              <w:rPr>
                <w:rStyle w:val="IndexLink"/>
              </w:rPr>
              <w:t>91</w:t>
            </w:r>
          </w:hyperlink>
        </w:p>
        <w:p>
          <w:pPr>
            <w:pStyle w:val="Contents5"/>
            <w:tabs>
              <w:tab w:val="clear" w:pos="7892"/>
              <w:tab w:val="right" w:pos="9026" w:leader="dot"/>
            </w:tabs>
            <w:rPr/>
          </w:pPr>
          <w:hyperlink w:anchor="__RefHeading___Toc2564091_1051229030">
            <w:r>
              <w:rPr>
                <w:webHidden/>
                <w:rStyle w:val="IndexLink"/>
              </w:rPr>
              <w:t>7</w:t>
            </w:r>
            <w:r>
              <w:rPr>
                <w:rStyle w:val="IndexLink"/>
                <w:rtl w:val="true"/>
              </w:rPr>
              <w:t xml:space="preserve">. </w:t>
            </w:r>
            <w:r>
              <w:rPr>
                <w:rStyle w:val="IndexLink"/>
                <w:rtl w:val="true"/>
              </w:rPr>
              <w:t>حق محورى، نه مريد بازى</w:t>
            </w:r>
            <w:r>
              <w:rPr>
                <w:rStyle w:val="IndexLink"/>
                <w:rtl w:val="true"/>
              </w:rPr>
              <w:tab/>
            </w:r>
            <w:r>
              <w:rPr>
                <w:rStyle w:val="IndexLink"/>
              </w:rPr>
              <w:t>91</w:t>
            </w:r>
          </w:hyperlink>
        </w:p>
        <w:p>
          <w:pPr>
            <w:pStyle w:val="Contents5"/>
            <w:tabs>
              <w:tab w:val="clear" w:pos="7892"/>
              <w:tab w:val="right" w:pos="9026" w:leader="dot"/>
            </w:tabs>
            <w:rPr/>
          </w:pPr>
          <w:hyperlink w:anchor="__RefHeading___Toc2564093_1051229030">
            <w:r>
              <w:rPr>
                <w:webHidden/>
                <w:rStyle w:val="IndexLink"/>
              </w:rPr>
              <w:t>8</w:t>
            </w:r>
            <w:r>
              <w:rPr>
                <w:rStyle w:val="IndexLink"/>
                <w:rtl w:val="true"/>
              </w:rPr>
              <w:t xml:space="preserve">. </w:t>
            </w:r>
            <w:r>
              <w:rPr>
                <w:rStyle w:val="IndexLink"/>
                <w:rtl w:val="true"/>
              </w:rPr>
              <w:t>حضور آگاهانه در صحنه</w:t>
            </w:r>
            <w:r>
              <w:rPr>
                <w:rStyle w:val="IndexLink"/>
                <w:rtl w:val="true"/>
              </w:rPr>
              <w:tab/>
            </w:r>
            <w:r>
              <w:rPr>
                <w:rStyle w:val="IndexLink"/>
              </w:rPr>
              <w:t>91</w:t>
            </w:r>
          </w:hyperlink>
        </w:p>
        <w:p>
          <w:pPr>
            <w:pStyle w:val="Contents4"/>
            <w:tabs>
              <w:tab w:val="clear" w:pos="8176"/>
              <w:tab w:val="right" w:pos="9026" w:leader="dot"/>
            </w:tabs>
            <w:rPr/>
          </w:pPr>
          <w:hyperlink w:anchor="__RefHeading___Toc2564095_1051229030">
            <w:r>
              <w:rPr>
                <w:webHidden/>
                <w:rStyle w:val="IndexLink"/>
                <w:rtl w:val="true"/>
              </w:rPr>
              <w:t>نتيجه</w:t>
            </w:r>
            <w:r>
              <w:rPr>
                <w:rStyle w:val="IndexLink"/>
                <w:rtl w:val="true"/>
              </w:rPr>
              <w:tab/>
            </w:r>
            <w:r>
              <w:rPr>
                <w:rStyle w:val="IndexLink"/>
              </w:rPr>
              <w:t>92</w:t>
            </w:r>
          </w:hyperlink>
        </w:p>
        <w:p>
          <w:pPr>
            <w:pStyle w:val="Contents3"/>
            <w:tabs>
              <w:tab w:val="clear" w:pos="8459"/>
              <w:tab w:val="right" w:pos="9026" w:leader="dot"/>
            </w:tabs>
            <w:rPr/>
          </w:pPr>
          <w:hyperlink w:anchor="__RefHeading___Toc2564097_1051229030">
            <w:r>
              <w:rPr>
                <w:webHidden/>
                <w:rStyle w:val="IndexLink"/>
                <w:rtl w:val="true"/>
              </w:rPr>
              <w:t xml:space="preserve">از ديدگاه قرآن و مكتب حسينى، خواص چه ويژگى هايى دارند و با چه آسيب هايى روبه رو هستند؟ </w:t>
            </w:r>
            <w:r>
              <w:rPr>
                <w:rStyle w:val="IndexLink"/>
                <w:rtl w:val="true"/>
              </w:rPr>
              <w:t xml:space="preserve">/ </w:t>
            </w:r>
            <w:r>
              <w:rPr>
                <w:rStyle w:val="IndexLink"/>
                <w:rtl w:val="true"/>
              </w:rPr>
              <w:t>محمد رضا هفت تنانيان</w:t>
            </w:r>
            <w:r>
              <w:rPr>
                <w:rStyle w:val="IndexLink"/>
                <w:rtl w:val="true"/>
              </w:rPr>
              <w:tab/>
            </w:r>
            <w:r>
              <w:rPr>
                <w:rStyle w:val="IndexLink"/>
              </w:rPr>
              <w:t>92</w:t>
            </w:r>
          </w:hyperlink>
        </w:p>
        <w:p>
          <w:pPr>
            <w:pStyle w:val="Contents4"/>
            <w:tabs>
              <w:tab w:val="clear" w:pos="8176"/>
              <w:tab w:val="right" w:pos="9026" w:leader="dot"/>
            </w:tabs>
            <w:rPr/>
          </w:pPr>
          <w:hyperlink w:anchor="__RefHeading___Toc2564099_105122903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564101_1051229030">
            <w:r>
              <w:rPr>
                <w:webHidden/>
                <w:rStyle w:val="IndexLink"/>
                <w:rtl w:val="true"/>
              </w:rPr>
              <w:t>ويژگى هاى خواص</w:t>
            </w:r>
            <w:r>
              <w:rPr>
                <w:rStyle w:val="IndexLink"/>
                <w:rtl w:val="true"/>
              </w:rPr>
              <w:tab/>
            </w:r>
            <w:r>
              <w:rPr>
                <w:rStyle w:val="IndexLink"/>
              </w:rPr>
              <w:t>92</w:t>
            </w:r>
          </w:hyperlink>
        </w:p>
        <w:p>
          <w:pPr>
            <w:pStyle w:val="Contents5"/>
            <w:tabs>
              <w:tab w:val="clear" w:pos="7892"/>
              <w:tab w:val="right" w:pos="9026" w:leader="dot"/>
            </w:tabs>
            <w:rPr/>
          </w:pPr>
          <w:hyperlink w:anchor="__RefHeading___Toc2564103_105122903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564105_1051229030">
            <w:r>
              <w:rPr>
                <w:webHidden/>
                <w:rStyle w:val="IndexLink"/>
              </w:rPr>
              <w:t>1</w:t>
            </w:r>
            <w:r>
              <w:rPr>
                <w:rStyle w:val="IndexLink"/>
                <w:rtl w:val="true"/>
              </w:rPr>
              <w:t xml:space="preserve">. </w:t>
            </w:r>
            <w:r>
              <w:rPr>
                <w:rStyle w:val="IndexLink"/>
                <w:rtl w:val="true"/>
              </w:rPr>
              <w:t>پرهيزكارى</w:t>
            </w:r>
            <w:r>
              <w:rPr>
                <w:rStyle w:val="IndexLink"/>
                <w:rtl w:val="true"/>
              </w:rPr>
              <w:tab/>
            </w:r>
            <w:r>
              <w:rPr>
                <w:rStyle w:val="IndexLink"/>
              </w:rPr>
              <w:t>93</w:t>
            </w:r>
          </w:hyperlink>
        </w:p>
        <w:p>
          <w:pPr>
            <w:pStyle w:val="Contents5"/>
            <w:tabs>
              <w:tab w:val="clear" w:pos="7892"/>
              <w:tab w:val="right" w:pos="9026" w:leader="dot"/>
            </w:tabs>
            <w:rPr/>
          </w:pPr>
          <w:hyperlink w:anchor="__RefHeading___Toc2564107_1051229030">
            <w:r>
              <w:rPr>
                <w:webHidden/>
                <w:rStyle w:val="IndexLink"/>
              </w:rPr>
              <w:t>2</w:t>
            </w:r>
            <w:r>
              <w:rPr>
                <w:rStyle w:val="IndexLink"/>
                <w:rtl w:val="true"/>
              </w:rPr>
              <w:t xml:space="preserve">. </w:t>
            </w:r>
            <w:r>
              <w:rPr>
                <w:rStyle w:val="IndexLink"/>
                <w:rtl w:val="true"/>
              </w:rPr>
              <w:t>بصيرت</w:t>
            </w:r>
            <w:r>
              <w:rPr>
                <w:rStyle w:val="IndexLink"/>
                <w:rtl w:val="true"/>
              </w:rPr>
              <w:tab/>
            </w:r>
            <w:r>
              <w:rPr>
                <w:rStyle w:val="IndexLink"/>
              </w:rPr>
              <w:t>93</w:t>
            </w:r>
          </w:hyperlink>
        </w:p>
        <w:p>
          <w:pPr>
            <w:pStyle w:val="Contents5"/>
            <w:tabs>
              <w:tab w:val="clear" w:pos="7892"/>
              <w:tab w:val="right" w:pos="9026" w:leader="dot"/>
            </w:tabs>
            <w:rPr/>
          </w:pPr>
          <w:hyperlink w:anchor="__RefHeading___Toc2564109_1051229030">
            <w:r>
              <w:rPr>
                <w:webHidden/>
                <w:rStyle w:val="IndexLink"/>
              </w:rPr>
              <w:t>3</w:t>
            </w:r>
            <w:r>
              <w:rPr>
                <w:rStyle w:val="IndexLink"/>
                <w:rtl w:val="true"/>
              </w:rPr>
              <w:t xml:space="preserve">. </w:t>
            </w:r>
            <w:r>
              <w:rPr>
                <w:rStyle w:val="IndexLink"/>
                <w:rtl w:val="true"/>
              </w:rPr>
              <w:t>تصميم گيرى بجا</w:t>
            </w:r>
            <w:r>
              <w:rPr>
                <w:rStyle w:val="IndexLink"/>
                <w:rtl w:val="true"/>
              </w:rPr>
              <w:tab/>
            </w:r>
            <w:r>
              <w:rPr>
                <w:rStyle w:val="IndexLink"/>
              </w:rPr>
              <w:t>94</w:t>
            </w:r>
          </w:hyperlink>
        </w:p>
        <w:p>
          <w:pPr>
            <w:pStyle w:val="Contents5"/>
            <w:tabs>
              <w:tab w:val="clear" w:pos="7892"/>
              <w:tab w:val="right" w:pos="9026" w:leader="dot"/>
            </w:tabs>
            <w:rPr/>
          </w:pPr>
          <w:hyperlink w:anchor="__RefHeading___Toc2564111_1051229030">
            <w:r>
              <w:rPr>
                <w:webHidden/>
                <w:rStyle w:val="IndexLink"/>
              </w:rPr>
              <w:t>4</w:t>
            </w:r>
            <w:r>
              <w:rPr>
                <w:rStyle w:val="IndexLink"/>
                <w:rtl w:val="true"/>
              </w:rPr>
              <w:t xml:space="preserve">. </w:t>
            </w:r>
            <w:r>
              <w:rPr>
                <w:rStyle w:val="IndexLink"/>
                <w:rtl w:val="true"/>
              </w:rPr>
              <w:t>حق گويى بدون هراسيدن از سرزنش ديگران</w:t>
            </w:r>
            <w:r>
              <w:rPr>
                <w:rStyle w:val="IndexLink"/>
                <w:rtl w:val="true"/>
              </w:rPr>
              <w:tab/>
            </w:r>
            <w:r>
              <w:rPr>
                <w:rStyle w:val="IndexLink"/>
              </w:rPr>
              <w:t>95</w:t>
            </w:r>
          </w:hyperlink>
        </w:p>
        <w:p>
          <w:pPr>
            <w:pStyle w:val="Contents5"/>
            <w:tabs>
              <w:tab w:val="clear" w:pos="7892"/>
              <w:tab w:val="right" w:pos="9026" w:leader="dot"/>
            </w:tabs>
            <w:rPr/>
          </w:pPr>
          <w:hyperlink w:anchor="__RefHeading___Toc2564113_1051229030">
            <w:r>
              <w:rPr>
                <w:webHidden/>
                <w:rStyle w:val="IndexLink"/>
              </w:rPr>
              <w:t>5</w:t>
            </w:r>
            <w:r>
              <w:rPr>
                <w:rStyle w:val="IndexLink"/>
                <w:rtl w:val="true"/>
              </w:rPr>
              <w:t xml:space="preserve">. </w:t>
            </w:r>
            <w:r>
              <w:rPr>
                <w:rStyle w:val="IndexLink"/>
                <w:rtl w:val="true"/>
              </w:rPr>
              <w:t>آموزش عوام</w:t>
            </w:r>
            <w:r>
              <w:rPr>
                <w:rStyle w:val="IndexLink"/>
                <w:rtl w:val="true"/>
              </w:rPr>
              <w:tab/>
            </w:r>
            <w:r>
              <w:rPr>
                <w:rStyle w:val="IndexLink"/>
              </w:rPr>
              <w:t>96</w:t>
            </w:r>
          </w:hyperlink>
        </w:p>
        <w:p>
          <w:pPr>
            <w:pStyle w:val="Contents4"/>
            <w:tabs>
              <w:tab w:val="clear" w:pos="8176"/>
              <w:tab w:val="right" w:pos="9026" w:leader="dot"/>
            </w:tabs>
            <w:rPr/>
          </w:pPr>
          <w:hyperlink w:anchor="__RefHeading___Toc2564115_1051229030">
            <w:r>
              <w:rPr>
                <w:webHidden/>
                <w:rStyle w:val="IndexLink"/>
                <w:rtl w:val="true"/>
              </w:rPr>
              <w:t>آسيب شناسى خواص</w:t>
            </w:r>
            <w:r>
              <w:rPr>
                <w:rStyle w:val="IndexLink"/>
                <w:rtl w:val="true"/>
              </w:rPr>
              <w:tab/>
            </w:r>
            <w:r>
              <w:rPr>
                <w:rStyle w:val="IndexLink"/>
              </w:rPr>
              <w:t>97</w:t>
            </w:r>
          </w:hyperlink>
        </w:p>
        <w:p>
          <w:pPr>
            <w:pStyle w:val="Contents5"/>
            <w:tabs>
              <w:tab w:val="clear" w:pos="7892"/>
              <w:tab w:val="right" w:pos="9026" w:leader="dot"/>
            </w:tabs>
            <w:rPr/>
          </w:pPr>
          <w:hyperlink w:anchor="__RefHeading___Toc2564117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564119_1051229030">
            <w:r>
              <w:rPr>
                <w:webHidden/>
                <w:rStyle w:val="IndexLink"/>
              </w:rPr>
              <w:t>1</w:t>
            </w:r>
            <w:r>
              <w:rPr>
                <w:rStyle w:val="IndexLink"/>
                <w:rtl w:val="true"/>
              </w:rPr>
              <w:t xml:space="preserve">. </w:t>
            </w:r>
            <w:r>
              <w:rPr>
                <w:rStyle w:val="IndexLink"/>
                <w:rtl w:val="true"/>
              </w:rPr>
              <w:t>دنياگرايى</w:t>
            </w:r>
            <w:r>
              <w:rPr>
                <w:rStyle w:val="IndexLink"/>
                <w:rtl w:val="true"/>
              </w:rPr>
              <w:tab/>
            </w:r>
            <w:r>
              <w:rPr>
                <w:rStyle w:val="IndexLink"/>
              </w:rPr>
              <w:t>97</w:t>
            </w:r>
          </w:hyperlink>
        </w:p>
        <w:p>
          <w:pPr>
            <w:pStyle w:val="Contents6"/>
            <w:tabs>
              <w:tab w:val="clear" w:pos="7609"/>
              <w:tab w:val="right" w:pos="9026" w:leader="dot"/>
            </w:tabs>
            <w:rPr/>
          </w:pPr>
          <w:hyperlink w:anchor="__RefHeading___Toc2564121_105122903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564123_1051229030">
            <w:r>
              <w:rPr>
                <w:webHidden/>
                <w:rStyle w:val="IndexLink"/>
                <w:rtl w:val="true"/>
              </w:rPr>
              <w:t>پى آمدهاى دنياگرايى</w:t>
            </w:r>
            <w:r>
              <w:rPr>
                <w:rStyle w:val="IndexLink"/>
                <w:rtl w:val="true"/>
              </w:rPr>
              <w:tab/>
            </w:r>
            <w:r>
              <w:rPr>
                <w:rStyle w:val="IndexLink"/>
              </w:rPr>
              <w:t>98</w:t>
            </w:r>
          </w:hyperlink>
        </w:p>
        <w:p>
          <w:pPr>
            <w:pStyle w:val="Contents6"/>
            <w:tabs>
              <w:tab w:val="clear" w:pos="7609"/>
              <w:tab w:val="right" w:pos="9026" w:leader="dot"/>
            </w:tabs>
            <w:rPr/>
          </w:pPr>
          <w:hyperlink w:anchor="__RefHeading___Toc2564125_1051229030">
            <w:r>
              <w:rPr>
                <w:webHidden/>
                <w:rStyle w:val="IndexLink"/>
                <w:rtl w:val="true"/>
              </w:rPr>
              <w:t xml:space="preserve">الف </w:t>
            </w:r>
            <w:r>
              <w:rPr>
                <w:rStyle w:val="IndexLink"/>
                <w:rtl w:val="true"/>
              </w:rPr>
              <w:t xml:space="preserve">- </w:t>
            </w:r>
            <w:r>
              <w:rPr>
                <w:rStyle w:val="IndexLink"/>
                <w:rtl w:val="true"/>
              </w:rPr>
              <w:t>رياست طلبى</w:t>
            </w:r>
            <w:r>
              <w:rPr>
                <w:rStyle w:val="IndexLink"/>
                <w:rtl w:val="true"/>
              </w:rPr>
              <w:tab/>
            </w:r>
            <w:r>
              <w:rPr>
                <w:rStyle w:val="IndexLink"/>
              </w:rPr>
              <w:t>98</w:t>
            </w:r>
          </w:hyperlink>
        </w:p>
        <w:p>
          <w:pPr>
            <w:pStyle w:val="Contents6"/>
            <w:tabs>
              <w:tab w:val="clear" w:pos="7609"/>
              <w:tab w:val="right" w:pos="9026" w:leader="dot"/>
            </w:tabs>
            <w:rPr/>
          </w:pPr>
          <w:hyperlink w:anchor="__RefHeading___Toc2564127_1051229030">
            <w:r>
              <w:rPr>
                <w:webHidden/>
                <w:rStyle w:val="IndexLink"/>
                <w:rtl w:val="true"/>
              </w:rPr>
              <w:t xml:space="preserve">ب </w:t>
            </w:r>
            <w:r>
              <w:rPr>
                <w:rStyle w:val="IndexLink"/>
                <w:rtl w:val="true"/>
              </w:rPr>
              <w:t xml:space="preserve">- </w:t>
            </w:r>
            <w:r>
              <w:rPr>
                <w:rStyle w:val="IndexLink"/>
                <w:rtl w:val="true"/>
              </w:rPr>
              <w:t>ثروت اندوزى</w:t>
            </w:r>
            <w:r>
              <w:rPr>
                <w:rStyle w:val="IndexLink"/>
                <w:rtl w:val="true"/>
              </w:rPr>
              <w:tab/>
            </w:r>
            <w:r>
              <w:rPr>
                <w:rStyle w:val="IndexLink"/>
              </w:rPr>
              <w:t>98</w:t>
            </w:r>
          </w:hyperlink>
        </w:p>
        <w:p>
          <w:pPr>
            <w:pStyle w:val="Contents5"/>
            <w:tabs>
              <w:tab w:val="clear" w:pos="7892"/>
              <w:tab w:val="right" w:pos="9026" w:leader="dot"/>
            </w:tabs>
            <w:rPr/>
          </w:pPr>
          <w:hyperlink w:anchor="__RefHeading___Toc2564129_1051229030">
            <w:r>
              <w:rPr>
                <w:webHidden/>
                <w:rStyle w:val="IndexLink"/>
              </w:rPr>
              <w:t>2</w:t>
            </w:r>
            <w:r>
              <w:rPr>
                <w:rStyle w:val="IndexLink"/>
                <w:rtl w:val="true"/>
              </w:rPr>
              <w:t xml:space="preserve">. </w:t>
            </w:r>
            <w:r>
              <w:rPr>
                <w:rStyle w:val="IndexLink"/>
                <w:rtl w:val="true"/>
              </w:rPr>
              <w:t>بى طرفى در برابر جريان حق و باطل</w:t>
            </w:r>
            <w:r>
              <w:rPr>
                <w:rStyle w:val="IndexLink"/>
                <w:rtl w:val="true"/>
              </w:rPr>
              <w:tab/>
            </w:r>
            <w:r>
              <w:rPr>
                <w:rStyle w:val="IndexLink"/>
              </w:rPr>
              <w:t>99</w:t>
            </w:r>
          </w:hyperlink>
        </w:p>
        <w:p>
          <w:pPr>
            <w:pStyle w:val="Contents5"/>
            <w:tabs>
              <w:tab w:val="clear" w:pos="7892"/>
              <w:tab w:val="right" w:pos="9026" w:leader="dot"/>
            </w:tabs>
            <w:rPr/>
          </w:pPr>
          <w:hyperlink w:anchor="__RefHeading___Toc2564131_1051229030">
            <w:r>
              <w:rPr>
                <w:webHidden/>
                <w:rStyle w:val="IndexLink"/>
              </w:rPr>
              <w:t>3</w:t>
            </w:r>
            <w:r>
              <w:rPr>
                <w:rStyle w:val="IndexLink"/>
                <w:rtl w:val="true"/>
              </w:rPr>
              <w:t xml:space="preserve">. </w:t>
            </w:r>
            <w:r>
              <w:rPr>
                <w:rStyle w:val="IndexLink"/>
                <w:rtl w:val="true"/>
              </w:rPr>
              <w:t>از ياد بردن خدا</w:t>
            </w:r>
            <w:r>
              <w:rPr>
                <w:rStyle w:val="IndexLink"/>
                <w:rtl w:val="true"/>
              </w:rPr>
              <w:tab/>
            </w:r>
            <w:r>
              <w:rPr>
                <w:rStyle w:val="IndexLink"/>
              </w:rPr>
              <w:t>100</w:t>
            </w:r>
          </w:hyperlink>
        </w:p>
        <w:p>
          <w:pPr>
            <w:pStyle w:val="Contents2"/>
            <w:tabs>
              <w:tab w:val="clear" w:pos="8743"/>
              <w:tab w:val="right" w:pos="9026" w:leader="dot"/>
            </w:tabs>
            <w:rPr/>
          </w:pPr>
          <w:hyperlink w:anchor="__RefHeading___Toc2564133_1051229030">
            <w:r>
              <w:rPr>
                <w:webHidden/>
                <w:rStyle w:val="IndexLink"/>
                <w:rtl w:val="true"/>
              </w:rPr>
              <w:t>فلسفه و كلام</w:t>
            </w:r>
            <w:r>
              <w:rPr>
                <w:rStyle w:val="IndexLink"/>
                <w:rtl w:val="true"/>
              </w:rPr>
              <w:tab/>
            </w:r>
            <w:r>
              <w:rPr>
                <w:rStyle w:val="IndexLink"/>
              </w:rPr>
              <w:t>101</w:t>
            </w:r>
          </w:hyperlink>
        </w:p>
        <w:p>
          <w:pPr>
            <w:pStyle w:val="Contents3"/>
            <w:tabs>
              <w:tab w:val="clear" w:pos="8459"/>
              <w:tab w:val="right" w:pos="9026" w:leader="dot"/>
            </w:tabs>
            <w:rPr/>
          </w:pPr>
          <w:hyperlink w:anchor="__RefHeading___Toc2564135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564137_1051229030">
            <w:r>
              <w:rPr>
                <w:webHidden/>
                <w:rStyle w:val="IndexLink"/>
                <w:rtl w:val="true"/>
              </w:rPr>
              <w:t>آيا شفاعت خواستن از پيامبر</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مايه ى شرك ورزيدن به خداوند نيست؟ </w:t>
            </w:r>
            <w:r>
              <w:rPr>
                <w:rStyle w:val="IndexLink"/>
                <w:rtl w:val="true"/>
              </w:rPr>
              <w:t xml:space="preserve">/ </w:t>
            </w:r>
            <w:r>
              <w:rPr>
                <w:rStyle w:val="IndexLink"/>
                <w:rtl w:val="true"/>
              </w:rPr>
              <w:t>مسلم محمدى</w:t>
            </w:r>
            <w:r>
              <w:rPr>
                <w:rStyle w:val="IndexLink"/>
                <w:rtl w:val="true"/>
              </w:rPr>
              <w:tab/>
            </w:r>
            <w:r>
              <w:rPr>
                <w:rStyle w:val="IndexLink"/>
              </w:rPr>
              <w:t>101</w:t>
            </w:r>
          </w:hyperlink>
        </w:p>
        <w:p>
          <w:pPr>
            <w:pStyle w:val="Contents4"/>
            <w:tabs>
              <w:tab w:val="clear" w:pos="8176"/>
              <w:tab w:val="right" w:pos="9026" w:leader="dot"/>
            </w:tabs>
            <w:rPr/>
          </w:pPr>
          <w:hyperlink w:anchor="__RefHeading___Toc2564139_105122903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564141_1051229030">
            <w:r>
              <w:rPr>
                <w:webHidden/>
                <w:rStyle w:val="IndexLink"/>
                <w:rtl w:val="true"/>
              </w:rPr>
              <w:t>ديدگاه وهابيت</w:t>
            </w:r>
            <w:r>
              <w:rPr>
                <w:rStyle w:val="IndexLink"/>
                <w:rtl w:val="true"/>
              </w:rPr>
              <w:tab/>
            </w:r>
            <w:r>
              <w:rPr>
                <w:rStyle w:val="IndexLink"/>
              </w:rPr>
              <w:t>102</w:t>
            </w:r>
          </w:hyperlink>
        </w:p>
        <w:p>
          <w:pPr>
            <w:pStyle w:val="Contents4"/>
            <w:tabs>
              <w:tab w:val="clear" w:pos="8176"/>
              <w:tab w:val="right" w:pos="9026" w:leader="dot"/>
            </w:tabs>
            <w:rPr/>
          </w:pPr>
          <w:hyperlink w:anchor="__RefHeading___Toc2564143_1051229030">
            <w:r>
              <w:rPr>
                <w:webHidden/>
                <w:rStyle w:val="IndexLink"/>
                <w:rtl w:val="true"/>
              </w:rPr>
              <w:t>آيا از نظر قرآن و سنّت، نتيجه ى شفاعت به شرك مى انجامد؟</w:t>
            </w:r>
            <w:r>
              <w:rPr>
                <w:rStyle w:val="IndexLink"/>
                <w:rtl w:val="true"/>
              </w:rPr>
              <w:tab/>
            </w:r>
            <w:r>
              <w:rPr>
                <w:rStyle w:val="IndexLink"/>
              </w:rPr>
              <w:t>103</w:t>
            </w:r>
          </w:hyperlink>
        </w:p>
        <w:p>
          <w:pPr>
            <w:pStyle w:val="Contents4"/>
            <w:tabs>
              <w:tab w:val="clear" w:pos="8176"/>
              <w:tab w:val="right" w:pos="9026" w:leader="dot"/>
            </w:tabs>
            <w:rPr/>
          </w:pPr>
          <w:hyperlink w:anchor="__RefHeading___Toc2564145_1051229030">
            <w:r>
              <w:rPr>
                <w:webHidden/>
                <w:rStyle w:val="IndexLink"/>
                <w:rtl w:val="true"/>
              </w:rPr>
              <w:t>از نظر عقل، آيا شفاعت مايه ى شرك است؟</w:t>
            </w:r>
            <w:r>
              <w:rPr>
                <w:rStyle w:val="IndexLink"/>
                <w:rtl w:val="true"/>
              </w:rPr>
              <w:tab/>
            </w:r>
            <w:r>
              <w:rPr>
                <w:rStyle w:val="IndexLink"/>
              </w:rPr>
              <w:t>105</w:t>
            </w:r>
          </w:hyperlink>
        </w:p>
        <w:p>
          <w:pPr>
            <w:pStyle w:val="Contents3"/>
            <w:tabs>
              <w:tab w:val="clear" w:pos="8459"/>
              <w:tab w:val="right" w:pos="9026" w:leader="dot"/>
            </w:tabs>
            <w:rPr/>
          </w:pPr>
          <w:hyperlink w:anchor="__RefHeading___Toc2564147_1051229030">
            <w:r>
              <w:rPr>
                <w:webHidden/>
                <w:rStyle w:val="IndexLink"/>
                <w:rtl w:val="true"/>
              </w:rPr>
              <w:t xml:space="preserve">آيا اعتقاد به شفاعت سبب تشويق افراد به انجام گناه نمى شود؟ </w:t>
            </w:r>
            <w:r>
              <w:rPr>
                <w:rStyle w:val="IndexLink"/>
                <w:rtl w:val="true"/>
              </w:rPr>
              <w:t xml:space="preserve">/ </w:t>
            </w:r>
            <w:r>
              <w:rPr>
                <w:rStyle w:val="IndexLink"/>
                <w:rtl w:val="true"/>
              </w:rPr>
              <w:t>حسين صادقى</w:t>
            </w:r>
            <w:r>
              <w:rPr>
                <w:rStyle w:val="IndexLink"/>
                <w:rtl w:val="true"/>
              </w:rPr>
              <w:tab/>
            </w:r>
            <w:r>
              <w:rPr>
                <w:rStyle w:val="IndexLink"/>
              </w:rPr>
              <w:t>106</w:t>
            </w:r>
          </w:hyperlink>
        </w:p>
        <w:p>
          <w:pPr>
            <w:pStyle w:val="Contents3"/>
            <w:tabs>
              <w:tab w:val="clear" w:pos="8459"/>
              <w:tab w:val="right" w:pos="9026" w:leader="dot"/>
            </w:tabs>
            <w:rPr/>
          </w:pPr>
          <w:hyperlink w:anchor="__RefHeading___Toc2564149_1051229030">
            <w:r>
              <w:rPr>
                <w:webHidden/>
                <w:rStyle w:val="IndexLink"/>
                <w:rtl w:val="true"/>
              </w:rPr>
              <w:t xml:space="preserve">تفاوت شفاعت با واسطه هاى دنيايى هم چون پارتى بازى چيست؟ </w:t>
            </w:r>
            <w:r>
              <w:rPr>
                <w:rStyle w:val="IndexLink"/>
                <w:rtl w:val="true"/>
              </w:rPr>
              <w:t xml:space="preserve">/ </w:t>
            </w:r>
            <w:r>
              <w:rPr>
                <w:rStyle w:val="IndexLink"/>
                <w:rtl w:val="true"/>
              </w:rPr>
              <w:t>ابوالقاسم ولى زاده</w:t>
            </w:r>
            <w:r>
              <w:rPr>
                <w:rStyle w:val="IndexLink"/>
                <w:rtl w:val="true"/>
              </w:rPr>
              <w:tab/>
            </w:r>
            <w:r>
              <w:rPr>
                <w:rStyle w:val="IndexLink"/>
              </w:rPr>
              <w:t>109</w:t>
            </w:r>
          </w:hyperlink>
        </w:p>
        <w:p>
          <w:pPr>
            <w:pStyle w:val="Contents3"/>
            <w:tabs>
              <w:tab w:val="clear" w:pos="8459"/>
              <w:tab w:val="right" w:pos="9026" w:leader="dot"/>
            </w:tabs>
            <w:rPr/>
          </w:pPr>
          <w:hyperlink w:anchor="__RefHeading___Toc2564151_1051229030">
            <w:r>
              <w:rPr>
                <w:webHidden/>
                <w:rStyle w:val="IndexLink"/>
                <w:rtl w:val="true"/>
              </w:rPr>
              <w:t xml:space="preserve">چرا خداوند به طور مستقيم، گناه بندگان را نمى بخشد و چه نيازى به وجود واسطه و شفيع داريم؟ </w:t>
            </w:r>
            <w:r>
              <w:rPr>
                <w:rStyle w:val="IndexLink"/>
                <w:rtl w:val="true"/>
              </w:rPr>
              <w:t xml:space="preserve">/ </w:t>
            </w:r>
            <w:r>
              <w:rPr>
                <w:rStyle w:val="IndexLink"/>
                <w:rtl w:val="true"/>
              </w:rPr>
              <w:t>على تقوى</w:t>
            </w:r>
            <w:r>
              <w:rPr>
                <w:rStyle w:val="IndexLink"/>
                <w:rtl w:val="true"/>
              </w:rPr>
              <w:tab/>
            </w:r>
            <w:r>
              <w:rPr>
                <w:rStyle w:val="IndexLink"/>
              </w:rPr>
              <w:t>112</w:t>
            </w:r>
          </w:hyperlink>
        </w:p>
        <w:p>
          <w:pPr>
            <w:pStyle w:val="Contents3"/>
            <w:tabs>
              <w:tab w:val="clear" w:pos="8459"/>
              <w:tab w:val="right" w:pos="9026" w:leader="dot"/>
            </w:tabs>
            <w:rPr/>
          </w:pPr>
          <w:hyperlink w:anchor="__RefHeading___Toc2564153_1051229030">
            <w:r>
              <w:rPr>
                <w:webHidden/>
                <w:rStyle w:val="IndexLink"/>
                <w:rtl w:val="true"/>
              </w:rPr>
              <w:t xml:space="preserve">آيا اعتقاد داشتن به شفاعت سبب دگرگونى دانش و اراده ى خدا نمى شود؟ </w:t>
            </w:r>
            <w:r>
              <w:rPr>
                <w:rStyle w:val="IndexLink"/>
                <w:rtl w:val="true"/>
              </w:rPr>
              <w:t xml:space="preserve">/ </w:t>
            </w:r>
            <w:r>
              <w:rPr>
                <w:rStyle w:val="IndexLink"/>
                <w:rtl w:val="true"/>
              </w:rPr>
              <w:t>سيد هيبت الله صدرالسادات</w:t>
            </w:r>
            <w:r>
              <w:rPr>
                <w:rStyle w:val="IndexLink"/>
                <w:rtl w:val="true"/>
              </w:rPr>
              <w:tab/>
            </w:r>
            <w:r>
              <w:rPr>
                <w:rStyle w:val="IndexLink"/>
              </w:rPr>
              <w:t>115</w:t>
            </w:r>
          </w:hyperlink>
        </w:p>
        <w:p>
          <w:pPr>
            <w:pStyle w:val="Contents2"/>
            <w:tabs>
              <w:tab w:val="clear" w:pos="8743"/>
              <w:tab w:val="right" w:pos="9026" w:leader="dot"/>
            </w:tabs>
            <w:rPr/>
          </w:pPr>
          <w:hyperlink w:anchor="__RefHeading___Toc2564155_1051229030">
            <w:r>
              <w:rPr>
                <w:webHidden/>
                <w:rStyle w:val="IndexLink"/>
                <w:rtl w:val="true"/>
              </w:rPr>
              <w:t>تاريخ</w:t>
            </w:r>
            <w:r>
              <w:rPr>
                <w:rStyle w:val="IndexLink"/>
                <w:rtl w:val="true"/>
              </w:rPr>
              <w:tab/>
            </w:r>
            <w:r>
              <w:rPr>
                <w:rStyle w:val="IndexLink"/>
              </w:rPr>
              <w:t>119</w:t>
            </w:r>
          </w:hyperlink>
        </w:p>
        <w:p>
          <w:pPr>
            <w:pStyle w:val="Contents3"/>
            <w:tabs>
              <w:tab w:val="clear" w:pos="8459"/>
              <w:tab w:val="right" w:pos="9026" w:leader="dot"/>
            </w:tabs>
            <w:rPr/>
          </w:pPr>
          <w:hyperlink w:anchor="__RefHeading___Toc2564157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564159_1051229030">
            <w:r>
              <w:rPr>
                <w:webHidden/>
                <w:rStyle w:val="IndexLink"/>
                <w:rtl w:val="true"/>
              </w:rPr>
              <w:t>حكومت امام زمان</w:t>
            </w:r>
            <w:r>
              <w:rPr>
                <w:rStyle w:val="IndexLink"/>
                <w:rtl w:val="true"/>
              </w:rPr>
              <w:t>(</w:t>
            </w:r>
            <w:r>
              <w:rPr>
                <w:rStyle w:val="IndexLink"/>
                <w:rtl w:val="true"/>
              </w:rPr>
              <w:t>عج</w:t>
            </w:r>
            <w:r>
              <w:rPr>
                <w:rStyle w:val="IndexLink"/>
                <w:rtl w:val="true"/>
              </w:rPr>
              <w:t xml:space="preserve">) </w:t>
            </w:r>
            <w:r>
              <w:rPr>
                <w:rStyle w:val="IndexLink"/>
                <w:rtl w:val="true"/>
              </w:rPr>
              <w:t xml:space="preserve">تا چه زمانى به درازا خواهد كشيد؟ </w:t>
            </w:r>
            <w:r>
              <w:rPr>
                <w:rStyle w:val="IndexLink"/>
                <w:rtl w:val="true"/>
              </w:rPr>
              <w:t xml:space="preserve">/ </w:t>
            </w:r>
            <w:r>
              <w:rPr>
                <w:rStyle w:val="IndexLink"/>
                <w:rtl w:val="true"/>
              </w:rPr>
              <w:t>محمد على ملاحسنى</w:t>
            </w:r>
            <w:r>
              <w:rPr>
                <w:rStyle w:val="IndexLink"/>
                <w:rtl w:val="true"/>
              </w:rPr>
              <w:tab/>
            </w:r>
            <w:r>
              <w:rPr>
                <w:rStyle w:val="IndexLink"/>
              </w:rPr>
              <w:t>119</w:t>
            </w:r>
          </w:hyperlink>
        </w:p>
        <w:p>
          <w:pPr>
            <w:pStyle w:val="Contents3"/>
            <w:tabs>
              <w:tab w:val="clear" w:pos="8459"/>
              <w:tab w:val="right" w:pos="9026" w:leader="dot"/>
            </w:tabs>
            <w:rPr/>
          </w:pPr>
          <w:hyperlink w:anchor="__RefHeading___Toc2564161_1051229030">
            <w:r>
              <w:rPr>
                <w:webHidden/>
                <w:rStyle w:val="IndexLink"/>
                <w:rtl w:val="true"/>
              </w:rPr>
              <w:t>دليل شيعه براى زنده بودن امام زمان</w:t>
            </w:r>
            <w:r>
              <w:rPr>
                <w:rStyle w:val="IndexLink"/>
                <w:rtl w:val="true"/>
              </w:rPr>
              <w:t>(</w:t>
            </w:r>
            <w:r>
              <w:rPr>
                <w:rStyle w:val="IndexLink"/>
                <w:rtl w:val="true"/>
              </w:rPr>
              <w:t>عج</w:t>
            </w:r>
            <w:r>
              <w:rPr>
                <w:rStyle w:val="IndexLink"/>
                <w:rtl w:val="true"/>
              </w:rPr>
              <w:t xml:space="preserve">) </w:t>
            </w:r>
            <w:r>
              <w:rPr>
                <w:rStyle w:val="IndexLink"/>
                <w:rtl w:val="true"/>
              </w:rPr>
              <w:t xml:space="preserve">چيست؟ آيا اين طول عمر معقول است؟ </w:t>
            </w:r>
            <w:r>
              <w:rPr>
                <w:rStyle w:val="IndexLink"/>
                <w:rtl w:val="true"/>
              </w:rPr>
              <w:t xml:space="preserve">/ </w:t>
            </w:r>
            <w:r>
              <w:rPr>
                <w:rStyle w:val="IndexLink"/>
                <w:rtl w:val="true"/>
              </w:rPr>
              <w:t>حمزه كلانترى</w:t>
            </w:r>
            <w:r>
              <w:rPr>
                <w:rStyle w:val="IndexLink"/>
                <w:rtl w:val="true"/>
              </w:rPr>
              <w:tab/>
            </w:r>
            <w:r>
              <w:rPr>
                <w:rStyle w:val="IndexLink"/>
              </w:rPr>
              <w:t>122</w:t>
            </w:r>
          </w:hyperlink>
        </w:p>
        <w:p>
          <w:pPr>
            <w:pStyle w:val="Contents3"/>
            <w:tabs>
              <w:tab w:val="clear" w:pos="8459"/>
              <w:tab w:val="right" w:pos="9026" w:leader="dot"/>
            </w:tabs>
            <w:rPr/>
          </w:pPr>
          <w:hyperlink w:anchor="__RefHeading___Toc2564163_1051229030">
            <w:r>
              <w:rPr>
                <w:webHidden/>
                <w:rStyle w:val="IndexLink"/>
                <w:rtl w:val="true"/>
              </w:rPr>
              <w:t>ساختار سياسى و اجتماعى حكومت امام زمان</w:t>
            </w:r>
            <w:r>
              <w:rPr>
                <w:rStyle w:val="IndexLink"/>
                <w:rtl w:val="true"/>
              </w:rPr>
              <w:t>(</w:t>
            </w:r>
            <w:r>
              <w:rPr>
                <w:rStyle w:val="IndexLink"/>
                <w:rtl w:val="true"/>
              </w:rPr>
              <w:t>عج</w:t>
            </w:r>
            <w:r>
              <w:rPr>
                <w:rStyle w:val="IndexLink"/>
                <w:rtl w:val="true"/>
              </w:rPr>
              <w:t xml:space="preserve">) </w:t>
            </w:r>
            <w:r>
              <w:rPr>
                <w:rStyle w:val="IndexLink"/>
                <w:rtl w:val="true"/>
              </w:rPr>
              <w:t xml:space="preserve">چگونه است؟ </w:t>
            </w:r>
            <w:r>
              <w:rPr>
                <w:rStyle w:val="IndexLink"/>
                <w:rtl w:val="true"/>
              </w:rPr>
              <w:t xml:space="preserve">/ </w:t>
            </w:r>
            <w:r>
              <w:rPr>
                <w:rStyle w:val="IndexLink"/>
                <w:rtl w:val="true"/>
              </w:rPr>
              <w:t>حمزه كلانترى</w:t>
            </w:r>
            <w:r>
              <w:rPr>
                <w:rStyle w:val="IndexLink"/>
                <w:rtl w:val="true"/>
              </w:rPr>
              <w:tab/>
            </w:r>
            <w:r>
              <w:rPr>
                <w:rStyle w:val="IndexLink"/>
              </w:rPr>
              <w:t>126</w:t>
            </w:r>
          </w:hyperlink>
        </w:p>
        <w:p>
          <w:pPr>
            <w:pStyle w:val="Contents4"/>
            <w:tabs>
              <w:tab w:val="clear" w:pos="8176"/>
              <w:tab w:val="right" w:pos="9026" w:leader="dot"/>
            </w:tabs>
            <w:rPr/>
          </w:pPr>
          <w:hyperlink w:anchor="__RefHeading___Toc2564165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564167_1051229030">
            <w:r>
              <w:rPr>
                <w:webHidden/>
                <w:rStyle w:val="IndexLink"/>
              </w:rPr>
              <w:t>1</w:t>
            </w:r>
            <w:r>
              <w:rPr>
                <w:rStyle w:val="IndexLink"/>
                <w:rtl w:val="true"/>
              </w:rPr>
              <w:t xml:space="preserve">. </w:t>
            </w:r>
            <w:r>
              <w:rPr>
                <w:rStyle w:val="IndexLink"/>
                <w:rtl w:val="true"/>
              </w:rPr>
              <w:t>تحول تربيتى و اخلاقى</w:t>
            </w:r>
            <w:r>
              <w:rPr>
                <w:rStyle w:val="IndexLink"/>
                <w:rtl w:val="true"/>
              </w:rPr>
              <w:tab/>
            </w:r>
            <w:r>
              <w:rPr>
                <w:rStyle w:val="IndexLink"/>
              </w:rPr>
              <w:t>127</w:t>
            </w:r>
          </w:hyperlink>
        </w:p>
        <w:p>
          <w:pPr>
            <w:pStyle w:val="Contents4"/>
            <w:tabs>
              <w:tab w:val="clear" w:pos="8176"/>
              <w:tab w:val="right" w:pos="9026" w:leader="dot"/>
            </w:tabs>
            <w:rPr/>
          </w:pPr>
          <w:hyperlink w:anchor="__RefHeading___Toc2564169_1051229030">
            <w:r>
              <w:rPr>
                <w:webHidden/>
                <w:rStyle w:val="IndexLink"/>
              </w:rPr>
              <w:t>2</w:t>
            </w:r>
            <w:r>
              <w:rPr>
                <w:rStyle w:val="IndexLink"/>
                <w:rtl w:val="true"/>
              </w:rPr>
              <w:t xml:space="preserve">. </w:t>
            </w:r>
            <w:r>
              <w:rPr>
                <w:rStyle w:val="IndexLink"/>
                <w:rtl w:val="true"/>
              </w:rPr>
              <w:t>عدالت خواهى</w:t>
            </w:r>
            <w:r>
              <w:rPr>
                <w:rStyle w:val="IndexLink"/>
                <w:rtl w:val="true"/>
              </w:rPr>
              <w:tab/>
            </w:r>
            <w:r>
              <w:rPr>
                <w:rStyle w:val="IndexLink"/>
              </w:rPr>
              <w:t>128</w:t>
            </w:r>
          </w:hyperlink>
        </w:p>
        <w:p>
          <w:pPr>
            <w:pStyle w:val="Contents4"/>
            <w:tabs>
              <w:tab w:val="clear" w:pos="8176"/>
              <w:tab w:val="right" w:pos="9026" w:leader="dot"/>
            </w:tabs>
            <w:rPr/>
          </w:pPr>
          <w:hyperlink w:anchor="__RefHeading___Toc2564171_1051229030">
            <w:r>
              <w:rPr>
                <w:webHidden/>
                <w:rStyle w:val="IndexLink"/>
              </w:rPr>
              <w:t>3</w:t>
            </w:r>
            <w:r>
              <w:rPr>
                <w:rStyle w:val="IndexLink"/>
                <w:rtl w:val="true"/>
              </w:rPr>
              <w:t xml:space="preserve">. </w:t>
            </w:r>
            <w:r>
              <w:rPr>
                <w:rStyle w:val="IndexLink"/>
                <w:rtl w:val="true"/>
              </w:rPr>
              <w:t>تحول اقتصادى</w:t>
            </w:r>
            <w:r>
              <w:rPr>
                <w:rStyle w:val="IndexLink"/>
                <w:rtl w:val="true"/>
              </w:rPr>
              <w:tab/>
            </w:r>
            <w:r>
              <w:rPr>
                <w:rStyle w:val="IndexLink"/>
              </w:rPr>
              <w:t>129</w:t>
            </w:r>
          </w:hyperlink>
        </w:p>
        <w:p>
          <w:pPr>
            <w:pStyle w:val="Contents4"/>
            <w:tabs>
              <w:tab w:val="clear" w:pos="8176"/>
              <w:tab w:val="right" w:pos="9026" w:leader="dot"/>
            </w:tabs>
            <w:rPr/>
          </w:pPr>
          <w:hyperlink w:anchor="__RefHeading___Toc2564173_1051229030">
            <w:r>
              <w:rPr>
                <w:webHidden/>
                <w:rStyle w:val="IndexLink"/>
              </w:rPr>
              <w:t>4</w:t>
            </w:r>
            <w:r>
              <w:rPr>
                <w:rStyle w:val="IndexLink"/>
                <w:rtl w:val="true"/>
              </w:rPr>
              <w:t xml:space="preserve">. </w:t>
            </w:r>
            <w:r>
              <w:rPr>
                <w:rStyle w:val="IndexLink"/>
                <w:rtl w:val="true"/>
              </w:rPr>
              <w:t>تحول قضايى</w:t>
            </w:r>
            <w:r>
              <w:rPr>
                <w:rStyle w:val="IndexLink"/>
                <w:rtl w:val="true"/>
              </w:rPr>
              <w:tab/>
            </w:r>
            <w:r>
              <w:rPr>
                <w:rStyle w:val="IndexLink"/>
              </w:rPr>
              <w:t>129</w:t>
            </w:r>
          </w:hyperlink>
        </w:p>
        <w:p>
          <w:pPr>
            <w:pStyle w:val="Contents4"/>
            <w:tabs>
              <w:tab w:val="clear" w:pos="8176"/>
              <w:tab w:val="right" w:pos="9026" w:leader="dot"/>
            </w:tabs>
            <w:rPr/>
          </w:pPr>
          <w:hyperlink w:anchor="__RefHeading___Toc2564175_1051229030">
            <w:r>
              <w:rPr>
                <w:webHidden/>
                <w:rStyle w:val="IndexLink"/>
              </w:rPr>
              <w:t>5</w:t>
            </w:r>
            <w:r>
              <w:rPr>
                <w:rStyle w:val="IndexLink"/>
                <w:rtl w:val="true"/>
              </w:rPr>
              <w:t xml:space="preserve">. </w:t>
            </w:r>
            <w:r>
              <w:rPr>
                <w:rStyle w:val="IndexLink"/>
                <w:rtl w:val="true"/>
              </w:rPr>
              <w:t>پيروى از سيره ى پيامبر گرامى اسلام</w:t>
            </w:r>
            <w:r>
              <w:rPr>
                <w:rStyle w:val="IndexLink"/>
                <w:rtl w:val="true"/>
              </w:rPr>
              <w:t>(</w:t>
            </w:r>
            <w:r>
              <w:rPr>
                <w:rStyle w:val="IndexLink"/>
                <w:rtl w:val="true"/>
              </w:rPr>
              <w:t>صلى الله عليه وآله وسلم</w:t>
            </w:r>
            <w:r>
              <w:rPr>
                <w:rStyle w:val="IndexLink"/>
                <w:rtl w:val="true"/>
              </w:rPr>
              <w:t>)</w:t>
              <w:tab/>
            </w:r>
            <w:r>
              <w:rPr>
                <w:rStyle w:val="IndexLink"/>
              </w:rPr>
              <w:t>130</w:t>
            </w:r>
          </w:hyperlink>
        </w:p>
        <w:p>
          <w:pPr>
            <w:pStyle w:val="Contents4"/>
            <w:tabs>
              <w:tab w:val="clear" w:pos="8176"/>
              <w:tab w:val="right" w:pos="9026" w:leader="dot"/>
            </w:tabs>
            <w:rPr/>
          </w:pPr>
          <w:hyperlink w:anchor="__RefHeading___Toc2564177_1051229030">
            <w:r>
              <w:rPr>
                <w:webHidden/>
                <w:rStyle w:val="IndexLink"/>
              </w:rPr>
              <w:t>6</w:t>
            </w:r>
            <w:r>
              <w:rPr>
                <w:rStyle w:val="IndexLink"/>
                <w:rtl w:val="true"/>
              </w:rPr>
              <w:t xml:space="preserve">. </w:t>
            </w:r>
            <w:r>
              <w:rPr>
                <w:rStyle w:val="IndexLink"/>
                <w:rtl w:val="true"/>
              </w:rPr>
              <w:t>رهبرى بى آلايش</w:t>
            </w:r>
            <w:r>
              <w:rPr>
                <w:rStyle w:val="IndexLink"/>
                <w:rtl w:val="true"/>
              </w:rPr>
              <w:tab/>
            </w:r>
            <w:r>
              <w:rPr>
                <w:rStyle w:val="IndexLink"/>
              </w:rPr>
              <w:t>130</w:t>
            </w:r>
          </w:hyperlink>
        </w:p>
        <w:p>
          <w:pPr>
            <w:pStyle w:val="Contents3"/>
            <w:tabs>
              <w:tab w:val="clear" w:pos="8459"/>
              <w:tab w:val="right" w:pos="9026" w:leader="dot"/>
            </w:tabs>
            <w:rPr/>
          </w:pPr>
          <w:hyperlink w:anchor="__RefHeading___Toc2564179_1051229030">
            <w:r>
              <w:rPr>
                <w:webHidden/>
                <w:rStyle w:val="IndexLink"/>
                <w:rtl w:val="true"/>
              </w:rPr>
              <w:t>سيره ى حكومتى امام زمان با سيره ى حكومتى پيامبر</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 ائمه معصومين</w:t>
            </w:r>
            <w:r>
              <w:rPr>
                <w:rStyle w:val="IndexLink"/>
                <w:rtl w:val="true"/>
              </w:rPr>
              <w:t>(</w:t>
            </w:r>
            <w:r>
              <w:rPr>
                <w:rStyle w:val="IndexLink"/>
                <w:rtl w:val="true"/>
              </w:rPr>
              <w:t>عليهم السلام</w:t>
            </w:r>
            <w:r>
              <w:rPr>
                <w:rStyle w:val="IndexLink"/>
                <w:rtl w:val="true"/>
              </w:rPr>
              <w:t xml:space="preserve">) </w:t>
            </w:r>
            <w:r>
              <w:rPr>
                <w:rStyle w:val="IndexLink"/>
                <w:rtl w:val="true"/>
              </w:rPr>
              <w:t>چه فرقى دارد</w:t>
            </w:r>
            <w:r>
              <w:rPr>
                <w:rStyle w:val="IndexLink"/>
                <w:rtl w:val="true"/>
              </w:rPr>
              <w:t xml:space="preserve">. </w:t>
            </w:r>
            <w:r>
              <w:rPr>
                <w:rStyle w:val="IndexLink"/>
                <w:rtl w:val="true"/>
              </w:rPr>
              <w:t xml:space="preserve">چرا؟ </w:t>
            </w:r>
            <w:r>
              <w:rPr>
                <w:rStyle w:val="IndexLink"/>
                <w:rtl w:val="true"/>
              </w:rPr>
              <w:t xml:space="preserve">/ </w:t>
            </w:r>
            <w:r>
              <w:rPr>
                <w:rStyle w:val="IndexLink"/>
                <w:rtl w:val="true"/>
              </w:rPr>
              <w:t>محمد مهدى باباپور</w:t>
            </w:r>
            <w:r>
              <w:rPr>
                <w:rStyle w:val="IndexLink"/>
                <w:rtl w:val="true"/>
              </w:rPr>
              <w:tab/>
            </w:r>
            <w:r>
              <w:rPr>
                <w:rStyle w:val="IndexLink"/>
              </w:rPr>
              <w:t>131</w:t>
            </w:r>
          </w:hyperlink>
        </w:p>
        <w:p>
          <w:pPr>
            <w:pStyle w:val="Contents2"/>
            <w:tabs>
              <w:tab w:val="clear" w:pos="8743"/>
              <w:tab w:val="right" w:pos="9026" w:leader="dot"/>
            </w:tabs>
            <w:rPr/>
          </w:pPr>
          <w:hyperlink w:anchor="__RefHeading___Toc2564181_1051229030">
            <w:r>
              <w:rPr>
                <w:webHidden/>
                <w:rStyle w:val="IndexLink"/>
                <w:rtl w:val="true"/>
              </w:rPr>
              <w:t>اينترنت</w:t>
            </w:r>
            <w:r>
              <w:rPr>
                <w:rStyle w:val="IndexLink"/>
                <w:rtl w:val="true"/>
              </w:rPr>
              <w:tab/>
            </w:r>
            <w:r>
              <w:rPr>
                <w:rStyle w:val="IndexLink"/>
              </w:rPr>
              <w:t>135</w:t>
            </w:r>
          </w:hyperlink>
        </w:p>
        <w:p>
          <w:pPr>
            <w:pStyle w:val="Contents3"/>
            <w:tabs>
              <w:tab w:val="clear" w:pos="8459"/>
              <w:tab w:val="right" w:pos="9026" w:leader="dot"/>
            </w:tabs>
            <w:rPr/>
          </w:pPr>
          <w:hyperlink w:anchor="__RefHeading___Toc2564183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564185_1051229030">
            <w:r>
              <w:rPr>
                <w:webHidden/>
                <w:rStyle w:val="IndexLink"/>
                <w:rtl w:val="true"/>
              </w:rPr>
              <w:t>معرفى پايگاه هاى اسلامى اينترنت</w:t>
            </w:r>
            <w:r>
              <w:rPr>
                <w:rStyle w:val="IndexLink"/>
                <w:rtl w:val="true"/>
              </w:rPr>
              <w:tab/>
            </w:r>
            <w:r>
              <w:rPr>
                <w:rStyle w:val="IndexLink"/>
              </w:rPr>
              <w:t>135</w:t>
            </w:r>
          </w:hyperlink>
        </w:p>
        <w:p>
          <w:pPr>
            <w:pStyle w:val="Contents4"/>
            <w:tabs>
              <w:tab w:val="clear" w:pos="8176"/>
              <w:tab w:val="right" w:pos="9026" w:leader="dot"/>
            </w:tabs>
            <w:rPr/>
          </w:pPr>
          <w:hyperlink w:anchor="__RefHeading___Toc2564187_1051229030">
            <w:r>
              <w:rPr>
                <w:webHidden/>
                <w:rStyle w:val="IndexLink"/>
                <w:rtl w:val="true"/>
              </w:rPr>
              <w:t xml:space="preserve">پايگاه </w:t>
            </w:r>
            <w:r>
              <w:rPr>
                <w:rStyle w:val="IndexLink"/>
                <w:rtl w:val="true"/>
              </w:rPr>
              <w:t>«</w:t>
            </w:r>
            <w:r>
              <w:rPr>
                <w:rStyle w:val="IndexLink"/>
                <w:rtl w:val="true"/>
              </w:rPr>
              <w:t>انديشه ى قم</w:t>
            </w:r>
            <w:r>
              <w:rPr>
                <w:rStyle w:val="IndexLink"/>
                <w:rtl w:val="true"/>
              </w:rPr>
              <w:t>»</w:t>
              <w:tab/>
            </w:r>
            <w:r>
              <w:rPr>
                <w:rStyle w:val="IndexLink"/>
              </w:rPr>
              <w:t>135</w:t>
            </w:r>
          </w:hyperlink>
        </w:p>
        <w:p>
          <w:pPr>
            <w:pStyle w:val="Contents5"/>
            <w:tabs>
              <w:tab w:val="clear" w:pos="7892"/>
              <w:tab w:val="right" w:pos="9026" w:leader="dot"/>
            </w:tabs>
            <w:rPr/>
          </w:pPr>
          <w:hyperlink w:anchor="__RefHeading___Toc2564189_105122903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564191_1051229030">
            <w:r>
              <w:rPr>
                <w:webHidden/>
                <w:rStyle w:val="IndexLink"/>
                <w:rtl w:val="true"/>
              </w:rPr>
              <w:t>درون مايه</w:t>
            </w:r>
            <w:r>
              <w:rPr>
                <w:rStyle w:val="IndexLink"/>
                <w:rtl w:val="true"/>
              </w:rPr>
              <w:t>:</w:t>
              <w:tab/>
            </w:r>
            <w:r>
              <w:rPr>
                <w:rStyle w:val="IndexLink"/>
              </w:rPr>
              <w:t>135</w:t>
            </w:r>
          </w:hyperlink>
        </w:p>
        <w:p>
          <w:pPr>
            <w:pStyle w:val="Contents6"/>
            <w:tabs>
              <w:tab w:val="clear" w:pos="7609"/>
              <w:tab w:val="right" w:pos="9026" w:leader="dot"/>
            </w:tabs>
            <w:rPr/>
          </w:pPr>
          <w:hyperlink w:anchor="__RefHeading___Toc2564193_1051229030">
            <w:r>
              <w:rPr>
                <w:webHidden/>
                <w:rStyle w:val="IndexLink"/>
                <w:rtl w:val="true"/>
              </w:rPr>
              <w:t xml:space="preserve">الف </w:t>
            </w:r>
            <w:r>
              <w:rPr>
                <w:rStyle w:val="IndexLink"/>
                <w:rtl w:val="true"/>
              </w:rPr>
              <w:t xml:space="preserve">- </w:t>
            </w:r>
            <w:r>
              <w:rPr>
                <w:rStyle w:val="IndexLink"/>
                <w:rtl w:val="true"/>
              </w:rPr>
              <w:t>فرآورده هاى مركز</w:t>
            </w:r>
            <w:r>
              <w:rPr>
                <w:rStyle w:val="IndexLink"/>
                <w:rtl w:val="true"/>
              </w:rPr>
              <w:tab/>
            </w:r>
            <w:r>
              <w:rPr>
                <w:rStyle w:val="IndexLink"/>
              </w:rPr>
              <w:t>135</w:t>
            </w:r>
          </w:hyperlink>
        </w:p>
        <w:p>
          <w:pPr>
            <w:pStyle w:val="Contents6"/>
            <w:tabs>
              <w:tab w:val="clear" w:pos="7609"/>
              <w:tab w:val="right" w:pos="9026" w:leader="dot"/>
            </w:tabs>
            <w:rPr/>
          </w:pPr>
          <w:hyperlink w:anchor="__RefHeading___Toc2564195_1051229030">
            <w:r>
              <w:rPr>
                <w:webHidden/>
                <w:rStyle w:val="IndexLink"/>
                <w:rtl w:val="true"/>
              </w:rPr>
              <w:t xml:space="preserve">ب </w:t>
            </w:r>
            <w:r>
              <w:rPr>
                <w:rStyle w:val="IndexLink"/>
                <w:rtl w:val="true"/>
              </w:rPr>
              <w:t xml:space="preserve">- </w:t>
            </w:r>
            <w:r>
              <w:rPr>
                <w:rStyle w:val="IndexLink"/>
                <w:rtl w:val="true"/>
              </w:rPr>
              <w:t>اطلاع رسانى</w:t>
            </w:r>
            <w:r>
              <w:rPr>
                <w:rStyle w:val="IndexLink"/>
                <w:rtl w:val="true"/>
              </w:rPr>
              <w:tab/>
            </w:r>
            <w:r>
              <w:rPr>
                <w:rStyle w:val="IndexLink"/>
              </w:rPr>
              <w:t>137</w:t>
            </w:r>
          </w:hyperlink>
        </w:p>
        <w:p>
          <w:pPr>
            <w:pStyle w:val="Contents6"/>
            <w:tabs>
              <w:tab w:val="clear" w:pos="7609"/>
              <w:tab w:val="right" w:pos="9026" w:leader="dot"/>
            </w:tabs>
            <w:rPr/>
          </w:pPr>
          <w:hyperlink w:anchor="__RefHeading___Toc2564197_1051229030">
            <w:r>
              <w:rPr>
                <w:webHidden/>
                <w:rStyle w:val="IndexLink"/>
                <w:rtl w:val="true"/>
              </w:rPr>
              <w:t xml:space="preserve">ج </w:t>
            </w:r>
            <w:r>
              <w:rPr>
                <w:rStyle w:val="IndexLink"/>
                <w:rtl w:val="true"/>
              </w:rPr>
              <w:t xml:space="preserve">- </w:t>
            </w:r>
            <w:r>
              <w:rPr>
                <w:rStyle w:val="IndexLink"/>
                <w:rtl w:val="true"/>
              </w:rPr>
              <w:t>خدمات</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1_56344"/>
      <w:bookmarkStart w:id="1" w:name="pg7521_56344"/>
      <w:bookmarkEnd w:id="1"/>
    </w:p>
    <w:p>
      <w:pPr>
        <w:pStyle w:val="Heading2"/>
        <w:numPr>
          <w:ilvl w:val="1"/>
          <w:numId w:val="1"/>
        </w:numPr>
        <w:rPr/>
      </w:pPr>
      <w:bookmarkStart w:id="2" w:name="pg7521_56344"/>
      <w:bookmarkStart w:id="3" w:name="__RefHeading___Toc256391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مجله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پرسش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كارى مشترک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 های فرهنگی حوزه های علميه و مركز پژوهش های اسلامی صدا و سیما</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p>
    <w:p>
      <w:pPr>
        <w:pStyle w:val="BookText"/>
        <w:rPr/>
      </w:pPr>
      <w:r>
        <w:rPr>
          <w:rFonts w:ascii="Amiri" w:hAnsi="Amiri" w:eastAsia="Amiri" w:cs="Amiri"/>
          <w:color w:val="111111"/>
          <w:sz w:val="28"/>
          <w:sz w:val="28"/>
          <w:szCs w:val="28"/>
          <w:rtl w:val="true"/>
          <w:lang w:bidi="ar-SA"/>
        </w:rPr>
        <w:t>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والمسلمين حسينى بوشهرى</w:t>
      </w:r>
    </w:p>
    <w:p>
      <w:pPr>
        <w:pStyle w:val="BookText"/>
        <w:rPr/>
      </w:pPr>
      <w:r>
        <w:rPr>
          <w:rFonts w:ascii="IRNazanin" w:hAnsi="IRNazanin" w:eastAsia="IRNazanin"/>
          <w:color w:val="111111"/>
          <w:sz w:val="28"/>
          <w:sz w:val="28"/>
          <w:szCs w:val="28"/>
          <w:rtl w:val="true"/>
          <w:lang w:bidi="fa-IR"/>
        </w:rPr>
        <w:t>مدير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عبدالحسين خسروپناه</w:t>
      </w:r>
    </w:p>
    <w:p>
      <w:pPr>
        <w:pStyle w:val="BookText"/>
        <w:rPr/>
      </w:pPr>
      <w:r>
        <w:rPr>
          <w:rFonts w:ascii="IRNazanin" w:hAnsi="IRNazanin" w:eastAsia="IRNazanin"/>
          <w:color w:val="111111"/>
          <w:sz w:val="28"/>
          <w:sz w:val="28"/>
          <w:szCs w:val="28"/>
          <w:rtl w:val="true"/>
          <w:lang w:bidi="fa-IR"/>
        </w:rPr>
        <w:t>سردبير و دبیر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سيد محمد على داعى نژاد</w:t>
      </w:r>
    </w:p>
    <w:p>
      <w:pPr>
        <w:pStyle w:val="BookText"/>
        <w:rPr/>
      </w:pPr>
      <w:r>
        <w:rPr>
          <w:rFonts w:ascii="IRNazanin" w:hAnsi="IRNazanin" w:eastAsia="IRNazanin"/>
          <w:color w:val="111111"/>
          <w:sz w:val="28"/>
          <w:sz w:val="28"/>
          <w:szCs w:val="28"/>
          <w:rtl w:val="true"/>
          <w:lang w:bidi="fa-IR"/>
        </w:rPr>
        <w:t>شورای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درافشان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رضایی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هیبت الله صدرالسادات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میری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متعلم</w:t>
      </w:r>
    </w:p>
    <w:p>
      <w:pPr>
        <w:pStyle w:val="BookText"/>
        <w:rPr/>
      </w:pPr>
      <w:r>
        <w:rPr>
          <w:rFonts w:ascii="IRNazanin" w:hAnsi="IRNazanin" w:eastAsia="IRNazanin"/>
          <w:color w:val="111111"/>
          <w:sz w:val="28"/>
          <w:sz w:val="28"/>
          <w:szCs w:val="28"/>
          <w:rtl w:val="true"/>
          <w:lang w:bidi="fa-IR"/>
        </w:rPr>
        <w:t>بازبینی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روحانی بیدگلی</w:t>
      </w:r>
    </w:p>
    <w:p>
      <w:pPr>
        <w:pStyle w:val="BookText"/>
        <w:rPr/>
      </w:pPr>
      <w:r>
        <w:rPr>
          <w:rFonts w:ascii="IRNazanin" w:hAnsi="IRNazanin" w:eastAsia="IRNazanin"/>
          <w:color w:val="111111"/>
          <w:sz w:val="28"/>
          <w:sz w:val="28"/>
          <w:szCs w:val="28"/>
          <w:rtl w:val="true"/>
          <w:lang w:bidi="fa-IR"/>
        </w:rPr>
        <w:t>حروف نگاری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حامد</w:t>
      </w:r>
    </w:p>
    <w:p>
      <w:pPr>
        <w:pStyle w:val="BookText"/>
        <w:rPr/>
      </w:pPr>
      <w:r>
        <w:rPr>
          <w:rFonts w:ascii="IRNazanin" w:hAnsi="IRNazanin" w:eastAsia="IRNazanin"/>
          <w:color w:val="111111"/>
          <w:sz w:val="28"/>
          <w:sz w:val="28"/>
          <w:szCs w:val="28"/>
          <w:rtl w:val="true"/>
          <w:lang w:bidi="fa-IR"/>
        </w:rPr>
        <w:t>مسئول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نعمتی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محمدی</w:t>
      </w:r>
    </w:p>
    <w:p>
      <w:pPr>
        <w:pStyle w:val="Heading2"/>
        <w:numPr>
          <w:ilvl w:val="1"/>
          <w:numId w:val="1"/>
        </w:numPr>
        <w:rPr/>
      </w:pPr>
      <w:bookmarkStart w:id="5" w:name="__RefHeading___Toc2563917_1051229030"/>
      <w:bookmarkStart w:id="6" w:name="_Toc2"/>
      <w:bookmarkEnd w:id="5"/>
      <w:r>
        <w:rPr>
          <w:rtl w:val="true"/>
        </w:rPr>
        <w:t>سخن سردبير</w:t>
      </w:r>
      <w:bookmarkEnd w:id="6"/>
    </w:p>
    <w:p>
      <w:pPr>
        <w:pStyle w:val="BookText"/>
        <w:rPr/>
      </w:pPr>
      <w:r>
        <w:rPr>
          <w:rFonts w:ascii="IRNazanin" w:hAnsi="IRNazanin" w:eastAsia="IRNazanin"/>
          <w:color w:val="111111"/>
          <w:sz w:val="28"/>
          <w:sz w:val="28"/>
          <w:szCs w:val="28"/>
          <w:rtl w:val="true"/>
          <w:lang w:bidi="fa-IR"/>
        </w:rPr>
        <w:t>تمدن يك جامعه در گرو شكوفايى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نيز در عصر كنونى با تهاجم فرهنگ غربى و پيدايش روزافزون شبهه ها و پرسش هايى روبه رو است كه تنها راه رويارويى با آن، پاسخ گويى عقلانى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دانشمندان مسلمان وظيفه دارند با تيز بينى، به پاسخ اين پرسش ها بيانديشند و راه را بر ماجرا آفرينى شبهه گران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در اين شماره به بررسى پاره اى از اين گونه پرسش ها در عرصه هاى كلامى، دين پژوهى، سياسى، حقوقى و تاريخى پرداخته است كه آن ها را برمى 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مباحث مهم در حوزه ى كلامى،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ناسازگار دانستن شفاعت با علم الهى و توحيد خداوند، اصل شفاعت را انكار كرده يا گفته اند شفاعت، افراد را به انجام گناه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لزومى دارد خداوند با شفاعت يك واسطه، گناه بنده را ببخشد؟ در پاسخ به اين پرسش ها، مفهوم شفاعت و سازگارى آن با علم الهى و توحيد، تبيين و با بيان ويژگى هاى شفاعت نشان داده شده است كه شفاعت به معناى تشويق افراد گناه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قرائت هاى گوناگون از دين از مباحث دين شناسى معاصر است كه امروزه پرسش هايى را آفريده است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ادله و مبانى نظريه ى قرائت هاى گوناگون نقدپذير است؟ اين نظريه چه پى آمدهايى دارد؟ ميزان اثر گذارى پيش دانسته ها در تفسير قرآن چگونه است؟ و راز اختلاف فقيهان و مفسران در فهم متون دين چيست؟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 ها، پس از نقد دلايل نظريه ى قرائت ها، پى آمدهاى منفى اين نظريه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تفسير به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دين آن را باطل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از تشخيص مراد صاحب متن و اجتماع نقيضين در فهم مراد متكلم،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پاسخ به دليل اختلاف نظر فقيهان، با بيان تفاوت داشتن نظريه ى قرائت ها با پديده ى اختلاف نظر فقيهان، ثابت شده است كه آن را نمى توان نشانه ى راستى ادعاى نظريه ى قرائت ها پنداشت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پرسش هاى اساسى و متناسب با نياز امروز جامعه ى اسلامى در زمينه ى مهدويت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سياسى اجتماعى حكومت امام زمان چگونه است؟ آيا سيره ى حكومتى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سيره ى حكومتى پيامبر و ائمه 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 شيعه براى زنده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دارد؟</w:t>
      </w:r>
    </w:p>
    <w:p>
      <w:pPr>
        <w:pStyle w:val="BookText"/>
        <w:rPr/>
      </w:pPr>
      <w:r>
        <w:rPr>
          <w:rFonts w:ascii="IRNazanin" w:hAnsi="IRNazanin" w:eastAsia="IRNazanin"/>
          <w:color w:val="111111"/>
          <w:sz w:val="28"/>
          <w:sz w:val="28"/>
          <w:szCs w:val="28"/>
          <w:rtl w:val="true"/>
          <w:lang w:bidi="fa-IR"/>
        </w:rPr>
        <w:t xml:space="preserve">در پاسخ به اين پرسش ها با بهره گيرى از روايت ها، ويژگى هاى ساختار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حكومت آن حضرت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عدالت خواهى، اساس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گشته و به استناد احاديث، يگانگى روش حكومتى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دليل شيعه براى زنده بودن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دلايل موجود براى امكان طبيعى زنده بودن كسى تا اين زمان و اثبات وقوع علمى آن آمده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بررسى وضيعت رسانه ها كه از مسايل مهم اجتماعى است، به برخى از مهم ترين موضوع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دوره اى در عصر رسانه ها، پى آمدهاى مثبت اينترنت و تلويزيون و پى آمدهاى منفى بازى هاى رايانه اى خشونت زا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رفتار رژيم اشغالگر قدس از ديدگاه حقوق بين الملل و پيوند اين رژيم با تروريسم، بررسى و در گفتوگويى با دكتر خدايى به پاره اى از پرسش ها در اين زمينه،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به خواص و عوام و عوامل عزّت و افتخار حسينى از ديدگاه قرآن و روايات، مى پردازد و به پرسش هايى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آمدهاى عوام زدگى، راه هاى مقابله با آن، رسالت خواص ازديدگاه قرآن و مكتب حسينى، عوامل عزّت و ذلّت از ديدگاه قرآن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پى آمدهاى عوام زدگى، سطحى شدن و سكون انديشه ها است و خواص بايد با زمان شناسى به چاره انديشى در اين زمينه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عزّت نيز از ديدگاه قرآن و روايات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بندى به دين، پيوند مؤمنان و توكل برخدا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چهارمين شماره از نشريه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شماست كه با هميارى مركز مطالعات و پژوهش هاى فرهنگى حوزه ى علميه قم و مركز پژوهش هاى اسلامى صدا و سيما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ى نقادانه ى اين مجموعه و بيان پرسش ها، پيشنهادها و انتقادهاى شما خوانندگان گرامى، گامى بزرگ در راه پيشبرد اهداف 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ما را در اين راه يارى فرماييد</w:t>
      </w:r>
      <w:r>
        <w:rPr>
          <w:rFonts w:eastAsia="IRNazanin" w:cs="IRNazanin"/>
          <w:color w:val="111111"/>
          <w:sz w:val="28"/>
          <w:szCs w:val="28"/>
          <w:rtl w:val="true"/>
          <w:lang w:bidi="fa-IR"/>
        </w:rPr>
        <w:t xml:space="preserve">. </w:t>
      </w:r>
      <w:bookmarkStart w:id="7" w:name="pg7521_56346"/>
    </w:p>
    <w:p>
      <w:pPr>
        <w:pStyle w:val="Heading2"/>
        <w:numPr>
          <w:ilvl w:val="1"/>
          <w:numId w:val="1"/>
        </w:numPr>
        <w:rPr/>
      </w:pPr>
      <w:bookmarkStart w:id="8" w:name="__RefHeading___Toc2563919_1051229030"/>
      <w:bookmarkStart w:id="9" w:name="_Toc3"/>
      <w:bookmarkEnd w:id="7"/>
      <w:bookmarkEnd w:id="8"/>
      <w:r>
        <w:rPr>
          <w:rtl w:val="true"/>
        </w:rPr>
        <w:t>نقد انديشه</w:t>
      </w:r>
      <w:bookmarkEnd w:id="9"/>
    </w:p>
    <w:p>
      <w:pPr>
        <w:pStyle w:val="Heading3"/>
        <w:numPr>
          <w:ilvl w:val="2"/>
          <w:numId w:val="1"/>
        </w:numPr>
        <w:rPr/>
      </w:pPr>
      <w:bookmarkStart w:id="10" w:name="__RefHeading___Toc2563921_105122903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كانت و انتظار بشر از دين</w:t>
      </w:r>
    </w:p>
    <w:p>
      <w:pPr>
        <w:pStyle w:val="Heading3"/>
        <w:numPr>
          <w:ilvl w:val="2"/>
          <w:numId w:val="1"/>
        </w:numPr>
        <w:rPr/>
      </w:pPr>
      <w:bookmarkStart w:id="12" w:name="__RefHeading___Toc2563923_1051229030"/>
      <w:bookmarkStart w:id="13" w:name="_Toc5"/>
      <w:bookmarkEnd w:id="12"/>
      <w:r>
        <w:rPr>
          <w:rtl w:val="true"/>
        </w:rPr>
        <w:t>ديدگاه كانت در قلمرو دين و انتظار بشر از دين چيست؟</w:t>
      </w:r>
      <w:bookmarkEnd w:id="13"/>
    </w:p>
    <w:p>
      <w:pPr>
        <w:pStyle w:val="BookText"/>
        <w:rPr/>
      </w:pPr>
      <w:r>
        <w:rPr>
          <w:rFonts w:ascii="IRNazanin" w:hAnsi="IRNazanin" w:eastAsia="IRNazanin"/>
          <w:color w:val="111111"/>
          <w:sz w:val="28"/>
          <w:sz w:val="28"/>
          <w:szCs w:val="28"/>
          <w:rtl w:val="true"/>
          <w:lang w:bidi="fa-IR"/>
        </w:rPr>
        <w:t>عبدالحسين خسروپناه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ديدگاه كانت در باب انتظار بشر از دين به درك زمانه و فلسفه ى وى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در زمانه اى به صحنه ى مبارزه ى علمى پا نهاد كه بحران هاى تازه اى دامن گير فلسفه، علم و دين شده و علوم طبيعى و رياضيات كه راه تكامل مى سپرد، در دام شبهه هاى شك گرايان جديد گرفتار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زمانه اى بود كه مسايل مابعدالطبيعه مورد بى مهرى قرار گرفت و هواداران اصالت تجربه به ويژه هيوم، با انكار جوهر مادى و نفسانى و ترديد در اصل عليت، پايه ى مكتب هاى عقل گرايى فلسفه را در اروپا لرزاندند و علم تجربى نيز هم پاى فلسفه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 نيوتنى به درماندگى افتاد و از همه مهم تر، در جبرگرايى، قلمرو اخلاق نيز دچار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كانت طرح نظام نوين فلسفى را درانداخت و به پندار خود، تا اندازه اى توانست در كاهش آشفتگى ها و بحران هاى معرفت شناسى در علم اخلاق و الهيات، كام ياب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انديشه هاى فلسفى كانت بر اروپا و همه ى فيلسوفان پس از او، تأثير چشم گيرى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ماركس، سارتر، راسل، پوپر و جان هيك و بسيارى از مكتب هاى فلسفى و كلامى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اگزيستانسياليسم، پوزيتويسم، فنومنولوژى و پلوراليسم از مدرسه ى كانت، درس هاى فراوان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هايدگر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معاصر آلمانى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بر زندگى همه ى ما سايه افكنده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اميلبريه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 برجسته ى فرانسوى نيز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جرأت مى توان گفت از پايان قرن هجدهم تا كنون هيچ انديشه اى در فلسفه نبوده كه مستقيم يا غيرمستقيم از فلسفه ى كانت، نشأت نگرفته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كانت از زمان آشنايى با فلسفه ى هيوم، اندكى در ادراك هاى عقلى ترديد كرد و در برابر واكنش جزم گرايان و شك گرايان، واكنش سومى به نام فلسفه انتقادى يا نقّادى</w:t>
      </w:r>
      <w:r>
        <w:rPr>
          <w:rStyle w:val="FootnoteAnchor"/>
          <w:rtl w:val="true"/>
        </w:rPr>
        <w:footnoteReference w:id="4"/>
      </w:r>
      <w:r>
        <w:rPr>
          <w:rFonts w:ascii="IRNazanin" w:hAnsi="IRNazanin" w:eastAsia="IRNazanin"/>
          <w:color w:val="111111"/>
          <w:sz w:val="28"/>
          <w:sz w:val="28"/>
          <w:szCs w:val="28"/>
          <w:rtl w:val="true"/>
          <w:lang w:bidi="fa-IR"/>
        </w:rPr>
        <w:t>را وارد ميدان انديشه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فلسفه ى ذهن شناسى، بر اين نكته پاى مى فشارد كه پيش از رسيدن به معرفت، بايد توانايى ها، قلمرو و ابزار ذهن و شيوه ى پيدايش معرفت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بر اين باور بود كه ذهن تنها مى تواند نمودها را بشناسد نه بودها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خارج پيرو ذهن است، نه ذهن پيرو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معرفت، آميخته اى از ماده ى خارجى و آن صورت ذهنى است كه خود، به ماده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از آن به معرفت استعلايى ياد مى كند و فلسفه ى خود را نيز ايده آليسم استعلايى</w:t>
      </w:r>
      <w:r>
        <w:rPr>
          <w:rStyle w:val="FootnoteAnchor"/>
          <w:rtl w:val="true"/>
        </w:rPr>
        <w:footnoteReference w:id="5"/>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صورت هاى ياد شده تنها بر داده هاى تجربى و حسى انطباق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ذهن هم چون آينه تنها جنبه ى اثرپذيرى ندارد، بلكه عناصر ماتقدم به نحو پيشين در پيدايش شناخت، نقش مستقيم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كانت، از در هم آميختن عناصر ماتقدم و صورت هاى خارجى، پديدارى به نام فنومن يافت مى شود كه بر نومن خارجى، انطباق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طرح </w:t>
      </w:r>
    </w:p>
    <w:p>
      <w:pPr>
        <w:pStyle w:val="BookText"/>
        <w:rPr/>
      </w:pPr>
      <w:r>
        <w:rPr>
          <w:rFonts w:ascii="IRNazanin" w:hAnsi="IRNazanin" w:eastAsia="IRNazanin"/>
          <w:color w:val="111111"/>
          <w:sz w:val="28"/>
          <w:sz w:val="28"/>
          <w:szCs w:val="28"/>
          <w:rtl w:val="true"/>
          <w:lang w:bidi="fa-IR"/>
        </w:rPr>
        <w:t>عناصر ذهنى و ماتقدمى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عليت، جوهر، ضرورت و مانند اين ها كه هيوم از تبيين آن ها ناتوان بود، قضاياى علوم طبيعى و رياضيات محض را ممكن ساخت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بدين ترتيب، مفاهيم علوم ماوراء طبيعى و الهيات مانند مفهوم خداوند چون نامحسوس اند، با عقل نظرى شناخت ناپذير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وى اصل عليت را نيز ساخته ى ذهن بشر دانست و گفت كه با كمك آن نمى توان به وجود خدا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 گرفت صور استعلائيه، مانند مفهوم خدا نيز چون با پديدارها سر و كار دارند، به وسيله ى عقل نظرى، قابل درك و اثبات نيستند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پس از عقل نظرى، به سراغ عقل عملى و اخلاق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پيش كشيدن الزام اخلاقى كه وجدان آن را مى پذيرد، خدا را به عنوان اصل موضوعى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كانت، پذيرش نظام اخلاقى جهان و وجود قوانين اخلاقى، به وجود قانون گذارى بستگى دارد كه مبدأ و ضامن آن قوانين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وظيفه ى دين تنها در راهنمايى و روشن گرى اخلاق و ضمانت اجراى قوانين اخلاقى و تضمين پاداش عادلانه، خلاصه مى شود و كشف جهان طبيعت و برآوردن نيازهاى فردى و اجتماعى بر عهده ى 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انتظار محدود از دين، قلمرو علم و دين به طور كامل از هم جدا مى شود و هيچ گاه تعارضى ميان آن ها پديد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ى باربور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كانت، سرآغاز دين و ديانت در حوزه ى كاملاً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احساس الزام اخلاقى انسان نه مسايل نظرى متافيزيك، بلكه مسايل عملى اخلاق نقش دارد كه وجود خداوند را به عنوان اصل مسلم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تا آن جا پيش مى رود كه خداوند را يك اصل مسلم نظام اخلاقى مى داند و عقايد دينى را مسلماتى مى شمارد كه آگاهى ما از الزام اخلاقى، آن ها را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ما در ميل به انجام وظيفه، ريشه داشته باشد، تأييد ضمنى اين اعتقاد است كه جهان يك نظام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يا حضور قوانين اخلاقى نيز به وجود مقنن </w:t>
      </w:r>
      <w:bookmarkStart w:id="14" w:name="pg7521_56349"/>
    </w:p>
    <w:p>
      <w:pPr>
        <w:pStyle w:val="BookText"/>
        <w:rPr/>
      </w:pPr>
      <w:bookmarkEnd w:id="14"/>
      <w:r>
        <w:rPr>
          <w:rFonts w:ascii="IRNazanin" w:hAnsi="IRNazanin" w:eastAsia="IRNazanin"/>
          <w:color w:val="111111"/>
          <w:sz w:val="28"/>
          <w:sz w:val="28"/>
          <w:szCs w:val="28"/>
          <w:rtl w:val="true"/>
          <w:lang w:bidi="fa-IR"/>
        </w:rPr>
        <w:t>بستگى دارد كه همانا مبدأ و ضامن آن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اخلاقى مستلزم قبول يا وجود نوعى همبستگى بين فضيلت و نيك فرجامى است و ما طبعاً به مسلم گرفتن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شويم كه با تضمين ثواب عادلانه ى فضيلت در حيات ديگر، عدالت را برقرار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عقل عملى، وجود خداوند و اختيار را تصديق مى كند، حتى اگر عقل نظرى نتواند وجود آن ها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اخلاقى، انديشه ى وجود حقيقى خداوند را موجه مى سازد، ولى مبنايى براى دعاوى معرفت دينى فراهم نمى كند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بنابراين، كانت قلمرو دين و انتظار بشر از دين را در باورمندى به خداوندى خلاصه مى كند كه ضمانت اجرايى اخلاق و قوانين حقوقى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انتظار او از دين تنها در تبيين اين گستره معنا مى يابد و به همين دليل است كه متون دينى و فهم عالمان دين از گزاره هاى دينى را بيهوده مى داند و تنها براى دين عقلى و طبيعى يا دئيسم، جايگاه منطقى در نظر مى گيرد</w:t>
      </w:r>
      <w:r>
        <w:rPr>
          <w:rFonts w:eastAsia="IRNazanin" w:cs="IRNazanin"/>
          <w:color w:val="111111"/>
          <w:sz w:val="28"/>
          <w:szCs w:val="28"/>
          <w:rtl w:val="true"/>
          <w:lang w:bidi="fa-IR"/>
        </w:rPr>
        <w:t>.</w:t>
      </w:r>
    </w:p>
    <w:p>
      <w:pPr>
        <w:pStyle w:val="Heading3"/>
        <w:numPr>
          <w:ilvl w:val="2"/>
          <w:numId w:val="1"/>
        </w:numPr>
        <w:rPr/>
      </w:pPr>
      <w:bookmarkStart w:id="15" w:name="__RefHeading___Toc2563925_1051229030"/>
      <w:bookmarkStart w:id="16" w:name="_Toc6"/>
      <w:bookmarkEnd w:id="15"/>
      <w:r>
        <w:rPr>
          <w:rtl w:val="true"/>
        </w:rPr>
        <w:t>چالش هاى معرفت شناسى كانت در زمينه ى گستره ى دين چيست؟</w:t>
      </w:r>
      <w:bookmarkEnd w:id="16"/>
    </w:p>
    <w:p>
      <w:pPr>
        <w:pStyle w:val="BookText"/>
        <w:rPr/>
      </w:pPr>
      <w:r>
        <w:rPr>
          <w:rFonts w:ascii="IRNazanin" w:hAnsi="IRNazanin" w:eastAsia="IRNazanin"/>
          <w:color w:val="111111"/>
          <w:sz w:val="28"/>
          <w:sz w:val="28"/>
          <w:szCs w:val="28"/>
          <w:rtl w:val="true"/>
          <w:lang w:bidi="fa-IR"/>
        </w:rPr>
        <w:t>مهم ترين بحث درباره ى ديدگاه كانت، نقد معرفت شناختى است كه تفصيل آن به نوشتن رساله اى جداگانه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طور گذرا بدان مى پردازيم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 آمد نظريه ى معرفت شناختى كانت، نفى واقع گرايى در معرفت يا ناتوان شمردن بشر از دست يابى به واقعيت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فرض پذيرش مجموعه اى از مفاهيم ذهنى، واقع نمايى آن ها را نمى توان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دانش ما به آن مفاهيم ذهنى آميخته خواهد شد و از واقعيت، تصويرى خالص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وراى مفاهيم دينى خود نمى توانيم به واقعيت برسيم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ادعا پذيرفتى نيست كه تنها مواد زمانى و مكانى به صورت هاى ذهنى در مى آيند و حقايق مجرد و ماوراء طبيعى و متافيزيكى از اين صورت هاى ذهنى و قالب هاى ما تقدّم بيرون </w:t>
      </w:r>
    </w:p>
    <w:p>
      <w:pPr>
        <w:pStyle w:val="BookText"/>
        <w:rPr/>
      </w:pP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با علم حضورى، رابطه ى علّى و معلولى و با علم حصولى، رابطه ى خالق هستى و عالم طبيعت، قابل تصور و دركاست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معرفت شناسى اسلامى، عقل نظرى از ادراك كليات و انطباق آن بر مصداق هاى ماوراء طبيعى، ناتوان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دين در ضمانت اجرايى اخلاق شايد با دين مسيحيت كنونى سازگار باشد، ولى با اديان ابراهيمى واقعى به ويژه دين اسلام كه در بردارنده ى شريعت و مسايل فردى و اجتماعى، سياسى و حكومتى، دنيوى و اخروى، اقتصادى و اخلاقى است،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رويكرد كانت با روش درون دينى اسلام، مقبوليت پيدا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دين در قلمرو اخلاق تنها در ضمانت اجرايى آموزه هاى اخلاقى و تضمين پاداش عادلانه، خلاصه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عملى و وجدان آدمى تنها مى تواند كليات و پاره اى از جزئيات اخلاقى را درك كند و بسيارى از مسايل جزئى و مصداق هاى اخلاقى از مدار درك عقل و شهود انسان، بيرون است كه اختلاف عقول عاقلان و شهود شاهدان اين ادعا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در بيان مصداق ها و مسايل جزئى اخلاقى، حضور جدّى دارد و انسان در اين موارد، نيازمند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خواننده پوشيده نيست كه كانت، به دليل بى اعتبار دانستن كتاب مقدس مسيحيت و با ديدن تعارض هاى فراوان علم جديد با دين تحريف شده ى مسيح، هيچ گرايشى به دين وحيانى نداشت و تنها كاركرد دين را در دين طبيعى و دئيسم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گرچه كانت منكر دين نشد، ولى دين آسمانى و تشريعى را نيز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سفيد است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21_56352"/>
      <w:bookmarkStart w:id="18" w:name="pg7521_56352"/>
      <w:bookmarkEnd w:id="18"/>
    </w:p>
    <w:p>
      <w:pPr>
        <w:pStyle w:val="Heading2"/>
        <w:numPr>
          <w:ilvl w:val="1"/>
          <w:numId w:val="1"/>
        </w:numPr>
        <w:rPr/>
      </w:pPr>
      <w:bookmarkStart w:id="19" w:name="pg7521_56352"/>
      <w:bookmarkStart w:id="20" w:name="__RefHeading___Toc2563927_1051229030"/>
      <w:bookmarkStart w:id="21" w:name="_Toc7"/>
      <w:bookmarkEnd w:id="19"/>
      <w:bookmarkEnd w:id="20"/>
      <w:r>
        <w:rPr>
          <w:rtl w:val="true"/>
        </w:rPr>
        <w:t>دين پژوهى</w:t>
      </w:r>
      <w:bookmarkEnd w:id="21"/>
    </w:p>
    <w:p>
      <w:pPr>
        <w:pStyle w:val="Heading3"/>
        <w:numPr>
          <w:ilvl w:val="2"/>
          <w:numId w:val="1"/>
        </w:numPr>
        <w:rPr/>
      </w:pPr>
      <w:bookmarkStart w:id="22" w:name="__RefHeading___Toc2563929_105122903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قرائت هاى گوناگون از دين</w:t>
      </w:r>
    </w:p>
    <w:p>
      <w:pPr>
        <w:pStyle w:val="BookText"/>
        <w:rPr/>
      </w:pPr>
      <w:r>
        <w:rPr>
          <w:rFonts w:ascii="IRNazanin" w:hAnsi="IRNazanin" w:eastAsia="IRNazanin"/>
          <w:color w:val="111111"/>
          <w:sz w:val="28"/>
          <w:sz w:val="28"/>
          <w:szCs w:val="28"/>
          <w:rtl w:val="true"/>
          <w:lang w:bidi="fa-IR"/>
        </w:rPr>
        <w:t>در ادامه ى بحث قرائت هاى گوناگون از دين، به برخى پرسش ها و شبهه هاى مهم تر در اين باره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اين ديدگاه مى گويند كه قرائت متن را نبايد به قرائت رسمى و سنّتى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اين ديدگاه، تفسير به رأى، برخورد سليقه اى با متون دينى براساس ذهنيت مفسر، نسبيت گرايى در فهم و مشروعيت بخشيدن به ناممكن بودن فهم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سخن اين گروه آن است كه هيچ فهم و قرائتى معتبر نيست و هيچ يك بر ديگرى، برترى ندارد</w:t>
      </w:r>
      <w:r>
        <w:rPr>
          <w:rFonts w:eastAsia="IRNazanin" w:cs="IRNazanin"/>
          <w:color w:val="111111"/>
          <w:sz w:val="28"/>
          <w:szCs w:val="28"/>
          <w:rtl w:val="true"/>
          <w:lang w:bidi="fa-IR"/>
        </w:rPr>
        <w:t>.</w:t>
      </w:r>
    </w:p>
    <w:p>
      <w:pPr>
        <w:pStyle w:val="Heading3"/>
        <w:numPr>
          <w:ilvl w:val="2"/>
          <w:numId w:val="1"/>
        </w:numPr>
        <w:rPr/>
      </w:pPr>
      <w:bookmarkStart w:id="24" w:name="__RefHeading___Toc2563931_1051229030"/>
      <w:bookmarkStart w:id="25" w:name="_Toc9"/>
      <w:bookmarkEnd w:id="24"/>
      <w:r>
        <w:rPr>
          <w:rtl w:val="true"/>
        </w:rPr>
        <w:t xml:space="preserve">دخالت دادن پيش دانسته ها در تفسير قرآن تا چه اندازه رواست؟ </w:t>
      </w:r>
      <w:r>
        <w:rPr>
          <w:rtl w:val="true"/>
        </w:rPr>
        <w:t xml:space="preserve">/ </w:t>
      </w:r>
      <w:r>
        <w:rPr>
          <w:rtl w:val="true"/>
        </w:rPr>
        <w:t>على مهدوى فريد</w:t>
      </w:r>
      <w:bookmarkEnd w:id="25"/>
    </w:p>
    <w:p>
      <w:pPr>
        <w:pStyle w:val="BookText"/>
        <w:rPr/>
      </w:pPr>
      <w:r>
        <w:rPr>
          <w:rFonts w:ascii="IRNazanin" w:hAnsi="IRNazanin" w:eastAsia="IRNazanin"/>
          <w:color w:val="111111"/>
          <w:sz w:val="28"/>
          <w:sz w:val="28"/>
          <w:szCs w:val="28"/>
          <w:rtl w:val="true"/>
          <w:lang w:bidi="fa-IR"/>
        </w:rPr>
        <w:t>به طور كلى، اثرگذارى سه نوع پيش دانسته را در تفسير قرآن مى 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دسته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دانسته هايى كه اصل لزوم و امكان تفسير قرآن را توجيه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دانسته هايى كه مانند ابزار و روش در تفسير قرآن، ايفاى نقش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دانسته هايى علمى، فلسفى، عرفانى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درون مايه، به مراد قرآن، شكل مى دهند و در حقيقت، خود را بر برداشت مفسر از آن، تحميل مى 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و رأى صواب و مستقيم آن است كه وجود پيش دانسته هاى نوع اول و دوم در تفسير قرآن، لازم و ضرورى است، ولى وجود نوع سوم نه تنها ضرورتى ندارد، بلكه روايات، از آن به </w:t>
      </w:r>
    </w:p>
    <w:p>
      <w:pPr>
        <w:pStyle w:val="BookText"/>
        <w:rPr/>
      </w:pPr>
      <w:r>
        <w:rPr>
          <w:rFonts w:ascii="Amiri" w:hAnsi="Amiri" w:eastAsia="Amiri" w:cs="Amiri"/>
          <w:color w:val="111111"/>
          <w:sz w:val="28"/>
          <w:sz w:val="28"/>
          <w:szCs w:val="28"/>
          <w:rtl w:val="true"/>
          <w:lang w:bidi="ar-SA"/>
        </w:rPr>
        <w:t>شدت نهى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نوشتار برآنيم تا به استناد سخنان صاحب نظران در اين فن، مدعاى ياد شده را تبيين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شاخه اى از علوم و معارف به اصول و قواعدى نياز دارد تا براساس آن ها معانى و مراد مسايل مطرح شده در آن علوم را به دست آورد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فهم و تفسير معارف قرآن كريم نيز نيازمند اصول و قواعد و روش هاى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و قواعد را به دو بخش كلى مى توان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دانسته ها و اصول موضوعه اى كه براى اثبات اصل لزوم و امكان تفسير قرآن كريم لازم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روش هاى ويژه اى كه براساس آن ها بايد آيات قرآنى را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تفصيل اين دو بخش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w:t>
      </w:r>
      <w:r>
        <w:rPr>
          <w:rStyle w:val="FootnoteAnchor"/>
          <w:rtl w:val="true"/>
        </w:rPr>
        <w:footnoteReference w:id="10"/>
      </w:r>
      <w:r>
        <w:rPr>
          <w:rFonts w:ascii="Amiri" w:hAnsi="Amiri" w:eastAsia="Amiri" w:cs="Amiri"/>
          <w:color w:val="111111"/>
          <w:sz w:val="28"/>
          <w:sz w:val="28"/>
          <w:szCs w:val="28"/>
          <w:rtl w:val="true"/>
          <w:lang w:bidi="ar-SA"/>
        </w:rPr>
        <w:t>براى اثبات اصل لزوم و امكان تفسير</w:t>
      </w:r>
    </w:p>
    <w:p>
      <w:pPr>
        <w:pStyle w:val="BookText"/>
        <w:rPr/>
      </w:pPr>
      <w:r>
        <w:rPr>
          <w:rFonts w:ascii="Amiri" w:hAnsi="Amiri" w:eastAsia="Amiri" w:cs="Amiri"/>
          <w:color w:val="111111"/>
          <w:sz w:val="28"/>
          <w:sz w:val="28"/>
          <w:szCs w:val="28"/>
          <w:rtl w:val="true"/>
          <w:lang w:bidi="ar-SA"/>
        </w:rPr>
        <w:t>اصول موضوعه در اين زمينه بدين صورت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درون مايه ى قرآن كريم، واژگان آن نيز كلام خداوند است نه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پيامبر از رهگذر فرآيند وحى كه گونه اى تجربه و يافت حضورى خداوند است، درون مايه ى وحى را از خداوند گرفته و آن گاه خود، آن را در قالب واژگانى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خداوند از فرستادن كتاب هاى آسمانى به ويژه قرآن، هدايت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با همين معارف و مطالبى كه در قالب كتاب هاى آسمانى فرو فرستاده است، مى خواهد انسان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يابى به چنين هدفى، بايد فهم اين كتاب هاى آسمانى براى انسان ها ممكن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دليل عقلى، صدها آيه و روايت وجود دارد كه بر اين حقيقت دلالت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به دو آيه اشاره مى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عربى </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كه مى گويند خداوند، قرآن را به زبان عربى آشكار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فهم هنگامى به درستى پديد مى آيد كه دريابنده، اصول محاوره ى عقلانى را كاملاً رعايت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هنگامى مى تواند درون مايه ى كتاب هاى آسمانى را بفهمد كه به زبان قابل فهم همان انسان ها و براساس اصول محاوره ى عقلانى فرستاده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رسول الا بلسان قومه ليبين لهم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آشكار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ديگر سخن، زبان قرآن، زبان واقع نماست نه از سنخ زبان اسطوره اى و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غربيان در برابر شبهه ها و اشكال هاى وارد آمده بر متون مقدس شان، به چنين نظريه ى زبان شناسانه اى درباره ى آن متون پناه برده اند</w:t>
      </w:r>
      <w:r>
        <w:rPr>
          <w:rStyle w:val="FootnoteAnchor"/>
          <w:rtl w:val="true"/>
        </w:rPr>
        <w:footnoteReference w:id="16"/>
      </w:r>
      <w:r>
        <w:rPr>
          <w:rFonts w:ascii="IRNazanin" w:hAnsi="IRNazanin" w:eastAsia="IRNazanin"/>
          <w:color w:val="111111"/>
          <w:sz w:val="28"/>
          <w:sz w:val="28"/>
          <w:szCs w:val="28"/>
          <w:rtl w:val="true"/>
          <w:lang w:bidi="fa-IR"/>
        </w:rPr>
        <w:t>و زبان آن ها را از جنس زبان اسطوره اى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علماى اسلامى با استناد به برخى روايات چنين پنداشته اند كه فهم و تفسير قرآن كريم مخصوص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ديگران توانايى و حق تفسير قرآن را بدون استناد به روايات ايشان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بيشتر علماى شيعه و مفسران نامدار با رد اين سخن، اثباتكرده اند كه هر كس، اصول محاوره ى عقلانى را كه كليد فهم قرآن است،به درستى به كار برد و نفس خود را نيز از ناراستى هاى اخلاقى بپيرايد، مى تواند مراد قرآن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فهمى كه ره آورد فرآيند روش مند و كارشناسانه از تفسير قرآن باشد، حجت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موارد ياد شده، برخى از اصول موضوعه و پيش دانسته هايى هستند كه در تبيين و تثبيت اصل لزوم و امكان تفسير قرآن نقش اساسى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و اصول محاوره ى عقلايى كه براى فهم قرآن را فهميد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نگاه دقيق مى توان گفت كه روش فهم و تفسير قرآن، يكى بيش نيست و آن همان روش عقلايى فهم است كه خردمندان در فهم گفتار و نوشتار ديگران به كار مى برند و از آن به اصول </w:t>
      </w:r>
    </w:p>
    <w:p>
      <w:pPr>
        <w:pStyle w:val="BookText"/>
        <w:rPr/>
      </w:pPr>
      <w:r>
        <w:rPr>
          <w:rFonts w:ascii="Amiri" w:hAnsi="Amiri" w:eastAsia="Amiri" w:cs="Amiri"/>
          <w:color w:val="111111"/>
          <w:sz w:val="28"/>
          <w:sz w:val="28"/>
          <w:szCs w:val="28"/>
          <w:rtl w:val="true"/>
          <w:lang w:bidi="ar-SA"/>
        </w:rPr>
        <w:t>عقلايى محاوره ياد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روش بخش ها و مراحلى دارد كه در فرآيند يك تفسير روش مند و كارشناسانه بايد به دقّت رعايت شود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اين مراحل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براساس اصول عقلايى محاوره، نخستين گام در فهم درست قرآن آن است كه انسان، ادبيات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لغت صرف، نحو، معانى، بيان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خوبى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پديده اى است پويا كه در طول تاريخ، دگرگونى هاى بسيارى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زبان عربى كنونى نيز با زبان عربى عصر نزول قرآن بسيار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امروزه بعضى واژگان قرآنى با معانى عصر نزول قرآن، معناى متفاوتى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فهم دقيق قرآن افزون بر آشنايى كامل با ادبيات زبان عربى، آشنايى با زبان عربى عصر نزول قرآن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رسيدن به فهمى درست از آيات قرآن بايد به قرينه هاى پيوسته در كلام و سياق متن آيات،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قرينه هاى لفظى ناپيوسته در قرآن در فهم درست آيات نقش بسزايى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كاربرد قرينه هاى تاريخى،مقامى و فضاى مخاطب در سامان دهى فهم و تفسير درست، ضرورتى تام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شأن نزول و ويژگى هاى زمانى و مكانى نزول،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متشابهات و محكمات قرآن، ارجاع متشابهات به محكمات، شناخت ناسخ و منسوخ، عام و خاص، مطلق و مقيد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 كريم از ضرورت هاى يك فهم درست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برهان هاى قطعى عقلى و بديهيات عقلى،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برداشتى از آيه اى برخلاف برهان قطعى عقلى يا يك اصل بديهى عقلى باشد، آن برهان يا اصل بديهى دليلى خواهد بود بر نادرستى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آيات متشابهى كه ظاهر آن ها جسمانى بودن خداوند را ثابت مى كند، برهان قطعى عقلى بر جسمانى نبودن خداوند، دليلى بر نادرست بودن اين برداشت ظاهرى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روايات تفسيرى كه از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پناه گاهى است براى يك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اين روايات دست كم در تفصيل مجملات، فهم درون مايه ى قرآن و آيات متشابه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گونه ى سوم از پيش دانسته ها كه در مقدمه به آن اشاره شد، ذهنيات و علوم بشرى است كه روايات و علماى اسلامى، دخالت دادن آن ها را در فرآيند تفسير به شدت نكوهش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طول تاريخ، نحله هاى گوناگون فلسفى، كلامى، عرفانى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بزرگ را مرتكب شده اند، ولى اين كار همان تفسير به رأى است كه مفسر واقعى بايد از آن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خواننده ى محترم از چگونگى تفسير به رأى، يك مثال ساده از اين خطاى روش شناختى را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بطلميوسى، زمين را مركز جهان مى دانستند و براى آن نه فلك برمى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تحت تأثير فضاى علمى آن زمان، سماوات سبع قرآن را همان افلاك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تطبيق عدد افلاك با مفاد آيات قرآن افزودند كه در قرآن افزون بر اين هفت آسمان، از عرش و كرسى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كرسى را فلك هشتم يا فلك البروج و عرش را فلك نهم يا فلك اطلس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در واقع، چنين نظريه اى در ستاره شناسى از اساس، باطل بوده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اين مثال، نمونه ى آشكارى از تفسير به رأى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اين كه مفسر از آغاز بدون دخالت دادن چنين اطلاعاتى در فرآيند تفسير، درصدد فهم قرآن براساس اصول محاوره اى عقلايى باشد، مى كوشد نظريه اى علمى را بر آيات قرآن، تطبيق و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بعضى سخنان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كرده اند كه ايشان دخالت معارف فلسفى و عقلى را در تفسير قرآن جايز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دقت در سخنان ايشان در آن كتاب و تفسير الميزان، به روشنى ثابت مى شود كه مقصود ايشان نه تنها تحميل آرا و نظريه هاى فلسفى بر معانى آيات قرآن نيست، بلكه در مقدمه ى جلد نخست الميزان، با صراحت چنين روشى را مردود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ى كلام ايشان در آن كتاب چنين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روش كار نحله هاى محدثين، متكلمين، فلاسفه، متصوفه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مى توان يافت كه همه ى اين گروه ها در يك نقص و اشتباه هولناك روش شناختى گرفتار آمده اند و </w:t>
      </w:r>
      <w:bookmarkStart w:id="26" w:name="pg7521_56357"/>
    </w:p>
    <w:p>
      <w:pPr>
        <w:pStyle w:val="BookText"/>
        <w:rPr/>
      </w:pPr>
      <w:bookmarkEnd w:id="26"/>
      <w:r>
        <w:rPr>
          <w:rFonts w:ascii="Amiri" w:hAnsi="Amiri" w:eastAsia="Amiri" w:cs="Amiri"/>
          <w:color w:val="111111"/>
          <w:sz w:val="28"/>
          <w:sz w:val="28"/>
          <w:szCs w:val="28"/>
          <w:rtl w:val="true"/>
          <w:lang w:bidi="ar-SA"/>
        </w:rPr>
        <w:t>آن، تحميل نتايج بحث هاى علمى مورد نظر آن ها بر مداليل و معانى آيات قرآن است و به اين ترتيب، تفسير در واقع همان تطبيق،تأويل و تحميل آرا و نظرات بشرى بر آيات قرآن شده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گفتنى است ايشان، بهره گيرى از روش برهانى و عقلى را در فهم قرآن و معارف دين يكى از راه هايى مى داند كه خود قرآن به انسان معرفى مى كند و بر آن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قرينه بودن برهان هاى قطعى را براى درستى يا نادرستى برداشت هاى مفسر به عنوان اصلى از اصول عقلايى محاوره مى پذيرد</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با اين حال روشن است كه اين دو امر به معناى تفسير به رأى نيست</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27" w:name="__RefHeading___Toc2563933_1051229030"/>
      <w:bookmarkStart w:id="28" w:name="_Toc10"/>
      <w:bookmarkEnd w:id="27"/>
      <w:r>
        <w:rPr>
          <w:rtl w:val="true"/>
        </w:rPr>
        <w:t xml:space="preserve">راز اختلاف فقيهان و مفسران در فهم متون دينى چيست؟ </w:t>
      </w:r>
      <w:r>
        <w:rPr>
          <w:rtl w:val="true"/>
        </w:rPr>
        <w:t xml:space="preserve">/ </w:t>
      </w:r>
      <w:r>
        <w:rPr>
          <w:rtl w:val="true"/>
        </w:rPr>
        <w:t>محمد كريمى</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فقيهان از سنخ اختلاف قرائت ها نيست</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چون در آن جا اختلاف حجت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پيمودن روش درست براى كشف مراد شارع،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عالمان دينى در بسيارى از گزاره هاى دينى با هم اختلاف ندارند و از سوى ديگر، پاره اى از اختلاف برداشت هاى آنان نيز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فقيهان در گذشته، فروش خون را حرام مى دانستند، ولى امروزه حلال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وضعيت نيز نداشتن منافع حلال در آن زمان و داشتن منافع حلال در زمان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ى ديگر اين كه شيخ فضل الله نورى با آزادى به شكل غربى آن مخالف است و آيت الله نايينى با آزادى اسلامى موافق است كه اين ها با </w:t>
      </w:r>
    </w:p>
    <w:p>
      <w:pPr>
        <w:pStyle w:val="BookText"/>
        <w:rPr/>
      </w:pPr>
      <w:r>
        <w:rPr>
          <w:rFonts w:ascii="IRNazanin" w:hAnsi="IRNazanin" w:eastAsia="IRNazanin"/>
          <w:color w:val="111111"/>
          <w:sz w:val="28"/>
          <w:sz w:val="28"/>
          <w:szCs w:val="28"/>
          <w:rtl w:val="true"/>
          <w:lang w:bidi="fa-IR"/>
        </w:rPr>
        <w:t>هم قابل جمع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پاره اى از برداشت ها، تناقض و تضاد ديده مى شود كه در پيش فرض ها و پيش نيازهاى فهم متن،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عوامل اختلاف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توجهى به قواعد و ادبيات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توجهى به برداشت نادرست از آيات و روايات و تحريف آن ها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فردى آيه ى سوم سوره ى توبه را اين گونه قرائت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برىء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رسوله را مكسور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 كه خدا از مشركان و رسول خود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رسول در اين آيه مرفوع است و معناى درست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 ابوالاسود دوئلى به دستور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اعراب گذارى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قواعد علوم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در صدر اسلام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برخى با استناد به سيره 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روى كفش را جايز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خليفه ى دوم، اصحاب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آنان درباره ى مسح بر كفش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مى ديدم كه بر كفش مسح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سوره ى مائده يا پس از آن؟ مغيرة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الكتاب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مائده دو يا سه ماه پيش از رحلت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سوره ناسخ عمل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سوره به مسح بر پاها، دستور داده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نگرفتن از قواعد عام زبان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جمع عرفى ميان مطلق و مقيد و عام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بازشناسى روايات معتبر از نامعتبر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فقيهى يك راوى را مورد اطمينان و ديگرى او را مورد اطمينان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سبب تفاوت رأى آنان در عمل به يك روايت و در نتيجه، پيدايش تفاوت در فتواهاى شان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زبان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زبان عرفى و طبيعى بدانيم يا زبان ايما و رمزى و تمثيلى؟ تفسيرهاى عرفانى قرآن در بسيارى از موارد مبتنى بر رمزگشايى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ى آدم و فرشتگان كه برخى آن را واقعى مى دانند و برخى ديگر، اسطوره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در شيوه 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تفسير قرآن به قرآن را پى گرفته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تفسير الميزان و برخى ديگر، تفسير قرآن را با اتكا به روايات انجام داده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الدرالمنثور از سيوطى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غفلت از قراين حاليه و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شأن نزول ها و بستر نزول آيه و زمينه هاى تاريخى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ظهور عرفى و عمومى و جاى گزينى ظهور شخصى به جاى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تشخيص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موردى را مصداق قاعده ى برائت مى داند و ديگرى،مصداق قاعده ى 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در منبع شناسى قلمرو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حديث، اخبار صحابه را ملاك استنباط احكام مى دانند و شيعه، اخبار ائمه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فقيهان شيعه برخلاف اهل سنت، قياس و استحسان را باطل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علماى شيعه، اخبارى ها برخلاف اصوليين، به عقل به عنوان منبعى براى استنباط احكام، اهميت نمى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گفته شد برخى عوامل اختلاف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اختلاف ها موجه و برخى ديگر ناموجه است، ولى آن چه اين اختلاف را از بحث نظريه ى اختلاف قرائت ها متمايز مى كند، روش مند بودن اين برداشت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 ها را مى توان نقد كرد و سقيم و عقيم آن را از درست و سالم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مند بودن، شرط اين برداشت ها است، اختلاف تنها ميان كارشناسان مطرح است، برخلاف نظريه ى قرائت هاى گوناگون كه همه ى انسان ها اعم از كارشناسان و عوام در قرائت و فهم و تفسير مساوى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 احتمال خطا در برداشت مجتهد و كارشناس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مباحث مطرح در علم اصول آن است كه آيا فتواى مجتهد مطابق با واقع است و آيا مجتهد هميشه به واقع مى رسد؟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قايل به تصويب مجتهد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گويند </w:t>
      </w:r>
      <w:bookmarkStart w:id="29" w:name="pg7521_56360"/>
    </w:p>
    <w:p>
      <w:pPr>
        <w:pStyle w:val="BookText"/>
        <w:rPr/>
      </w:pPr>
      <w:bookmarkEnd w:id="29"/>
      <w:r>
        <w:rPr>
          <w:rFonts w:ascii="IRNazanin" w:hAnsi="IRNazanin" w:eastAsia="IRNazanin"/>
          <w:color w:val="111111"/>
          <w:sz w:val="28"/>
          <w:sz w:val="28"/>
          <w:szCs w:val="28"/>
          <w:rtl w:val="true"/>
          <w:lang w:bidi="fa-IR"/>
        </w:rPr>
        <w:t>فتواى مجتهد به واقع، اصابت مى كند و به آن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خود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واقعى وجود ندارد و فتواى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واقع، 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بر اين باور است كه واقع وجود دارد، ولى اگر نظر مجتهد، مخالف آن باشد، خدا آن واقع را حذف و نظر مجتهد را به جاى آن ثبت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شيعى نيز بر اين باورند كه ممكن است مجتهد خطا كند و اين گونه نيست كه فتواى او هميشه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ى آنان، اجر او هميشه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واقع و احكام خدا هميشه ثابت وتغييرناپذير است و كارشناسان و مجتهدان بايد با كوشش به آن احكام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تنها با بهره گيرى از روش درست فهم و پرهيز از تفسير به رأى رخ مى دهد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0" w:name="__RefHeading___Toc2563935_1051229030"/>
      <w:bookmarkStart w:id="31" w:name="_Toc11"/>
      <w:bookmarkEnd w:id="30"/>
      <w:r>
        <w:rPr>
          <w:rtl w:val="true"/>
        </w:rPr>
        <w:t xml:space="preserve">پى آمدهاى منفى پاى بندى به نظريه ى قرائت هاى گوناگون چيست؟ </w:t>
      </w:r>
      <w:r>
        <w:rPr>
          <w:rtl w:val="true"/>
        </w:rPr>
        <w:t xml:space="preserve">/ </w:t>
      </w:r>
      <w:r>
        <w:rPr>
          <w:rtl w:val="true"/>
        </w:rPr>
        <w:t>حامد وحيدى</w:t>
      </w:r>
      <w:bookmarkEnd w:id="31"/>
    </w:p>
    <w:p>
      <w:pPr>
        <w:pStyle w:val="BookText"/>
        <w:rPr/>
      </w:pPr>
      <w:r>
        <w:rPr>
          <w:rFonts w:ascii="IRNazanin" w:hAnsi="IRNazanin" w:eastAsia="IRNazanin"/>
          <w:color w:val="111111"/>
          <w:sz w:val="28"/>
          <w:sz w:val="28"/>
          <w:szCs w:val="28"/>
          <w:rtl w:val="true"/>
          <w:lang w:bidi="fa-IR"/>
        </w:rPr>
        <w:t>قرائت هاى گوناگون از دين به معناى برداشت هاى متفاوت از متون دينى مانند قرآن و سنّت در اسلام و عهدين در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دست آورد رويكردهاى جديدى است كه انديشمندانى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هايدگر و گادامر، آن را ارايه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روشن فكران در ايران نيز با اثرپذيرى از نحله هاى هرمنوتيك غربى،نظريه هايى در اين زمينه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اصل بحث، به طور گذرا، به مبانى و اصول چنين نگرشى مى پردازيم</w:t>
      </w:r>
      <w:r>
        <w:rPr>
          <w:rFonts w:eastAsia="IRNazanin" w:cs="IRNazanin"/>
          <w:color w:val="111111"/>
          <w:sz w:val="28"/>
          <w:szCs w:val="28"/>
          <w:rtl w:val="true"/>
          <w:lang w:bidi="fa-IR"/>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مبانى و مقدمات اين نظريه آن است كه مفسر تا پيش دانسته و پيش فرضى نداشته باشد، نمى تواند متنى را تفسير كند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مبناى دوم اين است كه پس از روشن شدن پيش فرض، نوبت به علاقه و انتظار مفسر مى رسد كه مفسر براساس آن ها، پرسش هايى را مطرح مى كند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پس از اين </w:t>
      </w:r>
    </w:p>
    <w:p>
      <w:pPr>
        <w:pStyle w:val="BookText"/>
        <w:rPr/>
      </w:pPr>
      <w:r>
        <w:rPr>
          <w:rFonts w:ascii="IRNazanin" w:hAnsi="IRNazanin" w:eastAsia="IRNazanin"/>
          <w:color w:val="111111"/>
          <w:sz w:val="28"/>
          <w:sz w:val="28"/>
          <w:szCs w:val="28"/>
          <w:rtl w:val="true"/>
          <w:lang w:bidi="fa-IR"/>
        </w:rPr>
        <w:t>مرحله، نوبت به پرسش از تاريخ مى رسد و مفسر بايد بداند كه مؤلف يا گوينده خواسته است به مخاطبان خود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بنگرد مفسران پيشين، آن متن را چگونه فهميده اند و مؤلف در چه شرايطى از زندگى اجتماعى سخن گفته است؟ در اين مرحله بايد معناى تحت اللفظى واژگان و جمله ها، نقش متن در فراخوانى معرفت و عمل، مراد جدى متكلم و اثر متن روشن گردد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مبناى چهارم نيز اين است كه مركز معناى متن كه همه ى مطالب متن بر محور آن نظم پيدا كرده است،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تنها كسى مى تواند متنى را تفسير كند كه براى متن، وحدت قايل باشد و چنين بيانديشد كه افزون بر معانى هر واژه و جمله، متن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كامل و جامع را افاده مى كند و متن با فرض تكيه كردن بر آن، فهميده مى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پى آمدهاى منفى اين ديدگاه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پى آمدهاى منفى نظريه ى قرائت هاى گوناگون از دين، اين است كه هر مفسرى به سليقه ى خود، متن دينى را تفسير و تأويل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پيش فرض ها، گوناگون و انتظارها و پرسش ها از تاريخ، ناهم آهنگ است و كشف مركز معناى متن به گرايش هاى متنوع بستگى دارد، تفسيرها نيز گوناگون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مفسران، متون دينى مانند آيات قرآن را براساس ديدگاه هاى فلسفى و كلامى و اعتقادى خود به طور متفاوت،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كاملاً رواست كه گروهى از مفسران ازبرخى آيات قرآن،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كنند و گروهى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گروهى ديگر از آياتى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كنند كه خداوند، موجودى جسمانى است كه دست دارد و بر تخت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درباره ى صفت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كه خدا مانند انسان، گوش 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تفسيرها، درست به حساب مى آيد و هيچ گاه نمى توان تفسير درست و نادرست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براساس پيش فرض هاى خود، آيات قرآن را تفسير مى كند و با اين پيش فرض ها، تفسيرى كه انجام داده، درست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نرسيدن به مراد گوينده و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كسى، سخن و صاحب سخن را در آيينه ى سليقه و انتظارهاى خود ببيند و براساس آن به تفسير سخن بپردازد، از كجا دريابيم كه علاقه و انتظار گوينده چيست؟ هر گاه ضابطه اى در كار نباشد، هر تفسيرى از پيش فهم ها و خواسته هاى مفسر اثر مى پذيرد و هيچ يك نيز باطل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تفسيرهاى ارايه شده از متن با مراد مؤلف، بيگانه خواهد بود</w:t>
      </w:r>
      <w:r>
        <w:rPr>
          <w:rStyle w:val="FootnoteAnchor"/>
          <w:rtl w:val="true"/>
        </w:rPr>
        <w:footnoteReference w:id="30"/>
      </w:r>
      <w:r>
        <w:rPr>
          <w:rFonts w:ascii="IRNazanin" w:hAnsi="IRNazanin" w:eastAsia="IRNazanin"/>
          <w:color w:val="111111"/>
          <w:sz w:val="28"/>
          <w:sz w:val="28"/>
          <w:szCs w:val="28"/>
          <w:rtl w:val="true"/>
          <w:lang w:bidi="fa-IR"/>
        </w:rPr>
        <w:t>و مؤلف به هدف خود از آفرينش متن دست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قرار بود هر كسى قرآن را بر پايه ى انتظارها و سليقه هاى خود بفهمد، مشركان نيز بايد با آن مخالفت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چيزى را كه خلاف سليقه و انتظارشان بود، از قرآن نمى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قرآن زمينه ساز هيچ گونه دگرگونى در جامعه ى آن روز جزيرة العرب و سپس جهان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و تسلسل در فهم و تفسير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فهمى به پيش فهمى ديگر وابسته باشد، آن پيش فهم نيز به پيش فهم ديگرى وابسته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فهم و تفسير هر متنى، پيش فهم هاى بى شمارى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نقطه اى نخواهيم داشت كه آن پيش فهم ها به آن پايان گيرد و فهم آن به هيچ پيش فهم ديگرى 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دليل اين تسلسل بى پايان، به شكاكيت و گمراهى دچار خواهيم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نقيضين در فهم مراد گوينده و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ى هواداران اين نظر، ما نمى توانيم تفسير يگانه اى داشته باشيم كه همگان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يك متن نيز نمى تواند بيش از يك پيام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 توان هر گونه فهم مخالف يكديگر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 و دچار تناقض نشد؟</w:t>
      </w:r>
      <w:r>
        <w:rPr>
          <w:rStyle w:val="FootnoteAnchor"/>
          <w:rtl w:val="true"/>
        </w:rPr>
        <w:footnoteReference w:id="32"/>
      </w:r>
      <w:r>
        <w:rPr>
          <w:rFonts w:ascii="IRNazanin" w:hAnsi="IRNazanin" w:eastAsia="IRNazanin"/>
          <w:color w:val="111111"/>
          <w:sz w:val="28"/>
          <w:sz w:val="28"/>
          <w:szCs w:val="28"/>
          <w:rtl w:val="true"/>
          <w:lang w:bidi="fa-IR"/>
        </w:rPr>
        <w:t>در اين صورت، اگر تنها يكى از اين برداشت ها درست باشد، نظريه ى قرائت ها زير سؤال مى رود و اگر هر دو درست باشد، به اجتماع نقيضين خواهد انجاميد</w:t>
      </w:r>
      <w:r>
        <w:rPr>
          <w:rFonts w:eastAsia="IRNazanin" w:cs="IRNazanin"/>
          <w:color w:val="111111"/>
          <w:sz w:val="28"/>
          <w:szCs w:val="28"/>
          <w:rtl w:val="true"/>
          <w:lang w:bidi="fa-IR"/>
        </w:rPr>
        <w:t>.</w:t>
      </w:r>
      <w:r>
        <w:rPr>
          <w:rStyle w:val="FootnoteAnchor"/>
          <w:rtl w:val="true"/>
        </w:rPr>
        <w:footnoteReference w:id="33"/>
      </w:r>
      <w:bookmarkStart w:id="32" w:name="pg7521_56363"/>
    </w:p>
    <w:p>
      <w:pPr>
        <w:pStyle w:val="Heading3"/>
        <w:numPr>
          <w:ilvl w:val="2"/>
          <w:numId w:val="1"/>
        </w:numPr>
        <w:rPr/>
      </w:pPr>
      <w:bookmarkStart w:id="33" w:name="__RefHeading___Toc2563937_1051229030"/>
      <w:bookmarkStart w:id="34" w:name="_Toc12"/>
      <w:bookmarkEnd w:id="32"/>
      <w:bookmarkEnd w:id="33"/>
      <w:r>
        <w:rPr>
          <w:rtl w:val="true"/>
        </w:rPr>
        <w:t xml:space="preserve">ادلّه و مبانى نظريه ى قرائت هاى گوناگون را بررسى و نقد كنيد </w:t>
      </w:r>
      <w:r>
        <w:rPr>
          <w:rtl w:val="true"/>
        </w:rPr>
        <w:t xml:space="preserve">/ </w:t>
      </w:r>
      <w:r>
        <w:rPr>
          <w:rtl w:val="true"/>
        </w:rPr>
        <w:t>محمد كريمى</w:t>
      </w:r>
      <w:bookmarkEnd w:id="34"/>
    </w:p>
    <w:p>
      <w:pPr>
        <w:pStyle w:val="Heading4"/>
        <w:numPr>
          <w:ilvl w:val="3"/>
          <w:numId w:val="1"/>
        </w:numPr>
        <w:rPr/>
      </w:pPr>
      <w:bookmarkStart w:id="35" w:name="__RefHeading___Toc2563939_105122903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اين نظريه، قرائت هاى گوناگون را در همه ى آموزه هاى دينى اعم از اصول، ضروريات، محكمات و متشابهات، معتبر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ادلّه ى اين گروه براى موجه دانستن نظريه ى خودشان است، نه براى باطل شمردن نظريه 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نظريه ى مخالف نيز يك قرائت است كه به نظر آن ها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بيشتر در پى تحليل واقعه ى فهم هستند تا با تحليل آن، مدعاى خود را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بحث هايى كه نظريه ى قرائت هاى گوناگون از آن ها سرچشمه گرفته، نسبى گرايى و هرمنوتيك است كه اينك بدان مى پردازيم</w:t>
      </w:r>
      <w:r>
        <w:rPr>
          <w:rFonts w:eastAsia="IRNazanin" w:cs="IRNazanin"/>
          <w:color w:val="111111"/>
          <w:sz w:val="28"/>
          <w:szCs w:val="28"/>
          <w:rtl w:val="true"/>
          <w:lang w:bidi="fa-IR"/>
        </w:rPr>
        <w:t>.</w:t>
      </w:r>
    </w:p>
    <w:p>
      <w:pPr>
        <w:pStyle w:val="Heading4"/>
        <w:numPr>
          <w:ilvl w:val="3"/>
          <w:numId w:val="1"/>
        </w:numPr>
        <w:rPr/>
      </w:pPr>
      <w:bookmarkStart w:id="37" w:name="__RefHeading___Toc2563941_1051229030"/>
      <w:bookmarkStart w:id="38" w:name="_Toc14"/>
      <w:bookmarkEnd w:id="37"/>
      <w:r>
        <w:rPr/>
        <w:t>1</w:t>
      </w:r>
      <w:r>
        <w:rPr>
          <w:rtl w:val="true"/>
        </w:rPr>
        <w:t xml:space="preserve">. </w:t>
      </w:r>
      <w:r>
        <w:rPr>
          <w:rtl w:val="true"/>
        </w:rPr>
        <w:t>نسبى گرايى</w:t>
      </w:r>
      <w:bookmarkEnd w:id="38"/>
    </w:p>
    <w:p>
      <w:pPr>
        <w:pStyle w:val="BookText"/>
        <w:rPr/>
      </w:pPr>
      <w:r>
        <w:rPr>
          <w:rFonts w:ascii="IRNazanin" w:hAnsi="IRNazanin" w:eastAsia="IRNazanin"/>
          <w:color w:val="111111"/>
          <w:sz w:val="28"/>
          <w:sz w:val="28"/>
          <w:szCs w:val="28"/>
          <w:rtl w:val="true"/>
          <w:lang w:bidi="fa-IR"/>
        </w:rPr>
        <w:t>نسبيّت در قالب شكاكيت در دوره ى يونان باستان مطرح بود كه با آغاز رنسانس،تحولى نو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جان لاك، جرج باركلى و هيوم ، با رد كردن شناخت عقلى، سرچشمه ى همه ى شناخت ها را حس و تجربه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ايمانوئل كانت ميان پديده و پديدار فرق نهاد و با انكار حجيت عقل در مسايل متافيزيكى، نسبيت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 گسترش نسبيت، قانون نسبيت انيشتين بود كه آن را به اخلاق، روابط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دادند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هواداران هرمنوتيك، فهم و معرفت دينى را نيز نسبى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كاپلستون در اين باره مى 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مى توانيم بدانيم كه اشيا چگونه به نظر 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اشياى واحد براى مردم، متفاوت به نظر مى آيند و ما مى توانيم بدانيم كه كدام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قولى، مى توانيم قول مخالفى با دلايلى به همان اندازه معتبر ارايه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نمى توانيم درباره ى چيزى مطمئن باشيم و خردمند از دادن حكم قطعى و راسخ خوددارى مى كند</w:t>
      </w:r>
      <w:r>
        <w:rPr>
          <w:rFonts w:eastAsia="IRNazanin" w:cs="IRNazanin"/>
          <w:color w:val="111111"/>
          <w:sz w:val="28"/>
          <w:szCs w:val="28"/>
          <w:rtl w:val="true"/>
          <w:lang w:bidi="fa-IR"/>
        </w:rPr>
        <w:t>.</w:t>
      </w:r>
      <w:r>
        <w:rPr>
          <w:rStyle w:val="FootnoteAnchor"/>
          <w:rtl w:val="true"/>
        </w:rPr>
        <w:footnoteReference w:id="35"/>
      </w:r>
      <w:bookmarkStart w:id="39" w:name="pg7521_56364"/>
    </w:p>
    <w:p>
      <w:pPr>
        <w:pStyle w:val="BookText"/>
        <w:rPr/>
      </w:pPr>
      <w:bookmarkEnd w:id="39"/>
      <w:r>
        <w:rPr>
          <w:rFonts w:ascii="IRNazanin" w:hAnsi="IRNazanin" w:eastAsia="IRNazanin"/>
          <w:color w:val="111111"/>
          <w:sz w:val="28"/>
          <w:sz w:val="28"/>
          <w:szCs w:val="28"/>
          <w:rtl w:val="true"/>
          <w:lang w:bidi="fa-IR"/>
        </w:rPr>
        <w:t>فلسفه ى اسلامى، نسبيت گرايى و شكاكيت را با ادله ى محكم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اشكال هايى كه بر آن وارد شده، اين است كه به دليل وجود اشتباه و خطا در برخى دانسته هاى حسى يا عقلى،نسبيت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ى آن نيز تعميم حكم برخى موارد به كل است كه خود گونه اى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ى تعميم جزئى</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اصل اين دليل از نوع استقراء ناقص است كه بى اعتبارى آن در منطق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 است كه اين نظريه، خودشكن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نسبيت، درست و جزم گرايى، باطل باشد، خود همين نظريه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جزمى و يقينى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يك نظريه ى يقينى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نسبيت، يقينى و قطعى نخواهد بود</w:t>
      </w:r>
      <w:r>
        <w:rPr>
          <w:rFonts w:eastAsia="IRNazanin" w:cs="IRNazanin"/>
          <w:color w:val="111111"/>
          <w:sz w:val="28"/>
          <w:szCs w:val="28"/>
          <w:rtl w:val="true"/>
          <w:lang w:bidi="fa-IR"/>
        </w:rPr>
        <w:t>.</w:t>
      </w:r>
    </w:p>
    <w:p>
      <w:pPr>
        <w:pStyle w:val="Heading4"/>
        <w:numPr>
          <w:ilvl w:val="3"/>
          <w:numId w:val="1"/>
        </w:numPr>
        <w:rPr/>
      </w:pPr>
      <w:bookmarkStart w:id="40" w:name="__RefHeading___Toc2563943_1051229030"/>
      <w:bookmarkStart w:id="41" w:name="_Toc15"/>
      <w:bookmarkEnd w:id="40"/>
      <w:r>
        <w:rPr/>
        <w:t>2</w:t>
      </w:r>
      <w:r>
        <w:rPr>
          <w:rtl w:val="true"/>
        </w:rPr>
        <w:t xml:space="preserve">. </w:t>
      </w:r>
      <w:r>
        <w:rPr>
          <w:rtl w:val="true"/>
        </w:rPr>
        <w:t>هرمنوتيك</w:t>
      </w:r>
      <w:bookmarkEnd w:id="41"/>
    </w:p>
    <w:p>
      <w:pPr>
        <w:pStyle w:val="Heading5"/>
        <w:numPr>
          <w:ilvl w:val="4"/>
          <w:numId w:val="1"/>
        </w:numPr>
        <w:rPr/>
      </w:pPr>
      <w:bookmarkStart w:id="42" w:name="__RefHeading___Toc2563945_105122903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دلايل هرمنوتيك معاصر غرب براى پايه گذارى نظريه ى قرائت هاى گوناگون بدين قرار است</w:t>
      </w:r>
      <w:r>
        <w:rPr>
          <w:rFonts w:eastAsia="IRNazanin" w:cs="IRNazanin"/>
          <w:color w:val="111111"/>
          <w:sz w:val="28"/>
          <w:szCs w:val="28"/>
          <w:rtl w:val="true"/>
          <w:lang w:bidi="fa-IR"/>
        </w:rPr>
        <w:t>:</w:t>
      </w:r>
    </w:p>
    <w:p>
      <w:pPr>
        <w:pStyle w:val="Heading5"/>
        <w:numPr>
          <w:ilvl w:val="4"/>
          <w:numId w:val="1"/>
        </w:numPr>
        <w:rPr/>
      </w:pPr>
      <w:bookmarkStart w:id="44" w:name="__RefHeading___Toc2563947_1051229030"/>
      <w:bookmarkStart w:id="45" w:name="_Toc17"/>
      <w:bookmarkEnd w:id="44"/>
      <w:r>
        <w:rPr>
          <w:rtl w:val="true"/>
        </w:rPr>
        <w:t xml:space="preserve">الف </w:t>
      </w:r>
      <w:r>
        <w:rPr>
          <w:rtl w:val="true"/>
        </w:rPr>
        <w:t xml:space="preserve">- </w:t>
      </w:r>
      <w:r>
        <w:rPr>
          <w:rtl w:val="true"/>
        </w:rPr>
        <w:t>صامت انگارى متن</w:t>
      </w:r>
      <w:bookmarkEnd w:id="45"/>
    </w:p>
    <w:p>
      <w:pPr>
        <w:pStyle w:val="BookText"/>
        <w:rPr/>
      </w:pPr>
      <w:r>
        <w:rPr>
          <w:rFonts w:ascii="IRNazanin" w:hAnsi="IRNazanin" w:eastAsia="IRNazanin"/>
          <w:color w:val="111111"/>
          <w:sz w:val="28"/>
          <w:sz w:val="28"/>
          <w:szCs w:val="28"/>
          <w:rtl w:val="true"/>
          <w:lang w:bidi="fa-IR"/>
        </w:rPr>
        <w:t>بيشتر پيروان هرمنوتيك معاصر غرب براى متن، معنى و هسته ى مركزى برمى شمارند، ولى آن را دست نيافتنى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نيت مؤلف براى خواننده در پرده ى ابهام است و او تنها با گمانه زنى مى تواند به قرائت متن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هواداران افراطى هرمنوتيك، از مرگ مؤلف، سخن به ميان مى آورند و حتى قرائت مؤلف از متن را نيز قرائتى همانند ديگر قرائت ها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چون معناى اصلى متن، دست نيافتنى است، پس هر كسى از ظن خود، يار او مى شود و هيچ كدام بر ديگرى برترى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معناى نهايى براى متن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وضعيت، با نگريستن به سيره ى عقلا و عرف رايج درمى يابيم كه گويندگان از به كار گرفتن واژگان، غرض و معنايى را پى گيرى مى كنند و واژگان از مراد جدى آن ها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شريعت نيز بايد گفت شريعت براى هدايت و سعادت دنيوى و اخروى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هواداران هرمنوتيك مى پذيرند كه غايت </w:t>
      </w:r>
      <w:bookmarkStart w:id="46" w:name="pg7521_56365"/>
    </w:p>
    <w:p>
      <w:pPr>
        <w:pStyle w:val="BookText"/>
        <w:rPr/>
      </w:pPr>
      <w:bookmarkEnd w:id="46"/>
      <w:r>
        <w:rPr>
          <w:rFonts w:ascii="IRNazanin" w:hAnsi="IRNazanin" w:eastAsia="IRNazanin"/>
          <w:color w:val="111111"/>
          <w:sz w:val="28"/>
          <w:sz w:val="28"/>
          <w:szCs w:val="28"/>
          <w:rtl w:val="true"/>
          <w:lang w:bidi="fa-IR"/>
        </w:rPr>
        <w:t>شريعت، هدايت و تقرب به مقام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وحى و پيام آسمانى بايد براى مخاطبان، قابل فهم و شناخت باشد وگرنه در صورت صامت بودن، هدف محقق نمى شود و نقض غرض خواهد بود و از خداى حكيم، كار بيهوده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آيات فراوانى بر ناطق بودن قرائت،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منكر آن نيستيم كه به معناى اصلى برخى آيات و روايات نمى توان بار يافت و خود قرآن، آن ها را از متشابهات مى داند،ولى اگر بخواهيم از وجود چنين آياتى، براى همه 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محكمات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كلى صادر كنيم، دچار مغالطه ى تعميم جزئى شده ايم</w:t>
      </w:r>
      <w:r>
        <w:rPr>
          <w:rFonts w:eastAsia="IRNazanin" w:cs="IRNazanin"/>
          <w:color w:val="111111"/>
          <w:sz w:val="28"/>
          <w:szCs w:val="28"/>
          <w:rtl w:val="true"/>
          <w:lang w:bidi="fa-IR"/>
        </w:rPr>
        <w:t>.</w:t>
      </w:r>
    </w:p>
    <w:p>
      <w:pPr>
        <w:pStyle w:val="Heading5"/>
        <w:numPr>
          <w:ilvl w:val="4"/>
          <w:numId w:val="1"/>
        </w:numPr>
        <w:rPr/>
      </w:pPr>
      <w:bookmarkStart w:id="47" w:name="__RefHeading___Toc2563949_1051229030"/>
      <w:bookmarkStart w:id="48" w:name="_Toc18"/>
      <w:bookmarkEnd w:id="47"/>
      <w:r>
        <w:rPr>
          <w:rtl w:val="true"/>
        </w:rPr>
        <w:t xml:space="preserve">ب </w:t>
      </w:r>
      <w:r>
        <w:rPr>
          <w:rtl w:val="true"/>
        </w:rPr>
        <w:t xml:space="preserve">- </w:t>
      </w:r>
      <w:r>
        <w:rPr>
          <w:rtl w:val="true"/>
        </w:rPr>
        <w:t>دخالت پيش فرض هاى ذهنى</w:t>
      </w:r>
      <w:bookmarkEnd w:id="48"/>
    </w:p>
    <w:p>
      <w:pPr>
        <w:pStyle w:val="BookText"/>
        <w:rPr/>
      </w:pPr>
      <w:r>
        <w:rPr>
          <w:rFonts w:ascii="IRNazanin" w:hAnsi="IRNazanin" w:eastAsia="IRNazanin"/>
          <w:color w:val="111111"/>
          <w:sz w:val="28"/>
          <w:sz w:val="28"/>
          <w:szCs w:val="28"/>
          <w:rtl w:val="true"/>
          <w:lang w:bidi="fa-IR"/>
        </w:rPr>
        <w:t>هرمنوتيك، تفسير و قرائت متن بدون دخالت پيش فرض ها، پيش داده ها و چشم داشت ها را محال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هواداران هرمنوتيك، معناى متن يا بر اثر پيش فرض هاى مفسر شكل مى گيرد و اين ها معنا را بر متن تحميل مى كنند يا در پى ديالكتيك و جدال ميان افق معنايى مفسر و افق معنايى متن كه از آن به دور هرمنوتيكى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چون پيش فرض ها و چشم داشت هاى خوانندگان متن، متفاوت است، قرائت ها و معناهاى متفاوتى پديد مى آيد كه همه ى آن ها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از آغاز، خطر اعمال سليقه و انتظار افراد در فرآيند فهم، احساس مى شد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بردند و روايات فراوانى نيز مسلمانان را از اين كار بر 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بايد پيش فرض هاى موجه و ناموجه را از هم ديگر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فرض هاى موجه آن دسته امورى هستند كه به كشف معنى كمك مى كنند و در آن هيچ دخل و تصرفى نمى كنند، ولى پيش فرض هاى ناموجه، قواعدى هستند كه به متن، معنا مى دهند و معناى مورد نظر خود را بر آن تحميل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روايات نهى شده و علماى اسلام با آن مخالفت كرده اند، گونه ى دوم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دينى، برخى عبارت ها، صريح و نص در معنى خود هستند و برخى ديگر غير صريح كه خود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ظاهر و برخى مبهم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متن، صريح و نصّ در معنى است، به </w:t>
      </w:r>
      <w:bookmarkStart w:id="49" w:name="pg7521_56366"/>
    </w:p>
    <w:p>
      <w:pPr>
        <w:pStyle w:val="BookText"/>
        <w:rPr/>
      </w:pPr>
      <w:bookmarkEnd w:id="49"/>
      <w:r>
        <w:rPr>
          <w:rFonts w:ascii="Amiri" w:hAnsi="Amiri" w:eastAsia="Amiri" w:cs="Amiri"/>
          <w:color w:val="111111"/>
          <w:sz w:val="28"/>
          <w:sz w:val="28"/>
          <w:szCs w:val="28"/>
          <w:rtl w:val="true"/>
          <w:lang w:bidi="ar-SA"/>
        </w:rPr>
        <w:t>تفسير مفسرنياز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نصوص مانند ظواهر نيز مى توان با روش معتبر</w:t>
      </w:r>
      <w:r>
        <w:rPr>
          <w:rStyle w:val="FootnoteAnchor"/>
          <w:rtl w:val="true"/>
        </w:rPr>
        <w:footnoteReference w:id="37"/>
      </w:r>
      <w:r>
        <w:rPr>
          <w:rFonts w:ascii="IRNazanin" w:hAnsi="IRNazanin" w:eastAsia="IRNazanin"/>
          <w:color w:val="111111"/>
          <w:sz w:val="28"/>
          <w:sz w:val="28"/>
          <w:szCs w:val="28"/>
          <w:rtl w:val="true"/>
          <w:lang w:bidi="fa-IR"/>
        </w:rPr>
        <w:t>به قرائت معتبر رسيد و از دخالت پيش فرض هاى ناموجه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درهم آميختن اين دو دسته، گونه اى مغالطه به شمار مى رود</w:t>
      </w:r>
      <w:r>
        <w:rPr>
          <w:rFonts w:eastAsia="IRNazanin" w:cs="IRNazanin"/>
          <w:color w:val="111111"/>
          <w:sz w:val="28"/>
          <w:szCs w:val="28"/>
          <w:rtl w:val="true"/>
          <w:lang w:bidi="fa-IR"/>
        </w:rPr>
        <w:t>.</w:t>
      </w:r>
    </w:p>
    <w:p>
      <w:pPr>
        <w:pStyle w:val="Heading5"/>
        <w:numPr>
          <w:ilvl w:val="4"/>
          <w:numId w:val="1"/>
        </w:numPr>
        <w:rPr/>
      </w:pPr>
      <w:bookmarkStart w:id="50" w:name="__RefHeading___Toc2563951_1051229030"/>
      <w:bookmarkStart w:id="51" w:name="_Toc19"/>
      <w:bookmarkEnd w:id="50"/>
      <w:r>
        <w:rPr>
          <w:rtl w:val="true"/>
        </w:rPr>
        <w:t xml:space="preserve">ج </w:t>
      </w:r>
      <w:r>
        <w:rPr>
          <w:rtl w:val="true"/>
        </w:rPr>
        <w:t xml:space="preserve">- </w:t>
      </w:r>
      <w:r>
        <w:rPr>
          <w:rtl w:val="true"/>
        </w:rPr>
        <w:t>اثبات و ابطال ناپذيرى قرائت خاص</w:t>
      </w:r>
      <w:bookmarkEnd w:id="51"/>
    </w:p>
    <w:p>
      <w:pPr>
        <w:pStyle w:val="BookText"/>
        <w:rPr/>
      </w:pPr>
      <w:r>
        <w:rPr>
          <w:rFonts w:ascii="IRNazanin" w:hAnsi="IRNazanin" w:eastAsia="IRNazanin"/>
          <w:color w:val="111111"/>
          <w:sz w:val="28"/>
          <w:sz w:val="28"/>
          <w:szCs w:val="28"/>
          <w:rtl w:val="true"/>
          <w:lang w:bidi="fa-IR"/>
        </w:rPr>
        <w:t>برخى مى گويند نمى توان از يك قرائت خاص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 توان آن را اثبات يا بقيه را ابطال كرد، بلكه همه ى قرائت ها، برابر 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بر اين باورند كه سخن گفتن از قرائت واحد از دين در قرن بيستم، بى باكانه و جسورانه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دليل ياد شده، خودشكن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ى آن، اثبات نشدن اين نظريه و ابطال نگشتن نظريه ى هواداران قرائت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دليل، نظريه ى آن ها اثبات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ديگرى كه براى اثبات نظريه ى قرائت ها اقامه شده است، به وجود اختلاف در برداشت هاى دانشمندان،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نيز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اختلاف دانشمندان از سنخ اختلاف ميان كارشناسان است كه با به كارگيرى روش مقبول براى فهم، دچار اختلاف شده اند و شاهد آن نيز نقد وارد كردن آنان بر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هدف نظريه ى قرائت ها هم آهنگى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نظريه، همه ى قرائت ها را درست مى داند و با تعميم آن به همه ى موارد، راه را بر نقد و ارزيابى مى بندد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دانشمندان را از مصداق هاى اختلاف قرائت ها بدانيم، گذشته از اين كه مصادره به مطلوب است، استدلال هم چنان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اختلاف در چند مورد نمى توان به امكان اختلاف در همه ى موارد،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مصداق مغالطه ى تعميم جزئى است و مخالفان نيز مى توانند به استناد نبودن اختلاف در مواردى، تعميم نظريه ى قرائت ها را زير سؤال ببرند</w:t>
      </w:r>
      <w:r>
        <w:rPr>
          <w:rFonts w:eastAsia="IRNazanin" w:cs="IRNazanin"/>
          <w:color w:val="111111"/>
          <w:sz w:val="28"/>
          <w:szCs w:val="28"/>
          <w:rtl w:val="true"/>
          <w:lang w:bidi="fa-IR"/>
        </w:rPr>
        <w:t>.</w:t>
      </w:r>
      <w:r>
        <w:rPr>
          <w:rStyle w:val="FootnoteAnchor"/>
          <w:rtl w:val="true"/>
        </w:rPr>
        <w:footnoteReference w:id="39"/>
      </w:r>
      <w:bookmarkStart w:id="52" w:name="pg7521_56367"/>
    </w:p>
    <w:p>
      <w:pPr>
        <w:pStyle w:val="Heading3"/>
        <w:numPr>
          <w:ilvl w:val="2"/>
          <w:numId w:val="1"/>
        </w:numPr>
        <w:rPr/>
      </w:pPr>
      <w:bookmarkStart w:id="53" w:name="__RefHeading___Toc2563953_1051229030"/>
      <w:bookmarkStart w:id="54" w:name="_Toc20"/>
      <w:bookmarkEnd w:id="52"/>
      <w:bookmarkEnd w:id="53"/>
      <w:r>
        <w:rPr>
          <w:rtl w:val="true"/>
        </w:rPr>
        <w:t xml:space="preserve">پيشينه و انگيزه ى طرح نظريه ى قرائت هاى گوناگون چيست؟ </w:t>
      </w:r>
      <w:r>
        <w:rPr>
          <w:rtl w:val="true"/>
        </w:rPr>
        <w:t xml:space="preserve">/ </w:t>
      </w:r>
      <w:r>
        <w:rPr>
          <w:rtl w:val="true"/>
        </w:rPr>
        <w:t>محمد كريمى</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ى قرائت هاى گوناگون در غرب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براى ريشه يابى آن، به تاريخ مسيحيت و كتاب هاى مقدس، نگاهى گذرا بيافكنيم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مخصوص مسيحيت كه عهد جديد ناميده شده است، چهار انجيل و چند نامه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انجيل ها يا نامه ها 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نشده است و حواريون و ديگران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براى اين كه مسيحيت جديد را مصون از خطا و مقدس اعلام كنند، بر اين باورند كه حواريون در نوشتن كتاب مقدس از روح القدس الهام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مايه ى كتاب مقدس را بيشتر امور تاريخى و زندگى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دهد و از احكام و قوانين اجتماعى و معارفى كه بشر در زندگى فردى و اجتماعى خود به آن نياز دارد، كم تر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كليسابا بهره گيرى از نظريه هاى علمى رايج آن زمان كه انديشه هاى فيلسوفان و دانشمندانى هم چون ارسطوو بطلميوس بود، مطالبى تنظيم و به عنوان آموزه هاى دينى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از اين آموزه ها كه مبناى عقلانى و وحيانى نداشت، جاهلانه و متعصبانه پشتيبانى مى كرد و مخالفان آن را به بدترين شيوه به مجازات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سرسختى كليسا به گونه اى بود كه حتى پس از پى بردن به نادرستى اين آموزه ها، هم چنان بر آن پاى مى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پيشرفت دانش بشر، اين مقاومت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كليسا در پى آن بود تا در كنار پذيرش آموزه هاى علمى، كتاب مقدس را نيز از رويارويى با آن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راه كارهاى گوناگونى را آزمود تا به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كليسا اعلام كرد برداشت هايى كه تا كنون از كتاب مقدس صورت گرفته، يكى از برداشت ها است، ولى برداشت هاى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 كليسا براى اثبات مدعاى خود، به بيان دلايلى نيز دست مى يازيدند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آن ها شتافت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هرمنوتيك، مهم ترين پايه و تكيه گاه قرائت هاى گوناگون است و درون مايه ى اصلى نظريه ى قرائت هاى گوناگون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روشن شدن بحث، سير تاريخى آن را از نظر مى 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هرمنوتيك از آغاز تا كنون، دگرگونى هاى بنيادينى را پشت سر نهاده است كه در اين جا تنها به مهم ترين رويكردهاى آن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رنسانس، تفسير و فهم متون دينى در انحصار كليسا بود، ولى پس از رنسانس و پيدايش جنبش پروتستانتيسم، مرجعيت كليسا در فهم و تفسير متون دينى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احساس نياز شديد به وجود قواعدى براى تفسير، به پيدايش رشته اى به نام هرمنوتيك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هرمنوتيك به ارايه ى روش و منطق فهم كتاب مقدس مى پرداخت، از عقل گرايى عصر روشنگرى اثر 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امرى عادى و طبيعى است و ابهام و بد فهمى، امرى عارضى است كه براى دورى از آن بايد به اصول و قواعد ويژه اى پناه برد كه روش فهم درست متن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هرمنوتيك را هرمنوتيك كلاسيك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ى بعدى هرمنوتيك با انديشه هاى شلاير ماخر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قواعد فهم، حدس و پيش گويى را براى درك مراد مؤلف، لازم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مؤلف و فهم هميشه در هاله اى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برخلاف مرحله ى پيش، بد فهمى، امرى عادى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مرحله، هرمنوتيك پيشرفته آغاز مى شود كه آن را هرمنوتيك رمانتيك مى نامند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ى سوم، هرمنوتيك فلسفى است و هايدگر و گادامر مهم ترين چهره هاى اين انديشه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هرمنوتيك به جاى بحث از روش فهم متون، خود فهم و تفسير را تحليل مى كند و مهم ترين آموزه ى آن، پافشارى بر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يابى به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هرمنوتيك فلسفى بهمباحثى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فهم متن، امكان دست يابى به فهم عينى و هدف از تفسير متن پرداخت و زمينه ساز پيدايش نظريه ى قرائت هاى گوناگون گرديد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از پيروزى انقلاب اسلامى در ايران، گروهى با اين نهال نوخاسته به مخالفت و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 گونه هاى متفاوتى داشت، ولى مهم ترين شيوه ى مبارزه با انقلاب، تهاجم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مهم ترين دست آورد انقلاب، دگرگونى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پايه گذارى حكومتى دينى بر آن بود تا آموزه ها و ارزش هاى ويژه اى را روى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نيز براى مقابله با چنين حكومتى، تشكيك در مبانى حكومت دينى و تضعيف روح دينى در ميان مردم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در الهى بودن قرآن و ترديد در وحى، عصمت پيامبران و امامان و زير سؤال بردن تقليد از شيوه هاى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كشيدن بحث قرائت هاى گوناگون از متون نيز در همين راستا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قرائت هاى گوناگون از متون، مقوله اى علمى است، ولى امروزه گروهى با مطرح كردن آن در پى دست يابى به اهداف سياسى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در تقابل با انديشه ى دينى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براى اثبات مسأله اى، به نص صريح يا ظاهر متون دينى استناد كند، با اين پاسخ روبه رو خواهد شد كه اين قرائت از آن شما است و ممكن است قرائت هاى ديگرى نيز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هواداران اين انديشه به نام دين و قرائتى ديگر از دين، با همه ى آموزه هاى دينى مخالفت مىورزند</w:t>
      </w:r>
      <w:r>
        <w:rPr>
          <w:rFonts w:eastAsia="IRNazanin" w:cs="IRNazanin"/>
          <w:color w:val="111111"/>
          <w:sz w:val="28"/>
          <w:szCs w:val="28"/>
          <w:rtl w:val="true"/>
          <w:lang w:bidi="fa-IR"/>
        </w:rPr>
        <w:t>.</w:t>
      </w:r>
      <w:r>
        <w:rPr>
          <w:rStyle w:val="FootnoteAnchor"/>
          <w:rtl w:val="true"/>
        </w:rPr>
        <w:footnoteReference w:id="42"/>
      </w:r>
      <w:bookmarkStart w:id="55" w:name="pg7521_56370"/>
    </w:p>
    <w:p>
      <w:pPr>
        <w:pStyle w:val="Heading2"/>
        <w:numPr>
          <w:ilvl w:val="1"/>
          <w:numId w:val="1"/>
        </w:numPr>
        <w:rPr/>
      </w:pPr>
      <w:bookmarkStart w:id="56" w:name="__RefHeading___Toc2563955_1051229030"/>
      <w:bookmarkStart w:id="57" w:name="_Toc21"/>
      <w:bookmarkEnd w:id="55"/>
      <w:bookmarkEnd w:id="56"/>
      <w:r>
        <w:rPr>
          <w:rtl w:val="true"/>
        </w:rPr>
        <w:t>مشاوره و تربيت</w:t>
      </w:r>
      <w:bookmarkEnd w:id="57"/>
    </w:p>
    <w:p>
      <w:pPr>
        <w:pStyle w:val="Heading3"/>
        <w:numPr>
          <w:ilvl w:val="2"/>
          <w:numId w:val="1"/>
        </w:numPr>
        <w:rPr/>
      </w:pPr>
      <w:bookmarkStart w:id="58" w:name="__RefHeading___Toc2563957_105122903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رسانه هاى گروهى</w:t>
      </w:r>
    </w:p>
    <w:p>
      <w:pPr>
        <w:pStyle w:val="BookText"/>
        <w:rPr/>
      </w:pPr>
      <w:r>
        <w:rPr>
          <w:rFonts w:ascii="IRNazanin" w:hAnsi="IRNazanin" w:eastAsia="IRNazanin"/>
          <w:color w:val="111111"/>
          <w:sz w:val="28"/>
          <w:sz w:val="28"/>
          <w:szCs w:val="28"/>
          <w:rtl w:val="true"/>
          <w:lang w:bidi="fa-IR"/>
        </w:rPr>
        <w:t>بى شك، رسانه هاى گروهى همانند ديگر اختراع هاى بشرى براى بهره بردارى مطلوب انسان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نيازهاى گوناگون و روزافزون انسان، وى را بر آن داشته است تا روز به روز بر كميّت و كيفيت رسانه ها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گروهى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مجله، راديو، تلويزيون، ماهواره، اينترنت، مى تواند دو كاربرد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تيغى در دست پزشكى متعهد و دلسوز يا خنجرى در كف انسانى قاتل و خون آشام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گوناگون رسانه هاى گروهى صرف نظر از كاركردهاى پژوهشى براى افزايش اطلاعات عمومى و كارآ، به گذرگاهى براى تبليغ نابهنجارى تبديل شده است تا جايى كه از آن عنوان به بحران جهانى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خطرناك، بسيارى از جامعه شناسان و كارشناسان فرهنگى را برآن داشته است تا براى مصونيت جامعه ى انسانى به ويژه نهاد خانواده از هجوم سيل آساى برنامه هاى تخريبى رسانه ها چاره انديشى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بخشى از اين مشكلات اشاره مى شود</w:t>
      </w:r>
      <w:r>
        <w:rPr>
          <w:rFonts w:eastAsia="IRNazanin" w:cs="IRNazanin"/>
          <w:color w:val="111111"/>
          <w:sz w:val="28"/>
          <w:szCs w:val="28"/>
          <w:rtl w:val="true"/>
          <w:lang w:bidi="fa-IR"/>
        </w:rPr>
        <w:t>.</w:t>
      </w:r>
    </w:p>
    <w:p>
      <w:pPr>
        <w:pStyle w:val="Heading3"/>
        <w:numPr>
          <w:ilvl w:val="2"/>
          <w:numId w:val="1"/>
        </w:numPr>
        <w:rPr/>
      </w:pPr>
      <w:bookmarkStart w:id="60" w:name="__RefHeading___Toc2563959_1051229030"/>
      <w:bookmarkStart w:id="61" w:name="_Toc23"/>
      <w:bookmarkEnd w:id="60"/>
      <w:r>
        <w:rPr>
          <w:rtl w:val="true"/>
        </w:rPr>
        <w:t xml:space="preserve">پى آمدهاى ديدن بازى هاى رايانه اى خشونت زا چيست؟ با توجه به اين كه فيلم هاى خارجى و بازى ها، پيام هاى زيان بار و منفى دارند، چه بايد كرد؟ </w:t>
      </w:r>
      <w:r>
        <w:rPr>
          <w:rtl w:val="true"/>
        </w:rPr>
        <w:t xml:space="preserve">/ </w:t>
      </w:r>
      <w:r>
        <w:rPr>
          <w:rtl w:val="true"/>
        </w:rPr>
        <w:t>محمد صادق شجاعى</w:t>
      </w:r>
      <w:bookmarkEnd w:id="61"/>
    </w:p>
    <w:p>
      <w:pPr>
        <w:pStyle w:val="BookText"/>
        <w:rPr/>
      </w:pPr>
      <w:r>
        <w:rPr>
          <w:rFonts w:ascii="IRNazanin" w:hAnsi="IRNazanin" w:eastAsia="IRNazanin"/>
          <w:color w:val="111111"/>
          <w:sz w:val="28"/>
          <w:sz w:val="28"/>
          <w:szCs w:val="28"/>
          <w:rtl w:val="true"/>
          <w:lang w:bidi="fa-IR"/>
        </w:rPr>
        <w:t>اين پرسش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آمدهاى ديدن بازى هاى رايانه اى خشونت 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جستن درباره ى تماشاى فيلم هاى خارجى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يكى از پى آمدهاى اصلى ديدن بازى هاى رايانه اى و نتيجه ى فيلم هاى تلويزيونى خشونت زا، افزايش سطح خشونت در كودكان و تقليد رفتارهاى پرخاش گرانه در </w:t>
      </w:r>
    </w:p>
    <w:p>
      <w:pPr>
        <w:pStyle w:val="BookText"/>
        <w:rPr/>
      </w:pPr>
      <w:r>
        <w:rPr>
          <w:rFonts w:ascii="IRNazanin" w:hAnsi="IRNazanin" w:eastAsia="IRNazanin"/>
          <w:color w:val="111111"/>
          <w:sz w:val="28"/>
          <w:sz w:val="28"/>
          <w:szCs w:val="28"/>
          <w:rtl w:val="true"/>
          <w:lang w:bidi="fa-IR"/>
        </w:rPr>
        <w:t>آن ها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نتايج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پژوهش هاى آزمايشگاهى و ميدانى نشان مى دهد كه ديدن صحنه هاى خشونت آميز بر رفتارها و باورهاى كودكان خردسال، پى آمدهاى منفى قطعى 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بررسى جنبه هاى گوناگون اين مسأله، به نكته هايى بايد اشاره كرد كه بدين قرار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كودكان بيشتر رفتارها را با ديدن و الگوپذيرى، ياد مى گيرند، هنگام تماشاى بازى هاى رايانه اى نيز مى خواهند از رفتار پرخاش گرانه ى قهرمانى تقليد كنند كه پرتحرك و برافروخته است با چهره اى پرخاش گر، با حريف خود مقابله به مثل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تماشاى پرخاش گرى و خشونت، رفتارهاى خشونت آميز تازه اى را به مجموعه رفتارهاى كودك مى افزايد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افزون بر اين، هنگامى كه يك قهرمان در برابر رفتارهاى خشونت آميز خود، پاداش دريافت مى كند يا به عنوان فردى موفق معرفى مى شود، كودكان با الگوگيرى از آنان، به پرخاش گرى و خشونت بيشترى روى 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پى آمد ديدن بازى هاى رايانه اى خشونت زا، افزايش سطح برانگيختگى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 ديدن صحنه هاى خشونت زا، مجذوب آن مى شوند و پس از چند لحظه، سطح هيجان پذيرى آنان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احساسات و افكار پرخاش گرا و خشونت آميز نسبت به ديگران در فرد، درونى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كه ذاتاً پرخاش گر هستند، احتمال دارد به دليل برانگيختگى شديد ناشى از محرك هاى تصويرى، به رفتارهاى پرخاش گرانه ى آشكار دست بزنند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پرخاش گرى در بازى هاى رايانه اى، بر باورها و ارزش هاى كودكان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كه چنين صحنه هاى خشونت آميزى را بارها در تلويزيون يا رايانه مى بينند، به اين باور مى رسند كه رفتار پرخاش گرانه، روشى پذيرفتنى براى حل تعارض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p>
    <w:p>
      <w:pPr>
        <w:pStyle w:val="BookText"/>
        <w:rPr/>
      </w:pPr>
      <w:r>
        <w:rPr>
          <w:rFonts w:ascii="IRNazanin" w:hAnsi="IRNazanin" w:eastAsia="IRNazanin"/>
          <w:color w:val="111111"/>
          <w:sz w:val="28"/>
          <w:sz w:val="28"/>
          <w:szCs w:val="28"/>
          <w:rtl w:val="true"/>
          <w:lang w:bidi="fa-IR"/>
        </w:rPr>
        <w:t>دليل، در برخورد با پدر و مادر، اطرافيان و هم سالان خود، رفتارهاى پرخاش گرانه از خود نشان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برخى كودكان با ديدن برنامه هاى رايانه اى خشونت زا، انجام رفتار خشونت آميز را از ديگران انتظار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تماشاى اعمال خشونتورزانه بر روى فردى در صحنه هاى بازى، خود را به جاى او مى پندارند و در صحنه هاى واقعى و برخوردهاى اجتماعى نيز انفعال و درماندگى از خود نشان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پى آمدهاى منفى ديدن بازى هاى رايانه اى و صحنه هاى تلويزيونى خشونت زا اين است كه احتمال دارد نگرش كودكان را نسبت به جهان، منفى سازد و آنان با ديدن افراد مورد خشونت، دنيا را مكانى خطرناك بپندارند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ى افراطى از بازى هاى رايانه اى و تماشاى صحنه هاى خشونت آميز، به اختلال فيزيولوژيك و روان شناختى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عصبى، خستگى، كاهش شنوايى، بى خوابى، كم خوابى، بى اشتهايى و سردردهاى مزمن خواهد انجاميد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پاسخ به بخش دوم پرسش، بايد گفت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ديدن بازى هاى رايانه اى خشونت زا و فيلم هاى خارجى را كه پى آمد منفى دارند، محدود كرد و با انتخاب برنامه هاى مناسب يا جاى گزين كردن فعاليت هاى ديگر به جاى بازى هاى رايانه اى و تماشاى فيلم هاى خارجى، از پى آمدهاى منفى آن ها پيش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كلى كودكان را از تماشاى چنين برنامه هايى منع كرد، ولى بايد با هشيارى كارى انجام داد كه كودكان، از تماشاى برنامه هاى پرخاش گرانه بكاهند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كودكان را تشويق كرد كه از ميان برنامه هاى تلويزيونى، دست به انتخاب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را افزون بر فيلم ها و سريال هاى تلويزيونى، با اخبار ويژه، برنامه هاى علمى و برخى اخبار و رويدادهاى روزانه آشنا ساخت</w:t>
      </w:r>
      <w:r>
        <w:rPr>
          <w:rFonts w:eastAsia="IRNazanin" w:cs="IRNazanin"/>
          <w:color w:val="111111"/>
          <w:sz w:val="28"/>
          <w:szCs w:val="28"/>
          <w:rtl w:val="true"/>
          <w:lang w:bidi="fa-IR"/>
        </w:rPr>
        <w:t xml:space="preserve">. </w:t>
      </w:r>
      <w:bookmarkStart w:id="62" w:name="pg7521_56373"/>
    </w:p>
    <w:p>
      <w:pPr>
        <w:pStyle w:val="BookText"/>
        <w:rPr/>
      </w:pPr>
      <w:bookmarkEnd w:id="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ى فعاليت هاى ديگر كه كودكان مى توانند به جاى ديدن بازى هاى رايانه اى و تماشاى فيلم هاى خارجى انجام دهند، بايد با آنان سخن گفت تا زمينه ى مناسب براى بازى، تفريح و ديگر سرگرمى هاى سودمند و مورد علاقه ى كودكان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 براى چند دقيقه در بازى ها و سرگرمى هاى كودكان شركت كرد و بر اعتماد به نفس آنان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 برنامه ى تلويزيونى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فيلم هاى خارجى يا سريال هاى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 كودك تناسب ندارد يا محتواى آن زننده است، از نوارهاى ويديويى مناسب با سن كودكان استفاده شود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63" w:name="__RefHeading___Toc2563961_1051229030"/>
      <w:bookmarkStart w:id="64" w:name="_Toc24"/>
      <w:bookmarkEnd w:id="63"/>
      <w:r>
        <w:rPr>
          <w:rtl w:val="true"/>
        </w:rPr>
        <w:t xml:space="preserve">آيا محدوديت ها و برخوردهاى فيزيكى مانند جمع آورى ماهواره يا محدود كردن اينترنت، براى تربيت اجتماعى جوانان، پى آمدهاى منفى ندارد؟ </w:t>
      </w:r>
      <w:r>
        <w:rPr>
          <w:rtl w:val="true"/>
        </w:rPr>
        <w:t xml:space="preserve">/ </w:t>
      </w:r>
      <w:r>
        <w:rPr>
          <w:rtl w:val="true"/>
        </w:rPr>
        <w:t>محمد صادق شجاعى</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كارهاى مقابله با 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موضوعات فرهنگى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فرهنگى از ديرباز بدان توجه داشته اند، ولى اين كار به دلايل گوناگون در اجرا ناكام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رسالت اصلى مسؤولان فرهنگى، ايمن سازى افراد به ويژه جوانان و نوجوانان در برابر هجوم بيگانگان و افزايش قدرت مقاومت آنان است نه محدوديت آفرينى و برخوردهاى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سازى نيز تنها با برنامه ريزى هم آهنگ و درازمدت براى فرهنگ سازى دينى، گسترش شناخت معارف الهى و تنومند ساختن باورهاى اصيل مذهبى در جامعه، ميسور است كه مى تواند با گذشت زمان افراد جامعه را به خودآگاهى و خودباورى برساند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نوجوانان بايد به گونه اى تربيت شوند كه آگاهانه و با اختيار كامل، از آلودگى و گناه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برخوردهاى فيزيكى و محدوديت آفرينى در استفاده از ماهواره و اينترنت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تنها بايد به </w:t>
      </w:r>
    </w:p>
    <w:p>
      <w:pPr>
        <w:pStyle w:val="BookText"/>
        <w:rPr/>
      </w:pPr>
      <w:r>
        <w:rPr>
          <w:rFonts w:ascii="IRNazanin" w:hAnsi="IRNazanin" w:eastAsia="IRNazanin"/>
          <w:color w:val="111111"/>
          <w:sz w:val="28"/>
          <w:sz w:val="28"/>
          <w:szCs w:val="28"/>
          <w:rtl w:val="true"/>
          <w:lang w:bidi="fa-IR"/>
        </w:rPr>
        <w:t>عنوان برنامه ى تكميلى و يكى از راه هاى ايمن سازى،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بهبرخوردهاى فيزيكى و محدوديت آفرينى ها به عنوان حربه ى اصلى در اصلاح و تربيت جامعه نگريسته شود، نتيجه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بستن اين روش ها نه تنها جوانان را از فحشا و منكر باز نمى دارد، بلكه بر حساسيت ها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مسأله سبب شده است گروهى، اصل محدوديت آفرينى و برخوردهاى فيزيكى با ناهنجارى هاى اجتماعى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اگر در تدوين و اجراى برنامه هاى كلان فرهنگى كشور همه ى نهادهاى فرهنگى با يكديگر هم آهنگ و هم سو شوند و تلاش اصلى براى ايمن سازى و تقويت باورهاى دينى باشد، به كاربستن برخوردهاى فيزيكى و برنامه هاى كوتاه مدّت نيز نتيجه بخش خواهد بود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اينك چند نكته را مى آوريم تا همه زاويه هاى مسأله آشكار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ماهواره و محدود كردن اينترنت در شرايط كنونى، لازم و ضرورى است، ولى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اصلى مسؤولان، فرهنگ سازى دينى و تربيت جوانان و نوجوانان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ناهنجارى هاى اجتماعى و بهره گيرى هاى نامشروع از ماهواره و اينترنت، به تدوين و تصويب قوانين متقن و استوار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خلأ قانونى برطرف نشود و فعاليت نيروهاى مبارزه با منكر و فحشا با پشتوانه ى محكم قانونى همراه نگردد، توفيق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قوانين مبارزه با انحراف بايد فراگير باشد و براى همه ى موارد كوچك و بزرگ خلاف كارى، مجازات هاى لازم پيش بينى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خلأ قانونى و تصويب قوانين فراگير، سامان دهى ساختارى نيرومند براى اجراى اين قوانين، ضرورى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آفت هاى بزرگ مبارزه با انحراف ها و جلوه هاى تهاجم فرهنگى، فصلى و دوره اى بودن مبارزه با اين پديده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هر چند يك بار به دليل شدّت يافتن فساد و گناه در </w:t>
      </w:r>
    </w:p>
    <w:p>
      <w:pPr>
        <w:pStyle w:val="BookText"/>
        <w:rPr/>
      </w:pPr>
      <w:r>
        <w:rPr>
          <w:rFonts w:ascii="IRNazanin" w:hAnsi="IRNazanin" w:eastAsia="IRNazanin"/>
          <w:color w:val="111111"/>
          <w:sz w:val="28"/>
          <w:sz w:val="28"/>
          <w:szCs w:val="28"/>
          <w:rtl w:val="true"/>
          <w:lang w:bidi="fa-IR"/>
        </w:rPr>
        <w:t>جامعه، هشدارى بدهيم و در مواردى محدوديت ايجاد كنيم، سپس دست از فعاليت بكشيم و تماشاگر شكل گيرى دوباره ى كانون هاى فساد باشيم، هيچ گاه نتيجه اى به دست نخواهد آمد، بلكه اين كار بيش از پيش جوانان و نوجوانان را به سوى فرهنگ غربى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كه مترقى ترين قوانين و مقررات آن گاه كه مجرى مناسب، متعهد و مقيد نداشته باشد،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مسؤولان فرهنگى كشور در انتخاب مجريان قانون و نيروهاى مبارزه با منكرهاى اجتماعى بايد دقت و وسواس افزونى نشان دهند تا اين تلاش هاى فرهنگى براى افراد جامعه، پى آمدهاى مناسبى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اجرايى بايد از آموزش و آگاهى لازم براى تحقق فرهنگ دينى و پيش گيرى از انحراف هاى اجتماعى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آموزش ها و برنامه هاى توجيهى بايد به گونه اى باشد كه مجرى قانون، هيچ امرى را بر اجراى درست آن ترجيح ندهد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همگام با قانون نيرومند، بازوى اجرايى مطمئن و ساختار نظام مند نظارت بايد رسيدگى قضايى نيز به درستى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قضايى بايد براساس قوانين مصوب، عوامل فساد را به سرعت محاكمه كند و پرونده هاى فساد را بلاتكليف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اهميت اين كار كمتر از اهميت رسيدگى به پرونده هاى مواد مخدر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اعتياد به مواد مخدر، ويران گر بنيادهاى اخلاقى و خانوادگى و اجتماعى است، استفاده از برنامه هاى مخرب ماهواره اى نيز ارزش هاى اخلاقى و خانوادگى و اجتماعى را به شدت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جوانان، زمان زيادى از شبانه روز را به تماشاى برنامه هاى ضد اخلاقى ماهواره و اينترنت اختصاص مى دهند و از همين راه به انحراف هاى گوناگون، آلوده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در چند مورد، با متخلفان برخورد جدى صورت بگيرد، براى ديگران نيز پندآموز خواهد بود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مبارزه ى قاطع و هميشگى با انحراف هاى اجتماعى مانند استفاده غير مجاز از ماهواره و اينترنت، بايد براى رشد فرهنگ اسلامى در جامعه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از روش هاى </w:t>
      </w:r>
      <w:bookmarkStart w:id="65" w:name="pg7521_56376"/>
    </w:p>
    <w:p>
      <w:pPr>
        <w:pStyle w:val="BookText"/>
        <w:rPr/>
      </w:pPr>
      <w:bookmarkEnd w:id="65"/>
      <w:r>
        <w:rPr>
          <w:rFonts w:ascii="IRNazanin" w:hAnsi="IRNazanin" w:eastAsia="IRNazanin"/>
          <w:color w:val="111111"/>
          <w:sz w:val="28"/>
          <w:sz w:val="28"/>
          <w:szCs w:val="28"/>
          <w:rtl w:val="true"/>
          <w:lang w:bidi="fa-IR"/>
        </w:rPr>
        <w:t>زير مى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ارزش هاى مكتبى و ملى از جانب مسؤولان نظام، برداشتن محدوديت هاى غير ضرورى در زمينه هاى گوناگون تا آن جا كه به رواج ضد ارزش ها نيانجامد، تهيه ى فيلم هايى با موضوع هاى متناسب با تعليم و تربيت اسلامى، ارايه ى برنامه هاى مناسب از تلويزيون، تهيه ى نوارهاى ويدئويى مجاز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محدوديت آفرينى در استفاده از برنامه هاى ماهواره و اينترنت، بدون جاى گزين كردن برنامه هاى سازنده و مورد علاقه ى جوانان باشد، به نتيجه نخواهد رسيد و جوانان به انحراف ها و مشكلات ديگرى دچار خواهند شد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66" w:name="__RefHeading___Toc2563963_1051229030"/>
      <w:bookmarkStart w:id="67" w:name="_Toc25"/>
      <w:bookmarkEnd w:id="66"/>
      <w:r>
        <w:rPr>
          <w:rtl w:val="true"/>
        </w:rPr>
        <w:t xml:space="preserve">با توجه به تلاش گسترده ى رسانه هاى مهاجم، براى تبليغ دوره اى چه جايگاهى قايل هستيد؟ آيا بهتر نيست براى پرورش اساسى اجتماع به جاى تبليغات دوره اى، به برنامه هاى درازمدت روى آوريم؟ </w:t>
      </w:r>
      <w:r>
        <w:rPr>
          <w:rtl w:val="true"/>
        </w:rPr>
        <w:t xml:space="preserve">/ </w:t>
      </w:r>
      <w:r>
        <w:rPr>
          <w:rtl w:val="true"/>
        </w:rPr>
        <w:t>محمدصادق شجاعى</w:t>
      </w:r>
      <w:bookmarkEnd w:id="67"/>
    </w:p>
    <w:p>
      <w:pPr>
        <w:pStyle w:val="BookText"/>
        <w:rPr/>
      </w:pPr>
      <w:r>
        <w:rPr>
          <w:rFonts w:ascii="IRNazanin" w:hAnsi="IRNazanin" w:eastAsia="IRNazanin"/>
          <w:color w:val="111111"/>
          <w:sz w:val="28"/>
          <w:sz w:val="28"/>
          <w:szCs w:val="28"/>
          <w:rtl w:val="true"/>
          <w:lang w:bidi="fa-IR"/>
        </w:rPr>
        <w:t>در پاسخ بايد به نكته هايى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رسانه هاى زيان بار نه تنها از ضرورت و جايگاه تبليغ دوره اى كاسته نمى شود، بلكه ضرورت آن بيش از هر زمان ديگرى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تبليغ دوره اى، كار اساسى و زيربنايى نيست، ولى پى آمدهاى سريع و قابل توجهى به همراه دارد و به همراه تبليغ درازمدت، در فرهنگ سازى دينى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كارآمد بودن تبليغ دوره اى، ترديدى نيست، ولى مسؤولان فرهنگى نبايد برنامه هاى فرهنگى و تبليغى را به برنامه هاى دوره اى منحصر سازند و بايد تلاش خويش را بيشتر براى تدوين برنامه هاى بلندمدت و زيربنايى به كار گيرند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استراتژى مقابله با تهاجم فرهنگى و خنثى كردن نقش رسانه هاى غربى، تنها به برنامه هاى بلندمدت بسنده شود، موج تهاجم بيگانه اثربخشى اين گونه تبليغات را از ميان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برنامه ى تهاجمى غرب بسيار گسترده و شتابنده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ى تبليغى بلندمدت چون بيان گر يك ايده و انديشه ى كلى است، قابل اجرا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مى توان برنامه ى درازمدت را به اجرا درآورد كه به اهداف جزيى تر و دوره اى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برنامه ى تبليغى دوره اى خود بخشى از برنامه ى تبليغى درازمدت و تغيير شكل يافته 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ى تبليغى، دو هدف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ستيزى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سازى بدان معنا است كه باور، انديشه، رفتار و اخلاق همه ى افراد جامعه به ويژه جوانان و نوجوانان را با گسترش زمينه هاى شناخت معارف الهى و زنده كردن باورهاى اصيل مذهبى، اصلاح كنيم</w:t>
      </w:r>
      <w:r>
        <w:rPr>
          <w:rStyle w:val="FootnoteAnchor"/>
          <w:rtl w:val="true"/>
        </w:rPr>
        <w:footnoteReference w:id="56"/>
      </w:r>
      <w:r>
        <w:rPr>
          <w:rFonts w:ascii="IRNazanin" w:hAnsi="IRNazanin" w:eastAsia="IRNazanin"/>
          <w:color w:val="111111"/>
          <w:sz w:val="28"/>
          <w:sz w:val="28"/>
          <w:szCs w:val="28"/>
          <w:rtl w:val="true"/>
          <w:lang w:bidi="fa-IR"/>
        </w:rPr>
        <w:t>و خودآگاهى و رسيدن به هويت مذهبى را هدف خويش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برنامه ريزى درازمدت و اصولى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ستيزى نيز به معناى مقابله ى منطقى و متناسب با فرهنگ غيرخودى و خنثى ساختن تبليغات رسانه هاى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اساسى تبليغ دوره اى بيشتر در اين حوزه از كار روشن مى شود و با اين شيوه بسيارى از توطئه هاى دشمن را مى توان خنثى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اصلى پديده هاى اجتماعى، تغييرپذيرى و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سياسى، اجتماعى و دگرگونى هاى سريع جهان، اوضاع داخلى كشور را نيز دست خوش دگرگونى هاى اساسى مى سازد و موضع گيرى هاى متفاوتى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دوره اى در اين گونه موارد، نقش بسيار مهم و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وضعيت خاصى بر جامعه حاكم است، موضع گيرى ها و شعارهاى تبليغاتى متناسب با آن از سوى دستگاه هاى تبليغاتى به افراد جامعه رسانيده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تغيير اوضاع</w:t>
      </w:r>
    </w:p>
    <w:p>
      <w:pPr>
        <w:pStyle w:val="BookText"/>
        <w:rPr/>
      </w:pPr>
      <w:r>
        <w:rPr>
          <w:rFonts w:ascii="IRNazanin" w:hAnsi="IRNazanin" w:eastAsia="IRNazanin"/>
          <w:color w:val="111111"/>
          <w:sz w:val="28"/>
          <w:sz w:val="28"/>
          <w:szCs w:val="28"/>
          <w:rtl w:val="true"/>
          <w:lang w:bidi="fa-IR"/>
        </w:rPr>
        <w:t xml:space="preserve">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روابط خارجى، دستگاه هاى تبليغاتى هم گام و هم سو با آن به تبليغ موضوع هاى ديگرى مى پردازند كه گاه ممكن است با شعارهاى تبليغاتى پيشين،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انعطاف پذيرى در برنامه هاى تبليغاتى كه با اصول زيربنايى نظام مخالف نباشد، يكى از رمزهاى كام يابى سازمان تبليغات كشور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بايد دانست تبليغ يكى از مصداق هاى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وظيفه و مسؤوليتى همگانى است كه بايد در هر شرايطى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ى ضرورت و جايگاه امر به معروف و نهى از منكر به سخن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كرد كه مردم را در جامعه مانند جماعتى مى دانست كه در كشتى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جاى خود را در كشتى سوراخ كند و مدعى شود من به ديگران كارى ندارم و تنها جاى خود را سوراخ مى كنم، آيا ديگران مى توانند ساكت بنشينند و تماشا كنند؟ به همين ترتيب، در جامعه نيز مردم نبايد در برابر زشت كارى ها بى اعتنا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پى آمدهاى منفى خلاف اجتماعى كه از كسى سر مى زند تنها به خود او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همانند آبى كه از سوراخى وارد كشتى شود، همه جا را فرا مى گيرد و همه را غرق مى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نيز اگر با بى اعتنايى، دست روى دست بگذاريم و تماشاگر گسترش فسادهاى اجتماعى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بدحجابى، تجمل گرايى، موسيقى حرام، فيلم هاى مبتذل و روابط دختر و پسر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و به امر به معروف و نهى از منكر زبان نگشاييم، همانند سرنشينان كشتى خواهيم بود كه با سكوت خويش در برابر سوراخ شدن كشتى، با پاى خود به دام مرگ و نابودى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سكوتى، ستم به خود و نسل آينده نخواهد بود؟ آيا هيچ انديشيده ايد كه چرا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هشدار تكان دهنده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امت من امر به معروف و نهى از منكر را ترك كنند، بايد منتظر بلاهاى الهى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bookmarkStart w:id="68" w:name="pg7521_56379"/>
    </w:p>
    <w:p>
      <w:pPr>
        <w:pStyle w:val="Heading3"/>
        <w:numPr>
          <w:ilvl w:val="2"/>
          <w:numId w:val="1"/>
        </w:numPr>
        <w:rPr/>
      </w:pPr>
      <w:bookmarkStart w:id="69" w:name="__RefHeading___Toc2563965_1051229030"/>
      <w:bookmarkStart w:id="70" w:name="_Toc26"/>
      <w:bookmarkEnd w:id="68"/>
      <w:bookmarkEnd w:id="69"/>
      <w:r>
        <w:rPr>
          <w:rtl w:val="true"/>
        </w:rPr>
        <w:t xml:space="preserve">اثرگذارى كدام يك از رسانه ها در تربيت امروزى بيشتر است؟ </w:t>
      </w:r>
      <w:r>
        <w:rPr>
          <w:rtl w:val="true"/>
        </w:rPr>
        <w:t xml:space="preserve">/ </w:t>
      </w:r>
      <w:r>
        <w:rPr>
          <w:rtl w:val="true"/>
        </w:rPr>
        <w:t>محمدصادق شجاعى</w:t>
      </w:r>
      <w:bookmarkEnd w:id="70"/>
    </w:p>
    <w:p>
      <w:pPr>
        <w:pStyle w:val="BookText"/>
        <w:rPr/>
      </w:pPr>
      <w:r>
        <w:rPr>
          <w:rFonts w:ascii="IRNazanin" w:hAnsi="IRNazanin" w:eastAsia="IRNazanin"/>
          <w:color w:val="111111"/>
          <w:sz w:val="28"/>
          <w:sz w:val="28"/>
          <w:szCs w:val="28"/>
          <w:rtl w:val="true"/>
          <w:lang w:bidi="fa-IR"/>
        </w:rPr>
        <w:t>به طور كلى نمى توان رسانه ى خاصى را به عنوان بهترين و كارآمدترين وسيله ى تربيتى در همه ى شرايط و نسبت به همه ى مخاطبان و در فرهنگ هاى گوناگون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تلويزيون از ميان رسانه هاى گروهى موجود بيشترين نقش را در تربيت فرهنگى و اجتماعى جوانان و نوجوانان و خانواده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قابليت ها و كاركردهاى ويژه اى برخوردار است كه در ديگر رسانه هاى گروهى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فرهنگى حاكم بر جامعه ى ما به گونه اى است كه ديگر وسايل ارتباطى در شكل دهى رفتار اجتماعى به اندازه ى تلويزيون نقش فراگير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به عنوان وسيله ى ارتباط جمعى در سطح بسيار گسترده اى رواج دارد و از جامعه پذيرى و نفوذ ويژه اى نيز برخوردار است،</w:t>
      </w:r>
      <w:r>
        <w:rPr>
          <w:rStyle w:val="FootnoteAnchor"/>
          <w:rtl w:val="true"/>
        </w:rPr>
        <w:footnoteReference w:id="58"/>
      </w:r>
      <w:r>
        <w:rPr>
          <w:rFonts w:ascii="IRNazanin" w:hAnsi="IRNazanin" w:eastAsia="IRNazanin"/>
          <w:color w:val="111111"/>
          <w:sz w:val="28"/>
          <w:sz w:val="28"/>
          <w:szCs w:val="28"/>
          <w:rtl w:val="true"/>
          <w:lang w:bidi="fa-IR"/>
        </w:rPr>
        <w:t>ولى به دليل خالى بودن جاى نقش، تصوير و حركت در آن، از ارتباط ديدارى با مخاطبان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مطبوعات نيز در دانش افزايى مخاطبان و ارايه ى آگاهى هاى سياسى، اجتماعى و فرهنگى نقش مؤثرى دارند</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توانند زمينه ى تربيت فرهنگى جوانان، نوجوانان و خانواده ها را فراهم آورند، ولى به دليل گسترش نيافتن فرهنگ مطالعه و كتاب خوانى در ايران، كارآيى اين ابزارها بسيار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براى برخى افراد جامعهكه از دانش و سواد كافى برخوردارند، نقش تربيتى كتاب، مجله و روزنامه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ابزارها حتى تلويزيون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 قشر، كتاب و مجله به عنوان منبع اطلاعاتى دقيق، بازتاب دهنده ى دست آوردهاى علمى جهان است، ولى برنامه هاى تلويزيون بيشتر جنبه ى سرگرم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نيز يكى از ابزارهاى تبليغى و وسيله ى ارتباط جمعى است كه در تربيت، نقش سازنده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يكنواختى، محدوديت مخاطب و محدوديت زمانى و مكانى از اثرگذارى آن مى كاهد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اينترنت يكى ديگر از وسايل ارتباط همگانى است كه در چند سال اخير به عنوان ره آورد فن آورى نوين مورد توجه فراوانى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رايانه ها و امكانات بى مانند اينترنت، جاى ترديد باقى نگذارده است كه دنيا شاهد دگرگونى هاى فراوانى در عرصه ى آموزش و پرورش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سيستمى چند منظوره است كه افزون بر داشتن منابع اطلاعاتى فراوان بر مسايل فرهنگى جامعه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برخوردهاى آگاهانه و ناآگاهانه اى در بهره گيرى از اين پديده صورت پذيرفته است و نگرش هاى گوناگونى درباره ى بهره بردارى از اين شبكه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بهره گيرى از اين شبكه را بسيار ضرورى مى دانند و گروهى ديگر، اين شبكه را مانند مراكز اشاعه ى فساد عامل اصلى تهاجم فرهنگى غرب مى شمارند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اينترنت، خاستگاه غربى دارد، ولى يكى از دست آوردهاى بزرگ بشر است كه بايد با داشتن استراتژى درست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مشكل اصلى آن است كه فرهنگ بهره بردارى درست از اينترنت در ايران،خوب جا نيافتاده است و متأسفانه گاهى از آن براى رفتارهاى ناپسند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كارشناسان درباره كاوش از اينترنت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اطلاعات اينترنت مطالب مفيد و علمى است و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آن را موضوعات ضد اخلاقى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كاربران اينترنتى از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استفاده مى كنند و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استفاده كنندگان از موضوعات و مطالب علمى و مفيد آن بهره مند مى شوند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بنابراين، مهم ترين مسأله در زمينه ى بهره گيرى از اينترنت برخورد منطقى، كارشناسانه و آشنايى كافى با اين پديده است تا فرهنگ بهرهورى درست از اينترنت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مديران و برنامه ريزان امور كلان جامعه با تبيين اصول درست گسترش و بهره بردارى از قابليت هاى اينترنت، زمينه ى به كارگيرى درست اين رسانه را در عرصه ى تعليم و تربيت، فراهم آورند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اين ميان، تلويزيون تنها وسيله اى است كه افزون بر دارا بودن قابليت هاى ديگر رسانه ها از مزاياى بيشترى نيز برخوردار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اينك به مهم ترين ويژگى هايى مى پردازيم كه تلويزيون را از ديگر ابزار اطلاع رسانى متمايز ساخته است و در تربيت و الگودهى جوانان و نوجوانان و خانواده ها بهترين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استعداد آموزشى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اجتماعى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مندى از حركت، تصوير و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گونى برنامه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فراگيرى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همه ى صاحب نظران علم ارتباطات، قابليت تكنولوژيك تلويزيون چنان است كه اين رسانه مى تواند درون مايه هايى نزديك تر به زندگى واقعى ارايه كند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از همه مهم تر اين كه تهيه و ساخت برنامه هاى تلويزيونى بيشتر در داخل كشور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رعايت نكات مثبت تربيتى در آن امكان پذير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برنامه هاى تلويزيونى مى توان الگوهاى رفتارى واقعى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صفا، صميميت و صداقت را در قالب جذاب ترين برنامه هاى آموزشى و تفريحى به مخاطب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زيبايى پسندى و كمال خواهى، موهبتى الهى است كه در سرشت انسان ها به وديعت نهاده شده است، همه ى انسان ها در همه ى زمان ها و مكان ها با هر پايگاه اجتماعى و شرايط سنى، زيبايى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كودكان و نوجوانان بيش از ديگران از زيبايى هاى ظاهرى لذت مى برند و از لطافت آن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آموزش و پرورش نوين با درك ضرورت توجه به اين نياز عاطفى و روانى كودكان و نوجوانان، بر گسترش زيبايى و بهره مندى از فعاليت هاى هنرى، تأكيد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مناسب ترين رسانه ى فرهنگى است كه با بهره مندى از هنر و جذابيت آفرينى در مخاطبان در تربيت نسل جديد، نقش بسزا خواهد داشت</w:t>
      </w:r>
      <w:r>
        <w:rPr>
          <w:rFonts w:eastAsia="IRNazanin" w:cs="IRNazanin"/>
          <w:color w:val="111111"/>
          <w:sz w:val="28"/>
          <w:szCs w:val="28"/>
          <w:rtl w:val="true"/>
          <w:lang w:bidi="fa-IR"/>
        </w:rPr>
        <w:t xml:space="preserve">. </w:t>
      </w:r>
      <w:bookmarkStart w:id="71" w:name="pg7521_56382"/>
    </w:p>
    <w:p>
      <w:pPr>
        <w:pStyle w:val="BookText"/>
        <w:rPr/>
      </w:pPr>
      <w:bookmarkEnd w:id="71"/>
      <w:r>
        <w:rPr>
          <w:rFonts w:ascii="IRNazanin" w:hAnsi="IRNazanin" w:eastAsia="IRNazanin"/>
          <w:color w:val="111111"/>
          <w:sz w:val="28"/>
          <w:sz w:val="28"/>
          <w:szCs w:val="28"/>
          <w:rtl w:val="true"/>
          <w:lang w:bidi="fa-IR"/>
        </w:rPr>
        <w:t>بررسى وضعيت كنونى و روند چندين ساله ى صدا و سيما نشان مى دهد كه از برنامه هاى تلويزيونى مى توان براى الگودهى ارزش هاى مذهبى بهره بردارى كرد و پيام هاى مهم آموزشى و پرورشى را در قالب فيلم، داستان، گزارش و خبر به جوانان و نوجوانان رساند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72" w:name="__RefHeading___Toc2563967_1051229030"/>
      <w:bookmarkStart w:id="73" w:name="_Toc27"/>
      <w:bookmarkEnd w:id="72"/>
      <w:r>
        <w:rPr>
          <w:rtl w:val="true"/>
        </w:rPr>
        <w:t xml:space="preserve">ديدن عكس هاى نامناسب در اينترنت براى اخلاق اجتماعى چه پى آمدهايى دارد؟ </w:t>
      </w:r>
      <w:r>
        <w:rPr>
          <w:rtl w:val="true"/>
        </w:rPr>
        <w:t xml:space="preserve">/ </w:t>
      </w:r>
      <w:r>
        <w:rPr>
          <w:rtl w:val="true"/>
        </w:rPr>
        <w:t>هادى حسين خانى</w:t>
      </w:r>
      <w:bookmarkEnd w:id="73"/>
    </w:p>
    <w:p>
      <w:pPr>
        <w:pStyle w:val="BookText"/>
        <w:rPr/>
      </w:pPr>
      <w:r>
        <w:rPr>
          <w:rFonts w:ascii="IRNazanin" w:hAnsi="IRNazanin" w:eastAsia="IRNazanin"/>
          <w:color w:val="111111"/>
          <w:sz w:val="28"/>
          <w:sz w:val="28"/>
          <w:szCs w:val="28"/>
          <w:rtl w:val="true"/>
          <w:lang w:bidi="fa-IR"/>
        </w:rPr>
        <w:t>درباره ى عكس هاى مبتذل و سكسى بايد گفت چون ديدن چنين عكس هايى نوعاً مفسده انگيز است، جايز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حرمت، حكم فقهى مسأله است، ولى درباره ى جنبه ى اخلاقى مسأله نيز بايد توجه داشت كه ديدن اين گونه عكس ها كم كم انسان را معتاد مى كند، به گونه اى كه اگر فرد روزى به سراغ اينترنت و عكس هاى مبتذل آن نرود، در زندگى خود احساس كمبود مى كند و حالت كسالت به او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تماشاى صحنه هاى مبتذل، ذهن و انديشه ى انسان را تسخير مى كند و آدمى به طور ناخودآگاه اين گونه صحنه ها را هميشه و همه جا پيش روى خود مجسم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خود را به ديدن اين گونه تصويرها، عادت داده است، به كار و فعاليت سازنده ى اقتصادى بى رغبت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گاه بخواهد فكر خود را روى مسأله اى مهم و حساس متمركز كند، به ياد آوردن آن صحنه ى مبتذل، توان تمركز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در برخورد با انسان ها به جاى آن كه به انسانيت آنان توجه كند به جنسيت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گونه اى كه در تصوير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افزون بر سلب كردن آرامش فرد، او را از پيشرفت باز مى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زودرس از ديگر پى آمدهاى ديدن چنين تصويرهايى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طبيعى، اگر نوجوان يا جوانى كه چنين صحنه هايى را مى بيند، شرايط ازدواج و تشكيل زندگى زناشويى را </w:t>
      </w:r>
    </w:p>
    <w:p>
      <w:pPr>
        <w:pStyle w:val="BookText"/>
        <w:rPr/>
      </w:pPr>
      <w:r>
        <w:rPr>
          <w:rFonts w:ascii="IRNazanin" w:hAnsi="IRNazanin" w:eastAsia="IRNazanin"/>
          <w:color w:val="111111"/>
          <w:sz w:val="28"/>
          <w:sz w:val="28"/>
          <w:szCs w:val="28"/>
          <w:rtl w:val="true"/>
          <w:lang w:bidi="fa-IR"/>
        </w:rPr>
        <w:t>نداشته باشد، خواهد كوشيد عطش كاذب خود را از راه هاى ديگر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مشكلات اخلاقى ديگرى مانند روابط نادرست با جنس مخالف و موافق، خودارضايى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بى رويه از اين گونه تصويرها در رسانه هاى تصويرى كشورهاى غربى يكى از عوامل سستى فزاينده ى نظام خانواده به شمار مى آيد و سبب شده است جوانان از تشكيل خانواده و پذيرش تعهدهاى مربوط به آن، سرباز زنند و نيازهاى جنسى خود را از راه تماشاى تصوير و فيلم هاى مبتذل يا روابط جنسى نامشروع برآورده سازند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پيش گيرى از پى آمدهاى نامطلوب ديدن صحنه هاى مبتذل بهتر است هيچ گاه به سراغ آن ها نرويم و ذهن و جان خود را اسير هواهاى نفسانى سازندگان اين گونه برنامه ها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آغاز چنين صحنه هايى را نبينيم، به آن ها عادت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هر گونه دليل توجيهى براى ديدن چنين صحنه هايى سرانجام آدمى را به جايى خواهد كشاند كه ديگر راه برگشتى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با سپرى از تقوا، چشم خويش را از گزند آلودگى ها در امان داريم و دل را از اسارت هواها آزاد كنيم</w:t>
      </w:r>
      <w:r>
        <w:rPr>
          <w:rFonts w:eastAsia="IRNazanin" w:cs="IRNazanin"/>
          <w:color w:val="111111"/>
          <w:sz w:val="28"/>
          <w:szCs w:val="28"/>
          <w:rtl w:val="true"/>
          <w:lang w:bidi="fa-IR"/>
        </w:rPr>
        <w:t xml:space="preserve">. </w:t>
      </w:r>
      <w:bookmarkStart w:id="74" w:name="pg7521_56384"/>
    </w:p>
    <w:p>
      <w:pPr>
        <w:pStyle w:val="Heading2"/>
        <w:numPr>
          <w:ilvl w:val="1"/>
          <w:numId w:val="1"/>
        </w:numPr>
        <w:rPr/>
      </w:pPr>
      <w:bookmarkStart w:id="75" w:name="__RefHeading___Toc2563969_1051229030"/>
      <w:bookmarkStart w:id="76" w:name="_Toc28"/>
      <w:bookmarkEnd w:id="74"/>
      <w:bookmarkEnd w:id="75"/>
      <w:r>
        <w:rPr>
          <w:rtl w:val="true"/>
        </w:rPr>
        <w:t>حقوق و سياست</w:t>
      </w:r>
      <w:bookmarkEnd w:id="76"/>
    </w:p>
    <w:p>
      <w:pPr>
        <w:pStyle w:val="Heading3"/>
        <w:numPr>
          <w:ilvl w:val="2"/>
          <w:numId w:val="1"/>
        </w:numPr>
        <w:rPr/>
      </w:pPr>
      <w:bookmarkStart w:id="77" w:name="__RefHeading___Toc2563971_1051229030"/>
      <w:bookmarkStart w:id="78" w:name="_Toc29"/>
      <w:bookmarkEnd w:id="77"/>
      <w:r>
        <w:rPr>
          <w:rtl w:val="true"/>
        </w:rPr>
        <w:t>اشاره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تروريسم اسراييل و حقوق بين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فلسطين</w:t>
      </w:r>
    </w:p>
    <w:p>
      <w:pPr>
        <w:pStyle w:val="BookText"/>
        <w:rPr/>
      </w:pPr>
      <w:r>
        <w:rPr>
          <w:rFonts w:ascii="IRNazanin" w:hAnsi="IRNazanin" w:eastAsia="IRNazanin"/>
          <w:color w:val="111111"/>
          <w:sz w:val="28"/>
          <w:sz w:val="28"/>
          <w:szCs w:val="28"/>
          <w:rtl w:val="true"/>
          <w:lang w:bidi="fa-IR"/>
        </w:rPr>
        <w:t>ساليان درازى است كه مسأله ى فلسطين توجه افكار عمومى جهان و سازمان هاى بين المللى را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جهات متعددى قابل پيگيرى و بررسى است و در اين شماره از مجله صباح از بُعد حقوقى به آن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ارائه راهكارهاى حقوقى و استناد به قوانين و مقررات بين المللى مى تواند در مسير احقاق حقوق حقه ملت مظلوم فلسطين موثر باشد و حقانيت حركت استقلال خواهانه اين ملت رنج كشيده را هرچه بيشتر به اثبات رساند</w:t>
      </w:r>
      <w:r>
        <w:rPr>
          <w:rFonts w:eastAsia="IRNazanin" w:cs="IRNazanin"/>
          <w:color w:val="111111"/>
          <w:sz w:val="28"/>
          <w:szCs w:val="28"/>
          <w:rtl w:val="true"/>
          <w:lang w:bidi="fa-IR"/>
        </w:rPr>
        <w:t>.</w:t>
      </w:r>
    </w:p>
    <w:p>
      <w:pPr>
        <w:pStyle w:val="Heading3"/>
        <w:numPr>
          <w:ilvl w:val="2"/>
          <w:numId w:val="1"/>
        </w:numPr>
        <w:rPr/>
      </w:pPr>
      <w:bookmarkStart w:id="79" w:name="__RefHeading___Toc2563973_1051229030"/>
      <w:bookmarkStart w:id="80" w:name="_Toc30"/>
      <w:bookmarkEnd w:id="79"/>
      <w:r>
        <w:rPr>
          <w:rtl w:val="true"/>
        </w:rPr>
        <w:t xml:space="preserve">رژيم اشغال گر قدس و حقوق بين الملل، گفتوگو با دكتر عباس كدخدائى </w:t>
      </w:r>
      <w:r>
        <w:rPr>
          <w:rtl w:val="true"/>
        </w:rPr>
        <w:t xml:space="preserve">/ </w:t>
      </w:r>
      <w:r>
        <w:rPr>
          <w:rtl w:val="true"/>
        </w:rPr>
        <w:t>محمد رضا باقرزاده</w:t>
      </w:r>
      <w:bookmarkEnd w:id="80"/>
    </w:p>
    <w:p>
      <w:pPr>
        <w:pStyle w:val="Heading4"/>
        <w:numPr>
          <w:ilvl w:val="3"/>
          <w:numId w:val="1"/>
        </w:numPr>
        <w:rPr/>
      </w:pPr>
      <w:bookmarkStart w:id="81" w:name="__RefHeading___Toc2563975_1051229030"/>
      <w:bookmarkStart w:id="82" w:name="_Toc31"/>
      <w:bookmarkEnd w:id="81"/>
      <w:r>
        <w:rPr>
          <w:rtl w:val="true"/>
        </w:rPr>
        <w:t>پيدايش اسراييل را از ديدگاه حقوق بين الملل چگونه تحليل مى كنيد؟</w:t>
      </w:r>
      <w:bookmarkEnd w:id="82"/>
    </w:p>
    <w:p>
      <w:pPr>
        <w:pStyle w:val="BookText"/>
        <w:rPr/>
      </w:pPr>
      <w:r>
        <w:rPr>
          <w:rFonts w:ascii="IRNazanin" w:hAnsi="IRNazanin" w:eastAsia="IRNazanin"/>
          <w:color w:val="111111"/>
          <w:sz w:val="28"/>
          <w:sz w:val="28"/>
          <w:szCs w:val="28"/>
          <w:rtl w:val="true"/>
          <w:lang w:bidi="fa-IR"/>
        </w:rPr>
        <w:t xml:space="preserve">وضعيت رژيم اشغال گر قدس و مردم مظلوم فلسطين از ديد حقوق بين الملل از دهه 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شايد از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اعلاميه ى بالفور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دامنه ى ستم و تجاوزهاى اين رژيم نسبت به مردم مظلوم فلسطين امروزه اين پرسش ها رنگ و بوى ديگرى يافته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تاريخى، پيشينه ى سرزمين فلسطين به سال هاى پيش از ميلاد و دوره ى حضور كنعانى ها در آن 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كنعانى ها اجداد فلسطينى هاى امروزى بودند و اين سرزمين هم معمولاً به نام سرزمين كنعان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يهودى ها براى دوره هاى كوتاه در </w:t>
      </w:r>
    </w:p>
    <w:p>
      <w:pPr>
        <w:pStyle w:val="BookText"/>
        <w:rPr/>
      </w:pPr>
      <w:r>
        <w:rPr>
          <w:rFonts w:ascii="IRNazanin" w:hAnsi="IRNazanin" w:eastAsia="IRNazanin"/>
          <w:color w:val="111111"/>
          <w:sz w:val="28"/>
          <w:sz w:val="28"/>
          <w:szCs w:val="28"/>
          <w:rtl w:val="true"/>
          <w:lang w:bidi="fa-IR"/>
        </w:rPr>
        <w:t>بخشى از اين سرزمين، زندگى مى كردند و تاريخ هيچ گاه به حاكميت يهود در اين سرزمين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اشغال اين سرزمين به دست يهوديان اشاره شده، ولى تاريخ نويسان، سياست مداران و صاحب نظران درباره ى اين كه حاكميت از آنِ يهودى ها، بوده است،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حاكميت و كثرت جمعيت اين سرزمين در درجه ى اول با كنعانى ها و بعد با فلسطينى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دقيق تر صحبت كنيم، بايد گفت مسلمانان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 سرزمين فلسطين حكومت كردند كه اين حاكمان معمولاً عرب ها و ترك هاى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فروپاشى امپراتورى عثمانى در سال هاى اوليه ىقرن بيستم، دست مسلمانان از اين سرزمين كوتاه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بريتانيا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ى معروف بالفور را صادر كرد و با اين كار، بساط ترك هاى مسلمان به كلى از اين سرزمين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مقوله ى رنج هاى مردم فلسطين و تجاوزهاى رژيم اشغال گر قدس، از آن زمان به بعد، خودنمايى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جايگاه اين موضوع در حقوق بين الملل اشاره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پرسيد چگونه يك رژيم غاصب مى تواند برخلاف مقررات حقوق بين الملل كه سياست مداران و حقوق دانان غربى به آن معترف هستند، بدترين رفتارهاى غيرانسانى را با زورگويى هر چه تمام تر عليه مردم بى پناه سرزمين فلسطين به كار ببرد؟ به عبارت روشن تر و تخصصى تر، در حقوق بين الملل، مجموعه اى از مقوله هاى اساسى داريم كه بايد اين محورها كنار هم گذاشته شود و دست در دست هم دهند تا بتوانند كشورى را به عنوان يك كشور رسمى و آن چيزى كه به عنوان </w:t>
      </w:r>
      <w:r>
        <w:rPr>
          <w:rFonts w:eastAsia="Times New Roman" w:cs="Times New Roman" w:ascii="Times New Roman" w:hAnsi="Times New Roman"/>
          <w:color w:val="111111"/>
          <w:sz w:val="28"/>
          <w:szCs w:val="28"/>
          <w:lang w:val="en-US" w:bidi="en-US"/>
        </w:rPr>
        <w:t>state</w:t>
      </w:r>
      <w:r>
        <w:rPr>
          <w:rFonts w:ascii="IRNazanin" w:hAnsi="IRNazanin" w:eastAsia="IRNazanin"/>
          <w:color w:val="111111"/>
          <w:sz w:val="28"/>
          <w:sz w:val="28"/>
          <w:szCs w:val="28"/>
          <w:rtl w:val="true"/>
          <w:lang w:bidi="fa-IR"/>
        </w:rPr>
        <w:t>مى شناسيم،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هيچ يك از اين مقوله ها درباره ى كشور فلسطين و رژيم اشغال گر قدس انجام نشده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دليلى كه معمولاً براى منطبق بودن پيدايش رژيم اشغال گر قدس با حقوق بين الملل ذكر مى كنند، اعلاميه ى بالفور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وزير امور خارجه ى وقت انگلستان بود و اين اعلاميه بر اين مبنا صادر شد كه يهودى هايى هستند كه در كشورهاى ديگر پراكنده اند و سرزمين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گفته مى شود كه اين يهودى ها بيشترين سابقه ى سكونت را در سرزمين فلسطين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اين ها از گوشه و كنار دنيا به سرزمين فلسطين منتقل شوند و دولت فلسطين را تشكيل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 اعتبارى اعلاميه ى بالفور از همان اول حتى براى خود سياست مداران انگليسى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تاريخ را ورق مى زنيد، مى بينيد كه اين اعلاميه هيچ گاه به عنوان يك سند رسمى در مجامع قانون گذارى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مجلس اعيان و مجلس عوام به تصويب نرسيد و مشخصاً افرادى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اسلينگتون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اعلاميه مخالفت كردند و گفتند اگر اين كار انجام شود، حقوق غير يهوديان را در سرزمين فلسطين ناديده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ها، ايجاد يك كشور صهيونيستى كه مبتنى است بر ايده هاى نژادپرستى، در سرزمين فلسطين مشروعيت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اكثريت آن را مسلمانان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بروز تنش هاى زيادى خواهد شد و دامنه ى آن به كل جهان سرايت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اعضاى مجلس اعيان و مجلس عوام انگلستان از اعلاميه ى بالفور خيلى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نگاه مى كند، مى بيند كه پيش بينى آن ها واقعاً دقيق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شايد به خاطر اين بوده است كه آن ها اطلاعات بيشترى از پشت پرده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اعلاميه ى بالفور را نگاه مى كند، مى بيند كه فى نفسه، اعلاميه ى سازش پذير و متقاعد كننده اى است، ولى در پشت پرده ى آن، مسايل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نكته اى كه در اعلاميه ى بالفور مدنظر قرار گرفته، اين است كه حقوق غيريهوديان بايد در فلسطين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كنيد با وجود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ساكن مسلمان در سرزمين فلسطين، مى خواهيم بخش كوچكى از يهود را در اين جا حاكم كنيم و بگوييم حقوق اين ها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مطلب همين است، ولى همان طور كه لرد اسلينگتون در مجلس اعيان به اعلاميه ى بالفور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طور مى توانيد حقوق غير يهوديان را محترم بشماريد، واقعاً چه طور مى توان گفت حقوق ديگران را محترم بشماريد؟ آن هايى كه به دنبال تصويب اعلاميه ى بالفور بودند، ازصهيونيست هاى معروفى بودند كه در جامعه ى اروپا نيز سابقه ى نژادپرستى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ساده ى يهودى نبودند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تاريخ را كه ورق مى زنيم، مى بينيم مقاومت هايى از جانب غير مسلمانان سرزمين فلسطين مانند مسيحيان و حتى خود يهوديان در برابر اعلاميه ى بالفور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يهوديان مقيم فلسطين اعلام كردند كه تشكيل يك دولت يهودى به ويژه با حضور افرادى كه پشت اين قضيه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 هاى معروف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نفع دين يهود نخواهد بود و حتى يك درگيرى قومى و مذهبى در اين سرزمين ايجاد خواهد كرد كه معلوم نيست دامنه اش به كجا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w:t>
      </w:r>
    </w:p>
    <w:p>
      <w:pPr>
        <w:pStyle w:val="BookText"/>
        <w:rPr/>
      </w:pPr>
      <w:r>
        <w:rPr>
          <w:rFonts w:ascii="IRNazanin" w:hAnsi="IRNazanin" w:eastAsia="IRNazanin"/>
          <w:color w:val="111111"/>
          <w:sz w:val="28"/>
          <w:sz w:val="28"/>
          <w:szCs w:val="28"/>
          <w:rtl w:val="true"/>
          <w:lang w:bidi="fa-IR"/>
        </w:rPr>
        <w:t>كه اين پيش بينى ها همه درست از كار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صدور اعلاميه ى بالفور و تشكيل رژيم اشغال گر قدس تاكنون، اين درگيرى ها در فلسطين ميان مسلمانان و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صهيونيست هاى يهود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رژيم اشغال گر قدس از ديدگاه حقوق بين الملل، مشكلات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همين بى اعتبارى اعلاميه ى بالفور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اعلاميه در مجالس قانون گذارى انگلستان به تصويب نرسيد، دولت انگلستان سعى كرد از ابزارهاى بين المللى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سازمان ملل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بى اعتبارى هم اين بود كه اين اعلاميه يك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حتى در مجالس قانون گذارى انگلستان به تصويب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حتى اگر از نظر داخلى هم بخواهيم بررسى كنيم، به تصويب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سازمان ملل مراجعه كرد و سازمان ملل، سرپرستى و قيموميت انگلستان را بر فلسطين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بود كه اعلاميه ى بالفور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ابتدا سرپرستى را از سازمان ملل گرفتند، بعد هم اعلاميه صادر كردند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بحث قيموميت و سرپرستى كه در منشور سازمان ملل به آن اشاره شده است، درباره ى كشورهاى مستعمره بود كه كم كم آزادى و استقلال خود را به دست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بود كه چون اين كشورها توان مديريت ندارند، سرپرستى شان تا زمانى معين بايد به عهده ى كشورهاى پيشرفته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به دوره ى استقلال و بلوغ خود رسيدند، سرپرستى و حاكميت را به خود مردم تفويض كنند و كنار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شرط هاى اساسى در قيموميت و سرپرستى در حقوق بين الملل اين است كه دولت سرپرست و قيم در تعيين حاكميت سرزمين زير سرپرستى خود، حق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وظيفه دارد اين كشور را به سوى استقلال ببرد و كمك كند تا افرادى كارآمد تربيت شوند كه اداره ى كشور را به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سرپرست حق ندارد اين سرزمين را تقسيم كند يا به كشور يا سازمان ديگر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ديد حقوق بين الملل حتى اگر بخواهيم از نظر مغايرت با اصول نگاه كنيم، اگر مقررات هم نداشته باشيم، با حق تعيين سرنوشت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سازمان مللى كه مى گويد وظيفه ى من تأمين صلح و امنيت بين المللى و احترام به تعيين سرنوشت مردم و حاكميت سرزمين ها است، بيايد حاكميت يك سرزمين را به يك كشور بيگانه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كشور هم هر تصميمى كه خواست،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مسأله همچنان از منظر حقوق بين الملل مشكل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حتى به موجب اعلاميه يا قطع نامه ى سرپرستى كه سازمان ملل صادر كرد و انگلستان، سرپرستى فلسطين را بر عهده گرفت، اين كشور حق نداشت حاكميت مردم فلسطين را كه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مسلمان بودند، به يك گروه اندك صهيونيستى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بسيار كوچك كه از كشورهاى ديگر آمده بودند و ادعاى حاكميت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سه مبنايى را كه براى ايجاد كشور و رژيم اشغال گر قدس ذكر مى كنند،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اعلاميه ى بالفور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قطع نامه ى تقسيم مصوب سازمان ملل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مورد هم مالكيت سرزمين هاى فلسطينى به دست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مالكيت و اشغال يا به زور انجام گرفت يا فلسطينى ها با اختيار خودشان رها كردند، اين جا دو نكته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مباحث سياسى را مطرح كنيم، بايد ببينيم كه چرا فلسطينى ها سرزمين هاى خودشان را فروختند؟ آن بخشى كه به زور از سرزمين هاى خودشان بيرون رانده شدند كه معلوم است هيچ مبناى حقوقى ندارد، ولى آن بخشى كه با اختيار خودشان رفتند،چرا اين طور شد؟ آيا جز اين بود كه اين ها را در حالت فقر نگه داشتند و اسراييلى ها و صهيونيست ها با پول هاى بادآورده اى كه از كشورهاى ديگر آورده بودند، آمدند و با نيت اشغال گرى خريدند، ولى خود فلسطينى ها هيچ خبر نداشتند؟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اين است كه اگر يهوديان، تمام اين سرزمين را خريدند و فلسطينيان با اختيار خودشان رفتند، آيا مى توان گفت كه آن ها از حق حاكميت و سرنوشت خودشان دست برداشتند؟ اين مطلب در حقوق بين الملل قابل بحث است و به نظر من نمى تواند واقعيت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شما نمى توانيد بگوييد تعدادى از افرادى كه آمدند و سرزمين هايى را خريدند، حق حاكميت بر آن سرزمين را هم خريدارى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را در قرن هجدهم و زمانى كه حقوق بين الملل تازه پاى گرفته بود، مى گفتيد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امريكا، آلاسكا را خريد كه سرزمين بدون سكنه اى بود و كسى هم ادعاى حاكميت بر آن جا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با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كه مبلغ كمى است، آلاسكا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گذشته اين رسم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دولتى مى آمد و از دولتى مى خريد و حاكميت منتقل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اسرائيل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bookmarkStart w:id="83" w:name="pg7521_56389"/>
    </w:p>
    <w:p>
      <w:pPr>
        <w:pStyle w:val="BookText"/>
        <w:rPr/>
      </w:pPr>
      <w:bookmarkEnd w:id="83"/>
      <w:r>
        <w:rPr>
          <w:rFonts w:ascii="IRNazanin" w:hAnsi="IRNazanin" w:eastAsia="IRNazanin"/>
          <w:color w:val="111111"/>
          <w:sz w:val="28"/>
          <w:sz w:val="28"/>
          <w:szCs w:val="28"/>
          <w:rtl w:val="true"/>
          <w:lang w:bidi="fa-IR"/>
        </w:rPr>
        <w:t>يهودى تك تك آمدند و سرزمين هايى را خريدند و گفتند در حقيقت، حاكميت اين سرزمين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هيچ وجه مشروعيت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بر يك زمين نمى تواند الزاماً حاكميت به مفهوم حقوق بين الملل را براى آن سرزمين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كار آن است كه اگر تعدادى از اعراب آمدند و منازلى را در قم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هم مرسوم است از كويت و عربستان و جاهاى مختلف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بعداً اين ها مى توانند بگويند كه حاكميت اين جا از آن ما است؟ خريد سرزمين هيچ وقت با خريد حاكميت مساوى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اشغال اين سرزمين ها چه اجبارى و چه اختيارى، داشتن اختيار تعيين سرنوشت آن سرزمين را به دنبال خود ندارد، به ويژه آن كه فلسطينى ها هيچ گاه حاكميت خود را تفويض و واگذار نكردند</w:t>
      </w:r>
      <w:r>
        <w:rPr>
          <w:rFonts w:eastAsia="IRNazanin" w:cs="IRNazanin"/>
          <w:color w:val="111111"/>
          <w:sz w:val="28"/>
          <w:szCs w:val="28"/>
          <w:rtl w:val="true"/>
          <w:lang w:bidi="fa-IR"/>
        </w:rPr>
        <w:t>.</w:t>
      </w:r>
    </w:p>
    <w:p>
      <w:pPr>
        <w:pStyle w:val="Heading4"/>
        <w:numPr>
          <w:ilvl w:val="3"/>
          <w:numId w:val="1"/>
        </w:numPr>
        <w:rPr/>
      </w:pPr>
      <w:bookmarkStart w:id="84" w:name="__RefHeading___Toc2563977_1051229030"/>
      <w:bookmarkStart w:id="85" w:name="_Toc32"/>
      <w:bookmarkEnd w:id="84"/>
      <w:r>
        <w:rPr>
          <w:rtl w:val="true"/>
        </w:rPr>
        <w:t xml:space="preserve">اشاره فرموديد كه هدف از قطع نامه ى قيموميت، </w:t>
      </w:r>
      <w:r>
        <w:rPr>
          <w:rtl w:val="true"/>
        </w:rPr>
        <w:t>...</w:t>
      </w:r>
      <w:bookmarkEnd w:id="85"/>
    </w:p>
    <w:p>
      <w:pPr>
        <w:pStyle w:val="BookText"/>
        <w:rPr/>
      </w:pPr>
      <w:r>
        <w:rPr>
          <w:rFonts w:ascii="IRNazanin" w:hAnsi="IRNazanin" w:eastAsia="IRNazanin"/>
          <w:color w:val="111111"/>
          <w:sz w:val="28"/>
          <w:sz w:val="28"/>
          <w:szCs w:val="28"/>
          <w:rtl w:val="true"/>
          <w:lang w:bidi="fa-IR"/>
        </w:rPr>
        <w:t>اشاره فرموديد كه هدف از قطع نامه ى قيموميت، جهت دهى و زمينه سازى كشورها براى رسيدن به 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با اصطلاح قيموميت كه در اين قطع نامه به كار رفته است، تناقض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قيموميت به معناى استقلال نداشتن است؟ چگونه براى اين كه كشورها را به سوى استقلال پيش ببريم، اصطلاح قيموميت را به كار مى بريم و كشورها را قيم كشورهاى ديگر مى كنيم؟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يك بحث فرعى خواهد شد و من تا جايى كه به بحث اصلى مان ضررى وارد نكند، خدمت شما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اصلاً هدف بحث قيموميت يا سرپرستى كه در سازمان ملل مطرح شد، اين نبود كه بيايندسرزمين ها را تصرف كنند و هر تصميمى كه خواستند نسبت به آن 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مبانى حقوقى آن بخش هايى از منشور ملل متحد را كه درباره ى قيموميت هست مطالعه بفرماييد يا اعلاميه هايى را كه در اين باره صادر شده است، ملاحظه كنيد، مى فهميد كه قيموميت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سرپرستى يك واحدى كه به قول خودمان به سن رشد و بلوغ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اين واحد را هدايت و تربيت كنيد و كمك كنيد تا به دوره ى رشد برسد و بتواند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مى توانيد حيات او را بگيريد؟ بحث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بحث سرپرستى در حقوق داخلى نيز وقتى شما سرپرست يك فرد هستيد، دادگاه شما را سرپرست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عنوان سرپرست مى توانيد هر اقدامى انجام دهيد؟ معمولاً گفته مى شود اقداماتى را كه به صلاح فرد تحت سرپرستى هست، 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حقوق بين الملل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دوره ى </w:t>
      </w:r>
      <w:bookmarkStart w:id="86" w:name="pg7521_56390"/>
    </w:p>
    <w:p>
      <w:pPr>
        <w:pStyle w:val="BookText"/>
        <w:rPr/>
      </w:pPr>
      <w:bookmarkEnd w:id="86"/>
      <w:r>
        <w:rPr>
          <w:rFonts w:ascii="IRNazanin" w:hAnsi="IRNazanin" w:eastAsia="IRNazanin"/>
          <w:color w:val="111111"/>
          <w:sz w:val="28"/>
          <w:sz w:val="28"/>
          <w:szCs w:val="28"/>
          <w:rtl w:val="true"/>
          <w:lang w:bidi="fa-IR"/>
        </w:rPr>
        <w:t>استعمار گذشته بود و بحث استقلال كشورها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اگر دولتى،جايى را تصرف مى كرد و زور داشت، مى توانست 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زمان، بعضى از كشورهايى كه قبلاً مستعمره بودند، رها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آن جا نبود و هيچ مديريت كلانى بر آن جامعه و بر آن سرزمين حاكم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به دليل اين كه دوباره اين كشورها دستخوش تصرف و تجاوز كشورهاى ديگر قرار نگيرند، سيستمى را پيش بينى كرد كه بر اساس آن، اين كشور تحت سرپرستى كشور ديگرى باشد و تا زمانى كه نمى تواند خودش سرنوشتش را تعيين كند، سرپرستى آن سرزمين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مديريت كلان آن جا با او باشد، ولى نمى تواند بيايد اين كشور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حيات آن سرزمين را كه همان حاكميت و تعيين سرنوشت است، از آن 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به كشور فلسطين بگويد شما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برويد كنار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قوم يهود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دست كم يك انتخابات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امروزى ها به يك همه پرسى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پرسى بگذاريد و ببينيد چه كسى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اين حداقل كارى بود كه سازمان ملل يا قيم مى بايست عمل مى كرد</w:t>
      </w:r>
      <w:r>
        <w:rPr>
          <w:rFonts w:eastAsia="IRNazanin" w:cs="IRNazanin"/>
          <w:color w:val="111111"/>
          <w:sz w:val="28"/>
          <w:szCs w:val="28"/>
          <w:rtl w:val="true"/>
          <w:lang w:bidi="fa-IR"/>
        </w:rPr>
        <w:t>.</w:t>
      </w:r>
    </w:p>
    <w:p>
      <w:pPr>
        <w:pStyle w:val="Heading4"/>
        <w:numPr>
          <w:ilvl w:val="3"/>
          <w:numId w:val="1"/>
        </w:numPr>
        <w:rPr/>
      </w:pPr>
      <w:bookmarkStart w:id="87" w:name="__RefHeading___Toc2563979_1051229030"/>
      <w:bookmarkStart w:id="88" w:name="_Toc33"/>
      <w:bookmarkEnd w:id="87"/>
      <w:r>
        <w:rPr>
          <w:rtl w:val="true"/>
        </w:rPr>
        <w:t>چگونه اين اقدام ها در برابر ديد سازمان ملل رخ مى داد كه خود با اهداف و موازين سازمانى اش آشنا بود؟ چرا سازمان ملل هيچ واكنشى نشان نمى دهد؟</w:t>
      </w:r>
      <w:bookmarkEnd w:id="88"/>
    </w:p>
    <w:p>
      <w:pPr>
        <w:pStyle w:val="BookText"/>
        <w:rPr/>
      </w:pPr>
      <w:r>
        <w:rPr>
          <w:rFonts w:ascii="IRNazanin" w:hAnsi="IRNazanin" w:eastAsia="IRNazanin"/>
          <w:color w:val="111111"/>
          <w:sz w:val="28"/>
          <w:sz w:val="28"/>
          <w:szCs w:val="28"/>
          <w:rtl w:val="true"/>
          <w:lang w:bidi="fa-IR"/>
        </w:rPr>
        <w:t>حالا به اين نكته كه خود شما اشاره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بحث ضمانت اجرا در حقوق بين الملل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طور نيست كه سازمان ملل ساكت بوده يا در اين باره صحبتى نكرده است، بلكه سازمان ملل هم در قطع نامه هاى خود به اين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عرض كردم كه در اعلاميه ى بالفور هم به خودى خود هيچ گونه نقض حقوق فلسطينى ها ذكر نشده و تنها گفته شده است كه يك دولت يهودى مى تواند در اين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يهود نيز موظف است حقوق غير فلسطينى ها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عرضم همين است كه همه پرسى را برگزار كنند به دليل اين كه در سرزمين و كشورهاى مختلف اختلاف نظر بود بر سر اين كه آيا واقعاً اين مطلب اين طور است يا 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اگر مى خواست بحث همه پرسى را انجام دهد و اگر مى خواست مطابق اصول دموكراسى پيش برود، سعى نمى كرد اعلاميه ى بالفور را در مجالس قانون گذارى خودش به </w:t>
      </w:r>
      <w:bookmarkStart w:id="89" w:name="pg7521_56391"/>
    </w:p>
    <w:p>
      <w:pPr>
        <w:pStyle w:val="BookText"/>
        <w:rPr/>
      </w:pPr>
      <w:bookmarkEnd w:id="89"/>
      <w:r>
        <w:rPr>
          <w:rFonts w:ascii="IRNazanin" w:hAnsi="IRNazanin" w:eastAsia="IRNazanin"/>
          <w:color w:val="111111"/>
          <w:sz w:val="28"/>
          <w:sz w:val="28"/>
          <w:szCs w:val="28"/>
          <w:rtl w:val="true"/>
          <w:lang w:bidi="fa-IR"/>
        </w:rPr>
        <w:t>تصويب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نديدند حقيقت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در كشورهاى خودشان به تصويب برسانند، آمدند به ابزارهاىبين المللى پناه آوردند و ابزارهاى بين المللى هم در حد سرپرستى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داشته باشيد كه اعلاميه ى سرپرستى و قيموميت فلسطين از سوى انگلستان تنها در حد سرپرستى معمولى بود كه اصولش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اختيار تعيين سرنوشت را نداشتند، ولى به هر حال آمدند و به زور دولتى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اسراييل با قدرت و پشتيبانى نظامى در فلسطين قوت و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از همان روزهاى اول تظاهرات، انتفاضه و مبارزات مسلحانه در فلسطين شكل گرفت و اين نشان مى دهد كه از همان ابتدا، اعتراض مستمر و مداوم مردم فلسطين نسبت به تشكيل رژيم اشغال گر قدس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اعتراض مستمر، دولتى به نام اسراييل، مشروعيت ندارد</w:t>
      </w:r>
      <w:r>
        <w:rPr>
          <w:rFonts w:eastAsia="IRNazanin" w:cs="IRNazanin"/>
          <w:color w:val="111111"/>
          <w:sz w:val="28"/>
          <w:szCs w:val="28"/>
          <w:rtl w:val="true"/>
          <w:lang w:bidi="fa-IR"/>
        </w:rPr>
        <w:t>.</w:t>
      </w:r>
    </w:p>
    <w:p>
      <w:pPr>
        <w:pStyle w:val="Heading4"/>
        <w:numPr>
          <w:ilvl w:val="3"/>
          <w:numId w:val="1"/>
        </w:numPr>
        <w:rPr/>
      </w:pPr>
      <w:bookmarkStart w:id="90" w:name="__RefHeading___Toc2563981_1051229030"/>
      <w:bookmarkStart w:id="91" w:name="_Toc34"/>
      <w:bookmarkEnd w:id="90"/>
      <w:r>
        <w:rPr>
          <w:rtl w:val="true"/>
        </w:rPr>
        <w:t>اگر اهالى يك سرزمين از آن جا مهاجرت كنند، حق حاكميت آنان چه وضعيتى مى يابد؟ بر اين اساس، حق حاكميت مردم مهاجر فلسطين چگونه خواهد بود؟</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فلسطين، نكته ى ظريفى وجود دارد كه اگر بخواهيم مثال بزنيم شايد با مثال هايى كه امروزى است مقدارى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آلاسكا، دولتى كه حاكميت داشت، حاكميت خودش را به حكومت ديگرى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نمونه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بخشى از دولت،حاكميت خودش را تفويض مى كند، مثل تيمور شرقى كه فيليپين اصلاً از حاكميت خودش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كسى از حاكميت خودش صرف نظر كرد كه اين حاكميت را در يد قدرت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حاكميتى آمد و تيمور شرقى را مستقل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مستقل مى كند يا بعضى اوقات، به كشور ديگرى واگذار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ادعاهاى سرزمينى امروزه در آفريقا زياد داريم و سرزمين ها مرتب جا به جا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يهوديان و فلسطينى ها بايد گفت هيچ گاه اين به منزله ى انتقال حاكميت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نه خود يهوديان چنين فكر مى كردند كه به سرزمين فلسطين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فلسطينى ها مى خواهند آن را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فلسطينى ها هيچ وقت چنين قصدى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چنين اختيارى را نداشتند كه بخواهند حاكميت خودشان را تفويض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92" w:name="pg7521_56392"/>
    </w:p>
    <w:p>
      <w:pPr>
        <w:pStyle w:val="BookText"/>
        <w:rPr/>
      </w:pPr>
      <w:bookmarkEnd w:id="92"/>
      <w:r>
        <w:rPr>
          <w:rFonts w:ascii="IRNazanin" w:hAnsi="IRNazanin" w:eastAsia="IRNazanin"/>
          <w:color w:val="111111"/>
          <w:sz w:val="28"/>
          <w:sz w:val="28"/>
          <w:szCs w:val="28"/>
          <w:rtl w:val="true"/>
          <w:lang w:bidi="fa-IR"/>
        </w:rPr>
        <w:t>اگر بگوييم قراردادى در ميان بوده است، سخنى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فروش سرزمين هاى فلسطين از سوى فلسطينى ها به يهوديان هيچ گاه نمى تواند مجوز ايجاد يك دولت غيرفلسطينى در اين سرزمين باشد</w:t>
      </w:r>
      <w:r>
        <w:rPr>
          <w:rFonts w:eastAsia="IRNazanin" w:cs="IRNazanin"/>
          <w:color w:val="111111"/>
          <w:sz w:val="28"/>
          <w:szCs w:val="28"/>
          <w:rtl w:val="true"/>
          <w:lang w:bidi="fa-IR"/>
        </w:rPr>
        <w:t>.</w:t>
      </w:r>
    </w:p>
    <w:p>
      <w:pPr>
        <w:pStyle w:val="Heading4"/>
        <w:numPr>
          <w:ilvl w:val="3"/>
          <w:numId w:val="1"/>
        </w:numPr>
        <w:rPr/>
      </w:pPr>
      <w:bookmarkStart w:id="93" w:name="__RefHeading___Toc2563983_1051229030"/>
      <w:bookmarkStart w:id="94" w:name="_Toc35"/>
      <w:bookmarkEnd w:id="93"/>
      <w:r>
        <w:rPr>
          <w:rtl w:val="true"/>
        </w:rPr>
        <w:t>آيا حق حاكميت قابل واگذارى است؟</w:t>
      </w:r>
      <w:bookmarkEnd w:id="94"/>
    </w:p>
    <w:p>
      <w:pPr>
        <w:pStyle w:val="BookText"/>
        <w:rPr/>
      </w:pPr>
      <w:r>
        <w:rPr>
          <w:rFonts w:ascii="IRNazanin" w:hAnsi="IRNazanin" w:eastAsia="IRNazanin"/>
          <w:color w:val="111111"/>
          <w:sz w:val="28"/>
          <w:sz w:val="28"/>
          <w:szCs w:val="28"/>
          <w:rtl w:val="true"/>
          <w:lang w:bidi="fa-IR"/>
        </w:rPr>
        <w:t>حق حاكميت قابل واگذارى است، ولى واگذاركننده بايد مقام صلاحيت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آلاسكا كه شوروى آن را به آمريكا واگذار كرد، شوروى، يك مقام صلاحيت دار بود و براساس يك توافق نامه ى بين المللى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يهوديان آمدند و زمين را خريدند و اصلاً بحث حاكميت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فلسطينى ها با اين نيت كه حاكميت خودشان را بفروشند، زمين شان را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اصلا خود فلسطينى ها صلاحيت واگذارى نداشتند كه چنين كنند</w:t>
      </w:r>
      <w:r>
        <w:rPr>
          <w:rFonts w:eastAsia="IRNazanin" w:cs="IRNazanin"/>
          <w:color w:val="111111"/>
          <w:sz w:val="28"/>
          <w:szCs w:val="28"/>
          <w:rtl w:val="true"/>
          <w:lang w:bidi="fa-IR"/>
        </w:rPr>
        <w:t>.</w:t>
      </w:r>
    </w:p>
    <w:p>
      <w:pPr>
        <w:pStyle w:val="Heading4"/>
        <w:numPr>
          <w:ilvl w:val="3"/>
          <w:numId w:val="1"/>
        </w:numPr>
        <w:rPr/>
      </w:pPr>
      <w:bookmarkStart w:id="95" w:name="__RefHeading___Toc2563985_1051229030"/>
      <w:bookmarkStart w:id="96" w:name="_Toc36"/>
      <w:bookmarkEnd w:id="95"/>
      <w:r>
        <w:rPr>
          <w:rtl w:val="true"/>
        </w:rPr>
        <w:t>آيا مى توانيم بگوييم قيم آن ها اين حق را داشت كه حاكميت را واگذار كند؟</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حق تفويض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شان مى توانست همه پرسى انجام دهد و نظر جمعى افراد را ببيند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تشكيل سازمان ملل در بحث سرپرستى تصريح شده است كه قيم مى تواند حاكميت را تفويض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مال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سرزمين ها به راحتى جابه جا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پادشاه مى نشست و سرزمين را به پادشاه ديگر واگذار مى كرد و انتقال هايى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هايى كه در يوگسلاوى سابق تشكيل شدند، در حقيقت نمادى بودند از تعيين سرنوشت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دولت كوزوو، چه دولت كروات ها و چه صرب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حقيقت نشان دهنده ى خواست مردم بود و اين مبارزه ها و جنگ هاى داخلى نشان دهنده ى اين بود كه مردم هر گروهى ادعاهايى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مسأله ى قدس و فلسطين هيچ وقت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اعتراض هايى كه حتى در زمان صدور اعلاميه ى بالفور انجام شد، حكايت از اين داشت كه اكثريت مردم فلسطين حاضر نيستند سرنوشت خودشان را به يك كشور غير مسلمان تفويض كنند</w:t>
      </w:r>
      <w:r>
        <w:rPr>
          <w:rFonts w:eastAsia="IRNazanin" w:cs="IRNazanin"/>
          <w:color w:val="111111"/>
          <w:sz w:val="28"/>
          <w:szCs w:val="28"/>
          <w:rtl w:val="true"/>
          <w:lang w:bidi="fa-IR"/>
        </w:rPr>
        <w:t xml:space="preserve">. </w:t>
      </w:r>
      <w:bookmarkStart w:id="97" w:name="pg7521_56393"/>
    </w:p>
    <w:p>
      <w:pPr>
        <w:pStyle w:val="Heading4"/>
        <w:numPr>
          <w:ilvl w:val="3"/>
          <w:numId w:val="1"/>
        </w:numPr>
        <w:rPr/>
      </w:pPr>
      <w:bookmarkStart w:id="98" w:name="__RefHeading___Toc2563987_1051229030"/>
      <w:bookmarkStart w:id="99" w:name="_Toc37"/>
      <w:bookmarkEnd w:id="97"/>
      <w:bookmarkEnd w:id="98"/>
      <w:r>
        <w:rPr>
          <w:rtl w:val="true"/>
        </w:rPr>
        <w:t>قابل واگذارى نبودن حاكميت براساس حقوق موضوعه است يا حقوق عرفى؟</w:t>
      </w:r>
      <w:bookmarkEnd w:id="99"/>
    </w:p>
    <w:p>
      <w:pPr>
        <w:pStyle w:val="BookText"/>
        <w:rPr/>
      </w:pPr>
      <w:r>
        <w:rPr>
          <w:rFonts w:ascii="IRNazanin" w:hAnsi="IRNazanin" w:eastAsia="IRNazanin"/>
          <w:color w:val="111111"/>
          <w:sz w:val="28"/>
          <w:sz w:val="28"/>
          <w:szCs w:val="28"/>
          <w:rtl w:val="true"/>
          <w:lang w:bidi="fa-IR"/>
        </w:rPr>
        <w:t>در بحث حاكميت كشور،اصلى داريم به نام تعيين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تعيين سرنوشت ظاهراً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هست كه مى گويد مردم هر سرزمينى حق دارند نسبت به سرنوشت خودشان تصميم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بايد يك مقام صلاحيت دارى باشد از سوى همه ى مردم يا با رأى جمعى مردم، اين حاكميت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 معمولا مى گويند حاكميت هاى اين ها قابل واگذارى نيست، حتى اگر دولت منتخب هم باشد يا اگر همه ى مردم بخواهند، اين حاكميت را تفويض كنند،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واقعى اين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ديده ايم كه يك كشورى با كشور ديگر كنار آمده و بخشى از خاكش را با مردمش براساس خواست هاى آن ها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 هاى آن ايرلند جنوبى و شمالى در انگلستان است كه ايرلند جنوبى مستقل شد و ايرلند شمالى هنوز درگير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اين است كه يا بايد يك مقام صلاحيت دارى باشد يا مبتنى باشد بر رأى جمعى همه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صورت باشد، مى تواند مشروعيت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يك كشورى بيايند و بگويند ما مى خواهيم حاكميت مان را واگذار كنيم، يا بخشى از خاك مان را بدهيم به فلان دولت، قبول است</w:t>
      </w:r>
      <w:r>
        <w:rPr>
          <w:rFonts w:eastAsia="IRNazanin" w:cs="IRNazanin"/>
          <w:color w:val="111111"/>
          <w:sz w:val="28"/>
          <w:szCs w:val="28"/>
          <w:rtl w:val="true"/>
          <w:lang w:bidi="fa-IR"/>
        </w:rPr>
        <w:t>.</w:t>
      </w:r>
    </w:p>
    <w:p>
      <w:pPr>
        <w:pStyle w:val="Heading4"/>
        <w:numPr>
          <w:ilvl w:val="3"/>
          <w:numId w:val="1"/>
        </w:numPr>
        <w:rPr/>
      </w:pPr>
      <w:bookmarkStart w:id="100" w:name="__RefHeading___Toc2563989_1051229030"/>
      <w:bookmarkStart w:id="101" w:name="_Toc38"/>
      <w:bookmarkEnd w:id="100"/>
      <w:r>
        <w:rPr>
          <w:rtl w:val="true"/>
        </w:rPr>
        <w:t>حال اگر بگوييم كه حتى يك نسل مالك يك سرزمين نيست، آيا نمى توانيم بگوييم كه يك نسل حق ندارد يك سرزمين را بفروشد؟</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سخن هم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حاكم هستيد، ولى حاكم زمان خودتان هستيد و نمى توانيد براى آينده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از ديد فلسفى و بعد نظرى اعتبار دارد، ولى از بعد عملى ديده شده است كه برخلاف آن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استراليا و بخش آلاسكا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فرض كنيم كه جمعيت كمى در آلاسكا زندگى مى كردند و اين جمعيت مخالف تصميم شوروى براى تفويض آلاسكا بودند، واقعاً اين كار چه صورتى پيدا مى كرد؟ </w:t>
      </w:r>
      <w:bookmarkStart w:id="102" w:name="pg7521_56394"/>
    </w:p>
    <w:p>
      <w:pPr>
        <w:pStyle w:val="Heading4"/>
        <w:numPr>
          <w:ilvl w:val="3"/>
          <w:numId w:val="1"/>
        </w:numPr>
        <w:rPr/>
      </w:pPr>
      <w:bookmarkStart w:id="103" w:name="__RefHeading___Toc2563991_1051229030"/>
      <w:bookmarkStart w:id="104" w:name="_Toc39"/>
      <w:bookmarkEnd w:id="102"/>
      <w:bookmarkEnd w:id="103"/>
      <w:r>
        <w:rPr>
          <w:rtl w:val="true"/>
        </w:rPr>
        <w:t>با توجه به تعريف شما از حق حاكميت، آيا كشورى كه در قيموميت به سر مى برد، مى تواند حق حاكميتش را به دست آورد يا در عمل از همان آغاز نيز حق حاكميت ندارد؟</w:t>
      </w:r>
      <w:bookmarkEnd w:id="104"/>
    </w:p>
    <w:p>
      <w:pPr>
        <w:pStyle w:val="BookText"/>
        <w:rPr/>
      </w:pPr>
      <w:r>
        <w:rPr>
          <w:rFonts w:ascii="IRNazanin" w:hAnsi="IRNazanin" w:eastAsia="IRNazanin"/>
          <w:color w:val="111111"/>
          <w:sz w:val="28"/>
          <w:sz w:val="28"/>
          <w:szCs w:val="28"/>
          <w:rtl w:val="true"/>
          <w:lang w:bidi="fa-IR"/>
        </w:rPr>
        <w:t>بحث اين است كه حق تعيين سرنوشت اصالتاً براى مردم آن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آن را اعمال كند؟ پاسخ اين است كه يك مقام صلاحيت دار كه همان مقامات دولت قانونى و رسمى آن كشور هستند، مى توانند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دولتى نيست و قيم و سرپرست هست، آن قيم بايد نظر جمعى مردم را داشته باشد، مثل قيم در حقوق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داخلى آيا شما مى توانيد به عنوان قيم يك فرد بروى و جان او را هم بگيرى؟ چرا به شما مى گويند كه قيم او هستى؟ شما تا كجا اختيار دارى؟ تا جايى اختيار دارى كه مصالح او را از بين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اصل موضوع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گفتند كه آن ها را سرپرستى كنيد تا به استقلال برسند، نگفتند كه يك دولت ديگرى خارج از اين جا تشكيل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اساسى است كه خود يهودى هاى مقيم فلسطين به اين اعلاميه ى بالفور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استقلال نبود، بلكه آن ها پيش بينى مى كردند كه چنين وضعيتى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خودشان در آن جا زندگى مى كردند و مى دانستند جمعيت خودشان و فلسطينى ها چقدر است</w:t>
      </w:r>
      <w:r>
        <w:rPr>
          <w:rFonts w:eastAsia="IRNazanin" w:cs="IRNazanin"/>
          <w:color w:val="111111"/>
          <w:sz w:val="28"/>
          <w:szCs w:val="28"/>
          <w:rtl w:val="true"/>
          <w:lang w:bidi="fa-IR"/>
        </w:rPr>
        <w:t>.</w:t>
      </w:r>
    </w:p>
    <w:p>
      <w:pPr>
        <w:pStyle w:val="Heading4"/>
        <w:numPr>
          <w:ilvl w:val="3"/>
          <w:numId w:val="1"/>
        </w:numPr>
        <w:rPr/>
      </w:pPr>
      <w:bookmarkStart w:id="105" w:name="__RefHeading___Toc2563993_1051229030"/>
      <w:bookmarkStart w:id="106" w:name="_Toc40"/>
      <w:bookmarkEnd w:id="105"/>
      <w:r>
        <w:rPr>
          <w:rtl w:val="true"/>
        </w:rPr>
        <w:t>يكى از مسايل مطرح درباره ى رژيم صهيونيستى، پيوند اين رژيم با بحث تروريسم هست</w:t>
      </w:r>
      <w:r>
        <w:rPr>
          <w:rtl w:val="true"/>
        </w:rPr>
        <w:t xml:space="preserve">. </w:t>
      </w:r>
      <w:r>
        <w:rPr>
          <w:rtl w:val="true"/>
        </w:rPr>
        <w:t>پيش از پرداختن به اين بحث، تعريفى از تروريسم ارايه دهيد</w:t>
      </w:r>
      <w:r>
        <w:rPr>
          <w:rtl w:val="true"/>
        </w:rPr>
        <w:t>.</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تعريفى از تروريسم ارايه دهيم، بايد مؤلفه هاى آن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مؤلفه ى تروريسم را از همان مفهوم اوليه ى ترور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در فارسى به وحشت افكنى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گوييد اقدام تروريستى اتفاق افتاده است، در پس پرده ى اين اقدام تروريستى، ايجاد وحشت و رعب در دل گروهى از مردم يا سازمان ها يا گروهى از دولت ها يا كسانى است كه مورد اين حملات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مؤلفه، خشونت با به كارگيرى زور و اقدامات فيزيكى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ابتدايى ترين شكل خشونت ممكن است اين باشد كه با يك تماس تلفنى به سازمانى اعلام شود در اين سازمان يا مقر،بمب گذارى شده است، هر چند اين بمب گذارى اصلاً </w:t>
      </w:r>
      <w:bookmarkStart w:id="107" w:name="pg7521_56395"/>
    </w:p>
    <w:p>
      <w:pPr>
        <w:pStyle w:val="BookText"/>
        <w:rPr/>
      </w:pPr>
      <w:bookmarkEnd w:id="107"/>
      <w:r>
        <w:rPr>
          <w:rFonts w:ascii="IRNazanin" w:hAnsi="IRNazanin" w:eastAsia="IRNazanin"/>
          <w:color w:val="111111"/>
          <w:sz w:val="28"/>
          <w:sz w:val="28"/>
          <w:szCs w:val="28"/>
          <w:rtl w:val="true"/>
          <w:lang w:bidi="fa-IR"/>
        </w:rPr>
        <w:t>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خشونت ممكن است تا مراحلى نظير آن چه در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اتفاق افتاد، برسد كه آن را به عنوان يك عمليات تروريستى مورد شناسايى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بعدى، ظالمانه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كه در مقوله ى تروريستى مى گنجد، اقداماتى است كه به ناحق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اقدامى را كه ناحق انجام مى گيرد، مى توان اقدام تروريستى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ظالمانه بودن اين است كه خلاف قانون يا مقررات باشد يا به صورت كلى بگوييم نامشروع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مغايرت آن با معيارها و ملاك هاى بشردوستانه نيز نامشروع هست كه مؤلفه ى چهارم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با معيارهاى بشردوستانه اين است كه يك اقدامى اگر در يك جنگ كلاسيك انجام مى شود، حتى در آن جنگ كلاسيك هم منع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گذارى در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ها در زمان جنگ از تعرض، مصون هستند و طرفين حق ندارند به عمد، به بيمارستان ها حمله يا يك بمبى در بيمارستان منفجر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 را مى توانيم براى تروريسم در نظر بگيريم و تعريف خود را بر پايه ى آن ارايه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تروريسم به اقدامى گفته مى شود كه براى ايجاد رعب و وحشت بوده و با به كارگيرى خشونت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غير حق بوده و در مغايرت با اقدامات بشردوستانه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تعريفى را در نظر بگيريم، اقدامات ديگرى كه مى خواهيم از آن صحبت بكنيم، زير عنوان اقدامات مشروع و اقداماتى قرار خواهد گرفت كه يك گروه يا كشورى ممكن است در مقام دفاع مشروع 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self - defence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Heading4"/>
        <w:numPr>
          <w:ilvl w:val="3"/>
          <w:numId w:val="1"/>
        </w:numPr>
        <w:rPr/>
      </w:pPr>
      <w:bookmarkStart w:id="108" w:name="__RefHeading___Toc2563995_1051229030"/>
      <w:bookmarkStart w:id="109" w:name="_Toc41"/>
      <w:bookmarkEnd w:id="108"/>
      <w:r>
        <w:rPr>
          <w:rtl w:val="true"/>
        </w:rPr>
        <w:t>تروريسم با دفاع مشروع چه تفاوتى دارد؟</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دفاع مشروع امرى پذيرفته شده در حقوق بين الملل بوده و ماده 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دفاع مشروع، پرونده هاى مختلفى وجود دارد، مثلاً تجاوز رژيم صهيونيستى به خاك لبنان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مردمى كه در آن جا ساكن هستند و چندين هزار سال سابقه ى سكونت در اين منطقه دارند، مى بينند سرزمين شان در مدت كوتاهى به زور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نظامى رژيمى نيز كه اين سرزمين ها را اشغال كرده، به گونه اى است كه اين مردم توانايى برابرى با اين رژيم و حجم سنگين سلاح ها و مهمات و نيروى نظامى آن را ندارند</w:t>
      </w:r>
      <w:r>
        <w:rPr>
          <w:rFonts w:eastAsia="IRNazanin" w:cs="IRNazanin"/>
          <w:color w:val="111111"/>
          <w:sz w:val="28"/>
          <w:szCs w:val="28"/>
          <w:rtl w:val="true"/>
          <w:lang w:bidi="fa-IR"/>
        </w:rPr>
        <w:t xml:space="preserve">. </w:t>
      </w:r>
      <w:bookmarkStart w:id="110" w:name="pg7521_56396"/>
    </w:p>
    <w:p>
      <w:pPr>
        <w:pStyle w:val="BookText"/>
        <w:rPr/>
      </w:pPr>
      <w:bookmarkEnd w:id="110"/>
      <w:r>
        <w:rPr>
          <w:rFonts w:ascii="Amiri" w:hAnsi="Amiri" w:eastAsia="Amiri" w:cs="Amiri"/>
          <w:color w:val="111111"/>
          <w:sz w:val="28"/>
          <w:sz w:val="28"/>
          <w:szCs w:val="28"/>
          <w:rtl w:val="true"/>
          <w:lang w:bidi="ar-SA"/>
        </w:rPr>
        <w:t>اقدامات اين ها بيشتر در قالب اقدامات محدود و ضربه زدن به اهداف نظامى و اقتصادى آن كشور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كشورهاى ديگر هم هرگاه كشورى، كشور ديگرى را به زور اشغال مى كرد، گروه هاى ملى يا مذهبى آن كشورها، دست به اسلحه مى بردند و سعى مى كردند به هر صورت كه امكان پذير است،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ى مقابله ى دولت ها يا ملت ها با دولت هاى اشغال گر، امر پذيرفته شده اى در عرف حقوق بين الملل وجود دارد به نام جنگ هاى آزادى بخش كه تا كنون هم ادامه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نيز در دوران ورود روسيه ى سابق يا انگليس ها، حتى داستان هايى بر سر زبان ها هست از جبهه ى مقاومتى كه مردم عادى در مقابل آن ها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نكته ى نخست اين است كه عموماً در دفاع مشروع، هدفى مقدس نهفته است و دوم اين كه ناحق و ظالمانه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اقدامى است كاملاً توجيه پذير عليه دولت غاصب و اشغال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ى تروريسم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ى تروريسم، بايد ظالمانه و ناحق بودن آن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يك هواپيماى مسافربرى، بمبى منفجر شود كه مردم كاملاً عادى و بى گناه آن هواپيما كشته شوند، اين كار، تروريسم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سرنشينان هواپيما خودشان مرتكب گناهى نشده اند و نسبت به افراد ديگر نيز ظلم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مشروع در دفاع مشروع نشان گر اين است كه مشروعيت آن بايد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كى احراز مى شود؟ زمانى كه يك اقدامى انجام گرفته است و همه ى جامعه ى جهانى و عقل جمعى، آن را ظالمانه مى داند</w:t>
      </w:r>
      <w:r>
        <w:rPr>
          <w:rFonts w:eastAsia="IRNazanin" w:cs="IRNazanin"/>
          <w:color w:val="111111"/>
          <w:sz w:val="28"/>
          <w:szCs w:val="28"/>
          <w:rtl w:val="true"/>
          <w:lang w:bidi="fa-IR"/>
        </w:rPr>
        <w:t>.</w:t>
      </w:r>
    </w:p>
    <w:p>
      <w:pPr>
        <w:pStyle w:val="Heading4"/>
        <w:numPr>
          <w:ilvl w:val="3"/>
          <w:numId w:val="1"/>
        </w:numPr>
        <w:rPr/>
      </w:pPr>
      <w:bookmarkStart w:id="111" w:name="__RefHeading___Toc2563997_1051229030"/>
      <w:bookmarkStart w:id="112" w:name="_Toc42"/>
      <w:bookmarkEnd w:id="111"/>
      <w:r>
        <w:rPr>
          <w:rtl w:val="true"/>
        </w:rPr>
        <w:t>رژيم صهيونيستى با پديده ى تروريسم چه رابطه اى دارد؟</w:t>
      </w:r>
      <w:bookmarkEnd w:id="11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رابطه ى رژيم صهيونيستى با تروريسم بايد گفت اصلاً مبانى تشكيل رژيم صهيونيستى از آغاز بر پايه ى همين بحث تروريسم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 هايى كه قبل از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دولت مستقلى نداشتند، دركشورهاى مختلف، به ترور افراد اقدام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سران دولت هاى غربى را تهديد مى كردند كه اگر درباره ى تشكيل اسراييل مخالفت كرديد، ما فلان كار را خواهيم كرد يا مجازات هاى اقتصادى را به كار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ها سرمايه دارترين افراد در جامعه ى غربى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انگلستان از قديم الايام از يهودى ها، وام مى گرفتند و هر وقت كسرى بودجه داشتند، يهودى ها به آن ها وام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رابطه، اين مسأله را به ذهن متبادر مى كند كه چرا </w:t>
      </w:r>
    </w:p>
    <w:p>
      <w:pPr>
        <w:pStyle w:val="BookText"/>
        <w:rPr/>
      </w:pPr>
      <w:r>
        <w:rPr>
          <w:rFonts w:ascii="IRNazanin" w:hAnsi="IRNazanin" w:eastAsia="IRNazanin"/>
          <w:color w:val="111111"/>
          <w:sz w:val="28"/>
          <w:sz w:val="28"/>
          <w:szCs w:val="28"/>
          <w:rtl w:val="true"/>
          <w:lang w:bidi="fa-IR"/>
        </w:rPr>
        <w:t>دولت انگلستان براى تشكيل يك دولت اسراييلى در سرزمين فلسطين پيش قدم شد؟ و چرا با وجود مخالفت هاى داخلى و بين المللى با اين مسأله، سعى كرد چنين دولتى به عنوان يك غده ى سرطانى در منطقه پا بگيرد؟</w:t>
      </w:r>
    </w:p>
    <w:p>
      <w:pPr>
        <w:pStyle w:val="BookText"/>
        <w:rPr/>
      </w:pPr>
      <w:r>
        <w:rPr>
          <w:rFonts w:ascii="IRNazanin" w:hAnsi="IRNazanin" w:eastAsia="IRNazanin"/>
          <w:color w:val="111111"/>
          <w:sz w:val="28"/>
          <w:sz w:val="28"/>
          <w:szCs w:val="28"/>
          <w:rtl w:val="true"/>
          <w:lang w:bidi="fa-IR"/>
        </w:rPr>
        <w:t>من مى گويم كه رژيم صهيونيستى بر پايه ى تروريسم استوار شده است و از همان ابتدا با ايجاد وحشت در دل مردم بى گناه و بى پناه فلسطين، آن جا را اشغال كرده و مردم را به زور بيرون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اين رژيم به كشورهاى عربى را هيچ وقت فراموش نمى كنيم مخصوصاً زمانى كه مصر در زمان ناصر به پشتيبانى از فلسطينى ها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كشور سوريه كه بخشى از خاك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سرزمين فلسطين و خاك لبنان، سوريه و مصر به زور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تاريخ نشان مى دهد كه رژيم صهيونيستى هيچ گاه به مقررات بين المللى كه خود غربى ها پشتيبان آن هستند، پاى بند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روشن اشاره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بحث معاهدات دوجانبه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رژيم از زمانى كه توانست با فريب برخى سران كشورهاى عربى، با آن ها كنار بيايد و آن ها را به امضاهايى وادار كند كه معروف ترين و ابتدايى ترين آن، معاهده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سادات و رژيم اشغال گر قدس بود، دست از زورگويى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انبوهى از قطع نامه هاى صادر شده در مجمع عمومى سازمان ملل و شوراى امنيت است كه مشخصاً و مؤكداً از اين رژيم خواسته از اقدامات نظامى دست بردارد، ولى اسراييل به هيچ كدام عمل نكرده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ى معاصر و پس از نشست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خودگردانى دولت فلسطين مطرح شد، سه دولت در رژيم اشغال گر قدس عوض شد كه اسحاق رابين از سران اين دولت ها را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نتنياهو از اول روى كار آمدن، خشونت هايى داشت كه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دولت شارون كه به جلاّد صبرا و شتيلا معروف هست، روى كار آمد، ولى اين اقدامات نه تنها كاهش پيدا نكرد، بلكه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 گفته مشخصاً تمام قراردادهاى دو جانبه يا تعهدات بين المللى اسراييل و مخصوصاً معاهداتى را كه اسراييل در دوره هاى اخير با دولت خودگردان فلسطين داشته است، نديده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صداقت اعلام كرد كه من در اين زمينه به هيچ مقوله اى پاى بند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كدام از اين ها منافع ما را تأمين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در مقابله با انتفاضه است، در حالى كه انتفاضه، دفاع مشروع يا جنگ آزادى بخش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جنگ آزادى بخش، از جنگ هاى كلاسيك نيست، بلكه يك سرى اعتراض هاى مردمى است</w:t>
      </w:r>
      <w:r>
        <w:rPr>
          <w:rFonts w:eastAsia="IRNazanin" w:cs="IRNazanin"/>
          <w:color w:val="111111"/>
          <w:sz w:val="28"/>
          <w:szCs w:val="28"/>
          <w:rtl w:val="true"/>
          <w:lang w:bidi="fa-IR"/>
        </w:rPr>
        <w:t xml:space="preserve">. </w:t>
      </w:r>
      <w:bookmarkStart w:id="113" w:name="pg7521_56398"/>
    </w:p>
    <w:p>
      <w:pPr>
        <w:pStyle w:val="BookText"/>
        <w:rPr/>
      </w:pPr>
      <w:bookmarkEnd w:id="113"/>
      <w:r>
        <w:rPr>
          <w:rFonts w:ascii="IRNazanin" w:hAnsi="IRNazanin" w:eastAsia="IRNazanin"/>
          <w:color w:val="111111"/>
          <w:sz w:val="28"/>
          <w:sz w:val="28"/>
          <w:szCs w:val="28"/>
          <w:rtl w:val="true"/>
          <w:lang w:bidi="fa-IR"/>
        </w:rPr>
        <w:t>اسراييل آشكارا جوخه هاى اعدام و ترور ايجاد كرده است تا با امكانات دولتى، مردم بى گناه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تمام شؤون بين المللى كه يك دولت در جامعه ى بين المللى قبول كرده و در عرصه هاى بين المللى تعهد داده است،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دولت هاى جهان به استناد منشور سازمان ملل، متعهدند كه خواستار صلح و امنيت موجود باشند و قبول كرده اند كه از اقدامات خشونت بار عليه مردم غير نظامى و بى پناه خودشان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مى بينيد كه امروزه تمام اين ها برعكس شده است و همه ى اقدامات اين رژيم با تعهدات بين المللى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بپذيريم كه رژيم اشغال گر قدس در چهارچوبسازمان ملل، دولتى است كه دولت هاى ديگر، آن را به رسميت شناخته اند و به عنوان دولت رسمى هم مورد شناسايى واقع شده است، بايد گفت اين دولت نسبت به مردم فلسطين مجموعه اى از تعهدات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آيا تشكيل جوخه هاى اعدام يا ترور عليه افراد غير نظامى توجيه پذير است؟</w:t>
      </w:r>
    </w:p>
    <w:p>
      <w:pPr>
        <w:pStyle w:val="BookText"/>
        <w:rPr/>
      </w:pPr>
      <w:r>
        <w:rPr>
          <w:rFonts w:ascii="IRNazanin" w:hAnsi="IRNazanin" w:eastAsia="IRNazanin"/>
          <w:color w:val="111111"/>
          <w:sz w:val="28"/>
          <w:sz w:val="28"/>
          <w:szCs w:val="28"/>
          <w:rtl w:val="true"/>
          <w:lang w:bidi="fa-IR"/>
        </w:rPr>
        <w:t>پاسخ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سازمان ملل و دبير كل آن مشخصاً از سران رژيم صهيونيستى خواسته اند كه از اين اقدامات خشونت بار عليه مردم بى پناه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اين رژيم هم با اتكا به دولت هاى خارج از منطقه اين مطلب را رد مى كنند و به كارهاى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بايد گفت تروريسم، تروريسم است چه از سوى افراد غير دولتى انجام گيرد و چه از سوى افراد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گاهى تروريسم را در چهارچوب و محدوده ى معينى از افراد غير دولتى قرار مى دهند،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يك دولت نيز با امكاناتى كه دارد، ممكن است در چهارچوب تروريسم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رژيم اشغال گر قدس، مصداق بارز تروريسم دولتى است كه برخلاف حق و به زور عليه مردمى اقدام مى كند كه از سرزمين و كيان خود دفاع مى كنند و حقوق آنان را با اقدامات تروريستى، ناديده مى گيرد</w:t>
      </w:r>
      <w:r>
        <w:rPr>
          <w:rFonts w:eastAsia="IRNazanin" w:cs="IRNazanin"/>
          <w:color w:val="111111"/>
          <w:sz w:val="28"/>
          <w:szCs w:val="28"/>
          <w:rtl w:val="true"/>
          <w:lang w:bidi="fa-IR"/>
        </w:rPr>
        <w:t>.</w:t>
      </w:r>
    </w:p>
    <w:p>
      <w:pPr>
        <w:pStyle w:val="Heading4"/>
        <w:numPr>
          <w:ilvl w:val="3"/>
          <w:numId w:val="1"/>
        </w:numPr>
        <w:rPr/>
      </w:pPr>
      <w:bookmarkStart w:id="114" w:name="__RefHeading___Toc2563999_1051229030"/>
      <w:bookmarkStart w:id="115" w:name="_Toc43"/>
      <w:bookmarkEnd w:id="114"/>
      <w:r>
        <w:rPr>
          <w:rtl w:val="true"/>
        </w:rPr>
        <w:t>اسراييلى ها اين جوخه هاى اعدام را با چه توجيهى تشكيل مى دهند؟</w:t>
      </w:r>
      <w:bookmarkEnd w:id="1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اعلام مى كنند چون ما امكان نداريم كه با گروه هاى فلسطينى و افراد و دست اندركارانى كه موجب شده اند اين اقدامات برانگيخته شود، مقابله كنيم، پس ترور مى كنيم در مقام دفاع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اصولاً دولت ها متعهد هستند كه در حق افراد غير نظامى از به كارگيرى خشونت، خوددارى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كنوانسيون هاى حقوق بشر، هم تعهدات دوجانبه و چند جانبه، چنين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براى برخورد با هر گونه آشوب و خشونت افراد، يك سرى ابزارهاى قانونى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دولت با فرد اين است كه فرد اين امكانات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مالى از شما دزدى كرد، هيچ گاه شما نمى توانيد برويد و خودتان دادگاه تشكيل دهيد و او را محاكمه و مجازات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وظيفه ى دولت اين است كه اين دزد را دستگير، محاكمه و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اسراييل حتى به چنين مرحله اى تن در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گويد ما مى توانيم اين ها را بگيريم و مجازات كنيم و قبلاً هم نشان داده است، ولى به ترور دست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قضيه ى آيشمن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نازى كه در حقوق بين الملل هم مطرح بود و به آرژانتين فرار كرده بود، مقامات اشغال گر قدس به آرژانتين رفتند و او را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عنوان فردى كه عليه يهودى هاى آلمان، اقداماتى انجام داده است، در خاك خودشان محاكمه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اقدام به عنوان تجاوز اسراييل به خاك آرژانتين در حقوق بين الملل، محكوم شده و بحث بسيار معروفى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كنونى نيز دولت اسراييل از دولت خودگردان فلسطين خواسته بود افراد غير نظامى را كه خشونت مى كنند، دستگير و محاكمه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اعلام كردند كه چون دولت خودگردان كوتاهى كرده است، ما خود دست به كار مى شويم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من اين است كه دولت اسراييل مى تواند اين ها را بگيرد و ببرد و بر فرض اين كه مشروعيت داشته باشد، محاكمه و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اسراييل همه ى اين مراحل را كنار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بشر بحث اين است كه دولت نمى تواند برود طرف مخالف خود را در منزل او ترور كند، بلكه مى تواند او را محاكمهكند و اگر مجازاتش محرز شد،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شيوه ى دوم را پذيرفته اند و در همه ى كشورها وجود دارد و امرى بديهى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مرحله ى محاكمه و احراز جرم را ناديده بگيرد و مستقيماً آن ها را مجازات، اعدام يا ترور كند، در هيچ كشورى، پسنديده 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خودگردان هم اين كار را نمى كند، دست كم خود دولت اشغال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فرض مشروعيت اين 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ها را بگيرد و محاكمه كند و بداند براى چه اين كار را انجام مى دهند و آن گاه اعدام كند كه متأسفانه اين كار هم انجام نشد</w:t>
      </w:r>
      <w:r>
        <w:rPr>
          <w:rFonts w:eastAsia="IRNazanin" w:cs="IRNazanin"/>
          <w:color w:val="111111"/>
          <w:sz w:val="28"/>
          <w:szCs w:val="28"/>
          <w:rtl w:val="true"/>
          <w:lang w:bidi="fa-IR"/>
        </w:rPr>
        <w:t xml:space="preserve">. </w:t>
      </w:r>
      <w:bookmarkStart w:id="116" w:name="pg7521_56400"/>
    </w:p>
    <w:p>
      <w:pPr>
        <w:pStyle w:val="Heading4"/>
        <w:numPr>
          <w:ilvl w:val="3"/>
          <w:numId w:val="1"/>
        </w:numPr>
        <w:rPr/>
      </w:pPr>
      <w:bookmarkStart w:id="117" w:name="__RefHeading___Toc2564001_1051229030"/>
      <w:bookmarkStart w:id="118" w:name="_Toc44"/>
      <w:bookmarkEnd w:id="116"/>
      <w:bookmarkEnd w:id="117"/>
      <w:r>
        <w:rPr>
          <w:rtl w:val="true"/>
        </w:rPr>
        <w:t>يكى از مسايل ديگر، رابطه ى رژيم صهيونيستى با نژادپرستى است</w:t>
      </w:r>
      <w:r>
        <w:rPr>
          <w:rtl w:val="true"/>
        </w:rPr>
        <w:t>...</w:t>
      </w:r>
      <w:bookmarkEnd w:id="118"/>
    </w:p>
    <w:p>
      <w:pPr>
        <w:pStyle w:val="BookText"/>
        <w:rPr/>
      </w:pPr>
      <w:r>
        <w:rPr>
          <w:rFonts w:ascii="IRNazanin" w:hAnsi="IRNazanin" w:eastAsia="IRNazanin"/>
          <w:color w:val="111111"/>
          <w:sz w:val="28"/>
          <w:sz w:val="28"/>
          <w:szCs w:val="28"/>
          <w:rtl w:val="true"/>
          <w:lang w:bidi="fa-IR"/>
        </w:rPr>
        <w:t>يكى از مسايل ديگر، رابطه ى رژيم صهيونيستى با نژادپرستى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چندى پيش در آفريقاى جنوبى برپا گرديد، بحث نژادپرست بودن رژيم صهيونيستى پيش كشيده شد كه امريكا و اسراييل به شدت با آن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شما،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دوربان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ارتباط اسراييل با نژادپرستى بر چه محورى استوار بود؟</w:t>
      </w:r>
    </w:p>
    <w:p>
      <w:pPr>
        <w:pStyle w:val="BookText"/>
        <w:rPr/>
      </w:pPr>
      <w:r>
        <w:rPr>
          <w:rFonts w:ascii="IRNazanin" w:hAnsi="IRNazanin" w:eastAsia="IRNazanin"/>
          <w:color w:val="111111"/>
          <w:sz w:val="28"/>
          <w:sz w:val="28"/>
          <w:szCs w:val="28"/>
          <w:rtl w:val="true"/>
          <w:lang w:bidi="fa-IR"/>
        </w:rPr>
        <w:t>اجازه بدهيد اين امر را به استناد بندهاى منشور سازمان ملل خدمت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 دليل برخى مسايلى كه در دوره هاى قبل مشخصاً در آلمان نازيست و ايتالياى فاشيست و هم چنين در دوره ى معاصر در آفريقاى جنوبى تا پيش از برگزارى انتخابات آزاد و روى كار آمدن ماندلا رخ داده است، مسأله ى نژادپرستى، فكر جامعه ى جهانى را به خود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در منشور تأكيد شده است كه دولت ها و سازمان هاى ملل متحد ملزم هستند اقدامات خود را براى تأمين صلح و امنيت بين المللى بر پايه ى پذيرش همگانى و شركت همگانى مردم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منشور كه از اهداف و اصول سازمان ملل بحث كرده است، ماده 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بايد تمام اقدامات سازمان در راستاى همكارى هاى بين المللى و حل مشكلات بين المللى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 همكارى هاى بين المللى را براى حل مشكلات بين المللى اعلام كرده و گفته است كه بايد بدون هيچ گونه تبعيض و تفكيكى در مذهب، نژاد، جنس و زبان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نيز كه بحث حقوق بشر و اقدامات بشردوستانه در منشور آمده، اشاره شده است كه اقدامات سازمان ملل نبايد مبتنى بر تبعيض نژادى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نژادپرستى بحثى است كه اسلام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نژادى ذاتاً بر نژاد ديگرى، برترى ندارد و اين مسأله در جهان نيز پذيرفته شده است كه نژاد نمى تواند دليل برترى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خودشان به آن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صهيونيست هاى كنونى كسانى بودند كه در اروپا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بخشى از يهود هستند كه معتقدند اين بخش از يهود از بقيه ى نژادها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رژيم صهيونيستى، رژيمى نژادپرست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قضيه ى دوربان نيز اسراييل صراحتاً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گفته ام اگر ما درباره ى نژادپرستى اسراييل چيزى نداشتيم كه ثابت كند رژيم اشغال گر قدس يك رژيم نژادپرست هست، موضع گيرى </w:t>
      </w:r>
    </w:p>
    <w:p>
      <w:pPr>
        <w:pStyle w:val="BookText"/>
        <w:rPr/>
      </w:pPr>
      <w:r>
        <w:rPr>
          <w:rFonts w:ascii="IRNazanin" w:hAnsi="IRNazanin" w:eastAsia="IRNazanin"/>
          <w:color w:val="111111"/>
          <w:sz w:val="28"/>
          <w:sz w:val="28"/>
          <w:szCs w:val="28"/>
          <w:rtl w:val="true"/>
          <w:lang w:bidi="fa-IR"/>
        </w:rPr>
        <w:t>اين رژيم در اجلاس دوربان نشان داد كه اين رژيم نژادپرست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نبود، نبايد چنين موضع گيرى محكمى مى گرفت و جلسه را ترك مى كرد يا اصلاً مخالفت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سعى كرد امريكا را عليه بقيه ى دولت ها بشوراند و از ابزارهاى تهديدآميز امريكا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گيرى رژيم اشغال گر قدس در اجلاس دوربان نشان داد كه رژيم اشغال گر قدس بر پايه ى نژادپرستى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مفهوم را باور كنيم و از برخورد اسراييل با مسلمانان و حتى مسيحيان مقيم اسراييل آگاه باشيم، مى بينيم كه اين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تشكيل آن برپايه ى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برخلاف تعهدات منشور گام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اين اصولى كه خدمت شما عرض كردم، اسراييل، يك دولت و رژيم نژادپرست را گسترش مى دهد و اين رژيم اگر در آينده قوت بگيرد، براى كشورهاى غربى و مسيحى به ويژه خود امريكا خطرناك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جهان مى خواهد اسراييل را محكوم كند؟ مى توانستند دولت ديگرى را محكوم كنند، ولى چرا اسراييل را برگزيدند؟ پاسخ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رژيم اشغال گر همواره مسلمانان را آماج حملات نظامى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 گناه فلسطين را قتل عام مى كند و هر روز از سرزمين هاى خودشان بيرون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بحث خانه سازى و شهرك سازى را ادامه مى دهد، در حالى كه سازمان ملل قطع نامه صادر كرده و گفته است حق ندارى اين كار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برخلاف تعهدات دوجانبه و جهانى، نژادپرستى را گسترش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اسراييل جز نژادپرستى و روحيه ى تكبر نژادى چه مفهومى دارد؟</w:t>
      </w:r>
    </w:p>
    <w:p>
      <w:pPr>
        <w:pStyle w:val="BookText"/>
        <w:rPr/>
      </w:pPr>
      <w:r>
        <w:rPr>
          <w:rFonts w:ascii="IRNazanin" w:hAnsi="IRNazanin" w:eastAsia="IRNazanin"/>
          <w:color w:val="111111"/>
          <w:sz w:val="28"/>
          <w:sz w:val="28"/>
          <w:szCs w:val="28"/>
          <w:rtl w:val="true"/>
          <w:lang w:bidi="fa-IR"/>
        </w:rPr>
        <w:t>همين كه آموزه هاى تحريف شده ى يهود از حالت رفتار شخصى در آمد و در سطح دولت به ضايع شدن حق ديگران انجاميد، نژادپرستى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كه در قضيه ى سياه پوستان امريكا و آفريقاى جنوبى نيز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نژادپرستى اين است كه چون نژاد من سفيد است و تو سياهى، تو بايد برده و محروم باشى و من چون از نژاد سفيد هستم، بايد آقا باشم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صهيونيستى خود را از مسلمانان و حتى مسيحيان، برتر مى داند و با اعتقاد به حكومت جهانى يهود در پى تشكيل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در صحبت هايشان اين مطلب را اظهار مى كنند كه بايد اين كُدها را دقيق تر درآورد و ارايه كرد</w:t>
      </w:r>
      <w:r>
        <w:rPr>
          <w:rFonts w:eastAsia="IRNazanin" w:cs="IRNazanin"/>
          <w:color w:val="111111"/>
          <w:sz w:val="28"/>
          <w:szCs w:val="28"/>
          <w:rtl w:val="true"/>
          <w:lang w:bidi="fa-IR"/>
        </w:rPr>
        <w:t xml:space="preserve">. </w:t>
      </w:r>
      <w:bookmarkStart w:id="119" w:name="pg7521_56402"/>
    </w:p>
    <w:p>
      <w:pPr>
        <w:pStyle w:val="Heading3"/>
        <w:numPr>
          <w:ilvl w:val="2"/>
          <w:numId w:val="1"/>
        </w:numPr>
        <w:rPr/>
      </w:pPr>
      <w:bookmarkStart w:id="120" w:name="__RefHeading___Toc2564003_1051229030"/>
      <w:bookmarkStart w:id="121" w:name="_Toc45"/>
      <w:bookmarkEnd w:id="119"/>
      <w:bookmarkEnd w:id="120"/>
      <w:r>
        <w:rPr>
          <w:rtl w:val="true"/>
        </w:rPr>
        <w:t xml:space="preserve">صهيونيسم با يهود چه تفاوتى دارد؟ </w:t>
      </w:r>
      <w:r>
        <w:rPr>
          <w:rtl w:val="true"/>
        </w:rPr>
        <w:t xml:space="preserve">/ </w:t>
      </w:r>
      <w:r>
        <w:rPr>
          <w:rtl w:val="true"/>
        </w:rPr>
        <w:t>على جديد بناب</w:t>
      </w:r>
      <w:bookmarkEnd w:id="121"/>
    </w:p>
    <w:p>
      <w:pPr>
        <w:pStyle w:val="Heading4"/>
        <w:numPr>
          <w:ilvl w:val="3"/>
          <w:numId w:val="1"/>
        </w:numPr>
        <w:rPr/>
      </w:pPr>
      <w:bookmarkStart w:id="122" w:name="__RefHeading___Toc2564005_105122903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در آغاز بايد به معناى لغوى دو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بيان معانى اصطلاحى آن ها، تفاوت اين دو اصطلاح را تبيين مى كنيم</w:t>
      </w:r>
      <w:r>
        <w:rPr>
          <w:rFonts w:eastAsia="IRNazanin" w:cs="IRNazanin"/>
          <w:color w:val="111111"/>
          <w:sz w:val="28"/>
          <w:szCs w:val="28"/>
          <w:rtl w:val="true"/>
          <w:lang w:bidi="fa-IR"/>
        </w:rPr>
        <w:t>.</w:t>
      </w:r>
    </w:p>
    <w:p>
      <w:pPr>
        <w:pStyle w:val="Heading4"/>
        <w:numPr>
          <w:ilvl w:val="3"/>
          <w:numId w:val="1"/>
        </w:numPr>
        <w:rPr/>
      </w:pPr>
      <w:bookmarkStart w:id="124" w:name="__RefHeading___Toc2564007_1051229030"/>
      <w:bookmarkStart w:id="125" w:name="_Toc47"/>
      <w:bookmarkEnd w:id="124"/>
      <w:r>
        <w:rPr/>
        <w:t>1</w:t>
      </w:r>
      <w:r>
        <w:rPr>
          <w:rtl w:val="true"/>
        </w:rPr>
        <w:t>. «</w:t>
      </w:r>
      <w:r>
        <w:rPr>
          <w:rtl w:val="true"/>
        </w:rPr>
        <w:t>يهود</w:t>
      </w:r>
      <w:r>
        <w:rPr>
          <w:rtl w:val="true"/>
        </w:rPr>
        <w:t>»</w:t>
      </w:r>
      <w:bookmarkEnd w:id="125"/>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ى عبرى گرفته شده و به معناى حمد و شكر و مجد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چهارم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5"/>
      </w:r>
      <w:r>
        <w:rPr>
          <w:rFonts w:ascii="IRNazanin" w:hAnsi="IRNazanin" w:eastAsia="IRNazanin"/>
          <w:color w:val="111111"/>
          <w:sz w:val="28"/>
          <w:sz w:val="28"/>
          <w:szCs w:val="28"/>
          <w:rtl w:val="true"/>
          <w:lang w:bidi="fa-IR"/>
        </w:rPr>
        <w:t xml:space="preserve">و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واژه اى بيگانه دانسته اند، ولى يقين ندارند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26" w:name="__RefHeading___Toc2564009_1051229030"/>
      <w:bookmarkStart w:id="127" w:name="_Toc48"/>
      <w:bookmarkEnd w:id="126"/>
      <w:r>
        <w:rPr/>
        <w:t>2</w:t>
      </w:r>
      <w:r>
        <w:rPr>
          <w:rtl w:val="true"/>
        </w:rPr>
        <w:t>. «</w:t>
      </w:r>
      <w:r>
        <w:rPr>
          <w:rtl w:val="true"/>
        </w:rPr>
        <w:t>يهود</w:t>
      </w:r>
      <w:r>
        <w:rPr>
          <w:rtl w:val="true"/>
        </w:rPr>
        <w:t xml:space="preserve">» </w:t>
      </w:r>
      <w:r>
        <w:rPr>
          <w:rtl w:val="true"/>
        </w:rPr>
        <w:t>در اصطلاح</w:t>
      </w:r>
      <w:bookmarkEnd w:id="127"/>
    </w:p>
    <w:p>
      <w:pPr>
        <w:pStyle w:val="BookText"/>
        <w:rPr/>
      </w:pPr>
      <w:r>
        <w:rPr>
          <w:rFonts w:ascii="IRNazanin" w:hAnsi="IRNazanin" w:eastAsia="IRNazanin"/>
          <w:color w:val="111111"/>
          <w:sz w:val="28"/>
          <w:sz w:val="28"/>
          <w:szCs w:val="28"/>
          <w:rtl w:val="true"/>
          <w:lang w:bidi="fa-IR"/>
        </w:rPr>
        <w:t>منظور از يهود در اصطلاح كسانى هستند كه خود را پيروان دين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 و كتاب تورات را به عنوان كتاب آسمانى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آمدن اسلام، از پذيرش اسلام سرباز زدند و هم چنان بر دين خود پاى بند ماندند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8" w:name="__RefHeading___Toc2564011_1051229030"/>
      <w:bookmarkStart w:id="129" w:name="_Toc49"/>
      <w:bookmarkEnd w:id="128"/>
      <w:r>
        <w:rPr/>
        <w:t>3</w:t>
      </w:r>
      <w:r>
        <w:rPr>
          <w:rtl w:val="true"/>
        </w:rPr>
        <w:t xml:space="preserve">. </w:t>
      </w:r>
      <w:r>
        <w:rPr>
          <w:rtl w:val="true"/>
        </w:rPr>
        <w:t>صهيون، صهيونى و صهيونيسم در لغت و اصطلاح</w:t>
      </w:r>
      <w:bookmarkEnd w:id="129"/>
    </w:p>
    <w:p>
      <w:pPr>
        <w:pStyle w:val="Heading5"/>
        <w:numPr>
          <w:ilvl w:val="4"/>
          <w:numId w:val="1"/>
        </w:numPr>
        <w:rPr/>
      </w:pPr>
      <w:bookmarkStart w:id="130" w:name="__RefHeading___Toc2564013_1051229030"/>
      <w:bookmarkStart w:id="131" w:name="_Toc50"/>
      <w:bookmarkEnd w:id="130"/>
      <w:r>
        <w:rPr>
          <w:rtl w:val="true"/>
        </w:rPr>
        <w:t xml:space="preserve">الف </w:t>
      </w:r>
      <w:r>
        <w:rPr>
          <w:rtl w:val="true"/>
        </w:rPr>
        <w:t xml:space="preserve">- </w:t>
      </w:r>
      <w:r>
        <w:rPr>
          <w:rtl w:val="true"/>
        </w:rPr>
        <w:t>صهيون</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اورشليم يا كوهى نزديكى اورشليم گفته مى 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براساس روايت كتاب مقدّس، واژه ى صهيون نام تپه اى است در جنوب شرقى اورشليم كه دامنه اش بخشى از اورشليم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قلعه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داوود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كاخى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w:t>
      </w:r>
      <w:r>
        <w:rPr>
          <w:rFonts w:eastAsia="IRNazanin" w:cs="IRNazanin"/>
          <w:color w:val="111111"/>
          <w:sz w:val="28"/>
          <w:szCs w:val="28"/>
          <w:rtl w:val="true"/>
          <w:lang w:bidi="fa-IR"/>
        </w:rPr>
        <w:t>.</w:t>
      </w:r>
      <w:r>
        <w:rPr>
          <w:rStyle w:val="FootnoteAnchor"/>
          <w:rtl w:val="true"/>
        </w:rPr>
        <w:footnoteReference w:id="69"/>
      </w:r>
      <w:bookmarkStart w:id="132" w:name="pg7521_56403"/>
    </w:p>
    <w:p>
      <w:pPr>
        <w:pStyle w:val="Heading5"/>
        <w:numPr>
          <w:ilvl w:val="4"/>
          <w:numId w:val="1"/>
        </w:numPr>
        <w:rPr/>
      </w:pPr>
      <w:bookmarkStart w:id="133" w:name="__RefHeading___Toc2564015_1051229030"/>
      <w:bookmarkStart w:id="134" w:name="_Toc51"/>
      <w:bookmarkEnd w:id="132"/>
      <w:bookmarkEnd w:id="133"/>
      <w:r>
        <w:rPr>
          <w:rtl w:val="true"/>
        </w:rPr>
        <w:t xml:space="preserve">ب </w:t>
      </w:r>
      <w:r>
        <w:rPr>
          <w:rtl w:val="true"/>
        </w:rPr>
        <w:t xml:space="preserve">- </w:t>
      </w:r>
      <w:r>
        <w:rPr>
          <w:rtl w:val="true"/>
        </w:rPr>
        <w:t>صهيونى</w:t>
      </w:r>
      <w:bookmarkEnd w:id="134"/>
    </w:p>
    <w:p>
      <w:pPr>
        <w:pStyle w:val="BookText"/>
        <w:rPr/>
      </w:pPr>
      <w:r>
        <w:rPr>
          <w:rFonts w:ascii="IRNazanin" w:hAnsi="IRNazanin" w:eastAsia="IRNazanin"/>
          <w:color w:val="111111"/>
          <w:sz w:val="28"/>
          <w:sz w:val="28"/>
          <w:szCs w:val="28"/>
          <w:rtl w:val="true"/>
          <w:lang w:bidi="fa-IR"/>
        </w:rPr>
        <w:t>لقبى است كه پيش از پيدايش حكومت اسراييل به كسانى مى دادند كه از پايه گذارى اين حكومت جانب دارى مى كردند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35" w:name="__RefHeading___Toc2564017_1051229030"/>
      <w:bookmarkStart w:id="136" w:name="_Toc52"/>
      <w:bookmarkEnd w:id="135"/>
      <w:r>
        <w:rPr>
          <w:rtl w:val="true"/>
        </w:rPr>
        <w:t xml:space="preserve">ج </w:t>
      </w:r>
      <w:r>
        <w:rPr>
          <w:rtl w:val="true"/>
        </w:rPr>
        <w:t xml:space="preserve">- </w:t>
      </w:r>
      <w:r>
        <w:rPr>
          <w:rtl w:val="true"/>
        </w:rPr>
        <w:t>صهيونيسم</w:t>
      </w:r>
      <w:bookmarkEnd w:id="136"/>
    </w:p>
    <w:p>
      <w:pPr>
        <w:pStyle w:val="BookText"/>
        <w:rPr/>
      </w:pPr>
      <w:r>
        <w:rPr>
          <w:rFonts w:ascii="IRNazanin" w:hAnsi="IRNazanin" w:eastAsia="IRNazanin"/>
          <w:color w:val="111111"/>
          <w:sz w:val="28"/>
          <w:sz w:val="28"/>
          <w:szCs w:val="28"/>
          <w:rtl w:val="true"/>
          <w:lang w:bidi="fa-IR"/>
        </w:rPr>
        <w:t>به مرام و مسلك حزب بين المللى يهود و گروهى گفته مى شود كه هوادار چيرگى يهوديان بر اقوام و ملل ديگر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اين جنبش از اواخر قرن نوزدهم براى تشكيل ميهن يهودى در فلسطين پديد آمد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صهيونيسم در اصطلاح به جنبشى گفته مى شود كه از آرمان مسيحيان طايفه ى بنى اسراييل براى رسيدن به سرزمين موعود و تشكيل دولت و ملتى واحد مايه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اشاره شد يهوديت، آيينى است رسمى و آسمانى كه پيامبرى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آسمانى تورات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اين دين را به عنوان دين آسمانى پذيرفته بودند، مى دانستند كه رسميت اين دين تا آمدن پيامبر بعدى از جانب خداوند متعال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آنان بر همان دين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دين يهود به اصول و مقررات تورات، پاى بند بودند و مى كوشيدند براساس آن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انحراف هاى سياسى بى شمارى در اين دين آسمانى رخ داده است و برخى فرصت طلبان براى بهره بردارى شخصى و دنيوى خود، در آن دست برده اند، ولى هم چنان برخى باورمندان اين دين هستند كه با اين تحريف ها مخالف بوده و جوياى حقيقت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روژه گارودى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و اسلام شناس فرانسوى با بررسى فرقه هاى يهودى در دوره هاى زمانى گوناگون، به مراسم ها، آيين ها و برنامه هاى معنوى آنان اشاره مى كند و مى نويسد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نسل پرهيزكاران يهودى كه در قرن شانزدهم در لهستان به دنيا آمد و افكارشان با بينش عرفانى آلمانى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اكهارت</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نزديك است، در قرن نوزدهم با انتشار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هايى به پرهيزكاران درباره ى خلسه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زنده كردن تابش جرقه ى حضور خداوند در وجود هر كسى كه از آن برخوردار است، بار ديگر شكوفا مى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صهيونيسم سياسى در برابر سنّت كهن يهود، گونه اى فساد و تباهى ملّى گرايانه و استعمارگرانه به شمار مى رود كه در ملّى گرايى و استعمارگرايى اروپاى قرن نوزدهم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با گزينش پيام هاى ويژه اى از متن تورات كه پايه و اساس آن، انحراف واقعى از برنامه ى خداوند است، از آن به عنوان پوششى براى پنهان كردن اهداف سياسى خود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انحراف صهيونيسم از آيين يهود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صهيونيسم بيشتر به عنوان يك نهضت سياسى مطرح مى شود و به برنامه هاى مذهبى يهود، پاى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تئودور 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صهيونيسم نيز به بسيارى از مسايل مذهبى يهود، پاى بند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درباره 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آواره ساختن مردم اين سرزمين، با صهيونيست ها،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اين تضاد را در انعقاد وعده نامه ى بالفور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وعده نامه ى بالفور پس از سه سال مناقشه و مبارزه ميان صهيونيست ها و يهوديان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هاى محرمانه براى انعقاد اين وعده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سوكولوف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جنبش صهيونيستى،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لويد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ى بريتانيا از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مونتاگيو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كشور بريتانيا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كلود مونتفيورى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يهوديان بريتانيا شركت داشتند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مونتاگيو در يادداشت اعتراض آميزى به دولت بريتانيا نوشت كه براساس اين وعده نامه، مسلمانان و مسيحيان بايد جاى خود را به يهوديان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حقوق درباره ى اختلاف نظرهاى صهيونيست ها با يهوديان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وهله ى اول درباره ى انگيزه ى اساسى صهيونيست ها در شك و ترديد بودند، ولى پس از مطالعه ى پيش نويس هاى پيشنهادى صهيونيست ها ديدند كه اين پيشنهادها مخالف دين يهود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اثر فشارهاى يهوديان انگليسى، جنبش صهيونيسم ناچار شد براى حفظ حقوق حقه ى ساكنان اصلى سرزمين فلسطين تضمين هايى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براى پيشبرد اهداف استعمارى خود به برانديس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صهيونيست امريكايى متوسل شدند تا ويلسون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امريكا را متقاعد كند كه بريتانيا را براى پذيرش پيشنهادهاى صهيونيست ها زير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مبارزه ى يهوديان با صهيونيست ها درمى يابيم كه صهيونيسم با استعمار بريتانيا، پيوند حياتى داشته است و دشمن يهود به شمار مى رود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افسانه هاى صهيونيستى كوشش مى شود حتّى فعاليت هاى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روحانى صهيونيسم را كه از تبليغ كنندگان فعال ادغام جامعه ى يهودى در جامعه هاى اروپايى بود، به نفع صهيونيسم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كوشيد چند باشگاه يهودى را براى گرويدن يهوديان به مذهب كاتوليك بنيان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اكنون ادعا مى شود كه هرتزل پس از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دريافت كه ادغام يهوديان در جامعه هاى ديگر، امرى محال است و كارهاى پيشين او تنها براى حفظ حيات اجتماعى يهوديان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ى طراحان جنبش صهيونيستى، هدف كلى اصول فكرى اين جنبش آن است كه يهوديان پراكنده در جهان، يك امت يگانه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اين زمينه نيز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يك دين است، 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هيرنى ادلر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بزرگ انگلستان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يهوديت يك دين است كه هيچ گونه محتواى سياسى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بعضى ديگر عقيده دارند كه يهوديت، قومى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ملت واحدى را تشكيل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كلّى مى بينيم كه يهودى ها در برابر همه ى سياست هاى استعمارى ياد شده براى تشكيل دولت يهودى در كشورى مستقل در منطقه ى استثنايى فلسطين، مخالف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ابتكار تئورى جديد، برخى دشوارى هاى صهيونيستى ها را برطرف ساخت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تئورى جديد را چنين شرح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 به معناى يك روح و بيدارى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امت مى تواند در افتخار مشترك به گذشته، اراده ى مشترك در حال حاضر و ميل به پيشرفت هاى بزرگ در آينده خلاصه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مارتين بابر با افشا كردن ريشه ى اين فساد صهيونيسم سياسى كه از آيين يهود پديد نيامده است، ملّيت گرايى اروپايى قرن نوزدهم را مايه ى پيدايش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وى، صهيونيستى كه امروزه جاى مذهب را گرفته است، به آيين بت پرستانه ى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به نام اسراييل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يهود از اصل خود جدا گشته و اين امر نوعى بيمارى است كه علامت آن، پيدايش ملّيت گرايى يهود در اواسط قرن نوزدهم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تازه ى دل بستگى به زمين، نوعى سرپوش است كه تمام آن چه را يهوديت ملّى جديد غرب به عاريت گرفته است، در خود پنهان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اسراييل در تمام اين جريان چه نقشى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احساس برترى، كه يك مفهوم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از مقايسه با ديگران به وجود نمى آيد، بلكه از يك استعداد و مسؤوليت در راه انجام وظيفه اى كه دائماً پيامبران، آن را متذكر شده اند، ريشه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مى باليد كه به جاى اطاعت از خداوند، از نوعى برگزيدگى برخورداريد، اين خيانت در انجام وظيفه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مارتين بابر با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مليت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صهيونيسم سياسى كه گونه اى فساد و تباهى در معنويت به شمار مى رود، چنين نتيجه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اميدواريم كه ملّت يهود را از ارتكاب اين اشتباه در زمينه ى تبديل يك ملّت به يك بت برحذر داريم، ولى در اين راه ناكام مانده ايم</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هاى انجام شده، روشن مى شود كه صهيونيسم از يهود و آيين يهودى بسيار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صهيونيسم براساس باورهاى مذهبى يهود، ترسيم نشده، بلكه بر پايه ى باور بنيان گذارانصهيونيسم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به مذهب </w:t>
      </w:r>
      <w:bookmarkStart w:id="137" w:name="pg7521_56407"/>
    </w:p>
    <w:p>
      <w:pPr>
        <w:pStyle w:val="BookText"/>
        <w:rPr/>
      </w:pPr>
      <w:bookmarkEnd w:id="137"/>
      <w:r>
        <w:rPr>
          <w:rFonts w:ascii="IRNazanin" w:hAnsi="IRNazanin" w:eastAsia="IRNazanin"/>
          <w:color w:val="111111"/>
          <w:sz w:val="28"/>
          <w:sz w:val="28"/>
          <w:szCs w:val="28"/>
          <w:rtl w:val="true"/>
          <w:lang w:bidi="fa-IR"/>
        </w:rPr>
        <w:t>يهود، باور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مى توان گفت كه صهيونيسم در مسايل سياسى به نازيسم نزديك تر است تا مذهب يهود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38" w:name="__RefHeading___Toc2564019_1051229030"/>
      <w:bookmarkStart w:id="139" w:name="_Toc53"/>
      <w:bookmarkEnd w:id="138"/>
      <w:r>
        <w:rPr>
          <w:rtl w:val="true"/>
        </w:rPr>
        <w:t xml:space="preserve">شناسايى اسراييل از ديدگاه حقوق بين الملل </w:t>
      </w:r>
      <w:r>
        <w:rPr>
          <w:rtl w:val="true"/>
        </w:rPr>
        <w:t xml:space="preserve">/ </w:t>
      </w:r>
      <w:r>
        <w:rPr>
          <w:rtl w:val="true"/>
        </w:rPr>
        <w:t>محمد رضا باقرزاده</w:t>
      </w:r>
      <w:bookmarkEnd w:id="139"/>
    </w:p>
    <w:p>
      <w:pPr>
        <w:pStyle w:val="BookText"/>
        <w:rPr/>
      </w:pPr>
      <w:r>
        <w:rPr>
          <w:rFonts w:ascii="IRNazanin" w:hAnsi="IRNazanin" w:eastAsia="IRNazanin"/>
          <w:color w:val="111111"/>
          <w:sz w:val="28"/>
          <w:sz w:val="28"/>
          <w:szCs w:val="28"/>
          <w:rtl w:val="true"/>
          <w:lang w:bidi="fa-IR"/>
        </w:rPr>
        <w:t>بيشتر كشورهاى جهان، اسراييل را به رسميت شناخته اند و با آن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ما نيز به قوانين موجود جهان احترام بگذاريم و اسراييل را به رسميت بشناسيم؟</w:t>
      </w:r>
    </w:p>
    <w:p>
      <w:pPr>
        <w:pStyle w:val="BookText"/>
        <w:rPr/>
      </w:pPr>
      <w:r>
        <w:rPr>
          <w:rFonts w:ascii="IRNazanin" w:hAnsi="IRNazanin" w:eastAsia="IRNazanin"/>
          <w:color w:val="111111"/>
          <w:sz w:val="28"/>
          <w:sz w:val="28"/>
          <w:szCs w:val="28"/>
          <w:rtl w:val="true"/>
          <w:lang w:bidi="fa-IR"/>
        </w:rPr>
        <w:t>با توجه به قطعيتى كه درباره ى پيشينه ى سرزمين فلسطين وجود دارد، مسأله ى شناسايى دولت اسراييل با همه ى آشكار بودن، در پيچ و خم سياست بازى هاى بين المللى در هاله اى از ابهام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پرداختن به بحث ياد شده در اين گفتار نمى گنجد، با نگاهى كوتاه به موضع گيرى هاى جمهورى اسلامى ايران در به رسميت نشناختن اسراييل، برآنيم تا بدانيم اين كار از ديدگاه حقوق بين الملل، معقول، قانونى و موجه است يا نه؟</w:t>
      </w:r>
    </w:p>
    <w:p>
      <w:pPr>
        <w:pStyle w:val="BookText"/>
        <w:rPr/>
      </w:pPr>
      <w:r>
        <w:rPr>
          <w:rFonts w:ascii="Amiri" w:hAnsi="Amiri" w:eastAsia="Amiri" w:cs="Amiri"/>
          <w:color w:val="111111"/>
          <w:sz w:val="28"/>
          <w:sz w:val="28"/>
          <w:szCs w:val="28"/>
          <w:rtl w:val="true"/>
          <w:lang w:bidi="ar-SA"/>
        </w:rPr>
        <w:t>براى بررسى اين مسأله در عرصه ى حقوق بين الملل، از دو زاويه وارد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شناسايى حكومت جديد يك سرزمين از سوى حكومت هاى ديگر الزام قانونى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حكومتى براساس تجاوز به حقوق بين الملل شكل گرفته باشد، آيا شناسايى آن قانونى است؟ به ديگر سخن، آيا تابعان حقوق بين الملل حق شناسايى چنين حكومتى را خواهند داشت؟</w:t>
      </w:r>
    </w:p>
    <w:p>
      <w:pPr>
        <w:pStyle w:val="BookText"/>
        <w:rPr/>
      </w:pPr>
      <w:r>
        <w:rPr>
          <w:rFonts w:ascii="IRNazanin" w:hAnsi="IRNazanin" w:eastAsia="IRNazanin"/>
          <w:color w:val="111111"/>
          <w:sz w:val="28"/>
          <w:sz w:val="28"/>
          <w:szCs w:val="28"/>
          <w:rtl w:val="true"/>
          <w:lang w:bidi="fa-IR"/>
        </w:rPr>
        <w:t>كلود آلبر كلييار درباره ى پرسش نخست مى 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شناسايى كشور يا دولت عملى است ذاتاً سياسى كه دولت ها در انجام دادن يا ندادن آن از آزادى كامل برخوردارند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 آزادى، كشورها تمايل دارند كه عوامل و عناصر حقوقى را نيز در ارزيابى خود لحاظ كنند و در نتيجه، رويه ى بين المللى بر اين است كه حقانيت داخلى و بين الملل دولت هاى نوبنياد را شرط شناسايى قرار دهند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گلان گرهاردفن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استاديار دانشگاه مينوتاى امريكا با رد كردن الزامى بودن شناسايى دولت جديد از قول وزارت خارجه ى امريكا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ايالت متحده، حقوق بين الملل، دولت ها را ملزم به شناسايى واحدهاى ديگر به عنوان دولت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تشخيص هر دولت مربوط است كه آيا واحدى به منزله ى يك دولت، شايسته ى شناسايى است يا خير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براساس منشور ملل متحد</w:t>
      </w:r>
      <w:r>
        <w:rPr>
          <w:rStyle w:val="FootnoteAnchor"/>
          <w:rtl w:val="true"/>
        </w:rPr>
        <w:footnoteReference w:id="82"/>
      </w:r>
      <w:r>
        <w:rPr>
          <w:rFonts w:ascii="IRNazanin" w:hAnsi="IRNazanin" w:eastAsia="IRNazanin"/>
          <w:color w:val="111111"/>
          <w:sz w:val="28"/>
          <w:sz w:val="28"/>
          <w:szCs w:val="28"/>
          <w:rtl w:val="true"/>
          <w:lang w:bidi="fa-IR"/>
        </w:rPr>
        <w:t xml:space="preserve">كه بر اصل حاكميت دولت ها بنا نهاده شده است، اختيار دولت ها در شناسايى يا به رسميت شناختن يك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پيش شرطى براى برقرارى رابطه با آن كشور و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ازشؤون حاكميت دولت ها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فراگير همه ى جنبه هاى سياست خارجى دولت ها را در بر مى گيرد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بخش دوم بحث بايد گفت پيدايش يك وضعيت بين المللى هم چون حكومت يا كشور هنگامى مشروع است كه با قواعد حقوق بين الملل، تضاد نداشته و هيچ يك از قراردادهاى بين المللى را نقض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به دكترين استيمسون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استيمسون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ى ايالات متحده امريكا بود كه پس از تصرف منچورى به دست ژاپن و تشكيل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مانچوكو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يادداشتى به ژاپن و چين اعلام كرد كه دولت امريكا، وضعى را كه به وسيله ى تجاوز پديد آمده است، به رسميت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نيز مجمع جامعه ى ملل قطع نامه اى را تصويب كرد كه براساس آن، اعضاى جامعه ى ملل وظيفه داشتند از شناسايى وضعيت يا معاهده هايى كه خلاف ميثاق جامعه ى ملل يا پيمان پاريس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توسل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خوددارى كنند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هم چنين اين مجمع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قطع نامه اى را تصويب كرد كه بيان مى داشت اعضاى آن، دولت جديد مانچوكو را به هيچ صورت به رسميت نخواهند شناخت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مجمع عمومى سازمان ملل متحد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يكى از اصول اساسى حقوق بين الملل اين است كه تملك اراضى با توسل به زور، غيرقانونى است و نبايد مورد شناسايى قرار گيرد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افزون بر آن، ماده 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بوگوتا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بوئنوس آيرس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اعلاميه ى اصول حقوق بين الملل در زمينه ى روابط دوستانه و همكارى ميان كشورها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مجمع عمومى سازمان ملل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موادى است كه بر به رسميت نشناختن چنين مواردى تأكيد مى كند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شوراى امنيت سازمان ملل متحد در برخى موارد به عنوان بخشى از تحريم كشور متجاوز، از كشورهاى عضو خواسته است از شناسايى يك حكومت خوددارى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درباره ى تأسيس غيرقانونى كشور رودزياى جنوبى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حقوق ملت ها در تعيين سرنوشت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مغايرت داشت، شوراى امنيت سازمان ملل از همه ى كشورهاى جهان خواست از به رسميت شناختن اين كشور، خوددارى كنند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هم چنين اين شورا براى اطمينان يافتن از به رسميت نشناختن دولت دست نشانده ى عراق در خاك كويت،در قطع نامه ى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كشورها را ملزم كرد از شناسايى آن خوددارى كنند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پس از گذشت چند روز از يورش عراق به كويت كه رژيم بغداد، الحاق رسمى كويت به عراق را اعلام كرد، شوراى امنيت در قطع نامه ى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الحاق را بى اعتبار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از همه ى دولت ها، سازمان هاى بين المللى و نهادهاى تخصصى خواست به هيچ صورت، اين الحاق را به رسميت نشناسند و از هر گونه تصميم و تماسى كه به عنوان شناسايى مستقيم يا غير مستقيم اين الحاق تعبير شود، خوددارى كنند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اعتراف همگان، اسراييل بدون توجه به حق حاكميت مردم فلسطين در اين سرزمين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حق و باطل، جاى خود را به يكديگر مى دهند و كار به جايى مى رسد كه براى ما اين پرسش پيش مى آيد كه آيا بهتر نيست براى حقوق محورى و قانون مدارى، </w:t>
      </w:r>
      <w:bookmarkStart w:id="140" w:name="pg7521_56410"/>
    </w:p>
    <w:p>
      <w:pPr>
        <w:pStyle w:val="BookText"/>
        <w:rPr/>
      </w:pPr>
      <w:bookmarkEnd w:id="140"/>
      <w:r>
        <w:rPr>
          <w:rFonts w:ascii="IRNazanin" w:hAnsi="IRNazanin" w:eastAsia="IRNazanin"/>
          <w:color w:val="111111"/>
          <w:sz w:val="28"/>
          <w:sz w:val="28"/>
          <w:szCs w:val="28"/>
          <w:rtl w:val="true"/>
          <w:lang w:bidi="fa-IR"/>
        </w:rPr>
        <w:t>اين دولت غاصب را به رسميت بشناسيم؟ در پاسخ بايد گفت با توجه به آن چه گفته شد، آيا ما و دنيا حق شناسايى اين دولت غاصب را داريم؟ بى دليل نيست كه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اسراييل از نظر اسلام و مسلمين و تمامى موازين بين المللى، غاصب و متجاوز است و ما كم ترين اهمال و سستى را در پايان دادن به اين تجاوزات او جايز نمى دانيم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اسراييل بايد از صفحه ى روزگار محو شود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41" w:name="__RefHeading___Toc2564021_1051229030"/>
      <w:bookmarkStart w:id="142" w:name="_Toc54"/>
      <w:bookmarkEnd w:id="141"/>
      <w:r>
        <w:rPr>
          <w:rtl w:val="true"/>
        </w:rPr>
        <w:t xml:space="preserve">عادى شدن روابط كشورها با اسراييل و شناسايى آن كشور چه پى آمدهاى نامطلوبى براى منطقه دارد؟ </w:t>
      </w:r>
      <w:r>
        <w:rPr>
          <w:rtl w:val="true"/>
        </w:rPr>
        <w:t xml:space="preserve">/ </w:t>
      </w:r>
      <w:r>
        <w:rPr>
          <w:rtl w:val="true"/>
        </w:rPr>
        <w:t>اشراق حسينى</w:t>
      </w:r>
      <w:bookmarkEnd w:id="142"/>
    </w:p>
    <w:p>
      <w:pPr>
        <w:pStyle w:val="BookText"/>
        <w:rPr/>
      </w:pPr>
      <w:r>
        <w:rPr>
          <w:rFonts w:ascii="Amiri" w:hAnsi="Amiri" w:eastAsia="Amiri" w:cs="Amiri"/>
          <w:color w:val="111111"/>
          <w:sz w:val="28"/>
          <w:sz w:val="28"/>
          <w:szCs w:val="28"/>
          <w:rtl w:val="true"/>
          <w:lang w:bidi="ar-SA"/>
        </w:rPr>
        <w:t>بحران فلسطين از مهم ترين مسايل جهان اسلام به شمار مى رود كه در كانون كشمكش هاى فزاينده ى خاورميانه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 و تنش ميان فلسطينيان و يهوديان از سال ها پيش از تشكيل دولت يهود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روى كار آمدن دولت يهود به سركردگىِ صهيونيسم سياسى و پشتيبانى هاى بى دريغ غرب و امريكا از آن، خاورميانه به كانون تشنج ها و بحران هاى عميق تبديل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يهود كه بر مبناى حفظ منافع اقتصادى، امنيتى و استراتژيكى امريكا شكل گرفته و وارد عرصه ى روابط بين المللى شده است، به گفته ى ژان پل سارتر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اى است معطوف به شيطان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دولت يهود از آغاز اعلام موجوديت براى نخستين بار از سوى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شناخته شد و پس از آن، ديگر كشورهاى غربى نيز اين دولت را به رسميت شناختند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يهود كه به گفته ى اسراييل مشاهاك</w:t>
      </w:r>
      <w:r>
        <w:rPr>
          <w:rStyle w:val="FootnoteAnchor"/>
          <w:rtl w:val="true"/>
        </w:rPr>
        <w:footnoteReference w:id="9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وحشيانه ترين و دردآلودترين اثر بمب ها در تاريخ بشر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روزهاى آغازين حيات، سركوب قساوت مندانه ى باشندگان اصلى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كار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 فلسطينيان در ديرياسين كه در آوريل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رخ داد و هزاران مرد، زن و كودك را به كام مرگ كشاند، نخستين اقدام فاجعه بار اسراييل در تثبيت حاكميت خويش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رژيم اسراييل از همان آغاز پيدايش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سرزمين تاريخى اسراييل در منطقه ى نيل تا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استراتژى كلان خود برگزيده است و براى تحقق آن،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گوريون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نخستوزير اسراييل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جمع دانشجويان دانشگاه عمران اورشليم با صراحت چنين مطرح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اسراييل بايد همه ى سرزمين هاى ميان نيل تا شط فرات را دربربگيرد و اين امپراتورى هم از راه جنگ بنا خواهد شد و هم از راه سياست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موشه 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جنگ و وزير خارجه ى اسبق اسراييل نيز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روزنامه ى فرانسوى لوموند لوموند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توجه كنند كه از نظر اسراييل، صحراى سينا و ارتفاعات جولان و تنگه ى تيران و كرانه ى باخترىِ رود اردن صرف نظر از اهميت استراتژيك شان، در قلب تاريخ قوم يهود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اسراييل، مسأله ى اعاده ى اسراييل تاريخى هنوز خاتمه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 قرن قبل كه قوم يهود، بازگشت به چمپيون را آغاز كرد، دو كوشش متوازى براى ايجاد كوچ نشينى ها و گسترش مرزها در جريان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پايان راه نرسيده ايم، اين مردم اسراييل اند كه مرزهاى كشور خود را تعيين مى كنند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اسراييل كه با اين گونه برنامه ها و پشتوانه ى نيرومند امريكا وارد عرصه ى روابط بين الملل شد، پس از فروپاشى اتحاد جماهير شوروى، به بهانه ى مبارزه با بنيادگرايى اسلامى و با بهره گيرى از اهرم هاى سياسى در شبكه هاى تصميم گيرى دولت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AOPAC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خطر جدى بر ضد منافع جهان اسلام بدل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ى يكى از كارشناسان نظامى پيمان ناتو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اسراييل در ميان نسل سوم دارندگان سلاح هسته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كره، آفريقاى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ى اول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دويست كلاهك هسته اى دارد كه براى ويران كردن منطقه اى از پاكستان تا مغرب با جمعيتى بيش از نيم ميليارد نفر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يكى از ژنرال هاى اسراييل را واداشته است تا بگويد رؤياى اسراييل بزرگ چندان دور از دست رس نيست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بدين ترتيب، اسراييل تلاش دارد براساس سفارش بن گوريون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راه تهاجم و هم از راه ديپلماسى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منافع مسلمانان، چالش بيافريند و هدف هاى مشترك امنيتى،استراتژيكى و اقتصادى خود و امريكا را در خاورميانه،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رسميت شناخته شدن اسراييل از سوى كشورهاى اسلامى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تركيه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اردن افزون بر اين كه برداشتن گامى در راه تحقق هدف هاى خطرناك دولت غاصب يهود بوده است، منافع اسراييل و امريكا را در منطقه برآورده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آمدهاى خطرناك به رسميت شناخته شدن اسراييل از سوى جهان سوم، بدين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 تراشى بر سر راه هم گرايى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كشورهاى مسلمان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فروپاشى اتحاد جماهير شوروى، اسراييل در هم آهنگى كامل با امريكا در لواى شعار مبارزه با بنيادگرايى اسلامى، منافع جهان اسلام را تهديد و جنبش هاى اسلامى را تضعيف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به جنبش هاى اصيل اسلامى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طرح هاى خراب كارانه ى اسراييل به شمار مى رود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تسخير بازارهاى پررونق كشورهاى اسلامى براى صدور كالاهاى اقتصادى خود به آن جا كه به تضعيف اقتصادى مسلمانان و تقويت اسراييل خواهد انجاميد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عادى شدن روابط اسراييل با كشورهاى خاورميانه، ضريب امنيت سياسى، مقبوليت اقتصادى، مشروعيت حقوقى و پايگاه اجتماعى دولت يهود را افزايش مى دهد و در مقابل، حقوق و سرنوشت ملت فلسطين در هاله ى از ابهام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 ترديد، خطر تهديدهاى دولت غاصب يهود بر ضد جهان اسلام، جدى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مسلمانان بايد به فرموده 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گرايى، آن دولت غاصب را از ريشه بركنند و حق مردم فلسطين را به آنان باز گردانند،</w:t>
      </w:r>
      <w:r>
        <w:rPr>
          <w:rStyle w:val="FootnoteAnchor"/>
          <w:rtl w:val="true"/>
        </w:rPr>
        <w:footnoteReference w:id="97"/>
      </w:r>
      <w:r>
        <w:rPr>
          <w:rFonts w:ascii="IRNazanin" w:hAnsi="IRNazanin" w:eastAsia="IRNazanin"/>
          <w:color w:val="111111"/>
          <w:sz w:val="28"/>
          <w:sz w:val="28"/>
          <w:szCs w:val="28"/>
          <w:rtl w:val="true"/>
          <w:lang w:bidi="fa-IR"/>
        </w:rPr>
        <w:t xml:space="preserve">وگرنه اين غده ى سرطانى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جهان اسلام را به تباهى خواهد كشاند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 آمد به رسميت شناختن اسراييل نيز هم آهنگى با طرح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اسراييل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بنيان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اسراييل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آوردن منافع استراتژيك امريكا در خاورميانه و خيانت به سرنوشت جهان اسلام و ملت مظلوم فلسطين خواهد بود</w:t>
      </w:r>
      <w:r>
        <w:rPr>
          <w:rFonts w:eastAsia="IRNazanin" w:cs="IRNazanin"/>
          <w:color w:val="111111"/>
          <w:sz w:val="28"/>
          <w:szCs w:val="28"/>
          <w:rtl w:val="true"/>
          <w:lang w:bidi="fa-IR"/>
        </w:rPr>
        <w:t xml:space="preserve">. </w:t>
      </w:r>
      <w:bookmarkStart w:id="143" w:name="pg7521_56414"/>
    </w:p>
    <w:p>
      <w:pPr>
        <w:pStyle w:val="Heading2"/>
        <w:numPr>
          <w:ilvl w:val="1"/>
          <w:numId w:val="1"/>
        </w:numPr>
        <w:rPr/>
      </w:pPr>
      <w:bookmarkStart w:id="144" w:name="__RefHeading___Toc2564023_1051229030"/>
      <w:bookmarkStart w:id="145" w:name="_Toc55"/>
      <w:bookmarkEnd w:id="143"/>
      <w:bookmarkEnd w:id="144"/>
      <w:r>
        <w:rPr>
          <w:rtl w:val="true"/>
        </w:rPr>
        <w:t>قرآن و تفسير</w:t>
      </w:r>
      <w:bookmarkEnd w:id="145"/>
    </w:p>
    <w:p>
      <w:pPr>
        <w:pStyle w:val="Heading3"/>
        <w:numPr>
          <w:ilvl w:val="2"/>
          <w:numId w:val="1"/>
        </w:numPr>
        <w:rPr/>
      </w:pPr>
      <w:bookmarkStart w:id="146" w:name="__RefHeading___Toc2564025_1051229030"/>
      <w:bookmarkStart w:id="147" w:name="_Toc56"/>
      <w:bookmarkEnd w:id="146"/>
      <w:r>
        <w:rPr>
          <w:rtl w:val="true"/>
        </w:rPr>
        <w:t>اشاره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و افتخار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و ذلت از ديدگاه قرآن</w:t>
      </w:r>
    </w:p>
    <w:p>
      <w:pPr>
        <w:pStyle w:val="BookText"/>
        <w:rPr/>
      </w:pPr>
      <w:r>
        <w:rPr>
          <w:rFonts w:ascii="IRNazanin" w:hAnsi="IRNazanin" w:eastAsia="IRNazanin"/>
          <w:color w:val="111111"/>
          <w:sz w:val="28"/>
          <w:sz w:val="28"/>
          <w:szCs w:val="28"/>
          <w:rtl w:val="true"/>
          <w:lang w:bidi="fa-IR"/>
        </w:rPr>
        <w:t>بى شك عزت و افتخار حسينى در پرتو فرهنگ انسان ساز قرآنى، دست يافتنى است و دور ماندن از قرآن، زمينه ساز ذلت و خوارى فرد و جامعه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پى مى آيد، نگاهى است به ديدگاه قرآن درباره ى عوامل عزت و ذلت به همراه بررسى عوام 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عوامل ذلت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رسالت خواص در پيشبرد جامعه ى اسلامى را نيز بررسى مى كند</w:t>
      </w:r>
      <w:r>
        <w:rPr>
          <w:rFonts w:eastAsia="IRNazanin" w:cs="IRNazanin"/>
          <w:color w:val="111111"/>
          <w:sz w:val="28"/>
          <w:szCs w:val="28"/>
          <w:rtl w:val="true"/>
          <w:lang w:bidi="fa-IR"/>
        </w:rPr>
        <w:t>.</w:t>
      </w:r>
    </w:p>
    <w:p>
      <w:pPr>
        <w:pStyle w:val="Heading3"/>
        <w:numPr>
          <w:ilvl w:val="2"/>
          <w:numId w:val="1"/>
        </w:numPr>
        <w:rPr/>
      </w:pPr>
      <w:bookmarkStart w:id="148" w:name="__RefHeading___Toc2564027_1051229030"/>
      <w:bookmarkStart w:id="149" w:name="_Toc57"/>
      <w:bookmarkEnd w:id="148"/>
      <w:r>
        <w:rPr>
          <w:rtl w:val="true"/>
        </w:rPr>
        <w:t>عوامل عزت و ذلت را از ديدگاه قرآن بيان كنيد</w:t>
      </w:r>
      <w:r>
        <w:rPr>
          <w:rtl w:val="true"/>
        </w:rPr>
        <w:t xml:space="preserve">. / </w:t>
      </w:r>
      <w:r>
        <w:rPr>
          <w:rtl w:val="true"/>
        </w:rPr>
        <w:t>على اميرخانى</w:t>
      </w:r>
      <w:bookmarkEnd w:id="149"/>
    </w:p>
    <w:p>
      <w:pPr>
        <w:pStyle w:val="Heading4"/>
        <w:numPr>
          <w:ilvl w:val="3"/>
          <w:numId w:val="1"/>
        </w:numPr>
        <w:rPr/>
      </w:pPr>
      <w:bookmarkStart w:id="150" w:name="__RefHeading___Toc2564029_1051229030"/>
      <w:bookmarkStart w:id="151" w:name="_Toc58"/>
      <w:bookmarkEnd w:id="150"/>
      <w:r>
        <w:rPr>
          <w:rtl w:val="true"/>
        </w:rPr>
        <w:t>اشاره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حالتى است كه از شكست انسان پيش گيرى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نبود عزت و شرافت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انسان ذليل شكست را به راحتى مى پذيرد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علاقه مندى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تنفر 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فطرى است كه در نهاد همه ى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پيدايش عواملى نياز دارد كه بى توجهى به آن ها سبب پذيرش ذلت و شكست در انسان مى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طعم شيرين عزت را بچشد، هيچ گاه به ننگ ذلت و خوارى، تن در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152" w:name="pg7521_56415"/>
    </w:p>
    <w:p>
      <w:pPr>
        <w:pStyle w:val="BookText"/>
        <w:rPr/>
      </w:pPr>
      <w:bookmarkEnd w:id="152"/>
      <w:r>
        <w:rPr>
          <w:rFonts w:ascii="IRNazanin" w:hAnsi="IRNazanin" w:eastAsia="IRNazanin"/>
          <w:color w:val="111111"/>
          <w:sz w:val="28"/>
          <w:sz w:val="28"/>
          <w:szCs w:val="28"/>
          <w:rtl w:val="true"/>
          <w:lang w:bidi="fa-IR"/>
        </w:rPr>
        <w:t>كسى كه نفس عزيز و شريفى دارد، آن را با پليدى گناه، خوار نمى سازد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اينك به عوامل عزت از ديدگاه قرآن كريم و روايات اسلامى مى پردازيم</w:t>
      </w:r>
      <w:r>
        <w:rPr>
          <w:rFonts w:eastAsia="IRNazanin" w:cs="IRNazanin"/>
          <w:color w:val="111111"/>
          <w:sz w:val="28"/>
          <w:szCs w:val="28"/>
          <w:rtl w:val="true"/>
          <w:lang w:bidi="fa-IR"/>
        </w:rPr>
        <w:t>:</w:t>
      </w:r>
    </w:p>
    <w:p>
      <w:pPr>
        <w:pStyle w:val="Heading4"/>
        <w:numPr>
          <w:ilvl w:val="3"/>
          <w:numId w:val="1"/>
        </w:numPr>
        <w:rPr/>
      </w:pPr>
      <w:bookmarkStart w:id="153" w:name="__RefHeading___Toc2564031_1051229030"/>
      <w:bookmarkStart w:id="154" w:name="_Toc59"/>
      <w:bookmarkEnd w:id="153"/>
      <w:r>
        <w:rPr/>
        <w:t>1</w:t>
      </w:r>
      <w:r>
        <w:rPr>
          <w:rtl w:val="true"/>
        </w:rPr>
        <w:t xml:space="preserve">. </w:t>
      </w:r>
      <w:r>
        <w:rPr>
          <w:rtl w:val="true"/>
        </w:rPr>
        <w:t>عزّت خواهى از خداوند</w:t>
      </w:r>
      <w:bookmarkEnd w:id="154"/>
    </w:p>
    <w:p>
      <w:pPr>
        <w:pStyle w:val="BookText"/>
        <w:rPr/>
      </w:pPr>
      <w:r>
        <w:rPr>
          <w:rFonts w:ascii="IRNazanin" w:hAnsi="IRNazanin" w:eastAsia="IRNazanin"/>
          <w:color w:val="111111"/>
          <w:sz w:val="28"/>
          <w:sz w:val="28"/>
          <w:szCs w:val="28"/>
          <w:rtl w:val="true"/>
          <w:lang w:bidi="fa-IR"/>
        </w:rPr>
        <w:t>خداوند متعال، سرچشمه ى عزت به معناى واقعى است و ديگر آفريده ها در ذات خود، فقير و ذليل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خداوند نيازمندند و خداوند عزيز مالك همه ى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الْعِزَّةَ فَلِلَّهِ الْعِزَّةُ جَمِيعاً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كسى كه خواهان عزت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يكسره از آن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اصلى اين آيه آن است كه عزت جويان بايد عزت را از خداوند متعال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عزت در ملك خداوند است و انسان در پرتو پرستش خدا و تسليم شدن در برابر او به عزت مندى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خداى يگانه و كردار شايسته دو بال آدمى براى رسيدن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سخنان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بالا مى رود و كردار شايسته آن را در بالاتر رفتن كمك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 بغير الله ذليل</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عزيزى كه عزتش از غير خدا باشد، ذليل است</w:t>
      </w:r>
      <w:r>
        <w:rPr>
          <w:rFonts w:eastAsia="Amiri" w:cs="Amiri" w:ascii="Amiri" w:hAnsi="Amiri"/>
          <w:color w:val="111111"/>
          <w:sz w:val="28"/>
          <w:szCs w:val="28"/>
          <w:rtl w:val="true"/>
          <w:lang w:bidi="ar-SA"/>
        </w:rPr>
        <w:t xml:space="preserve">. </w:t>
      </w:r>
      <w:bookmarkStart w:id="155" w:name="pg7521_56416"/>
    </w:p>
    <w:p>
      <w:pPr>
        <w:pStyle w:val="Heading4"/>
        <w:numPr>
          <w:ilvl w:val="3"/>
          <w:numId w:val="1"/>
        </w:numPr>
        <w:rPr/>
      </w:pPr>
      <w:bookmarkStart w:id="156" w:name="__RefHeading___Toc2564033_1051229030"/>
      <w:bookmarkStart w:id="157" w:name="_Toc60"/>
      <w:bookmarkEnd w:id="155"/>
      <w:bookmarkEnd w:id="156"/>
      <w:r>
        <w:rPr/>
        <w:t>2</w:t>
      </w:r>
      <w:r>
        <w:rPr>
          <w:rtl w:val="true"/>
        </w:rPr>
        <w:t xml:space="preserve">. </w:t>
      </w:r>
      <w:r>
        <w:rPr>
          <w:rtl w:val="true"/>
        </w:rPr>
        <w:t>پاى بندى به قرآن كريم و دين مقدس اسلام</w:t>
      </w:r>
      <w:bookmarkEnd w:id="157"/>
    </w:p>
    <w:p>
      <w:pPr>
        <w:pStyle w:val="BookText"/>
        <w:rPr/>
      </w:pPr>
      <w:r>
        <w:rPr>
          <w:rFonts w:ascii="IRNazanin" w:hAnsi="IRNazanin" w:eastAsia="IRNazanin"/>
          <w:color w:val="111111"/>
          <w:sz w:val="28"/>
          <w:sz w:val="28"/>
          <w:szCs w:val="28"/>
          <w:rtl w:val="true"/>
          <w:lang w:bidi="fa-IR"/>
        </w:rPr>
        <w:t>پاى بندى به قرآن كريم و يارى جستن از آن عامل عزت و سربلندى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اين كتابى است كه از سوى خداوند عزيز و حكيم فرو فرستاده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متعال سرچشمه ى عزت و بزرگى است، پيروى از قرآن كريم كه سخن اوست، در بردارنده ى عوامل عزت و بزرگوارى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اُوحِىَ اِلَيْكَ اِنَّكَ عَلي صِراط مُسْتَقِيمَ وَ اِنَّهُ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 چه را بر تو وحى شده محكم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بر صراط مستقيم هستى و اين، مايه ى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 و به زودى از شما پرسش خواهد شد</w:t>
      </w:r>
      <w:r>
        <w:rPr>
          <w:rFonts w:eastAsia="IRNazanin" w:cs="IRNazanin"/>
          <w:color w:val="111111"/>
          <w:sz w:val="28"/>
          <w:szCs w:val="28"/>
          <w:rtl w:val="true"/>
          <w:lang w:bidi="fa-IR"/>
        </w:rPr>
        <w:t>.</w:t>
      </w:r>
    </w:p>
    <w:p>
      <w:pPr>
        <w:pStyle w:val="Heading4"/>
        <w:numPr>
          <w:ilvl w:val="3"/>
          <w:numId w:val="1"/>
        </w:numPr>
        <w:rPr/>
      </w:pPr>
      <w:bookmarkStart w:id="158" w:name="__RefHeading___Toc2564035_1051229030"/>
      <w:bookmarkStart w:id="159" w:name="_Toc61"/>
      <w:bookmarkEnd w:id="158"/>
      <w:r>
        <w:rPr/>
        <w:t>3</w:t>
      </w:r>
      <w:r>
        <w:rPr>
          <w:rtl w:val="true"/>
        </w:rPr>
        <w:t xml:space="preserve">. </w:t>
      </w:r>
      <w:r>
        <w:rPr>
          <w:rtl w:val="true"/>
        </w:rPr>
        <w:t>پيروى از رسول خدا</w:t>
      </w:r>
      <w:r>
        <w:rPr>
          <w:rtl w:val="true"/>
        </w:rPr>
        <w:t>(</w:t>
      </w:r>
      <w:r>
        <w:rPr>
          <w:rtl w:val="true"/>
        </w:rPr>
        <w:t>صلى الله عليه وآله وسلم</w:t>
      </w:r>
      <w:r>
        <w:rPr>
          <w:rtl w:val="true"/>
        </w:rPr>
        <w:t xml:space="preserve">) </w:t>
      </w:r>
      <w:r>
        <w:rPr>
          <w:rtl w:val="true"/>
        </w:rPr>
        <w:t>و اهل بيت</w:t>
      </w:r>
      <w:r>
        <w:rPr>
          <w:rtl w:val="true"/>
        </w:rPr>
        <w:t>(</w:t>
      </w:r>
      <w:r>
        <w:rPr>
          <w:rtl w:val="true"/>
        </w:rPr>
        <w:t>عليهما السلام</w:t>
      </w:r>
      <w:r>
        <w:rPr>
          <w:rtl w:val="true"/>
        </w:rPr>
        <w:t>)</w:t>
      </w:r>
      <w:bookmarkEnd w:id="159"/>
    </w:p>
    <w:p>
      <w:pPr>
        <w:pStyle w:val="BookText"/>
        <w:rPr/>
      </w:pPr>
      <w:r>
        <w:rPr>
          <w:rFonts w:ascii="IRNazanin" w:hAnsi="IRNazanin" w:eastAsia="IRNazanin"/>
          <w:color w:val="111111"/>
          <w:sz w:val="28"/>
          <w:sz w:val="28"/>
          <w:szCs w:val="28"/>
          <w:rtl w:val="true"/>
          <w:lang w:bidi="fa-IR"/>
        </w:rPr>
        <w:t>رسول گرامى اسلام و اهل بيت عزيز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كامل پيوند يافتن با خدا به وسيله ى ايمان آوردن و انجام كردار شايسته و عزت آفرينى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مقام راه يافتن به سرچشمه ى كمال الهى به جايى رسيد كه خداوند درباره ى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 لَعلى خُلُق عَظِيم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و تو اخلاق بزرگ و برجسته اى دارى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فضايل برجسته ى اخلاقى آن حضرت، عزت و شرافت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تاكيد بر پيروى از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160" w:name="pg7521_56417"/>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اطِيعُوا اللّهَ وَ اَطيعُوا الرَّسُولَ وَ اُولى الاَمْرِ مِنْكُمْ فَانْ تَنازَعْتُم فِى شَىْء فَرُدُّوهُ الَى اللّهِ والرَّسُولِ إنْ كُنْتُمْ تُؤمِنُونَ بِاللّهِ وَالْيَومِ الآخَر ذلِكَ خَيْرٌ وَ اَحْسَنُ تَأوِيلاً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خدا و اولوالامر،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امرى، اختلاف داشتيد، آن را به داورى خدا و رسول بگذاريد اگر به خدا و قيامت، ايمان داريد، اين كار نيكو و 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پيروى از پيامبر و جانشينان آن حضرت كه هر كدام به سرچشمه ى عزت، پيوسته اند، مايه ى عزت مندى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پيامبر گرامى هيچ گاه از خود ذلت نشان نداد و از مؤمنان نيز خواست به ذلت تن درندهند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مؤمنى نبايد نفس خود را خوار بشمارد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هنگامى كه از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 سخنى را كه خود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است، بازگويد، ايشان اين گفته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كارهاى بزرگ و با شرافت را دوست دارد و كارهاى پست و ذليل را خوش نمى دارد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61" w:name="__RefHeading___Toc2564037_1051229030"/>
      <w:bookmarkStart w:id="162" w:name="_Toc62"/>
      <w:bookmarkEnd w:id="161"/>
      <w:r>
        <w:rPr/>
        <w:t>4</w:t>
      </w:r>
      <w:r>
        <w:rPr>
          <w:rtl w:val="true"/>
        </w:rPr>
        <w:t xml:space="preserve">. </w:t>
      </w:r>
      <w:r>
        <w:rPr>
          <w:rtl w:val="true"/>
        </w:rPr>
        <w:t>پيوند با مؤمنان</w:t>
      </w:r>
      <w:bookmarkEnd w:id="162"/>
    </w:p>
    <w:p>
      <w:pPr>
        <w:pStyle w:val="BookText"/>
        <w:rPr/>
      </w:pPr>
      <w:r>
        <w:rPr>
          <w:rFonts w:ascii="IRNazanin" w:hAnsi="IRNazanin" w:eastAsia="IRNazanin"/>
          <w:color w:val="111111"/>
          <w:sz w:val="28"/>
          <w:sz w:val="28"/>
          <w:szCs w:val="28"/>
          <w:rtl w:val="true"/>
          <w:lang w:bidi="fa-IR"/>
        </w:rPr>
        <w:t xml:space="preserve">پيوند يافتن با مؤمنان كه افتخار بندگى خدا را دارند و عزت خويش را از سرچشمه ى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عامل عزت و مانع ذلت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 لِلْمُؤْمِنِينَ وَلكِنَّ الْمُنافِقيِنَ لا يَعْلَمُونَ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عزت از آن خدا و رسول او و مؤمنان است، ولى منافقان نمى دانند</w:t>
      </w:r>
      <w:r>
        <w:rPr>
          <w:rFonts w:eastAsia="IRNazanin" w:cs="IRNazanin"/>
          <w:color w:val="111111"/>
          <w:sz w:val="28"/>
          <w:szCs w:val="28"/>
          <w:rtl w:val="true"/>
          <w:lang w:bidi="fa-IR"/>
        </w:rPr>
        <w:t xml:space="preserve">. </w:t>
      </w:r>
      <w:bookmarkStart w:id="163" w:name="pg7521_56418"/>
    </w:p>
    <w:p>
      <w:pPr>
        <w:pStyle w:val="BookText"/>
        <w:rPr/>
      </w:pPr>
      <w:bookmarkEnd w:id="163"/>
      <w:r>
        <w:rPr>
          <w:rFonts w:ascii="IRNazanin" w:hAnsi="IRNazanin" w:eastAsia="IRNazanin"/>
          <w:color w:val="111111"/>
          <w:sz w:val="28"/>
          <w:sz w:val="28"/>
          <w:szCs w:val="28"/>
          <w:rtl w:val="true"/>
          <w:lang w:bidi="fa-IR"/>
        </w:rPr>
        <w:t>عزت و سعادت هيچ گاه با ولايت كافران و منافقان به دست نمى آيد و خداوند هرگونه ولايت كافران و مشركان را بر مؤمنان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خداوند هرگز براى كافران،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چيرگى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همانانى كه كافران را به جاى مؤمنان، دوست خود برمى گزينند، آيا مى خواهند از آنان عزت و آبرو بجويند، با اين كه همه ى عزت ها از آنِ خداست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آيات ياد شده برمى آيد كه كافران و مشركان در منطق و گفتوگو و روابط نظامى، سياسى، اقتصادى،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برترى و ولايتى نسبت به مؤمنان و مسلمانان نخواهند داشت و حق هيچ گونه سلطه اى بر امور مسلمانان را ندارند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64" w:name="__RefHeading___Toc2564039_1051229030"/>
      <w:bookmarkStart w:id="165" w:name="_Toc63"/>
      <w:bookmarkEnd w:id="164"/>
      <w:r>
        <w:rPr/>
        <w:t>5</w:t>
      </w:r>
      <w:r>
        <w:rPr>
          <w:rtl w:val="true"/>
        </w:rPr>
        <w:t xml:space="preserve">. </w:t>
      </w:r>
      <w:r>
        <w:rPr>
          <w:rtl w:val="true"/>
        </w:rPr>
        <w:t>روزى حلال</w:t>
      </w:r>
      <w:bookmarkEnd w:id="165"/>
    </w:p>
    <w:p>
      <w:pPr>
        <w:pStyle w:val="BookText"/>
        <w:rPr/>
      </w:pP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روزى حلال را جهاد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دوست دارد بنده اش را در تلاش براى به دست آوردن روزى حلال ببيند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انسان عزيز و شكست ناپذير بر سر سفره هاى حلال پرورش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هاى پاكيزه اى كه ما از آن شير نوشيده ايم، ذلت را بر ما روا نمى داند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به دست آوردن روزى حلال در عزت مندى انسان ها تاثير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ى حلال، آدمى را از مفاسد و خوارى هاى بسيارى، دور نگاه مى دارد و او را به </w:t>
      </w:r>
    </w:p>
    <w:p>
      <w:pPr>
        <w:pStyle w:val="BookText"/>
        <w:rPr/>
      </w:pPr>
      <w:r>
        <w:rPr>
          <w:rFonts w:ascii="Amiri" w:hAnsi="Amiri" w:eastAsia="Amiri" w:cs="Amiri"/>
          <w:color w:val="111111"/>
          <w:sz w:val="28"/>
          <w:sz w:val="28"/>
          <w:szCs w:val="28"/>
          <w:rtl w:val="true"/>
          <w:lang w:bidi="ar-SA"/>
        </w:rPr>
        <w:t>انسانى شجاع و با شرف بدل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شرافت مند باور دارد كه بايد با كوشش و توكل بر خداوند، روزى خويش را به دست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وَالْاَرضِ</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آيا جز خدا آفريدگارى است كه شما را از آسمان و زمين، روزى دهد؟</w:t>
      </w:r>
    </w:p>
    <w:p>
      <w:pPr>
        <w:pStyle w:val="BookText"/>
        <w:rPr/>
      </w:pPr>
      <w:r>
        <w:rPr>
          <w:rFonts w:ascii="Amiri" w:hAnsi="Amiri" w:eastAsia="Amiri" w:cs="Amiri"/>
          <w:color w:val="111111"/>
          <w:sz w:val="28"/>
          <w:sz w:val="28"/>
          <w:szCs w:val="28"/>
          <w:rtl w:val="true"/>
          <w:lang w:bidi="ar-SA"/>
        </w:rPr>
        <w:t>انسانى كه با عزت نفس، روزى خود را تنها از خدا درخواست كند، همواره شرافت و عزت خويش را حفظ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 لِرُسولِه وَلْلِمومِنِيِنُ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عزت مخصوص خدا و رسول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ديگران نياز داريد، با عزت نفس از آنان بخواهيد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بنابراين، تلاش براى به دست آوردن روزى حلال، داشتن عزت نفس و توكل كردن بر خداوند متعال، عزت و شرافت مندى را براى انسان به ارمغان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زمام داران اسلامى نيز در امور حكومتى و اجتماعى نبايد چيرگى بيگانگان را در عرصه هاى سياسى، فرهنگى،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با الگوپذيرى از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عزت و افتخار را در همه ى امور كشوردارى اجرا كنند و در برابر ستم گران و سلطه جويان جهان، عزت نفس نشان دهند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الگوى عزت و شرافت در جهان است،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فى عزّ خير من حياة فى ذل</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با عزت و شرف از زندگى همراه با خوارى، بهتر است</w:t>
      </w:r>
      <w:r>
        <w:rPr>
          <w:rFonts w:eastAsia="IRNazanin" w:cs="IRNazanin"/>
          <w:color w:val="111111"/>
          <w:sz w:val="28"/>
          <w:szCs w:val="28"/>
          <w:rtl w:val="true"/>
          <w:lang w:bidi="fa-IR"/>
        </w:rPr>
        <w:t xml:space="preserve">. </w:t>
      </w:r>
      <w:bookmarkStart w:id="166" w:name="pg7521_56420"/>
    </w:p>
    <w:p>
      <w:pPr>
        <w:pStyle w:val="BookText"/>
        <w:rPr/>
      </w:pPr>
      <w:bookmarkEnd w:id="166"/>
      <w:r>
        <w:rPr>
          <w:rFonts w:ascii="IRNazanin" w:hAnsi="IRNazanin" w:eastAsia="IRNazanin"/>
          <w:color w:val="111111"/>
          <w:sz w:val="28"/>
          <w:sz w:val="28"/>
          <w:szCs w:val="28"/>
          <w:rtl w:val="true"/>
          <w:lang w:bidi="fa-IR"/>
        </w:rPr>
        <w:t>هم چنين ايشان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خوارى از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فرياد پرخروش از حنجره اى برمى آيد كه در همه ى عمر، با قلبى سرشار از ايمان به خدا و كارنامه اى درخشان، با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پيوند بوده و همواره از روزى حلال برخوردار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درباره ى چنين افرادى كه نَفسى با شرف و عزت دارند،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ارْجِعِى الى رَبِّك راضِيةً مَرْضِيَّه فَادْخُلِى فِى عِبادِى وَ اْدخُلِى جَنَّتىِ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تو اى روح آرام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 حالى كه هم تو از او خشنودى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سلك بندگانم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او را عزيز دانسته و به سوى خويش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فرد يا اجتماع و حكومتى اگر بخواهد در دنيا و آخرت، با عزت زندگى كند، بايد به عوامل ياد شده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به خوارى تن درخواهد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 ديگرى كه با اين عوامل در تقابل باشد، عامل خوارى به شمار مى آيد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67" w:name="__RefHeading___Toc2564041_1051229030"/>
      <w:bookmarkStart w:id="168" w:name="_Toc64"/>
      <w:bookmarkEnd w:id="167"/>
      <w:r>
        <w:rPr>
          <w:rtl w:val="true"/>
        </w:rPr>
        <w:t xml:space="preserve">پى آمدهاى عوام زدگى و راه كارهاى مبارزه با آن از ديدگاه قرآن و حديث چيست؟ </w:t>
      </w:r>
      <w:r>
        <w:rPr>
          <w:rtl w:val="true"/>
        </w:rPr>
        <w:t xml:space="preserve">/ </w:t>
      </w:r>
      <w:r>
        <w:rPr>
          <w:rtl w:val="true"/>
        </w:rPr>
        <w:t>سيد جواد حسينى</w:t>
      </w:r>
      <w:bookmarkEnd w:id="168"/>
    </w:p>
    <w:p>
      <w:pPr>
        <w:pStyle w:val="Heading4"/>
        <w:numPr>
          <w:ilvl w:val="3"/>
          <w:numId w:val="1"/>
        </w:numPr>
        <w:rPr/>
      </w:pPr>
      <w:bookmarkStart w:id="169" w:name="__RefHeading___Toc2564043_1051229030"/>
      <w:bookmarkStart w:id="170" w:name="_Toc65"/>
      <w:bookmarkEnd w:id="169"/>
      <w:r>
        <w:rPr>
          <w:rtl w:val="true"/>
        </w:rPr>
        <w:t>اشاره</w:t>
      </w:r>
      <w:bookmarkEnd w:id="1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كه فرد دچار آفت مى شود ممكن است جامعه نيز به چنين مشكلى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هر جامعه اى ويژه ى آن جامعه است و با ويژگى هاى آن جامعه،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فلج كننده اى كه جامعه ى دينى دانشمندان به ويژه روحانيت ما را در هر زمان تهديد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1" w:name="pg7521_56421"/>
    </w:p>
    <w:p>
      <w:pPr>
        <w:pStyle w:val="BookText"/>
        <w:rPr/>
      </w:pPr>
      <w:bookmarkEnd w:id="171"/>
      <w:r>
        <w:rPr>
          <w:rFonts w:ascii="IRNazanin" w:hAnsi="IRNazanin" w:eastAsia="IRNazanin"/>
          <w:color w:val="111111"/>
          <w:sz w:val="28"/>
          <w:sz w:val="28"/>
          <w:szCs w:val="28"/>
          <w:rtl w:val="true"/>
          <w:lang w:bidi="fa-IR"/>
        </w:rPr>
        <w:t>گفتنى است عوام زدگى با مردم دارىو با مردم بودن،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دارى امرى است لازم و وظيفه اى است واجب، ولى اين همراهى نبايد رنگ و بوى عوام بودن به خود بگيرد</w:t>
      </w:r>
      <w:r>
        <w:rPr>
          <w:rFonts w:eastAsia="IRNazanin" w:cs="IRNazanin"/>
          <w:color w:val="111111"/>
          <w:sz w:val="28"/>
          <w:szCs w:val="28"/>
          <w:rtl w:val="true"/>
          <w:lang w:bidi="fa-IR"/>
        </w:rPr>
        <w:t>.</w:t>
      </w:r>
    </w:p>
    <w:p>
      <w:pPr>
        <w:pStyle w:val="Heading4"/>
        <w:numPr>
          <w:ilvl w:val="3"/>
          <w:numId w:val="1"/>
        </w:numPr>
        <w:rPr/>
      </w:pPr>
      <w:bookmarkStart w:id="172" w:name="__RefHeading___Toc2564045_1051229030"/>
      <w:bookmarkStart w:id="173" w:name="_Toc66"/>
      <w:bookmarkEnd w:id="172"/>
      <w:r>
        <w:rPr>
          <w:rtl w:val="true"/>
        </w:rPr>
        <w:t>پى آمدهاى عوام زدگى</w:t>
      </w:r>
      <w:bookmarkEnd w:id="173"/>
    </w:p>
    <w:p>
      <w:pPr>
        <w:pStyle w:val="Heading5"/>
        <w:numPr>
          <w:ilvl w:val="4"/>
          <w:numId w:val="1"/>
        </w:numPr>
        <w:rPr/>
      </w:pPr>
      <w:bookmarkStart w:id="174" w:name="__RefHeading___Toc2564047_1051229030"/>
      <w:bookmarkStart w:id="175" w:name="_Toc67"/>
      <w:bookmarkEnd w:id="174"/>
      <w:r>
        <w:rPr/>
        <w:t>1</w:t>
      </w:r>
      <w:r>
        <w:rPr>
          <w:rtl w:val="true"/>
        </w:rPr>
        <w:t xml:space="preserve">. </w:t>
      </w:r>
      <w:r>
        <w:rPr>
          <w:rtl w:val="true"/>
        </w:rPr>
        <w:t>سطحى انديشيدن</w:t>
      </w:r>
      <w:bookmarkEnd w:id="175"/>
    </w:p>
    <w:p>
      <w:pPr>
        <w:pStyle w:val="BookText"/>
        <w:rPr/>
      </w:pPr>
      <w:r>
        <w:rPr>
          <w:rFonts w:ascii="IRNazanin" w:hAnsi="IRNazanin" w:eastAsia="IRNazanin"/>
          <w:color w:val="111111"/>
          <w:sz w:val="28"/>
          <w:sz w:val="28"/>
          <w:szCs w:val="28"/>
          <w:rtl w:val="true"/>
          <w:lang w:bidi="fa-IR"/>
        </w:rPr>
        <w:t>عوام زدگان هنگام طرح مسايل اجتماعى مى كوشند براى حفظ جايگاه خود و به دليل اثرپذيرى از عوام، به مسايل سطحى و غير اصولى بپردازند و از مسايل اصولى چشم بپوشند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76" w:name="__RefHeading___Toc2564049_1051229030"/>
      <w:bookmarkStart w:id="177" w:name="_Toc68"/>
      <w:bookmarkEnd w:id="176"/>
      <w:r>
        <w:rPr/>
        <w:t>2</w:t>
      </w:r>
      <w:r>
        <w:rPr>
          <w:rtl w:val="true"/>
        </w:rPr>
        <w:t xml:space="preserve">. </w:t>
      </w:r>
      <w:r>
        <w:rPr>
          <w:rtl w:val="true"/>
        </w:rPr>
        <w:t>واپس گرايى</w:t>
      </w:r>
      <w:bookmarkEnd w:id="177"/>
    </w:p>
    <w:p>
      <w:pPr>
        <w:pStyle w:val="BookText"/>
        <w:rPr/>
      </w:pPr>
      <w:r>
        <w:rPr>
          <w:rFonts w:ascii="IRNazanin" w:hAnsi="IRNazanin" w:eastAsia="IRNazanin"/>
          <w:color w:val="111111"/>
          <w:sz w:val="28"/>
          <w:sz w:val="28"/>
          <w:szCs w:val="28"/>
          <w:rtl w:val="true"/>
          <w:lang w:bidi="fa-IR"/>
        </w:rPr>
        <w:t>عوام زدگى سبب مى شود روحانيت و بزرگان جامعه به جاى در دست گرفتن زمام كاروان، پيرو كاروان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هميشه با گذشته و آن چه بدان خو گرفته،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حق و باطل را تميز نمى دهد و هر تازه اى را بدعت يا هوا و هوس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ناموس خلقت و مقتضاى فطرت و طبيعت را نمى شناسد و هميشه از حفظ وضع موجود، هوادارى مى كند</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قرآن در آيات بى شمارى، اين حالت را نكوهش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آنان گفته مى شود از آن چه خداوند فرو فرستاده است، پيروى 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از آن چه پدران خود را بر آن يافتيم،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پدران آنان چيزى نمى فهميدند و هدايت نيافتند؟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اصولاً پيروى بى چون و چرا از پيشينيان پى آمدى جز واپس گرايى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نسل هاى پسين از نسل هاى پيشين، باتجربه تر و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زدگى بزرگان دينى و اثرپذيرى آنان از عوام در مخالفت با تجددگرايى، اين واپس گرايى را دو چندان خواهد ساخت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بحث، به يك نمونه ى تاريخى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حاج شيخ عبدالكريم حائرى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حوزه ى علميه ى قم تصميم گرفت تا شمارى از طلاب را براى فراگيرى زبان خارجى و برخى علوم مقدماتى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ايشان از اين كار، بهره گيرى از علوم جديد براى تبليغ درست اسلام در محيط هاى آموزشى جديد و حتى كشورهاى خارجى بود</w:t>
      </w:r>
      <w:r>
        <w:rPr>
          <w:rFonts w:eastAsia="IRNazanin" w:cs="IRNazanin"/>
          <w:color w:val="111111"/>
          <w:sz w:val="28"/>
          <w:szCs w:val="28"/>
          <w:rtl w:val="true"/>
          <w:lang w:bidi="fa-IR"/>
        </w:rPr>
        <w:t xml:space="preserve">. </w:t>
      </w:r>
      <w:bookmarkStart w:id="178" w:name="pg7521_56422"/>
    </w:p>
    <w:p>
      <w:pPr>
        <w:pStyle w:val="BookText"/>
        <w:rPr/>
      </w:pPr>
      <w:bookmarkEnd w:id="178"/>
      <w:r>
        <w:rPr>
          <w:rFonts w:ascii="IRNazanin" w:hAnsi="IRNazanin" w:eastAsia="IRNazanin"/>
          <w:color w:val="111111"/>
          <w:sz w:val="28"/>
          <w:sz w:val="28"/>
          <w:szCs w:val="28"/>
          <w:rtl w:val="true"/>
          <w:lang w:bidi="fa-IR"/>
        </w:rPr>
        <w:t>هم زمان با پخش شدن اين خبر، گروهى از عوام و شبه عوام تهران به قم رفتند و به ايشان هشدار دادند كه پول پرداختى مردم به شما به نام سهم امام براى اين نيست كه طلّاب، زبان كافران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چنين تهديد كردند كه اگر اين وضع ادامه يابد چنين و چنان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نيز چون دريافت پى گيرى اين كار به نابودى اساس حوزه ى علميّه خواهد انجاميد، از منظور عالى خود چشم پوشيد تا در فرصتى ديگر بدان جامه ى عمل بپوشاند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79" w:name="__RefHeading___Toc2564051_1051229030"/>
      <w:bookmarkStart w:id="180" w:name="_Toc69"/>
      <w:bookmarkEnd w:id="179"/>
      <w:r>
        <w:rPr/>
        <w:t>3</w:t>
      </w:r>
      <w:r>
        <w:rPr>
          <w:rtl w:val="true"/>
        </w:rPr>
        <w:t xml:space="preserve">. </w:t>
      </w:r>
      <w:r>
        <w:rPr>
          <w:rtl w:val="true"/>
        </w:rPr>
        <w:t>سكوت و سكون</w:t>
      </w:r>
      <w:bookmarkEnd w:id="180"/>
    </w:p>
    <w:p>
      <w:pPr>
        <w:pStyle w:val="BookText"/>
        <w:rPr/>
      </w:pPr>
      <w:r>
        <w:rPr>
          <w:rFonts w:ascii="IRNazanin" w:hAnsi="IRNazanin" w:eastAsia="IRNazanin"/>
          <w:color w:val="111111"/>
          <w:sz w:val="28"/>
          <w:sz w:val="28"/>
          <w:szCs w:val="28"/>
          <w:rtl w:val="true"/>
          <w:lang w:bidi="fa-IR"/>
        </w:rPr>
        <w:t>عوام زدگى سبب مى شود گاه بزرگان و رهبران دينى جامعه، سكوت را بر منطق، سكون را بر تحرك و نفى را بر اثبات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با طبيعت عوام،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 زمان زعامت و رياست مرحوم آيت الله آقا سيد ابوالحسن اصفهانى، گروهى از علما و فضلاى برجسته ى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بعضى مرجع تقليدند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نشستى مشترك به اين نتيجه رسيدند كه بايد در برنامه ى دروس طلاب، بازنگرى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آن بودند تا نيازهاى روز مسلمانان را در نظر بگيرند و مسايلى مانند اصول عقايد را در شمار برنامه ى درسى طلاب قرار دهند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چون اين خبر به آيت الله اصفهانى رسيد، معظّم له با فرا ياد آوردن جريان آيت الله حائرى پيغام داد كه تا من زنده هستم، كسى حق ندارد به تركيب اين حوزه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امامى كه به طلاّب داده مى شود تنها براى فقه و اصول است، نه چيز ديگر</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81" w:name="__RefHeading___Toc2564053_1051229030"/>
      <w:bookmarkStart w:id="182" w:name="_Toc70"/>
      <w:bookmarkEnd w:id="181"/>
      <w:r>
        <w:rPr/>
        <w:t>4</w:t>
      </w:r>
      <w:r>
        <w:rPr>
          <w:rtl w:val="true"/>
        </w:rPr>
        <w:t xml:space="preserve">. </w:t>
      </w:r>
      <w:r>
        <w:rPr>
          <w:rtl w:val="true"/>
        </w:rPr>
        <w:t>افزايش روح مسامحه كارى</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عوام به گسترش روزافزون رياكارى، تظاهرآرايى، سرپوش نهادن بر حقايق و رونق بازار عنوان و لقب هاى بلند بالا انجاميده كه در دنيا بى نظير است</w:t>
      </w:r>
      <w:r>
        <w:rPr>
          <w:rFonts w:eastAsia="IRNazanin" w:cs="IRNazanin"/>
          <w:color w:val="111111"/>
          <w:sz w:val="28"/>
          <w:szCs w:val="28"/>
          <w:rtl w:val="true"/>
          <w:lang w:bidi="fa-IR"/>
        </w:rPr>
        <w:t>.</w:t>
      </w:r>
      <w:r>
        <w:rPr>
          <w:rStyle w:val="FootnoteAnchor"/>
          <w:rtl w:val="true"/>
        </w:rPr>
        <w:footnoteReference w:id="131"/>
      </w:r>
      <w:bookmarkStart w:id="183" w:name="pg7521_56423"/>
    </w:p>
    <w:p>
      <w:pPr>
        <w:pStyle w:val="Heading5"/>
        <w:numPr>
          <w:ilvl w:val="4"/>
          <w:numId w:val="1"/>
        </w:numPr>
        <w:rPr/>
      </w:pPr>
      <w:bookmarkStart w:id="184" w:name="__RefHeading___Toc2564055_1051229030"/>
      <w:bookmarkStart w:id="185" w:name="_Toc71"/>
      <w:bookmarkEnd w:id="183"/>
      <w:bookmarkEnd w:id="184"/>
      <w:r>
        <w:rPr/>
        <w:t>5</w:t>
      </w:r>
      <w:r>
        <w:rPr>
          <w:rtl w:val="true"/>
        </w:rPr>
        <w:t xml:space="preserve">. </w:t>
      </w:r>
      <w:r>
        <w:rPr>
          <w:rtl w:val="true"/>
        </w:rPr>
        <w:t>دل خون شدن آزادمردان و اصلاح طلبان</w:t>
      </w:r>
      <w:bookmarkEnd w:id="185"/>
    </w:p>
    <w:p>
      <w:pPr>
        <w:pStyle w:val="BookText"/>
        <w:rPr/>
      </w:pPr>
      <w:r>
        <w:rPr>
          <w:rFonts w:ascii="IRNazanin" w:hAnsi="IRNazanin" w:eastAsia="IRNazanin"/>
          <w:color w:val="111111"/>
          <w:sz w:val="28"/>
          <w:sz w:val="28"/>
          <w:szCs w:val="28"/>
          <w:rtl w:val="true"/>
          <w:lang w:bidi="fa-IR"/>
        </w:rPr>
        <w:t>حكومت عوام، آزادمردان و اصلاح طلبان روحانيت هم چون آيات عظام حائرى، بروجردى،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دل خون كرده است 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اين هجران و اين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بگذار تا وقت دگر</w:t>
      </w:r>
    </w:p>
    <w:p>
      <w:pPr>
        <w:pStyle w:val="BookText"/>
        <w:rPr/>
      </w:pPr>
      <w:r>
        <w:rPr>
          <w:rFonts w:ascii="IRNazanin" w:hAnsi="IRNazanin" w:eastAsia="IRNazanin"/>
          <w:color w:val="111111"/>
          <w:sz w:val="28"/>
          <w:sz w:val="28"/>
          <w:szCs w:val="28"/>
          <w:rtl w:val="true"/>
          <w:lang w:bidi="fa-IR"/>
        </w:rPr>
        <w:t>اين بخش را با خاطره اى از استاد شهيد مرتضى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گيريم كه خود از پيش گامان اصلاح حوزه و سازمان روحانيت بود و از عوام زدگى، به شدت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هاى اقامتم در حوزه ى علميه ى قم كه افتخار شركت در محضر درس پرفيض مرحوم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يك روز در ضمن درس فقه، حديثى به ميان آمد به اين مضمون 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كردند و ايشان جوابى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همين مسأله از پدر شما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ايشان طور ديگر جواب دادند، كدام يك درست است؟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پدرم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آن وقت كه سراغ پدرم مى آمدند، با خلوص نيّت مى آمدند و قصدشان اين بود كه حقيقت را بفهمند، بروند و عمل كنند و او هم عين حقيقت را به آن ها مى گفت، ولى اين ها قصدشان هدايت يافتن و عمل نيست، بلكه مى خواهند ببينند از من چه مى شنوند تا به اين طرف و آن طرف بازگو كنند و فتنه به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كه با تقيه به آن ها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حديث متضمن تقيه از خودشيعه بود، نه از مخالفين، فرصتى به دست آن مرحوم داد كه درد دل خود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خودى ها مهم 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اول مرجعيت عامه، گمان مى كردم كه وظيفه من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مردم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من فتوا بدهم، مردم عمل مى كنند، ولى در جريان بعضى فتواها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برخلاف ذوق و سليقه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مطلب اين طور نيست</w:t>
      </w:r>
      <w:r>
        <w:rPr>
          <w:rFonts w:eastAsia="IRNazanin" w:cs="IRNazanin"/>
          <w:color w:val="111111"/>
          <w:sz w:val="28"/>
          <w:szCs w:val="28"/>
          <w:rtl w:val="true"/>
          <w:lang w:bidi="fa-IR"/>
        </w:rPr>
        <w:t>.</w:t>
      </w:r>
      <w:r>
        <w:rPr>
          <w:rStyle w:val="FootnoteAnchor"/>
          <w:rtl w:val="true"/>
        </w:rPr>
        <w:footnoteReference w:id="132"/>
      </w:r>
      <w:bookmarkStart w:id="186" w:name="pg7521_56424"/>
    </w:p>
    <w:p>
      <w:pPr>
        <w:pStyle w:val="Heading5"/>
        <w:numPr>
          <w:ilvl w:val="4"/>
          <w:numId w:val="1"/>
        </w:numPr>
        <w:rPr/>
      </w:pPr>
      <w:bookmarkStart w:id="187" w:name="__RefHeading___Toc2564057_1051229030"/>
      <w:bookmarkStart w:id="188" w:name="_Toc72"/>
      <w:bookmarkEnd w:id="186"/>
      <w:bookmarkEnd w:id="187"/>
      <w:r>
        <w:rPr/>
        <w:t>6</w:t>
      </w:r>
      <w:r>
        <w:rPr>
          <w:rtl w:val="true"/>
        </w:rPr>
        <w:t xml:space="preserve">. </w:t>
      </w:r>
      <w:r>
        <w:rPr>
          <w:rtl w:val="true"/>
        </w:rPr>
        <w:t>به رنج افتادن مردم</w:t>
      </w:r>
      <w:bookmarkEnd w:id="188"/>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رسول خدا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در بسيارى از امور، از شما پيروى كند، به مشقت خواهيد افتاد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همان گونه كه برخى مفسران گفته اند اين آيه نشان مى دهد پس از خبر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مرتد شدن طايفه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مسلمانان ساده دل و ظاهربين به پيامبر فشار مى آوردند كه با اين طايفه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قرآن مى فرمايد كه او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انتظار نداشته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تحميل افكار خود بر او فشار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به زيان شما است</w:t>
      </w:r>
      <w:r>
        <w:rPr>
          <w:rFonts w:eastAsia="IRNazanin" w:cs="IRNazanin"/>
          <w:color w:val="111111"/>
          <w:sz w:val="28"/>
          <w:szCs w:val="28"/>
          <w:rtl w:val="true"/>
          <w:lang w:bidi="fa-IR"/>
        </w:rPr>
        <w:t>.</w:t>
      </w:r>
    </w:p>
    <w:p>
      <w:pPr>
        <w:pStyle w:val="Heading5"/>
        <w:numPr>
          <w:ilvl w:val="4"/>
          <w:numId w:val="1"/>
        </w:numPr>
        <w:rPr/>
      </w:pPr>
      <w:bookmarkStart w:id="189" w:name="__RefHeading___Toc2564059_1051229030"/>
      <w:bookmarkStart w:id="190" w:name="_Toc73"/>
      <w:bookmarkEnd w:id="189"/>
      <w:r>
        <w:rPr/>
        <w:t>7</w:t>
      </w:r>
      <w:r>
        <w:rPr>
          <w:rtl w:val="true"/>
        </w:rPr>
        <w:t xml:space="preserve">. </w:t>
      </w:r>
      <w:r>
        <w:rPr>
          <w:rtl w:val="true"/>
        </w:rPr>
        <w:t>از دست دادن يارى خداوند و ولايت الهى</w:t>
      </w:r>
      <w:bookmarkEnd w:id="1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دست دادن يارى خداوند و ولايت الهى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جلب رضايت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اى دارد كه اگر از مرز خود گذشت، يارى خدا و ولايت او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هوا و هوس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كنى پس از آن كه آگاه شده اى، هيچ سرپرست و ياورى از ناحيه خدا براى تو نخواهد بود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91" w:name="__RefHeading___Toc2564061_1051229030"/>
      <w:bookmarkStart w:id="192" w:name="_Toc74"/>
      <w:bookmarkEnd w:id="191"/>
      <w:r>
        <w:rPr/>
        <w:t>8</w:t>
      </w:r>
      <w:r>
        <w:rPr>
          <w:rtl w:val="true"/>
        </w:rPr>
        <w:t xml:space="preserve">. </w:t>
      </w:r>
      <w:r>
        <w:rPr>
          <w:rtl w:val="true"/>
        </w:rPr>
        <w:t>تباهى جهان</w:t>
      </w:r>
      <w:bookmarkEnd w:id="19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براى آنان آورده است، ولى بيشتر آنان از حق كراهت دارند و اگر حق از هوس هاى آنان پيروى كند، آسمان ها و زمين و همه ى كسانى كه در آنان هستند، تباه مى شوند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رهبران دينى جامعه گوشزد مى كند كه رها كردن حق و پيروى از خواسته 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 بزرگى در پى دارد</w:t>
      </w:r>
      <w:r>
        <w:rPr>
          <w:rFonts w:eastAsia="IRNazanin" w:cs="IRNazanin"/>
          <w:color w:val="111111"/>
          <w:sz w:val="28"/>
          <w:szCs w:val="28"/>
          <w:rtl w:val="true"/>
          <w:lang w:bidi="fa-IR"/>
        </w:rPr>
        <w:t xml:space="preserve">. </w:t>
      </w:r>
      <w:bookmarkStart w:id="193" w:name="pg7521_56425"/>
    </w:p>
    <w:p>
      <w:pPr>
        <w:pStyle w:val="Heading4"/>
        <w:numPr>
          <w:ilvl w:val="3"/>
          <w:numId w:val="1"/>
        </w:numPr>
        <w:rPr/>
      </w:pPr>
      <w:bookmarkStart w:id="194" w:name="__RefHeading___Toc2564063_1051229030"/>
      <w:bookmarkStart w:id="195" w:name="_Toc75"/>
      <w:bookmarkEnd w:id="193"/>
      <w:bookmarkEnd w:id="194"/>
      <w:r>
        <w:rPr>
          <w:rtl w:val="true"/>
        </w:rPr>
        <w:t>پيش زمينه هاى عوام زدگى</w:t>
      </w:r>
      <w:bookmarkEnd w:id="195"/>
    </w:p>
    <w:p>
      <w:pPr>
        <w:pStyle w:val="Heading5"/>
        <w:numPr>
          <w:ilvl w:val="4"/>
          <w:numId w:val="1"/>
        </w:numPr>
        <w:rPr/>
      </w:pPr>
      <w:bookmarkStart w:id="196" w:name="__RefHeading___Toc2564065_1051229030"/>
      <w:bookmarkStart w:id="197" w:name="_Toc76"/>
      <w:bookmarkEnd w:id="196"/>
      <w:r>
        <w:rPr/>
        <w:t>1</w:t>
      </w:r>
      <w:r>
        <w:rPr>
          <w:rtl w:val="true"/>
        </w:rPr>
        <w:t xml:space="preserve">. </w:t>
      </w:r>
      <w:r>
        <w:rPr>
          <w:rtl w:val="true"/>
        </w:rPr>
        <w:t>وابستگى مالى</w:t>
      </w:r>
      <w:bookmarkEnd w:id="197"/>
    </w:p>
    <w:p>
      <w:pPr>
        <w:pStyle w:val="BookText"/>
        <w:rPr/>
      </w:pPr>
      <w:r>
        <w:rPr>
          <w:rFonts w:ascii="IRNazanin" w:hAnsi="IRNazanin" w:eastAsia="IRNazanin"/>
          <w:color w:val="111111"/>
          <w:sz w:val="28"/>
          <w:sz w:val="28"/>
          <w:szCs w:val="28"/>
          <w:rtl w:val="true"/>
          <w:lang w:bidi="fa-IR"/>
        </w:rPr>
        <w:t>گاهى عوام زدگى انديشمندان جامعه در وابستگى نظام مالى آنان به عوام ريشه دارد</w:t>
      </w:r>
      <w:r>
        <w:rPr>
          <w:rFonts w:eastAsia="IRNazanin" w:cs="IRNazanin"/>
          <w:color w:val="111111"/>
          <w:sz w:val="28"/>
          <w:szCs w:val="28"/>
          <w:rtl w:val="true"/>
          <w:lang w:bidi="fa-IR"/>
        </w:rPr>
        <w:t>.</w:t>
      </w:r>
    </w:p>
    <w:p>
      <w:pPr>
        <w:pStyle w:val="Heading5"/>
        <w:numPr>
          <w:ilvl w:val="4"/>
          <w:numId w:val="1"/>
        </w:numPr>
        <w:rPr/>
      </w:pPr>
      <w:bookmarkStart w:id="198" w:name="__RefHeading___Toc2564067_1051229030"/>
      <w:bookmarkStart w:id="199" w:name="_Toc77"/>
      <w:bookmarkEnd w:id="198"/>
      <w:r>
        <w:rPr/>
        <w:t>2</w:t>
      </w:r>
      <w:r>
        <w:rPr>
          <w:rtl w:val="true"/>
        </w:rPr>
        <w:t xml:space="preserve">. </w:t>
      </w:r>
      <w:r>
        <w:rPr>
          <w:rtl w:val="true"/>
        </w:rPr>
        <w:t>حفظ جايگاه اجتماعى</w:t>
      </w:r>
      <w:bookmarkEnd w:id="199"/>
    </w:p>
    <w:p>
      <w:pPr>
        <w:pStyle w:val="BookText"/>
        <w:rPr/>
      </w:pPr>
      <w:r>
        <w:rPr>
          <w:rFonts w:ascii="IRNazanin" w:hAnsi="IRNazanin" w:eastAsia="IRNazanin"/>
          <w:color w:val="111111"/>
          <w:sz w:val="28"/>
          <w:sz w:val="28"/>
          <w:szCs w:val="28"/>
          <w:rtl w:val="true"/>
          <w:lang w:bidi="fa-IR"/>
        </w:rPr>
        <w:t xml:space="preserve">گاهى حفظ جايگاه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ى بيت، مرجعيت، حفظ مقام يا به دست آوردن رأى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افراد به عوام زدگى روى آورند</w:t>
      </w:r>
      <w:r>
        <w:rPr>
          <w:rFonts w:eastAsia="IRNazanin" w:cs="IRNazanin"/>
          <w:color w:val="111111"/>
          <w:sz w:val="28"/>
          <w:szCs w:val="28"/>
          <w:rtl w:val="true"/>
          <w:lang w:bidi="fa-IR"/>
        </w:rPr>
        <w:t>.</w:t>
      </w:r>
    </w:p>
    <w:p>
      <w:pPr>
        <w:pStyle w:val="Heading5"/>
        <w:numPr>
          <w:ilvl w:val="4"/>
          <w:numId w:val="1"/>
        </w:numPr>
        <w:rPr/>
      </w:pPr>
      <w:bookmarkStart w:id="200" w:name="__RefHeading___Toc2564069_1051229030"/>
      <w:bookmarkStart w:id="201" w:name="_Toc78"/>
      <w:bookmarkEnd w:id="200"/>
      <w:r>
        <w:rPr/>
        <w:t>3</w:t>
      </w:r>
      <w:r>
        <w:rPr>
          <w:rtl w:val="true"/>
        </w:rPr>
        <w:t xml:space="preserve"> . </w:t>
      </w:r>
      <w:r>
        <w:rPr>
          <w:rtl w:val="true"/>
        </w:rPr>
        <w:t>سستى اراده</w:t>
      </w:r>
      <w:bookmarkEnd w:id="201"/>
    </w:p>
    <w:p>
      <w:pPr>
        <w:pStyle w:val="BookText"/>
        <w:rPr/>
      </w:pPr>
      <w:r>
        <w:rPr>
          <w:rFonts w:ascii="IRNazanin" w:hAnsi="IRNazanin" w:eastAsia="IRNazanin"/>
          <w:color w:val="111111"/>
          <w:sz w:val="28"/>
          <w:sz w:val="28"/>
          <w:szCs w:val="28"/>
          <w:rtl w:val="true"/>
          <w:lang w:bidi="fa-IR"/>
        </w:rPr>
        <w:t>گاهى آن چه حق تشخيص داده مى شود، به دليل سستى اراده، با صراحت در ميان، عوام بيان و اجرا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 فَتَوَكَّلْ عَلَى اللّه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w:t>
      </w:r>
      <w:r>
        <w:rPr>
          <w:rFonts w:eastAsia="IRNazanin" w:cs="IRNazanin"/>
          <w:color w:val="111111"/>
          <w:sz w:val="28"/>
          <w:szCs w:val="28"/>
          <w:rtl w:val="true"/>
          <w:lang w:bidi="fa-IR"/>
        </w:rPr>
        <w:t>.</w:t>
      </w:r>
    </w:p>
    <w:p>
      <w:pPr>
        <w:pStyle w:val="Heading5"/>
        <w:numPr>
          <w:ilvl w:val="4"/>
          <w:numId w:val="1"/>
        </w:numPr>
        <w:rPr/>
      </w:pPr>
      <w:bookmarkStart w:id="202" w:name="__RefHeading___Toc2564071_1051229030"/>
      <w:bookmarkStart w:id="203" w:name="_Toc79"/>
      <w:bookmarkEnd w:id="202"/>
      <w:r>
        <w:rPr/>
        <w:t>4</w:t>
      </w:r>
      <w:r>
        <w:rPr>
          <w:rtl w:val="true"/>
        </w:rPr>
        <w:t xml:space="preserve"> . </w:t>
      </w:r>
      <w:r>
        <w:rPr>
          <w:rtl w:val="true"/>
        </w:rPr>
        <w:t>سستى اخلاص</w:t>
      </w:r>
      <w:bookmarkEnd w:id="203"/>
    </w:p>
    <w:p>
      <w:pPr>
        <w:pStyle w:val="BookText"/>
        <w:rPr/>
      </w:pPr>
      <w:r>
        <w:rPr>
          <w:rFonts w:ascii="IRNazanin" w:hAnsi="IRNazanin" w:eastAsia="IRNazanin"/>
          <w:color w:val="111111"/>
          <w:sz w:val="28"/>
          <w:sz w:val="28"/>
          <w:szCs w:val="28"/>
          <w:rtl w:val="true"/>
          <w:lang w:bidi="fa-IR"/>
        </w:rPr>
        <w:t>اخلاص، راه را بر اثرگذارى وسوسه ها و وسوسه گران مى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اخلاص مراجع تقليد گذشته هم چون آيت الله العظمى بروجردى و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مرجعيّت از نمونه هاى عالى مبارزه با عوام زدگى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خاطره اى از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 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در اوايل مرجعيت خويش براى اداى نذر خود تصميم مى گيرند به مشهد مقدس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با اطرافيان خويش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بعد از جلسه ى مشورتى به اين نتيجه مى رسند كه فعلاً رفتن آقا به مشهد مقدس صلاح نيست، بيشتر روى اين جهت كه ايشان تازه به مرجعيت رسيده و هنوز مردم ايران مخصوصاً مردم تهران و مشهد كه در مسير و مقصد مسافرت ايشان هستند، ايشان را درست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204" w:name="pg7521_56426"/>
    </w:p>
    <w:p>
      <w:pPr>
        <w:pStyle w:val="BookText"/>
        <w:rPr/>
      </w:pPr>
      <w:bookmarkEnd w:id="204"/>
      <w:r>
        <w:rPr>
          <w:rFonts w:ascii="IRNazanin" w:hAnsi="IRNazanin" w:eastAsia="IRNazanin"/>
          <w:color w:val="111111"/>
          <w:sz w:val="28"/>
          <w:sz w:val="28"/>
          <w:szCs w:val="28"/>
          <w:rtl w:val="true"/>
          <w:lang w:bidi="fa-IR"/>
        </w:rPr>
        <w:t>تجليلى كه شايسته ى مقام ايشان هست، از ايشان به عمل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به انصراف ايشان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عذرهايى آورديم، ولى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حضار آن چه ما در دل داشتيم، اظهار داشت و وقتى ايشان فهميدند، ناگهان تغيير قيافه دادند و با لحنى جدى و روحانى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سال از خداوند عمر گرفته ام و خداوند تفضلاتى به من فرموده است كه هيچ كدام از آن ها تدبير خود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هفتاد سال شايسته نيست خودم به فكر خودم باشم و براى شؤونات خود بيانديشم</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05" w:name="__RefHeading___Toc2564073_1051229030"/>
      <w:bookmarkStart w:id="206" w:name="_Toc80"/>
      <w:bookmarkEnd w:id="205"/>
      <w:r>
        <w:rPr/>
        <w:t>5</w:t>
      </w:r>
      <w:r>
        <w:rPr>
          <w:rtl w:val="true"/>
        </w:rPr>
        <w:t xml:space="preserve">. </w:t>
      </w:r>
      <w:r>
        <w:rPr>
          <w:rtl w:val="true"/>
        </w:rPr>
        <w:t>ناآگاهى از زمان</w:t>
      </w:r>
      <w:bookmarkEnd w:id="206"/>
    </w:p>
    <w:p>
      <w:pPr>
        <w:pStyle w:val="BookText"/>
        <w:rPr/>
      </w:pPr>
      <w:r>
        <w:rPr>
          <w:rFonts w:ascii="IRNazanin" w:hAnsi="IRNazanin" w:eastAsia="IRNazanin"/>
          <w:color w:val="111111"/>
          <w:sz w:val="28"/>
          <w:sz w:val="28"/>
          <w:szCs w:val="28"/>
          <w:rtl w:val="true"/>
          <w:lang w:bidi="fa-IR"/>
        </w:rPr>
        <w:t>آگاه نبودن از نقشه هاى شوم بيگانگان و بى خبرى از مصالح جهان اسلام، يكى ديگر از عوامل عوام زدگى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زمان را بشناسد، از برخورد با رويدادهاى آن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ماند، بلكه براى رويارويى با آن ها، آمادگى پيدا مى كند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07" w:name="__RefHeading___Toc2564075_1051229030"/>
      <w:bookmarkStart w:id="208" w:name="_Toc81"/>
      <w:bookmarkEnd w:id="207"/>
      <w:r>
        <w:rPr>
          <w:rtl w:val="true"/>
        </w:rPr>
        <w:t>راه كارهاى مبارزه با عوام زدگى</w:t>
      </w:r>
      <w:bookmarkEnd w:id="208"/>
    </w:p>
    <w:p>
      <w:pPr>
        <w:pStyle w:val="Heading5"/>
        <w:numPr>
          <w:ilvl w:val="4"/>
          <w:numId w:val="1"/>
        </w:numPr>
        <w:rPr/>
      </w:pPr>
      <w:bookmarkStart w:id="209" w:name="__RefHeading___Toc2564077_1051229030"/>
      <w:bookmarkStart w:id="210" w:name="_Toc82"/>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در اين بخش، راه كارهاى مبارزه با عوام زدگى را از ديدگاه قرآن و روايات بررسى مى كنيم</w:t>
      </w:r>
      <w:r>
        <w:rPr>
          <w:rFonts w:eastAsia="IRNazanin" w:cs="IRNazanin"/>
          <w:color w:val="111111"/>
          <w:sz w:val="28"/>
          <w:szCs w:val="28"/>
          <w:rtl w:val="true"/>
          <w:lang w:bidi="fa-IR"/>
        </w:rPr>
        <w:t>.</w:t>
      </w:r>
    </w:p>
    <w:p>
      <w:pPr>
        <w:pStyle w:val="Heading5"/>
        <w:numPr>
          <w:ilvl w:val="4"/>
          <w:numId w:val="1"/>
        </w:numPr>
        <w:rPr/>
      </w:pPr>
      <w:bookmarkStart w:id="211" w:name="__RefHeading___Toc2564079_1051229030"/>
      <w:bookmarkStart w:id="212" w:name="_Toc83"/>
      <w:bookmarkEnd w:id="211"/>
      <w:r>
        <w:rPr/>
        <w:t>1</w:t>
      </w:r>
      <w:r>
        <w:rPr>
          <w:rtl w:val="true"/>
        </w:rPr>
        <w:t xml:space="preserve">. </w:t>
      </w:r>
      <w:r>
        <w:rPr>
          <w:rtl w:val="true"/>
        </w:rPr>
        <w:t>اصلاح معاش انديشمندان جامعه</w:t>
      </w:r>
      <w:bookmarkEnd w:id="212"/>
    </w:p>
    <w:p>
      <w:pPr>
        <w:pStyle w:val="BookText"/>
        <w:rPr/>
      </w:pPr>
      <w:r>
        <w:rPr>
          <w:rFonts w:ascii="Amiri" w:hAnsi="Amiri" w:eastAsia="Amiri" w:cs="Amiri"/>
          <w:color w:val="111111"/>
          <w:sz w:val="28"/>
          <w:sz w:val="28"/>
          <w:szCs w:val="28"/>
          <w:rtl w:val="true"/>
          <w:lang w:bidi="ar-SA"/>
        </w:rPr>
        <w:t>در اين زمينه به طرحى كه شهيد مطهرى ارايه داده است، مراجعه شود</w:t>
      </w:r>
      <w:r>
        <w:rPr>
          <w:rFonts w:eastAsia="Amiri" w:cs="Amiri" w:ascii="Amiri" w:hAnsi="Amiri"/>
          <w:color w:val="111111"/>
          <w:sz w:val="28"/>
          <w:szCs w:val="28"/>
          <w:rtl w:val="true"/>
          <w:lang w:bidi="ar-SA"/>
        </w:rPr>
        <w:t>.</w:t>
      </w:r>
      <w:r>
        <w:rPr>
          <w:rStyle w:val="FootnoteAnchor"/>
          <w:rtl w:val="true"/>
        </w:rPr>
        <w:footnoteReference w:id="140"/>
      </w:r>
    </w:p>
    <w:p>
      <w:pPr>
        <w:pStyle w:val="Heading5"/>
        <w:numPr>
          <w:ilvl w:val="4"/>
          <w:numId w:val="1"/>
        </w:numPr>
        <w:rPr/>
      </w:pPr>
      <w:bookmarkStart w:id="213" w:name="__RefHeading___Toc2564081_1051229030"/>
      <w:bookmarkStart w:id="214" w:name="_Toc84"/>
      <w:bookmarkEnd w:id="213"/>
      <w:r>
        <w:rPr/>
        <w:t>2</w:t>
      </w:r>
      <w:r>
        <w:rPr>
          <w:rtl w:val="true"/>
        </w:rPr>
        <w:t xml:space="preserve">. </w:t>
      </w:r>
      <w:r>
        <w:rPr>
          <w:rtl w:val="true"/>
        </w:rPr>
        <w:t>سامان دهى پايگاه هاى فكرى جامعه</w:t>
      </w:r>
      <w:bookmarkEnd w:id="21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برخوردارى از نظم و انضباط تشكيلاتى يكى از اصول مقدس زندگى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نظمى كارى، ايمان و معنويت را متزلزل مى سازد و به پيدايش محيطى فاسد مى انجامد</w:t>
      </w:r>
      <w:r>
        <w:rPr>
          <w:rFonts w:eastAsia="IRNazanin" w:cs="IRNazanin"/>
          <w:color w:val="111111"/>
          <w:sz w:val="28"/>
          <w:szCs w:val="28"/>
          <w:rtl w:val="true"/>
          <w:lang w:bidi="fa-IR"/>
        </w:rPr>
        <w:t>.</w:t>
      </w:r>
      <w:r>
        <w:rPr>
          <w:rStyle w:val="FootnoteAnchor"/>
          <w:rtl w:val="true"/>
        </w:rPr>
        <w:footnoteReference w:id="141"/>
      </w:r>
      <w:bookmarkStart w:id="215" w:name="pg7521_56427"/>
    </w:p>
    <w:p>
      <w:pPr>
        <w:pStyle w:val="Heading5"/>
        <w:numPr>
          <w:ilvl w:val="4"/>
          <w:numId w:val="1"/>
        </w:numPr>
        <w:rPr/>
      </w:pPr>
      <w:bookmarkStart w:id="216" w:name="__RefHeading___Toc2564083_1051229030"/>
      <w:bookmarkStart w:id="217" w:name="_Toc85"/>
      <w:bookmarkEnd w:id="215"/>
      <w:bookmarkEnd w:id="216"/>
      <w:r>
        <w:rPr/>
        <w:t>3</w:t>
      </w:r>
      <w:r>
        <w:rPr>
          <w:rtl w:val="true"/>
        </w:rPr>
        <w:t xml:space="preserve">. </w:t>
      </w:r>
      <w:r>
        <w:rPr>
          <w:rtl w:val="true"/>
        </w:rPr>
        <w:t>تقويت معنويت و خداباورى</w:t>
      </w:r>
      <w:bookmarkEnd w:id="217"/>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پرهيزكاران كسانى هستند كه خدا در جان شان، بزرگ و ديگران، كوچك مقدارند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بايد اين باور پديد آيد كه واقعاً خداوند براى پشتيبانى و اداره ى زندگى انسان،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الله بكاف عَبْدَهُ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مربى مردم بايد خودش منزّه و مهذّب باشد</w:t>
      </w:r>
      <w:r>
        <w:rPr>
          <w:rFonts w:eastAsia="Amiri" w:cs="Amiri" w:ascii="Amiri" w:hAnsi="Amiri"/>
          <w:color w:val="111111"/>
          <w:sz w:val="28"/>
          <w:szCs w:val="28"/>
          <w:rtl w:val="true"/>
          <w:lang w:bidi="ar-SA"/>
        </w:rPr>
        <w:t>.</w:t>
      </w:r>
      <w:r>
        <w:rPr>
          <w:rStyle w:val="FootnoteAnchor"/>
          <w:rtl w:val="true"/>
        </w:rPr>
        <w:footnoteReference w:id="144"/>
      </w:r>
    </w:p>
    <w:p>
      <w:pPr>
        <w:pStyle w:val="Heading5"/>
        <w:numPr>
          <w:ilvl w:val="4"/>
          <w:numId w:val="1"/>
        </w:numPr>
        <w:rPr/>
      </w:pPr>
      <w:bookmarkStart w:id="218" w:name="__RefHeading___Toc2564085_1051229030"/>
      <w:bookmarkStart w:id="219" w:name="_Toc86"/>
      <w:bookmarkEnd w:id="218"/>
      <w:r>
        <w:rPr/>
        <w:t>4</w:t>
      </w:r>
      <w:r>
        <w:rPr>
          <w:rtl w:val="true"/>
        </w:rPr>
        <w:t xml:space="preserve">. </w:t>
      </w:r>
      <w:r>
        <w:rPr>
          <w:rtl w:val="true"/>
        </w:rPr>
        <w:t>دورى از ستايش گران سودجو</w:t>
      </w:r>
      <w:bookmarkEnd w:id="219"/>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كه تو را بستايد، سرت را بريده است</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هر كس در معايب تو با تو مداهنه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به تو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هر گاه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بستايند، از آن چه در تعريف او گفته شود، در هراس مى افتد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ديگران بهتر مى شناسم و خدا مرا بهتر از من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چه مى گويند، محاكمه نكن و بهتر از آن قرارم ده كه مى گويند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مى توانى با پرواپيشه گان و راست گويان بپيوندى و آنان را چنان پرورش ده كه تو را فراوان نستايند و تو را براى كردار زشتى كه انجام نداده اى، تشويق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ستايش بى اندازه، خودپسندى مى آورد و انسان را به سركشى وا مى دارد</w:t>
      </w:r>
      <w:r>
        <w:rPr>
          <w:rFonts w:eastAsia="IRNazanin" w:cs="IRNazanin"/>
          <w:color w:val="111111"/>
          <w:sz w:val="28"/>
          <w:szCs w:val="28"/>
          <w:rtl w:val="true"/>
          <w:lang w:bidi="fa-IR"/>
        </w:rPr>
        <w:t>.</w:t>
      </w:r>
      <w:r>
        <w:rPr>
          <w:rStyle w:val="FootnoteAnchor"/>
          <w:rtl w:val="true"/>
        </w:rPr>
        <w:footnoteReference w:id="148"/>
      </w:r>
      <w:bookmarkStart w:id="220" w:name="pg7521_56428"/>
    </w:p>
    <w:p>
      <w:pPr>
        <w:pStyle w:val="BookText"/>
        <w:rPr/>
      </w:pPr>
      <w:bookmarkEnd w:id="220"/>
      <w:r>
        <w:rPr>
          <w:rFonts w:ascii="Amiri" w:hAnsi="Amiri" w:eastAsia="Amiri" w:cs="Amiri"/>
          <w:color w:val="111111"/>
          <w:sz w:val="28"/>
          <w:sz w:val="28"/>
          <w:szCs w:val="28"/>
          <w:rtl w:val="true"/>
          <w:lang w:bidi="ar-SA"/>
        </w:rPr>
        <w:t>اين سخنان بايد درباره ى افراد بيوت و اطرافيان مراجع رعايت شود</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564087_1051229030"/>
      <w:bookmarkStart w:id="222" w:name="_Toc87"/>
      <w:bookmarkEnd w:id="221"/>
      <w:r>
        <w:rPr/>
        <w:t>5</w:t>
      </w:r>
      <w:r>
        <w:rPr>
          <w:rtl w:val="true"/>
        </w:rPr>
        <w:t xml:space="preserve">. </w:t>
      </w:r>
      <w:r>
        <w:rPr>
          <w:rtl w:val="true"/>
        </w:rPr>
        <w:t>پرهيز از زودباورى</w:t>
      </w:r>
      <w:bookmarkEnd w:id="222"/>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تعجلنّ الى تصديق ساع</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تصديق سخن 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چين گرچه در لباس اندرزدهنده ظاهر مى شود ولى خيانت كار است</w:t>
      </w:r>
      <w:r>
        <w:rPr>
          <w:rFonts w:eastAsia="IRNazanin" w:cs="IRNazanin"/>
          <w:color w:val="111111"/>
          <w:sz w:val="28"/>
          <w:szCs w:val="28"/>
          <w:rtl w:val="true"/>
          <w:lang w:bidi="fa-IR"/>
        </w:rPr>
        <w:t>.</w:t>
      </w:r>
    </w:p>
    <w:p>
      <w:pPr>
        <w:pStyle w:val="Heading5"/>
        <w:numPr>
          <w:ilvl w:val="4"/>
          <w:numId w:val="1"/>
        </w:numPr>
        <w:rPr/>
      </w:pPr>
      <w:bookmarkStart w:id="223" w:name="__RefHeading___Toc2564089_1051229030"/>
      <w:bookmarkStart w:id="224" w:name="_Toc88"/>
      <w:bookmarkEnd w:id="223"/>
      <w:r>
        <w:rPr/>
        <w:t>6</w:t>
      </w:r>
      <w:r>
        <w:rPr>
          <w:rtl w:val="true"/>
        </w:rPr>
        <w:t xml:space="preserve">. </w:t>
      </w:r>
      <w:r>
        <w:rPr>
          <w:rtl w:val="true"/>
        </w:rPr>
        <w:t>نهراسيدن از روى گردانى مردم و سرزنش سرزنش كنندگان</w:t>
      </w:r>
      <w:bookmarkEnd w:id="22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نهراسيدن از روى گردانى مردم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سرزنش سرزنش كنندگان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5" w:name="__RefHeading___Toc2564091_1051229030"/>
      <w:bookmarkStart w:id="226" w:name="_Toc89"/>
      <w:bookmarkEnd w:id="225"/>
      <w:r>
        <w:rPr/>
        <w:t>7</w:t>
      </w:r>
      <w:r>
        <w:rPr>
          <w:rtl w:val="true"/>
        </w:rPr>
        <w:t xml:space="preserve">. </w:t>
      </w:r>
      <w:r>
        <w:rPr>
          <w:rtl w:val="true"/>
        </w:rPr>
        <w:t>حق محورى، نه مريد بازى</w:t>
      </w:r>
      <w:bookmarkEnd w:id="226"/>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 پيشه گان در باطل، وارد نمى شوند و از محور حق، بيرون نمى روند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27" w:name="__RefHeading___Toc2564093_1051229030"/>
      <w:bookmarkStart w:id="228" w:name="_Toc90"/>
      <w:bookmarkEnd w:id="227"/>
      <w:r>
        <w:rPr/>
        <w:t>8</w:t>
      </w:r>
      <w:r>
        <w:rPr>
          <w:rtl w:val="true"/>
        </w:rPr>
        <w:t xml:space="preserve">. </w:t>
      </w:r>
      <w:r>
        <w:rPr>
          <w:rtl w:val="true"/>
        </w:rPr>
        <w:t>حضور آگاهانه در صحنه</w:t>
      </w:r>
      <w:bookmarkEnd w:id="228"/>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روحانيون همان طورى كه بايد علم را بياموزيد و تقوا در رأس برنامه هاى شما باشد، در مهيا بودن از براى دخالت در امور سياسى و اجتماعى و دخالت در مشكلات و حاضر بودن براى دفع از كشور اسلامى بايد كوشش كنيد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حضور در صحنه هاى سياسى كشور در دورى از عوام زدگى،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همين عوام زدگى ها، كار را به آن جا رسانده بود كه به گفته ى امام راحل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طورى تبليغ شده بود كه همه باورشان آمده بود، تقريباً دخالت در سياست يك فحشى بود براى اهل علم،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آخوند سياسى است</w:t>
      </w:r>
      <w:r>
        <w:rPr>
          <w:rFonts w:eastAsia="IRNazanin" w:cs="IRNazanin"/>
          <w:color w:val="111111"/>
          <w:sz w:val="28"/>
          <w:szCs w:val="28"/>
          <w:rtl w:val="true"/>
          <w:lang w:bidi="fa-IR"/>
        </w:rPr>
        <w:t>!</w:t>
      </w:r>
      <w:r>
        <w:rPr>
          <w:rStyle w:val="FootnoteAnchor"/>
          <w:rtl w:val="true"/>
        </w:rPr>
        <w:footnoteReference w:id="152"/>
      </w:r>
      <w:bookmarkStart w:id="229" w:name="pg7521_56429"/>
    </w:p>
    <w:p>
      <w:pPr>
        <w:pStyle w:val="Heading4"/>
        <w:numPr>
          <w:ilvl w:val="3"/>
          <w:numId w:val="1"/>
        </w:numPr>
        <w:rPr/>
      </w:pPr>
      <w:bookmarkStart w:id="230" w:name="__RefHeading___Toc2564095_1051229030"/>
      <w:bookmarkStart w:id="231" w:name="_Toc91"/>
      <w:bookmarkEnd w:id="229"/>
      <w:bookmarkEnd w:id="230"/>
      <w:r>
        <w:rPr>
          <w:rtl w:val="true"/>
        </w:rPr>
        <w:t>نتيجه</w:t>
      </w:r>
      <w:bookmarkEnd w:id="231"/>
    </w:p>
    <w:p>
      <w:pPr>
        <w:pStyle w:val="BookText"/>
        <w:rPr/>
      </w:pPr>
      <w:r>
        <w:rPr>
          <w:rFonts w:ascii="IRNazanin" w:hAnsi="IRNazanin" w:eastAsia="IRNazanin"/>
          <w:color w:val="111111"/>
          <w:sz w:val="28"/>
          <w:sz w:val="28"/>
          <w:szCs w:val="28"/>
          <w:rtl w:val="true"/>
          <w:lang w:bidi="fa-IR"/>
        </w:rPr>
        <w:t>عوام زدگى يكى از مهم ترين آفت هاى جامعه ى دينى و روحانيت است كه پى آمدهاى زيان بارى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عوامل پيدايش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مالى، حفظ پايگاه اجتماعى، دور بودن از صحنه ى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با آن نيز اصلاح معاش حوزه ها، آگاهى بخشيدن و تقويت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32" w:name="__RefHeading___Toc2564097_1051229030"/>
      <w:bookmarkStart w:id="233" w:name="_Toc92"/>
      <w:bookmarkEnd w:id="232"/>
      <w:r>
        <w:rPr>
          <w:rtl w:val="true"/>
        </w:rPr>
        <w:t xml:space="preserve">از ديدگاه قرآن و مكتب حسينى، خواص چه ويژگى هايى دارند و با چه آسيب هايى روبه رو هستند؟ </w:t>
      </w:r>
      <w:r>
        <w:rPr>
          <w:rtl w:val="true"/>
        </w:rPr>
        <w:t xml:space="preserve">/ </w:t>
      </w:r>
      <w:r>
        <w:rPr>
          <w:rtl w:val="true"/>
        </w:rPr>
        <w:t>محمد رضا هفت تنانيان</w:t>
      </w:r>
      <w:bookmarkEnd w:id="233"/>
    </w:p>
    <w:p>
      <w:pPr>
        <w:pStyle w:val="Heading4"/>
        <w:numPr>
          <w:ilvl w:val="3"/>
          <w:numId w:val="1"/>
        </w:numPr>
        <w:rPr/>
      </w:pPr>
      <w:bookmarkStart w:id="234" w:name="__RefHeading___Toc2564099_1051229030"/>
      <w:bookmarkStart w:id="235" w:name="_Toc93"/>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خواص در عزّت بخشيدن به جامعه يا به ذلّت كشيدن آن، نقش بسيار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و فرهيختگان جامعه به وظايف خود عمل كنند، جامعه اى ارزش مدار و حق گرا تشكيل خواهد شد و با دارا بودن جايگاه ويژه اى نزد خداوند، جامعه نيز به عزت خواهد رسيد،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اُوتُوا الْعِلْمَ دَرَجاتِ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خداوند ايمان آورندگان و دانشمندان را به حسب درجات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خواص به وظايف خود عمل نكنند، خود را خوار مى كنند و جامعه را نيز به ذلّت مى كشانند</w:t>
      </w:r>
      <w:r>
        <w:rPr>
          <w:rFonts w:eastAsia="IRNazanin" w:cs="IRNazanin"/>
          <w:color w:val="111111"/>
          <w:sz w:val="28"/>
          <w:szCs w:val="28"/>
          <w:rtl w:val="true"/>
          <w:lang w:bidi="fa-IR"/>
        </w:rPr>
        <w:t>.</w:t>
      </w:r>
    </w:p>
    <w:p>
      <w:pPr>
        <w:pStyle w:val="Heading4"/>
        <w:numPr>
          <w:ilvl w:val="3"/>
          <w:numId w:val="1"/>
        </w:numPr>
        <w:rPr/>
      </w:pPr>
      <w:bookmarkStart w:id="236" w:name="__RefHeading___Toc2564101_1051229030"/>
      <w:bookmarkStart w:id="237" w:name="_Toc94"/>
      <w:bookmarkEnd w:id="236"/>
      <w:r>
        <w:rPr>
          <w:rtl w:val="true"/>
        </w:rPr>
        <w:t>ويژگى هاى خواص</w:t>
      </w:r>
      <w:bookmarkEnd w:id="237"/>
    </w:p>
    <w:p>
      <w:pPr>
        <w:pStyle w:val="Heading5"/>
        <w:numPr>
          <w:ilvl w:val="4"/>
          <w:numId w:val="1"/>
        </w:numPr>
        <w:rPr/>
      </w:pPr>
      <w:bookmarkStart w:id="238" w:name="__RefHeading___Toc2564103_1051229030"/>
      <w:bookmarkStart w:id="239" w:name="_Toc95"/>
      <w:bookmarkEnd w:id="238"/>
      <w:r>
        <w:rPr>
          <w:rtl w:val="true"/>
        </w:rPr>
        <w:t>اشاره</w:t>
      </w:r>
      <w:bookmarkEnd w:id="2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به گروهى گفته مى شود كه دانا و بينا هستند و مى توانند مسايل اجتماعى و سياسى را به درستى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خواص براساس آگاهى و بصيرت است و در جامعه اثرگذار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كسى كه اين ويژگى ها را دارد حتماً از قشر تحصيل كرده باشد</w:t>
      </w:r>
      <w:r>
        <w:rPr>
          <w:rFonts w:eastAsia="IRNazanin" w:cs="IRNazanin"/>
          <w:color w:val="111111"/>
          <w:sz w:val="28"/>
          <w:szCs w:val="28"/>
          <w:rtl w:val="true"/>
          <w:lang w:bidi="fa-IR"/>
        </w:rPr>
        <w:t xml:space="preserve">. </w:t>
      </w:r>
      <w:bookmarkStart w:id="240" w:name="pg7521_56430"/>
    </w:p>
    <w:p>
      <w:pPr>
        <w:pStyle w:val="Heading5"/>
        <w:numPr>
          <w:ilvl w:val="4"/>
          <w:numId w:val="1"/>
        </w:numPr>
        <w:rPr/>
      </w:pPr>
      <w:bookmarkStart w:id="241" w:name="__RefHeading___Toc2564105_1051229030"/>
      <w:bookmarkStart w:id="242" w:name="_Toc96"/>
      <w:bookmarkEnd w:id="240"/>
      <w:bookmarkEnd w:id="241"/>
      <w:r>
        <w:rPr/>
        <w:t>1</w:t>
      </w:r>
      <w:r>
        <w:rPr>
          <w:rtl w:val="true"/>
        </w:rPr>
        <w:t xml:space="preserve">. </w:t>
      </w:r>
      <w:r>
        <w:rPr>
          <w:rtl w:val="true"/>
        </w:rPr>
        <w:t>پرهيزكارى</w:t>
      </w:r>
      <w:bookmarkEnd w:id="242"/>
    </w:p>
    <w:p>
      <w:pPr>
        <w:pStyle w:val="BookText"/>
        <w:rPr/>
      </w:pPr>
      <w:r>
        <w:rPr>
          <w:rFonts w:ascii="IRNazanin" w:hAnsi="IRNazanin" w:eastAsia="IRNazanin"/>
          <w:color w:val="111111"/>
          <w:sz w:val="28"/>
          <w:sz w:val="28"/>
          <w:szCs w:val="28"/>
          <w:rtl w:val="true"/>
          <w:lang w:bidi="fa-IR"/>
        </w:rPr>
        <w:t>هر كس پرهيزكار باشد، خداوند نيز عنايت خود را شامل حال او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بسيارى، پرهيزكارى را در شمار ويژگى هاى مؤمنان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به پيامبر او بگرويد تا از رحمت خويش شما را دو بهره عطا كند و براى شما نورى قرار دهد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سپريد و بر شما ببخشايد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داريد براى شما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Heading5"/>
        <w:numPr>
          <w:ilvl w:val="4"/>
          <w:numId w:val="1"/>
        </w:numPr>
        <w:rPr/>
      </w:pPr>
      <w:bookmarkStart w:id="243" w:name="__RefHeading___Toc2564107_1051229030"/>
      <w:bookmarkStart w:id="244" w:name="_Toc97"/>
      <w:bookmarkEnd w:id="243"/>
      <w:r>
        <w:rPr/>
        <w:t>2</w:t>
      </w:r>
      <w:r>
        <w:rPr>
          <w:rtl w:val="true"/>
        </w:rPr>
        <w:t xml:space="preserve">. </w:t>
      </w:r>
      <w:r>
        <w:rPr>
          <w:rtl w:val="true"/>
        </w:rPr>
        <w:t>بصيرت</w:t>
      </w:r>
      <w:bookmarkEnd w:id="244"/>
    </w:p>
    <w:p>
      <w:pPr>
        <w:pStyle w:val="BookText"/>
        <w:rPr/>
      </w:pPr>
      <w:r>
        <w:rPr>
          <w:rFonts w:ascii="IRNazanin" w:hAnsi="IRNazanin" w:eastAsia="IRNazanin"/>
          <w:color w:val="111111"/>
          <w:sz w:val="28"/>
          <w:sz w:val="28"/>
          <w:szCs w:val="28"/>
          <w:rtl w:val="true"/>
          <w:lang w:bidi="fa-IR"/>
        </w:rPr>
        <w:t>خواص، اهل بصيرت، تحليل و ژرف نگرى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ى كافران و دنياپرستان ظاهربين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آنان تنها ظاهرى از زندگى دنيا را مى بينند و از آخرت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عمويش، ابوالفضل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عمنا العباس نافذ البصيرة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عموى ما،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بصيرتى ژرف داشت</w:t>
      </w:r>
      <w:r>
        <w:rPr>
          <w:rFonts w:eastAsia="IRNazanin" w:cs="IRNazanin"/>
          <w:color w:val="111111"/>
          <w:sz w:val="28"/>
          <w:szCs w:val="28"/>
          <w:rtl w:val="true"/>
          <w:lang w:bidi="fa-IR"/>
        </w:rPr>
        <w:t xml:space="preserve">. </w:t>
      </w:r>
      <w:bookmarkStart w:id="245" w:name="pg7521_56431"/>
    </w:p>
    <w:p>
      <w:pPr>
        <w:pStyle w:val="BookText"/>
        <w:rPr/>
      </w:pPr>
      <w:bookmarkEnd w:id="245"/>
      <w:r>
        <w:rPr>
          <w:rFonts w:ascii="IRNazanin" w:hAnsi="IRNazanin" w:eastAsia="IRNazanin"/>
          <w:color w:val="111111"/>
          <w:sz w:val="28"/>
          <w:sz w:val="28"/>
          <w:szCs w:val="28"/>
          <w:rtl w:val="true"/>
          <w:lang w:bidi="fa-IR"/>
        </w:rPr>
        <w:t>بصيرت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واداشت تا هنگام يورش همه جانبه ى دشمن، از پشتيبانى امام خويش دست برندارد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امامم كه به يقين راست گو و فرزند پيامبرامين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پشتيبانى مى كنم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مقابل، يكى از كاستى هاى عمر سعد، نداشتن تيزبينى و بصيرت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با بهره بردارى از اين كمبود فكرى، فردى فرومايه و هزار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شبث بن ربعى را با او همراه ساخت تا او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كوشيد به عمر سعد القا كند كه حسين، كافر حربى است كه قتلش واجب مى شود و به همين دليل، قتل او در ماه حرام، اشكالى ندارد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بدين ترتيب، در كربلا گروهى كه داراى بصيرت و تيزبينى بودند، بهترين راه را برگزيدند و با عزت مندى، راه شهادت و آزادگى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گروهى ديگر چون اين ويژگى را نداشتند، راه هوا و هوس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خواصى كه داراى اين خصلت باشند، در مقابل، هم مى توانند خود را به اوج عزّت و سربلندى برسانند و هم جامعه را به سوى اين راه بكشانند</w:t>
      </w:r>
      <w:r>
        <w:rPr>
          <w:rFonts w:eastAsia="IRNazanin" w:cs="IRNazanin"/>
          <w:color w:val="111111"/>
          <w:sz w:val="28"/>
          <w:szCs w:val="28"/>
          <w:rtl w:val="true"/>
          <w:lang w:bidi="fa-IR"/>
        </w:rPr>
        <w:t>.</w:t>
      </w:r>
    </w:p>
    <w:p>
      <w:pPr>
        <w:pStyle w:val="Heading5"/>
        <w:numPr>
          <w:ilvl w:val="4"/>
          <w:numId w:val="1"/>
        </w:numPr>
        <w:rPr/>
      </w:pPr>
      <w:bookmarkStart w:id="246" w:name="__RefHeading___Toc2564109_1051229030"/>
      <w:bookmarkStart w:id="247" w:name="_Toc98"/>
      <w:bookmarkEnd w:id="246"/>
      <w:r>
        <w:rPr/>
        <w:t>3</w:t>
      </w:r>
      <w:r>
        <w:rPr>
          <w:rtl w:val="true"/>
        </w:rPr>
        <w:t xml:space="preserve">. </w:t>
      </w:r>
      <w:r>
        <w:rPr>
          <w:rtl w:val="true"/>
        </w:rPr>
        <w:t>تصميم گيرى بجا</w:t>
      </w:r>
      <w:bookmarkEnd w:id="2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 گيرى بجا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تصميم گيرى بى موقع هيچ اثر ندارد يا اثرى ناچيز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عصاى موسى به صورت اژدهايى بزرگ درآمد و همه ى مارهاى جادوگران را بلعيد، تازه باور كردند كه كار موسى، معجزه اى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با شجاعت تصميم گرفتند ايمان بياورند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فَالْقِىَ السَّحَرَةُ سُجَّداً قالُوا آمَنَّا بِرَبِّ هارُونَ وَمُوسى</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پس ساحران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هارون و موسى ايمان آورديم</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تصميم گيرى بجا و مناسب مى فرمايد</w:t>
      </w:r>
      <w:r>
        <w:rPr>
          <w:rFonts w:eastAsia="IRNazanin" w:cs="IRNazanin"/>
          <w:color w:val="111111"/>
          <w:sz w:val="28"/>
          <w:szCs w:val="28"/>
          <w:rtl w:val="true"/>
          <w:lang w:bidi="fa-IR"/>
        </w:rPr>
        <w:t xml:space="preserve">: </w:t>
      </w:r>
      <w:bookmarkStart w:id="248" w:name="pg7521_56432"/>
    </w:p>
    <w:p>
      <w:pPr>
        <w:pStyle w:val="BookText"/>
        <w:rPr/>
      </w:pPr>
      <w:bookmarkEnd w:id="248"/>
      <w:r>
        <w:rPr>
          <w:rFonts w:ascii="Amiri" w:hAnsi="Amiri" w:eastAsia="Amiri" w:cs="Amiri"/>
          <w:color w:val="111111"/>
          <w:sz w:val="28"/>
          <w:sz w:val="28"/>
          <w:szCs w:val="28"/>
          <w:rtl w:val="true"/>
          <w:lang w:bidi="ar-SA"/>
        </w:rPr>
        <w:t>من الخُرق المعالجةُ قبل الامكان و الاناهُ بعد الفرصة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اقدام كردن پيش از امكان و كوتاهى ورزيدن هنگام فرصت،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كربلا، گروهى از خواص نتوانستند به درستى و بجا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 بن عقيل را در محاصره كردن كاخ عبيدالله بن زياد يارى نرساندند و در كربلا نيز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پس از پايان حادثه ى كربلا، به اشتباه خود پى برده بودند، جنبش توابين را تشكيل دادند و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اثرگذارى قيام توابين در تاريخ به مراتب از قيام كربلا كم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بهنگام تصميم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زمان، فرزندپيامبر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شده، تاريخ به سراشيبى افتاده و قيام آنان بسيار كم اثرتر از قيام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عاشورا در طول تاريخ، سرمشق همه ى جنبش هاى آزادى بخش است و مردم به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عشق مىورزند، ولى قيام توابين از چنين جايگاهى برخوردار نيست</w:t>
      </w:r>
      <w:r>
        <w:rPr>
          <w:rFonts w:eastAsia="IRNazanin" w:cs="IRNazanin"/>
          <w:color w:val="111111"/>
          <w:sz w:val="28"/>
          <w:szCs w:val="28"/>
          <w:rtl w:val="true"/>
          <w:lang w:bidi="fa-IR"/>
        </w:rPr>
        <w:t>.</w:t>
      </w:r>
    </w:p>
    <w:p>
      <w:pPr>
        <w:pStyle w:val="Heading5"/>
        <w:numPr>
          <w:ilvl w:val="4"/>
          <w:numId w:val="1"/>
        </w:numPr>
        <w:rPr/>
      </w:pPr>
      <w:bookmarkStart w:id="249" w:name="__RefHeading___Toc2564111_1051229030"/>
      <w:bookmarkStart w:id="250" w:name="_Toc99"/>
      <w:bookmarkEnd w:id="249"/>
      <w:r>
        <w:rPr/>
        <w:t>4</w:t>
      </w:r>
      <w:r>
        <w:rPr>
          <w:rtl w:val="true"/>
        </w:rPr>
        <w:t xml:space="preserve">. </w:t>
      </w:r>
      <w:r>
        <w:rPr>
          <w:rtl w:val="true"/>
        </w:rPr>
        <w:t>حق گويى بدون هراسيدن از سرزنش ديگران</w:t>
      </w:r>
      <w:bookmarkEnd w:id="250"/>
    </w:p>
    <w:p>
      <w:pPr>
        <w:pStyle w:val="BookText"/>
        <w:rPr/>
      </w:pPr>
      <w:r>
        <w:rPr>
          <w:rFonts w:ascii="IRNazanin" w:hAnsi="IRNazanin" w:eastAsia="IRNazanin"/>
          <w:color w:val="111111"/>
          <w:sz w:val="28"/>
          <w:sz w:val="28"/>
          <w:szCs w:val="28"/>
          <w:rtl w:val="true"/>
          <w:lang w:bidi="fa-IR"/>
        </w:rPr>
        <w:t>گاهى خواص، حق را تشخيص مى دهند، ولى به دليل ترس از رسوايى ظاهرى دنيا، راه سكوت را در پيش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نبايد، از هيچ چيز و هيچ كس، هراس داشته باشند، بلكه در تصميم گيرى هاى خود بايد رضاى خدا را در نظر بگيرند و از تن دردادن به خوارى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پيرو خواص است، ذلت پذيرى خواص نيز جامعه را به ذلت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خواص بايد در برابر انحراف هاى موجود در جامعه، بايستند و از گسترش آن، پيش گيرى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يَخافُونَ لَوْمَةَ لائِمِ</w:t>
      </w:r>
      <w:r>
        <w:rPr>
          <w:rFonts w:eastAsia="IRNazanin" w:cs="IRNazanin"/>
          <w:color w:val="111111"/>
          <w:sz w:val="28"/>
          <w:szCs w:val="28"/>
          <w:rtl w:val="true"/>
          <w:lang w:bidi="fa-IR"/>
        </w:rPr>
        <w:t>».</w:t>
      </w:r>
      <w:r>
        <w:rPr>
          <w:rStyle w:val="FootnoteAnchor"/>
          <w:rtl w:val="true"/>
        </w:rPr>
        <w:footnoteReference w:id="1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 گروهى از بنى اسراييل در مخالفت با فرمان الهى، با حيله گرى به ماهى گيرى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در مقابل آنان ايستادند و مخالفت كردند، ولى گروهى ديگر ساكت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بر پايمال كنندگان فرمان الهى و گروهى كه آنان را نهى </w:t>
      </w:r>
      <w:bookmarkStart w:id="251" w:name="pg7521_56433"/>
    </w:p>
    <w:p>
      <w:pPr>
        <w:pStyle w:val="BookText"/>
        <w:rPr/>
      </w:pPr>
      <w:bookmarkEnd w:id="251"/>
      <w:r>
        <w:rPr>
          <w:rFonts w:ascii="Amiri" w:hAnsi="Amiri" w:eastAsia="Amiri" w:cs="Amiri"/>
          <w:color w:val="111111"/>
          <w:sz w:val="28"/>
          <w:sz w:val="28"/>
          <w:szCs w:val="28"/>
          <w:rtl w:val="true"/>
          <w:lang w:bidi="ar-SA"/>
        </w:rPr>
        <w:t>نكردند، عذاب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أَخَذْنَا الَّذِينَ ظَلَمُوا بِعَذاب بَئِيس بِما كانُوا يَفْسُقُونَ فَلَمَّا عَتَوْا 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كسانى را كه ستم كردند، به سزاى نافرمانى شان، به عذابى شديد گرفتار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چه نهى شده بودند، سرپيچى كردند،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بوزينگانى باشيد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پرهيزكاران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يدخل فى الباطل و لا يخرج من الحق</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پرهيزكاران به دايره ى باطل ، گام نمى نهند و از حق، بيرون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ى ديگرى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حق را مى شناخت و از جايگاه اجتماعى بالايى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هانى بن عروة با تن مجروح به زندان عبيدالله بن زياد افتاد، جنگ جويان قبيله اش، كاخ عبيدالله بن زياد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ترسيد و به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بگو كه هانى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ديد هانى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شريح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وضعى است؟ پس قوم من كجايند؟ چرا به سراغ من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بروم و اين حرف ها را به مردم بزنم، ولى افسوس كه جاسوس عبيدالله آن جا ايستاده بود و من جرأت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مردم پراكنده شدند و تاريخ دگرگون شد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52" w:name="__RefHeading___Toc2564113_1051229030"/>
      <w:bookmarkStart w:id="253" w:name="_Toc100"/>
      <w:bookmarkEnd w:id="252"/>
      <w:r>
        <w:rPr/>
        <w:t>5</w:t>
      </w:r>
      <w:r>
        <w:rPr>
          <w:rtl w:val="true"/>
        </w:rPr>
        <w:t xml:space="preserve">. </w:t>
      </w:r>
      <w:r>
        <w:rPr>
          <w:rtl w:val="true"/>
        </w:rPr>
        <w:t>آموزش عوام</w:t>
      </w:r>
      <w:bookmarkEnd w:id="253"/>
    </w:p>
    <w:p>
      <w:pPr>
        <w:pStyle w:val="BookText"/>
        <w:rPr/>
      </w:pPr>
      <w:r>
        <w:rPr>
          <w:rFonts w:ascii="IRNazanin" w:hAnsi="IRNazanin" w:eastAsia="IRNazanin"/>
          <w:color w:val="111111"/>
          <w:sz w:val="28"/>
          <w:sz w:val="28"/>
          <w:szCs w:val="28"/>
          <w:rtl w:val="true"/>
          <w:lang w:bidi="fa-IR"/>
        </w:rPr>
        <w:t>يكى از رسالت هاى خواص، مبارزه با نادانى و عوام زدگى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گروهى، بقاى خود را در نادانى مردم مى بينند، خواص بايد در راه آموزش مردم بكوشند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اللَّهُ مِيثاقَ الَّذِينَ اُوتُوا الْكِتابَ لَتُبَيِّنُنَّهُ لِلنَّاسِ وَ لا تَكتُمُونَهُ</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از كسانى كه به آنان كتاب داده شده، پيمان گرفت كه حتماً بايد آن را براى مردم بگوييد و كتمان مكنيد</w:t>
      </w:r>
      <w:r>
        <w:rPr>
          <w:rFonts w:eastAsia="IRNazanin" w:cs="IRNazanin"/>
          <w:color w:val="111111"/>
          <w:sz w:val="28"/>
          <w:szCs w:val="28"/>
          <w:rtl w:val="true"/>
          <w:lang w:bidi="fa-IR"/>
        </w:rPr>
        <w:t xml:space="preserve">. </w:t>
      </w:r>
      <w:bookmarkStart w:id="254" w:name="pg7521_56434"/>
    </w:p>
    <w:p>
      <w:pPr>
        <w:pStyle w:val="BookText"/>
        <w:rPr/>
      </w:pPr>
      <w:bookmarkEnd w:id="254"/>
      <w:r>
        <w:rPr>
          <w:rFonts w:ascii="IRNazanin" w:hAnsi="IRNazanin" w:eastAsia="IRNazanin"/>
          <w:color w:val="111111"/>
          <w:sz w:val="28"/>
          <w:sz w:val="28"/>
          <w:szCs w:val="28"/>
          <w:rtl w:val="true"/>
          <w:lang w:bidi="fa-IR"/>
        </w:rPr>
        <w:t>بيمه كردن اجتماع در برابر انحراف ها تنها با آگاهى بخشيدن به مردم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مردم آگاه تر باشند، احتمال انحراف جامعه، 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بايد معيارهاى حق را براى مردم بازگو كنند</w:t>
      </w:r>
      <w:r>
        <w:rPr>
          <w:rFonts w:eastAsia="IRNazanin" w:cs="IRNazanin"/>
          <w:color w:val="111111"/>
          <w:sz w:val="28"/>
          <w:szCs w:val="28"/>
          <w:rtl w:val="true"/>
          <w:lang w:bidi="fa-IR"/>
        </w:rPr>
        <w:t>.</w:t>
      </w:r>
    </w:p>
    <w:p>
      <w:pPr>
        <w:pStyle w:val="Heading4"/>
        <w:numPr>
          <w:ilvl w:val="3"/>
          <w:numId w:val="1"/>
        </w:numPr>
        <w:rPr/>
      </w:pPr>
      <w:bookmarkStart w:id="255" w:name="__RefHeading___Toc2564115_1051229030"/>
      <w:bookmarkStart w:id="256" w:name="_Toc101"/>
      <w:bookmarkEnd w:id="255"/>
      <w:r>
        <w:rPr>
          <w:rtl w:val="true"/>
        </w:rPr>
        <w:t>آسيب شناسى خواص</w:t>
      </w:r>
      <w:bookmarkEnd w:id="256"/>
    </w:p>
    <w:p>
      <w:pPr>
        <w:pStyle w:val="Heading5"/>
        <w:numPr>
          <w:ilvl w:val="4"/>
          <w:numId w:val="1"/>
        </w:numPr>
        <w:rPr/>
      </w:pPr>
      <w:bookmarkStart w:id="257" w:name="__RefHeading___Toc2564117_1051229030"/>
      <w:bookmarkStart w:id="258" w:name="_Toc10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طول تاريخ، برخى خواص با فراموش كردن وظيفه ى خود، از حق دورى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الَّذِينَ اوُتُوا نَصِيباً مِنَ الْكِتابِ يُدْعَوْنَ اِلى كِتابِ اللَّهِ لِيَحْكُمَ بَيْنَهُمْ ثُمَّ يَتَوَلَّى فَرِيقٌ مِنْهُمْ وَ هُمْ مُعْرِضُونَ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آيا نديدى كسانى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سوى كتاب الهى فراخوانده شدند تا در ميان آنان 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آگاهى داشتن از پذيرش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آفت هاى دورى خواص از حق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ها بدين قرار است</w:t>
      </w:r>
      <w:r>
        <w:rPr>
          <w:rFonts w:eastAsia="IRNazanin" w:cs="IRNazanin"/>
          <w:color w:val="111111"/>
          <w:sz w:val="28"/>
          <w:szCs w:val="28"/>
          <w:rtl w:val="true"/>
          <w:lang w:bidi="fa-IR"/>
        </w:rPr>
        <w:t>:</w:t>
      </w:r>
    </w:p>
    <w:p>
      <w:pPr>
        <w:pStyle w:val="Heading5"/>
        <w:numPr>
          <w:ilvl w:val="4"/>
          <w:numId w:val="1"/>
        </w:numPr>
        <w:rPr/>
      </w:pPr>
      <w:bookmarkStart w:id="259" w:name="__RefHeading___Toc2564119_1051229030"/>
      <w:bookmarkStart w:id="260" w:name="_Toc103"/>
      <w:bookmarkEnd w:id="259"/>
      <w:r>
        <w:rPr/>
        <w:t>1</w:t>
      </w:r>
      <w:r>
        <w:rPr>
          <w:rtl w:val="true"/>
        </w:rPr>
        <w:t xml:space="preserve">. </w:t>
      </w:r>
      <w:r>
        <w:rPr>
          <w:rtl w:val="true"/>
        </w:rPr>
        <w:t>دنياگرايى</w:t>
      </w:r>
      <w:bookmarkEnd w:id="260"/>
    </w:p>
    <w:p>
      <w:pPr>
        <w:pStyle w:val="Heading6"/>
        <w:numPr>
          <w:ilvl w:val="5"/>
          <w:numId w:val="1"/>
        </w:numPr>
        <w:rPr/>
      </w:pPr>
      <w:bookmarkStart w:id="261" w:name="__RefHeading___Toc2564121_1051229030"/>
      <w:bookmarkStart w:id="262" w:name="_Toc104"/>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خواص نبايد دنياگرا و دنيا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بايد در همه ى دوره هاى زندگى آنان تبلور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دنيا به ويژه در لحظه هاى حساس تاريخ بسيار با اهميت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وَالاخرةُ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يابى دنيا اندك است و آخرت براى پرهيزكاران بهتر است و به اندازه هسته ى خرمايى به شما ستم نمى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وسيله است، ولى گاهى برخى افراد، آن را هدف و معبود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همه ى خوبى ها و ارزش هاى الهى از بين مى رود و ضد ارزش ها جاى گزين آن مى شود</w:t>
      </w:r>
      <w:r>
        <w:rPr>
          <w:rFonts w:eastAsia="IRNazanin" w:cs="IRNazanin"/>
          <w:color w:val="111111"/>
          <w:sz w:val="28"/>
          <w:szCs w:val="28"/>
          <w:rtl w:val="true"/>
          <w:lang w:bidi="fa-IR"/>
        </w:rPr>
        <w:t xml:space="preserve">. </w:t>
      </w:r>
      <w:bookmarkStart w:id="263" w:name="pg7521_56435"/>
    </w:p>
    <w:p>
      <w:pPr>
        <w:pStyle w:val="BookText"/>
        <w:rPr/>
      </w:pPr>
      <w:bookmarkEnd w:id="263"/>
      <w:r>
        <w:rPr>
          <w:rFonts w:ascii="IRNazanin" w:hAnsi="IRNazanin" w:eastAsia="IRNazanin"/>
          <w:color w:val="111111"/>
          <w:sz w:val="28"/>
          <w:sz w:val="28"/>
          <w:szCs w:val="28"/>
          <w:rtl w:val="true"/>
          <w:lang w:bidi="fa-IR"/>
        </w:rPr>
        <w:t>روى گردانى از حق در همين دل بستگى به دنيا ريشه دارد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اساس و اصل همه ى نافرمانى ها ناميده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پيامبر نيز از پيدايش همين معضل در ميان امتش 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اَخْوَفُ ما اَخافُ عَلى اُمَّتى زَهْرَةُ الدُنيا وَ كَثْرَتُها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بيشتر ترس من براى امتم، جلوه هاى دنيا و زياده خواهى آن است</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564123_1051229030"/>
      <w:bookmarkStart w:id="265" w:name="_Toc105"/>
      <w:bookmarkEnd w:id="264"/>
      <w:r>
        <w:rPr>
          <w:rtl w:val="true"/>
        </w:rPr>
        <w:t>پى آمدهاى دنياگرايى</w:t>
      </w:r>
      <w:bookmarkEnd w:id="265"/>
    </w:p>
    <w:p>
      <w:pPr>
        <w:pStyle w:val="Heading6"/>
        <w:numPr>
          <w:ilvl w:val="5"/>
          <w:numId w:val="1"/>
        </w:numPr>
        <w:rPr/>
      </w:pPr>
      <w:bookmarkStart w:id="266" w:name="__RefHeading___Toc2564125_1051229030"/>
      <w:bookmarkStart w:id="267" w:name="_Toc106"/>
      <w:bookmarkEnd w:id="266"/>
      <w:r>
        <w:rPr>
          <w:rtl w:val="true"/>
        </w:rPr>
        <w:t xml:space="preserve">الف </w:t>
      </w:r>
      <w:r>
        <w:rPr>
          <w:rtl w:val="true"/>
        </w:rPr>
        <w:t xml:space="preserve">- </w:t>
      </w:r>
      <w:r>
        <w:rPr>
          <w:rtl w:val="true"/>
        </w:rPr>
        <w:t>رياست طلبى</w:t>
      </w:r>
      <w:bookmarkEnd w:id="267"/>
    </w:p>
    <w:p>
      <w:pPr>
        <w:pStyle w:val="BookText"/>
        <w:rPr/>
      </w:pPr>
      <w:r>
        <w:rPr>
          <w:rFonts w:ascii="IRNazanin" w:hAnsi="IRNazanin" w:eastAsia="IRNazanin"/>
          <w:color w:val="111111"/>
          <w:sz w:val="28"/>
          <w:sz w:val="28"/>
          <w:szCs w:val="28"/>
          <w:rtl w:val="true"/>
          <w:lang w:bidi="fa-IR"/>
        </w:rPr>
        <w:t>رياست طلبى يكى از پى آمدهاى دنياطلبى و دور شدن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جاه و مقام و رياست چنان عمر سعد را مست كرده بود كه حتى در ديدار خويش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آن حضرت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سخنان ايشان در قلب سنگى او اثر نمى كند، در برگشت به خيمه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تو را؟ خدا تو را در رختخواب بكشد و در روز رستاخيز تو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اميدوارم جز اندكى از گندم عراق نصيب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از روى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به جاى گندم براى من كفايت مى كند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268" w:name="__RefHeading___Toc2564127_1051229030"/>
      <w:bookmarkStart w:id="269" w:name="_Toc107"/>
      <w:bookmarkEnd w:id="268"/>
      <w:r>
        <w:rPr>
          <w:rtl w:val="true"/>
        </w:rPr>
        <w:t xml:space="preserve">ب </w:t>
      </w:r>
      <w:r>
        <w:rPr>
          <w:rtl w:val="true"/>
        </w:rPr>
        <w:t xml:space="preserve">- </w:t>
      </w:r>
      <w:r>
        <w:rPr>
          <w:rtl w:val="true"/>
        </w:rPr>
        <w:t>ثروت اندوزى</w:t>
      </w:r>
      <w:bookmarkEnd w:id="2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ثروت دنيايى آن چنان انسان را اسير مى كند كه به قتل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شمربن ذى الجوشن براى رسيدن به پاداش يزيد،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نيز از جمله بزرگان كوفه بود كه براى امام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ديگر بزرگان كوفه سوگند خورده بودند كه حسين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با وعده 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نپذيرفت كه به حلال بودن ريختن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ابن زياد با ترفند شوم خود، وى را </w:t>
      </w:r>
      <w:bookmarkStart w:id="270" w:name="pg7521_56436"/>
    </w:p>
    <w:p>
      <w:pPr>
        <w:pStyle w:val="BookText"/>
        <w:rPr/>
      </w:pPr>
      <w:bookmarkEnd w:id="270"/>
      <w:r>
        <w:rPr>
          <w:rFonts w:ascii="IRNazanin" w:hAnsi="IRNazanin" w:eastAsia="IRNazanin"/>
          <w:color w:val="111111"/>
          <w:sz w:val="28"/>
          <w:sz w:val="28"/>
          <w:szCs w:val="28"/>
          <w:rtl w:val="true"/>
          <w:lang w:bidi="fa-IR"/>
        </w:rPr>
        <w:t>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به خانه ى شريح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خانه ى او رفت و پول ها را در برابر چشمان شريح به نمايش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ابن زياد، روح شريح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با ديدن پول ها، تسليم شد و فتواى قتل امام را صادر كرد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71" w:name="__RefHeading___Toc2564129_1051229030"/>
      <w:bookmarkStart w:id="272" w:name="_Toc108"/>
      <w:bookmarkEnd w:id="271"/>
      <w:r>
        <w:rPr/>
        <w:t>2</w:t>
      </w:r>
      <w:r>
        <w:rPr>
          <w:rtl w:val="true"/>
        </w:rPr>
        <w:t xml:space="preserve">. </w:t>
      </w:r>
      <w:r>
        <w:rPr>
          <w:rtl w:val="true"/>
        </w:rPr>
        <w:t>بى طرفى در برابر جريان حق و باطل</w:t>
      </w:r>
      <w:bookmarkEnd w:id="272"/>
    </w:p>
    <w:p>
      <w:pPr>
        <w:pStyle w:val="BookText"/>
        <w:rPr/>
      </w:pPr>
      <w:r>
        <w:rPr>
          <w:rFonts w:ascii="IRNazanin" w:hAnsi="IRNazanin" w:eastAsia="IRNazanin"/>
          <w:color w:val="111111"/>
          <w:sz w:val="28"/>
          <w:sz w:val="28"/>
          <w:szCs w:val="28"/>
          <w:rtl w:val="true"/>
          <w:lang w:bidi="fa-IR"/>
        </w:rPr>
        <w:t>خواص نبايد در برابر انحراف ها و منكرهاى موجود در جامعه،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عزيز خواهد ماند كه شهروندان آن در برابر جريان حق و باطل، احساس وظيفه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وظيفه ى خواص سنگين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 تَأمُرُونَ بِالْمَعْرُوفِ وَ تَنْهَوْنَ عَنِ الْمُنْكَرِ وَ تُؤْمِنُونَ بِاللَّهِ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شما بهترين امتى هستيد كه از ميان مردم پديد آمده و امر به معروف و نهى از منكر كرده ايد و به خدا ايمان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سليم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لشكر عمر سعد به كربلا آمد، ولى در روز عاشورا از لشكر كفر جدا شد و به ديدار امام حسين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با بيان خاطره اى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برمى گشتيم، در همين جا، امام پس از نماز صبح، مشتى از خاك برداشت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ايتها التربة ليحشرن منك اقوام يدخلون الجنه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چيزى نفهميدم، ولى امروز آگاه شدم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كار بر من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از هواداران عمر سعدى يا از ياران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انديشه ى اهل و عيال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شتاب از اين سرزمين 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در اين جا باشد و صداى ما را بشنود و ما را يارى نكند، در دوزخ است</w:t>
      </w:r>
      <w:r>
        <w:rPr>
          <w:rFonts w:eastAsia="IRNazanin" w:cs="IRNazanin"/>
          <w:color w:val="111111"/>
          <w:sz w:val="28"/>
          <w:szCs w:val="28"/>
          <w:rtl w:val="true"/>
          <w:lang w:bidi="fa-IR"/>
        </w:rPr>
        <w:t>».</w:t>
      </w:r>
      <w:r>
        <w:rPr>
          <w:rStyle w:val="FootnoteAnchor"/>
          <w:rtl w:val="true"/>
        </w:rPr>
        <w:footnoteReference w:id="175"/>
      </w:r>
      <w:bookmarkStart w:id="273" w:name="pg7521_56437"/>
    </w:p>
    <w:p>
      <w:pPr>
        <w:pStyle w:val="Heading5"/>
        <w:numPr>
          <w:ilvl w:val="4"/>
          <w:numId w:val="1"/>
        </w:numPr>
        <w:rPr/>
      </w:pPr>
      <w:bookmarkStart w:id="274" w:name="__RefHeading___Toc2564131_1051229030"/>
      <w:bookmarkStart w:id="275" w:name="_Toc109"/>
      <w:bookmarkEnd w:id="273"/>
      <w:bookmarkEnd w:id="274"/>
      <w:r>
        <w:rPr/>
        <w:t>3</w:t>
      </w:r>
      <w:r>
        <w:rPr>
          <w:rtl w:val="true"/>
        </w:rPr>
        <w:t xml:space="preserve">. </w:t>
      </w:r>
      <w:r>
        <w:rPr>
          <w:rtl w:val="true"/>
        </w:rPr>
        <w:t>از ياد بردن خدا</w:t>
      </w:r>
      <w:bookmarkEnd w:id="275"/>
    </w:p>
    <w:p>
      <w:pPr>
        <w:pStyle w:val="BookText"/>
        <w:rPr/>
      </w:pPr>
      <w:r>
        <w:rPr>
          <w:rFonts w:ascii="IRNazanin" w:hAnsi="IRNazanin" w:eastAsia="IRNazanin"/>
          <w:color w:val="111111"/>
          <w:sz w:val="28"/>
          <w:sz w:val="28"/>
          <w:szCs w:val="28"/>
          <w:rtl w:val="true"/>
          <w:lang w:bidi="fa-IR"/>
        </w:rPr>
        <w:t>فراموش كردن خدا به دورى از حق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پى آمد خدا فراموشى را خود فراموشى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فَانْساهُمْ اَنْفُسَهُمْ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شمامؤمنان مانند آنان نباشيد كه خدا را فراموش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نيز خود آنان را از يادشان برد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زمانه 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زندگى دنيايى فرو رفته بودند كه اهداف والاى دين، ارزش هاى متعالى مكتب و رسالت خود در برابر دين خدا را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با بهره گيرى از غفلت مردم، آنان را از گرد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w:t>
      </w:r>
      <w:r>
        <w:rPr>
          <w:rFonts w:eastAsia="IRNazanin" w:cs="IRNazanin"/>
          <w:color w:val="111111"/>
          <w:sz w:val="28"/>
          <w:szCs w:val="28"/>
          <w:rtl w:val="true"/>
          <w:lang w:bidi="fa-IR"/>
        </w:rPr>
        <w:t xml:space="preserve">. </w:t>
      </w:r>
      <w:bookmarkStart w:id="276" w:name="pg7521_56438"/>
    </w:p>
    <w:p>
      <w:pPr>
        <w:pStyle w:val="Heading2"/>
        <w:numPr>
          <w:ilvl w:val="1"/>
          <w:numId w:val="1"/>
        </w:numPr>
        <w:rPr/>
      </w:pPr>
      <w:bookmarkStart w:id="277" w:name="__RefHeading___Toc2564133_1051229030"/>
      <w:bookmarkStart w:id="278" w:name="_Toc110"/>
      <w:bookmarkEnd w:id="276"/>
      <w:bookmarkEnd w:id="277"/>
      <w:r>
        <w:rPr>
          <w:rtl w:val="true"/>
        </w:rPr>
        <w:t>فلسفه و كلام</w:t>
      </w:r>
      <w:bookmarkEnd w:id="278"/>
    </w:p>
    <w:p>
      <w:pPr>
        <w:pStyle w:val="Heading3"/>
        <w:numPr>
          <w:ilvl w:val="2"/>
          <w:numId w:val="1"/>
        </w:numPr>
        <w:rPr/>
      </w:pPr>
      <w:bookmarkStart w:id="279" w:name="__RefHeading___Toc2564135_1051229030"/>
      <w:bookmarkStart w:id="280" w:name="_Toc111"/>
      <w:bookmarkEnd w:id="279"/>
      <w:r>
        <w:rPr>
          <w:rtl w:val="true"/>
        </w:rPr>
        <w:t>اشاره</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شفاعت كه همان بهره گرفتن شايستگان از رحمت گسترده و مغفرت پروردگار در پرتو وساطت اولياى الهى است، يكى از معارف اميدبخش و رفيع اسلام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سبب شده است بحث شفاعت از ديرباز به عنوان موضوعى با طراوت در عرصه ى مباحث كلامى بدرخشد، هر چند در آثار برخى افراد، شبهه هايى درباره ى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مى كوشد به شبهه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شفاعت با علم و قدرت الهى و تفاوت آن با واسطه هاى دنيوى هم چون پارتى بازى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w:t>
      </w:r>
    </w:p>
    <w:p>
      <w:pPr>
        <w:pStyle w:val="Heading3"/>
        <w:numPr>
          <w:ilvl w:val="2"/>
          <w:numId w:val="1"/>
        </w:numPr>
        <w:rPr/>
      </w:pPr>
      <w:bookmarkStart w:id="281" w:name="__RefHeading___Toc2564137_1051229030"/>
      <w:bookmarkStart w:id="282" w:name="_Toc112"/>
      <w:bookmarkEnd w:id="281"/>
      <w:r>
        <w:rPr>
          <w:rtl w:val="true"/>
        </w:rPr>
        <w:t>آيا شفاعت خواستن از پيامبر</w:t>
      </w:r>
      <w:r>
        <w:rPr>
          <w:rtl w:val="true"/>
        </w:rPr>
        <w:t>(</w:t>
      </w:r>
      <w:r>
        <w:rPr>
          <w:rtl w:val="true"/>
        </w:rPr>
        <w:t>صلى الله عليه وآله وسلم</w:t>
      </w:r>
      <w:r>
        <w:rPr>
          <w:rtl w:val="true"/>
        </w:rPr>
        <w:t xml:space="preserve">) </w:t>
      </w:r>
      <w:r>
        <w:rPr>
          <w:rtl w:val="true"/>
        </w:rPr>
        <w:t xml:space="preserve">مايه ى شرك ورزيدن به خداوند نيست؟ </w:t>
      </w:r>
      <w:r>
        <w:rPr>
          <w:rtl w:val="true"/>
        </w:rPr>
        <w:t xml:space="preserve">/ </w:t>
      </w:r>
      <w:r>
        <w:rPr>
          <w:rtl w:val="true"/>
        </w:rPr>
        <w:t>مسلم محمدى</w:t>
      </w:r>
      <w:bookmarkEnd w:id="282"/>
    </w:p>
    <w:p>
      <w:pPr>
        <w:pStyle w:val="Heading4"/>
        <w:numPr>
          <w:ilvl w:val="3"/>
          <w:numId w:val="1"/>
        </w:numPr>
        <w:rPr/>
      </w:pPr>
      <w:bookmarkStart w:id="283" w:name="__RefHeading___Toc2564139_1051229030"/>
      <w:bookmarkStart w:id="284" w:name="_Toc113"/>
      <w:bookmarkEnd w:id="283"/>
      <w:r>
        <w:rPr>
          <w:rtl w:val="true"/>
        </w:rPr>
        <w:t>اشاره</w:t>
      </w:r>
      <w:bookmarkEnd w:id="2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ناسازگارى شفاعت با توحيد از اشكال هاى معروفى است كه وهابيون به آن دامن زده و حوادث تلخ و تأسف بارى را بر اساس همين عقيده، بر مسلمانان تحميل كرده اند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چون اين مسأله، پى آمدهاى بدى داشته و افزون بر جنبه ى اعتقادى، جنبه ى سياسى و اجتماعى نيز يافته است، آن را از ديدگاه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سليم بشرى، بررسى مى كنيم</w:t>
      </w:r>
      <w:r>
        <w:rPr>
          <w:rFonts w:eastAsia="IRNazanin" w:cs="IRNazanin"/>
          <w:color w:val="111111"/>
          <w:sz w:val="28"/>
          <w:szCs w:val="28"/>
          <w:rtl w:val="true"/>
          <w:lang w:bidi="fa-IR"/>
        </w:rPr>
        <w:t xml:space="preserve">. </w:t>
      </w:r>
      <w:bookmarkStart w:id="285" w:name="pg7521_56439"/>
    </w:p>
    <w:p>
      <w:pPr>
        <w:pStyle w:val="Heading4"/>
        <w:numPr>
          <w:ilvl w:val="3"/>
          <w:numId w:val="1"/>
        </w:numPr>
        <w:rPr/>
      </w:pPr>
      <w:bookmarkStart w:id="286" w:name="__RefHeading___Toc2564141_1051229030"/>
      <w:bookmarkStart w:id="287" w:name="_Toc114"/>
      <w:bookmarkEnd w:id="285"/>
      <w:bookmarkEnd w:id="286"/>
      <w:r>
        <w:rPr>
          <w:rtl w:val="true"/>
        </w:rPr>
        <w:t>ديدگاه وهابيت</w:t>
      </w:r>
      <w:bookmarkEnd w:id="287"/>
    </w:p>
    <w:p>
      <w:pPr>
        <w:pStyle w:val="BookText"/>
        <w:rPr/>
      </w:pPr>
      <w:r>
        <w:rPr>
          <w:rFonts w:ascii="IRNazanin" w:hAnsi="IRNazanin" w:eastAsia="IRNazanin"/>
          <w:color w:val="111111"/>
          <w:sz w:val="28"/>
          <w:sz w:val="28"/>
          <w:szCs w:val="28"/>
          <w:rtl w:val="true"/>
          <w:lang w:bidi="fa-IR"/>
        </w:rPr>
        <w:t>وهابيون با افراط گرى در توحيد و ارايه ى برداشت هاى نادرست از آن با بسيارى از باورهاى مسلّم دينى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تبرك و استمداد جستن از ارواح پيامبران و اولياى الهى و شفاعت، مخالفت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همه ى فرقه هاى اسلامى را كه به اين امور معتقدند، مشرك مى دانند و جان و مال شان را مباح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شفاعت خواستن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اوست و هر عبادتى براىغير خدا،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خواستن از پيامبر، شرك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فرقه وهابيت در اين زمينه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رهايى از شرك با شناخت چهار قاعده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مبارزه مى كرد، اعتراف داشتند كه خداوند، خالق، رازق و مدبّر جهان هستى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كار مشركان اين بود كه بت ها را به دليل شفاعت آنان نزد خدا، پرستش مى كردند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مشركان اعم از كسانى كه بت ها را يا فرشتگان و پيامبران را مى پرستيدند مبارزه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نتيجه، مشركان عصر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ى فرقه هاى اسلامى به جز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مشركان عصر جاهليت بدتر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آنان دست كم در سختى ها به سراغ خدا مى آمدند،</w:t>
      </w:r>
      <w:r>
        <w:rPr>
          <w:rStyle w:val="FootnoteAnchor"/>
          <w:rtl w:val="true"/>
        </w:rPr>
        <w:footnoteReference w:id="180"/>
      </w:r>
      <w:r>
        <w:rPr>
          <w:rFonts w:ascii="Amiri" w:hAnsi="Amiri" w:eastAsia="Amiri" w:cs="Amiri"/>
          <w:color w:val="111111"/>
          <w:sz w:val="28"/>
          <w:sz w:val="28"/>
          <w:szCs w:val="28"/>
          <w:rtl w:val="true"/>
          <w:lang w:bidi="ar-SA"/>
        </w:rPr>
        <w:t>ولى اينان در هر دو حالت به خدا مشركند</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چنان در اين مغالطه، فرو رفته اند كه تنها خود را تنديس حقيقى اسلام به 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پا را از اين هم فراتر مى گذارند و با برداشت غلط از قرآن و سخنان پيامبر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بر اين معنى گواهى مى دهند كه هر كس، فرشتگان و پيامبران يا مثلاً ابن عباس و ابوطالب و امثال آنان را ميان خود و خدا، واسطه قرار دهد، كافر و مشركند و خون و جان آنان مباح است، هرچند شهادتين بگويند و نماز بخوانند و روزه بگيرند</w:t>
      </w:r>
      <w:r>
        <w:rPr>
          <w:rFonts w:eastAsia="IRNazanin" w:cs="IRNazanin"/>
          <w:color w:val="111111"/>
          <w:sz w:val="28"/>
          <w:szCs w:val="28"/>
          <w:rtl w:val="true"/>
          <w:lang w:bidi="fa-IR"/>
        </w:rPr>
        <w:t>.</w:t>
      </w:r>
      <w:r>
        <w:rPr>
          <w:rStyle w:val="FootnoteAnchor"/>
          <w:rtl w:val="true"/>
        </w:rPr>
        <w:footnoteReference w:id="182"/>
      </w:r>
      <w:bookmarkStart w:id="288" w:name="pg7521_56440"/>
    </w:p>
    <w:p>
      <w:pPr>
        <w:pStyle w:val="Heading4"/>
        <w:numPr>
          <w:ilvl w:val="3"/>
          <w:numId w:val="1"/>
        </w:numPr>
        <w:rPr/>
      </w:pPr>
      <w:bookmarkStart w:id="289" w:name="__RefHeading___Toc2564143_1051229030"/>
      <w:bookmarkStart w:id="290" w:name="_Toc115"/>
      <w:bookmarkEnd w:id="288"/>
      <w:bookmarkEnd w:id="289"/>
      <w:r>
        <w:rPr>
          <w:rtl w:val="true"/>
        </w:rPr>
        <w:t>آيا از نظر قرآن و سنّت، نتيجه ى شفاعت به شرك مى انجامد؟</w:t>
      </w:r>
      <w:bookmarkEnd w:id="290"/>
    </w:p>
    <w:p>
      <w:pPr>
        <w:pStyle w:val="BookText"/>
        <w:rPr/>
      </w:pPr>
      <w:r>
        <w:rPr>
          <w:rFonts w:ascii="IRNazanin" w:hAnsi="IRNazanin" w:eastAsia="IRNazanin"/>
          <w:color w:val="111111"/>
          <w:sz w:val="28"/>
          <w:sz w:val="28"/>
          <w:szCs w:val="28"/>
          <w:rtl w:val="true"/>
          <w:lang w:bidi="fa-IR"/>
        </w:rPr>
        <w:t>وهابيان به دليل تسلط نداشتن بر آيات قرآنى درباره ى مسأله ى كفر و ايمان و شرايط شفاعت كننده و شفاعت شونده،آن را با شرك اشتباه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نديدند حقيقت،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مسلمانان معتقد به شفاعت را همانند بت پرستان جاهلى به شمار آورده اند و بالاتر اين كه، بت پرستان را انسان هايى معتقد به خالقيت، ربوبيت و رازقيت دانسته و تنها ايراد كارشان را اعتقاد به شفاعت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شفاعت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هر كدام به گونه اى اين مسأله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اين آيات، دچار چنين انحرافى نخواهيم شد</w:t>
      </w:r>
      <w:r>
        <w:rPr>
          <w:rStyle w:val="FootnoteAnchor"/>
          <w:rtl w:val="true"/>
        </w:rPr>
        <w:footnoteReference w:id="183"/>
      </w:r>
      <w:r>
        <w:rPr>
          <w:rFonts w:ascii="IRNazanin" w:hAnsi="IRNazanin" w:eastAsia="IRNazanin"/>
          <w:color w:val="111111"/>
          <w:sz w:val="28"/>
          <w:sz w:val="28"/>
          <w:szCs w:val="28"/>
          <w:rtl w:val="true"/>
          <w:lang w:bidi="fa-IR"/>
        </w:rPr>
        <w:t>و نتيجه ى شفاعت را به بت پرستى پيوند نخواهيم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چند دليل مشركان را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بت ها را كه موجوداتى بى شعور و ناشنوا و نابينا بودند، مبدأ اثر مى دانستند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ديگر آن كه، در كنار تدبير الهى، براى آن ها ربوبيت در نظر مى گرفتند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البته گاهى سخنان آنان ضد و نقيض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ها را براى شفاعت نزد خدا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مهم تر اين است كه آنان، شفاعت بت ها را به اذن خدا وابسته نمى دانستند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تعبير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پياپى درباره ى مشركان آمده است، نشان مى دهد آنان، موجوداتى را جدا از خداوند، شفيع قرار مى دادند كه اين كار همان شرك در ربوبيت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با استناد به آيه ى كريمه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فلاتدعو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هرگونه دعوت غير خدا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گفت منظور از نهى دعوت غير خدا كه به شرك مى انجامد، مطلق دعوت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بايد همه ى انسان ها از آدم تاكنون كه زنجيروار با هم زندگى مى كنند و </w:t>
      </w:r>
    </w:p>
    <w:p>
      <w:pPr>
        <w:pStyle w:val="BookText"/>
        <w:rPr/>
      </w:pPr>
      <w:r>
        <w:rPr>
          <w:rFonts w:ascii="IRNazanin" w:hAnsi="IRNazanin" w:eastAsia="IRNazanin"/>
          <w:color w:val="111111"/>
          <w:sz w:val="28"/>
          <w:sz w:val="28"/>
          <w:szCs w:val="28"/>
          <w:rtl w:val="true"/>
          <w:lang w:bidi="fa-IR"/>
        </w:rPr>
        <w:t>از همديگر درخواست هايى دارند، مشرك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نهى از پرستش غير خداست كه فراز پيش تر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حقيقت،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آيه آن است كه غير خدا را هم عرض خداوند قرار ندهيد و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تدعون من دون الله</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نيز مبين آن است</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بنابراين، دليل انحراف آنان اين است كه مرز آيات قرآن را تشخيص نداده اند، وگرنه از كتاب هاى معتبر دانشمندان سعودى درمى يابيم كه آنان ميان شفاعت شركيه با شفاعت الهى تفاوت قايل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در تفسير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اتخذوا من دون الله شفعاء قل او لو كانوا لا يملكون شيئاً و لا يعقلون، قل لله الشفاعه جميعاً له ملك السموات و الارض</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خبر داد شفاعت براى كسى است كه ملك آسمان و زمين از آن اوست براى اين كه ترحّمى بر بنده اش كرده باشد و اجازه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شفاعت براى خداست و اين نوع شفاعت، ضدشفاعت شركيه است كه مشركان به آن معتقد بودند و خداوند آن را رد كرد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ياد شده، احاديث فراوانى درباره ى شفاعت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جابربن عبدالله انصارى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ويژگى به من داد كه پيش از من به هيچ كس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اُعطيتُ 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حديث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اولين شفيع در بهشت هستم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دو كتاب معتبر اهل سنت يعنى صحيح بخارى و مسلم نيز روايات بسيارى درباره ى شفاعت از پيامبر نقل كرده اند كه به اصطلاح در حد تواتر هستند</w:t>
      </w:r>
      <w:r>
        <w:rPr>
          <w:rFonts w:eastAsia="IRNazanin" w:cs="IRNazanin"/>
          <w:color w:val="111111"/>
          <w:sz w:val="28"/>
          <w:szCs w:val="28"/>
          <w:rtl w:val="true"/>
          <w:lang w:bidi="fa-IR"/>
        </w:rPr>
        <w:t>.</w:t>
      </w:r>
      <w:r>
        <w:rPr>
          <w:rStyle w:val="FootnoteAnchor"/>
          <w:rtl w:val="true"/>
        </w:rPr>
        <w:footnoteReference w:id="192"/>
      </w:r>
      <w:bookmarkStart w:id="291" w:name="pg7521_56442"/>
    </w:p>
    <w:p>
      <w:pPr>
        <w:pStyle w:val="Heading4"/>
        <w:numPr>
          <w:ilvl w:val="3"/>
          <w:numId w:val="1"/>
        </w:numPr>
        <w:rPr/>
      </w:pPr>
      <w:bookmarkStart w:id="292" w:name="__RefHeading___Toc2564145_1051229030"/>
      <w:bookmarkStart w:id="293" w:name="_Toc116"/>
      <w:bookmarkEnd w:id="291"/>
      <w:bookmarkEnd w:id="292"/>
      <w:r>
        <w:rPr>
          <w:rtl w:val="true"/>
        </w:rPr>
        <w:t>از نظر عقل، آيا شفاعت مايه ى شرك است؟</w:t>
      </w:r>
      <w:bookmarkEnd w:id="293"/>
    </w:p>
    <w:p>
      <w:pPr>
        <w:pStyle w:val="BookText"/>
        <w:rPr/>
      </w:pPr>
      <w:r>
        <w:rPr>
          <w:rFonts w:ascii="IRNazanin" w:hAnsi="IRNazanin" w:eastAsia="IRNazanin"/>
          <w:color w:val="111111"/>
          <w:sz w:val="28"/>
          <w:sz w:val="28"/>
          <w:szCs w:val="28"/>
          <w:rtl w:val="true"/>
          <w:lang w:bidi="fa-IR"/>
        </w:rPr>
        <w:t>درخواست كمك شخص پايين تر از بالاتر، امرى طبيعى و عادى به شمار مى آيد و تاكنون هيچ خردمندى نگفته است كه طلب كردن به معناى پرسش كردن است و طلب شنونده، معبود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حقيقت،شفاعت نيز گونه اى خواهش فرد گنه كار و بيچاره از شخصى آبرومند در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باور داشتن وجود اسباب در جهان آفرينش مانند تأثير تابش آفتاب و بارش باران در پرورش گياهان، با اصل توحيد منافات ندارد، شفاعت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تأثير اين اسباب همه به فرمان 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عالم شريعت وجود چنين اسبابى براى مغفرت و آمرزش به اذن خدا نه تنها با توحيد منافات ندارد، بلكه تأكيدى بر آن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شفاعت، امرى عقلايى و وسيله اى براى برداشتن كيفر يا كسب درجه هاى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طباطبايى در اين زمينه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به كمال و خيرى مادى و معنوى برسد كه از منظر معيارهاى اجتماعى، آمادگى و ابزار آن را ندارد يا بخواهد از خود شرى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شرى كه به خاطر مخالفت متوجه او شده و از سوى ديگر، قادر به اداى وظيفه نيست، متوسل به شفاعت مى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طور كلى، اگر حقيقت شفاعت و نكات آموزنده ى تربيتى آن بيان شود و همه بدانند كه شفاعت، روح اميد را در دل گنه كاران زنده مى كند تا دگرباره به سوى خداى خويشتن بازگردند، هر انسان عاقل و باانصافى به حقانيت آن شهادت مى دهد و آرزوى رسيدن به شفاعت محمد و آلش را در دل خود مى پروراند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عطار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شفاعت خواه مشتى تيره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كن شمع شفاعت برفروز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چو پروانه ميان جمع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زنان آيم به پيش شمع تو</w:t>
      </w:r>
      <w:r>
        <w:rPr>
          <w:rStyle w:val="FootnoteAnchor"/>
          <w:rtl w:val="true"/>
        </w:rPr>
        <w:footnoteReference w:id="195"/>
      </w:r>
      <w:bookmarkStart w:id="294" w:name="pg7521_56443"/>
    </w:p>
    <w:p>
      <w:pPr>
        <w:pStyle w:val="Heading3"/>
        <w:numPr>
          <w:ilvl w:val="2"/>
          <w:numId w:val="1"/>
        </w:numPr>
        <w:rPr/>
      </w:pPr>
      <w:bookmarkStart w:id="295" w:name="__RefHeading___Toc2564147_1051229030"/>
      <w:bookmarkStart w:id="296" w:name="_Toc117"/>
      <w:bookmarkEnd w:id="294"/>
      <w:bookmarkEnd w:id="295"/>
      <w:r>
        <w:rPr>
          <w:rtl w:val="true"/>
        </w:rPr>
        <w:t xml:space="preserve">آيا اعتقاد به شفاعت سبب تشويق افراد به انجام گناه نمى شود؟ </w:t>
      </w:r>
      <w:r>
        <w:rPr>
          <w:rtl w:val="true"/>
        </w:rPr>
        <w:t xml:space="preserve">/ </w:t>
      </w:r>
      <w:r>
        <w:rPr>
          <w:rtl w:val="true"/>
        </w:rPr>
        <w:t>حسين صادقى</w:t>
      </w:r>
      <w:bookmarkEnd w:id="296"/>
    </w:p>
    <w:p>
      <w:pPr>
        <w:pStyle w:val="BookText"/>
        <w:rPr/>
      </w:pPr>
      <w:r>
        <w:rPr>
          <w:rFonts w:ascii="IRNazanin" w:hAnsi="IRNazanin" w:eastAsia="IRNazanin"/>
          <w:color w:val="111111"/>
          <w:sz w:val="28"/>
          <w:sz w:val="28"/>
          <w:szCs w:val="28"/>
          <w:rtl w:val="true"/>
          <w:lang w:bidi="fa-IR"/>
        </w:rPr>
        <w:t>اين پرسش از آن جا ريشه مى گيرد كه تصور و تعريف درستى از شفاعت را در نظر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رحمت گسترده ى الهى و آمرزش او به وسيله ى اولياى الهى به افراد گنه كارى كه شايستگى بخشايش خداوند را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تعريف، ديگر اين تصور اشتباه كه شفاعت سبب تشويق انسان به گناه مى شود، در ذهن ما نقش نخواهد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بيشتر مطلب به نكته هايى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اعتقاد به شفاعت سبب گناه كردن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بخشايش گناهان را در پى دارد، مايه ى تشويق به انجام دوباره ى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توبه يكى از باورهاى اصيل اسلامى و مورد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توبوا الى الله توبة نصوحا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اى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در ميان همه ى ملّت هاى جهان مسأله اى به نام توبه و پشيمانى گناه كاران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شرايط ويژه اى، پشيمانى آنان پذيرفته مى شود و مجرى قانون از مجازاتى كه براى آنان تعيين شده است، چشم مى پوشد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شفاعت را براى همه ى انسان ها و همه ى گناهان قرار مى داد و مصداق هاى آن را مشخص مى كرد، انسان ها مى توانستند با اميد داشتن به شفاعت، با خيالى آسوده به انجام گناه و پيروى از هواى نفس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دقت در متون اسلامى درمى يابيم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صورت مبهم بيان شده و مشخص نشده است كه شفاعت در كدام زمان از مسير پرفراز و نشيب قيامت و نسبت به چه گناهانى و در حق چه اشخاصى صورت مى پذيرد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علامه طباطبايى در اين باره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ى شفاعت در صورتى مستلزم تمرّد و عصيانگرى است كه مجرمين با تمام صفات و خصوصيات مشخص باشند و نسبت به تمام انواع عقاب و تمام اوقات آن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امور مبهم باشند و معين نباشد كه در مورد چه گناهانى و كدام گناه كاران و چه وقتى از قيامت است، هيچ كس نمى داند كه آيا مشمول شفاعت مى شود يا نه و لذا موجب تشويق بر انجام معاصى نخواهد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اندكى انديشه در آيات قرآن و گفتار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خداوند،شرايط ويژه اى براى شفاعت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لاتنفع الشفاعة الا من أذن له الرحمن و رضى له قولا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هيچ كس سودى نمى بخشد جز كسى كه خداوند رحمان به او اجازه داد و به گفتار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براى ستم كاران نه دوستى وجود دارد و نه شفاعت كننده اى كه شفاعتش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شفاعتنا لن تنال مستخفاًبالصلاة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همانا شفاعت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نماز را سبك بشمارد، نخواهد رسيد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آشكار است كه چنين شرايطى نه تنها سبب تشويق به انجام گناه نمى شود، بلكه انسان را وادار مى كند براى دست يابى به آن ها بكوشد و از شفاعت پيامبران و اولياى الهى برخوردار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نه تنها تشويق كننده ى گناه نيست، بلكه يكى از پى آمدهاى تربيتى مهم شفاعت اين است كه گنه كار به آينده ى خود اميدوار مى شود و به اين باور مى رسد كه مى تواند سرنوشت خود را </w:t>
      </w:r>
    </w:p>
    <w:p>
      <w:pPr>
        <w:pStyle w:val="BookText"/>
        <w:rPr/>
      </w:pPr>
      <w:r>
        <w:rPr>
          <w:rFonts w:ascii="IRNazanin" w:hAnsi="IRNazanin" w:eastAsia="IRNazanin"/>
          <w:color w:val="111111"/>
          <w:sz w:val="28"/>
          <w:sz w:val="28"/>
          <w:szCs w:val="28"/>
          <w:rtl w:val="true"/>
          <w:lang w:bidi="fa-IR"/>
        </w:rPr>
        <w:t>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درخواهد يافت كه كردار گذشته ى او سرنوشتى شوم و تغييرناپذيرآور براى وى پديد نياورده است، بلكه او مى تواند با يارى اولياى الهى و تصميم راسخ بر فرمانبردارى خداوند، سرنوشت خويش را دگرگون كند و آينده اى روشن فراروى خود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اعتقاد به شفاعت نه تنها مايه ى گستاخى و سرسختى در برابر خداوند نيست، بلكه سبب مى شود گروهى به اين اميد كه راه بازگشت به سوى خدا براى آنان باز است، به يارى اولياى خدا، آمرزش الهى را بجويند و با كنار نهادن سركشى، به سوى حق بازگردند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واقعيت هاى تلخ در بعضى جامعه هاى اسلامى، دگرگون شدن مفهوم واقعى آموزه هاى عالى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زيباترين آموزه هاى اسلامى است، به رهبانيت تفسير مى كنند و چهره اى نامطلوب از آن ارايه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درباره ى شفاعت نيز كه يكى از مفاهيم سازنده ى دين مبين اسلام است، تفسيرهاى نادرست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شفاعت را به معناى واسطه شدن اولياى خدا براى بخشايش همه ى گناهان مى دانند و به همين دليل، برخى مى پندارند شفاعت، آدمى را به گناه،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اگر تعريف و تفسيرى درست از شفاعت ارايه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چنين گمان هاى ناراستى به ذهن خطور نخواهدكرد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يكى از نشانه هاى آمرزش الهى است كه براساس آن، گناه كاران به واسطه ى اولياى خاص خداوند از عذاب الهى، رهايى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همان مغفرت الهى است كه وقتى به خداوند كه منبع و صاحب خيرها و رحمت هاست، نسبت داده مى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و هنگامى كه به وسايط و مجارى رحمت منسوب مى گردد،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گيرد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شفاعت به مغفرت الهى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صفت مغفرت و رحمت گسترده ى الهى را به تنهايى و بدون در نظر گرفتن ديگر صفات خداوند بررسى كنيم، ممكن است اين اشكال پيش آيد كه انسان با اميد به شفاعت و مغفرت خداوند، به انجام گناه تشويق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صفات </w:t>
      </w:r>
      <w:bookmarkStart w:id="297" w:name="pg7521_56446"/>
    </w:p>
    <w:p>
      <w:pPr>
        <w:pStyle w:val="BookText"/>
        <w:rPr/>
      </w:pPr>
      <w:bookmarkEnd w:id="297"/>
      <w:r>
        <w:rPr>
          <w:rFonts w:ascii="IRNazanin" w:hAnsi="IRNazanin" w:eastAsia="IRNazanin"/>
          <w:color w:val="111111"/>
          <w:sz w:val="28"/>
          <w:sz w:val="28"/>
          <w:szCs w:val="28"/>
          <w:rtl w:val="true"/>
          <w:lang w:bidi="fa-IR"/>
        </w:rPr>
        <w:t>خداوند بايد با پرهيز از يك سويه نگرى و جزءبينى، همه ى اين صفات را در كنار هم تفسير كرد تا از افراط و تفريط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كنار رحمت گسترده ى الهى بايد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نظرگرفته شود، چنان كه اين دو صفت در آيات و روايات بسيارى كنار يك ديگر قرار گرفته 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شديد العقاب و اِن الله غفور رحيم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بدانيد خدا مجازات دهنده ى شديد و در عين حال، آمرزنده و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ايقنت انك انت ارحم الراحمين فى موضع النكال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يقين دارم كه تو در مقام گذشت و بخشايش، مهربان ترين مهربانان هستى و در مقام عذاب و مجازات، شديدترين مجازاتگر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است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مايه ى ادامه دادن گناه نمى شود، بلكه انسان را در حالتى ميان خوف و رجا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آن چنان ترسان و نااميد مى شود كه پديده ى شوم نااميدى بر او چيره شود و نه آن چنان اميدوار مى شود كه پرده هاى جهل و غرور، ديدگان او را از ديدن واقعيت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آدمى با اميد به شفاعت و بخشش خداوند، به آينده اميدوار مى شود و براى جبران گذشته خويش، گام بر مى دارد</w:t>
      </w:r>
      <w:r>
        <w:rPr>
          <w:rFonts w:eastAsia="IRNazanin" w:cs="IRNazanin"/>
          <w:color w:val="111111"/>
          <w:sz w:val="28"/>
          <w:szCs w:val="28"/>
          <w:rtl w:val="true"/>
          <w:lang w:bidi="fa-IR"/>
        </w:rPr>
        <w:t>.</w:t>
      </w:r>
    </w:p>
    <w:p>
      <w:pPr>
        <w:pStyle w:val="Heading3"/>
        <w:numPr>
          <w:ilvl w:val="2"/>
          <w:numId w:val="1"/>
        </w:numPr>
        <w:rPr/>
      </w:pPr>
      <w:bookmarkStart w:id="298" w:name="__RefHeading___Toc2564149_1051229030"/>
      <w:bookmarkStart w:id="299" w:name="_Toc118"/>
      <w:bookmarkEnd w:id="298"/>
      <w:r>
        <w:rPr>
          <w:rtl w:val="true"/>
        </w:rPr>
        <w:t xml:space="preserve">تفاوت شفاعت با واسطه هاى دنيايى هم چون پارتى بازى چيست؟ </w:t>
      </w:r>
      <w:r>
        <w:rPr>
          <w:rtl w:val="true"/>
        </w:rPr>
        <w:t xml:space="preserve">/ </w:t>
      </w:r>
      <w:r>
        <w:rPr>
          <w:rtl w:val="true"/>
        </w:rPr>
        <w:t>ابوالقاسم ولى زاده</w:t>
      </w:r>
      <w:bookmarkEnd w:id="2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نخست بايد دانست شفاعت، كمك كردن اولياى الهى به افرادى است كه در عين گنه كار بودن، پيوند ايمانى و معنوى خويش را با خداوند و اولياء الهى نگسسته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شافعان واقعى براى كسانى است كه نيروى جهش به سوى كمال و پاكى در روح و روان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نورانيت شافعان، وجود تاريك كسانى را كه از هيچ گونه ويژگى مثبتى برخوردار نيستند، روشن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شافعان به اذن پروردگار جهان بستگى دارد و اذن خدا بى جهت و بى حكمت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كسانى را در برمى گيرد كه شايسته ى عفو و چشم پوشى هستند و اگر در طول زندگى نيز لغزش و گناهى داشته اند، به مرحله ى پرده درى و طغيان نرسيده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بنابراين، شفاعت هاى رايج ميان مردم مانند پارتى بازى، با شفاعت در منطق اسلام، تفاوت هاى زياد دارد كه اينك برمى 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واسطه گرى هاى دنيايى، فرد گنه كار، شفيع را برمى انگيزاند تا شفيع با سرپرست فلان بخش تماس بگيرد و به دليل نفوذى كه در دستگاه او دارد، وى را وادار كند از تقصير گنه كار درگذرد و از اجراى قانون در حق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اسلامى، كار در دست خدا است و اوست كه شفيع را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دليل كمال و جايگاه شفيع، به او حق شفاعت مى بخشد و رحمت و بخشايش خود را از گذرگاه وى شامل حال بندگان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گنه كار در روز رستاخيز بسان اين جهان، واسطه اى را برانگيزاند و شفيع نيز بدون در نظر گرفتن هيچ شرطى و در پرتو نفوذى كه در پيشگاه خداوند دارد، عفو و مغفرت خدا را نسبت به او بخواهد، اين گونه شفاعت همان بيدادگرى و پارتى بازى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نيز مى دانيم كه دستگاه ربوبى از اين آلودگى ها، پاك و پيراسته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شفاعت، شفيع از مقام ربوبى تأثير مى پذيرد، ولى در واسطه گرى هاى باطل، قدرت برتر سخنان شفيع است و شفيع نيز به گفته ى خلاف كار، ترتيب اثر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شفاعت هاى عرفى ودنيايى، شفاعت كننده، مولا و حاكم را برخلاف اراده ى شان، به انجام كارى وادار مى كند، ولى در شفاعت الهى، در علم و اراده ى خداوند هيچ گونه دگرگونى پديد نمى آيد، بلكه تنها مراد و معلوم دگرگونى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خدا مى داند چه حالت هايى براى فلان انسان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به دليل وجود شرايط و اسباب ويژه اى، در حالتى قرار مى گيرد كه خداوند در آن حال درباره ى او اراده اى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ديگر به دليل شرايط و اسباب ديگر، وى حال تازه اى پيدا مى كند و خداوند نيز درباره ى شرايط پيش آمده،</w:t>
      </w:r>
      <w:r>
        <w:rPr>
          <w:rStyle w:val="FootnoteAnchor"/>
          <w:rtl w:val="true"/>
        </w:rPr>
        <w:footnoteReference w:id="208"/>
      </w:r>
      <w:r>
        <w:rPr>
          <w:rFonts w:ascii="IRNazanin" w:hAnsi="IRNazanin" w:eastAsia="IRNazanin"/>
          <w:color w:val="111111"/>
          <w:sz w:val="28"/>
          <w:sz w:val="28"/>
          <w:szCs w:val="28"/>
          <w:rtl w:val="true"/>
          <w:lang w:bidi="fa-IR"/>
        </w:rPr>
        <w:t>به گونه ى ديگر اراده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اصلى شفاعت هاى دنيايى، تبعيض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نفوذ شفيع بر اراده ى قانون گذار يا مجريان قانون چيره مى شود و قدرت قانون تنها در برخورد با ناتوانان، نمود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شفاعت اخروى، هيچ كس قدرت خود را بر خدا تحميل نمى كند و نمى تواند از اجراى قانون، پيش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شفاعت، رحمت گسترده و بخشايش بى پايان خداى مهربان است كه به وسيله ى آن، كسانى را كه شايسته ى پاك شدن هستند،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گروهى كه از شفاعت محروم شده اند، شايسته ى برخوردارى از بخشايش و رحمت گسترده ى الهى را نداشته اند وگرنه در قانون خدا، تبعيض وجود ندارد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شونده بايد داراى شرايطى باشد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او راضى باشد و او از ترس خدا بيم ناك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الا لمن ارتضى و هم مِن خشيته مشفقون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پيمانى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از ايمان به خدا، اقرار به يگانگى او، تصديق نبوت و ولايت و كردار شايسته برخودار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 الشفاعه الا من اتّخذ عندالرحمان عهداً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گناه كار است، ستم كار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للظالمين من حميم و لا شفيع يطاع</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سبك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گفته 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بالصلوة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شفاعت نه تشويق به گناه است و نه چراغ سبز براى گناه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عامل عقب افتادگى و چيزى شبيه پارتى بازى نيز نيست، بلكه مسأله ى مهم تربيتى است كه پى آمدهاى سازنده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پى آمدها بدين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اميدآفرينى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ديده شده است كه چيرگى هواى نفس بر انسان سبب ارتكاب گناهان مهمى مى شود و به دنبال آن روح يأس بر كسانى كه مرتكب آن شده اند، غلبه مى كند و اين نااميدى، آن ها را به آلودگى </w:t>
      </w:r>
      <w:bookmarkStart w:id="300" w:name="pg7521_56449"/>
    </w:p>
    <w:p>
      <w:pPr>
        <w:pStyle w:val="BookText"/>
        <w:rPr/>
      </w:pPr>
      <w:bookmarkEnd w:id="300"/>
      <w:r>
        <w:rPr>
          <w:rFonts w:ascii="IRNazanin" w:hAnsi="IRNazanin" w:eastAsia="IRNazanin"/>
          <w:color w:val="111111"/>
          <w:sz w:val="28"/>
          <w:sz w:val="28"/>
          <w:szCs w:val="28"/>
          <w:rtl w:val="true"/>
          <w:lang w:bidi="fa-IR"/>
        </w:rPr>
        <w:t>بيشتر و غوطه ور شدن در گناهان مى كشاند در مقابل، اميد به شفاعت اولياى الهى به عنوان يك عامل بازدارنده به آن ها نويد مى دهد كه اگر خود را اصلاح كنند، ممكن است گذشته ى آن ها از طريق شفاعت نيكان و پاكان جبران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پيوند معنوى با اولياى الهى</w:t>
      </w:r>
    </w:p>
    <w:p>
      <w:pPr>
        <w:pStyle w:val="BookText"/>
        <w:rPr/>
      </w:pPr>
      <w:r>
        <w:rPr>
          <w:rFonts w:ascii="IRNazanin" w:hAnsi="IRNazanin" w:eastAsia="IRNazanin"/>
          <w:color w:val="111111"/>
          <w:sz w:val="28"/>
          <w:sz w:val="28"/>
          <w:szCs w:val="28"/>
          <w:rtl w:val="true"/>
          <w:lang w:bidi="fa-IR"/>
        </w:rPr>
        <w:t>مسلماً كسى كه اميد به شفاعت دارد، مى كوشد به نوعى اين رابطه را برقرار سازد و كارى كه موجب رضاى آن ها است، انجام دهد و پيوندهاى محبت و دوستى را نگسلد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به دست آوردن شرايط شفاعت</w:t>
      </w:r>
    </w:p>
    <w:p>
      <w:pPr>
        <w:pStyle w:val="BookText"/>
        <w:rPr/>
      </w:pPr>
      <w:r>
        <w:rPr>
          <w:rFonts w:ascii="IRNazanin" w:hAnsi="IRNazanin" w:eastAsia="IRNazanin"/>
          <w:color w:val="111111"/>
          <w:sz w:val="28"/>
          <w:sz w:val="28"/>
          <w:szCs w:val="28"/>
          <w:rtl w:val="true"/>
          <w:lang w:bidi="fa-IR"/>
        </w:rPr>
        <w:t>مسلّماً اميدواران شفاعت بايد در اعمال گذشته ى خويش تجديدنظر كنند و نسبت به آينده تصميمات بهترى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شفاعت بدون زمينه ى مناسب انجام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كه شفاعت نوعى تفضّل است كه از يك سو به خاطر زمينه هاى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به خاطر آبرو و احترام و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301" w:name="__RefHeading___Toc2564151_1051229030"/>
      <w:bookmarkStart w:id="302" w:name="_Toc119"/>
      <w:bookmarkEnd w:id="301"/>
      <w:r>
        <w:rPr>
          <w:rtl w:val="true"/>
        </w:rPr>
        <w:t xml:space="preserve">چرا خداوند به طور مستقيم، گناه بندگان را نمى بخشد و چه نيازى به وجود واسطه و شفيع داريم؟ </w:t>
      </w:r>
      <w:r>
        <w:rPr>
          <w:rtl w:val="true"/>
        </w:rPr>
        <w:t xml:space="preserve">/ </w:t>
      </w:r>
      <w:r>
        <w:rPr>
          <w:rtl w:val="true"/>
        </w:rPr>
        <w:t>على تقوى</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باورهاى مورد اتفاق همه ى فرقه هاى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نصيرالدين طوسى در تجريد الاعتقاد</w:t>
      </w:r>
      <w:r>
        <w:rPr>
          <w:rStyle w:val="FootnoteAnchor"/>
          <w:rtl w:val="true"/>
        </w:rPr>
        <w:footnoteReference w:id="215"/>
      </w:r>
      <w:r>
        <w:rPr>
          <w:rFonts w:ascii="Amiri" w:hAnsi="Amiri" w:eastAsia="Amiri" w:cs="Amiri"/>
          <w:color w:val="111111"/>
          <w:sz w:val="28"/>
          <w:sz w:val="28"/>
          <w:szCs w:val="28"/>
          <w:rtl w:val="true"/>
          <w:lang w:bidi="ar-SA"/>
        </w:rPr>
        <w:t>و فخرالدين رازى در تفسير كبير</w:t>
      </w:r>
      <w:r>
        <w:rPr>
          <w:rStyle w:val="FootnoteAnchor"/>
          <w:rtl w:val="true"/>
        </w:rPr>
        <w:footnoteReference w:id="216"/>
      </w:r>
      <w:r>
        <w:rPr>
          <w:rFonts w:ascii="IRNazanin" w:hAnsi="IRNazanin" w:eastAsia="IRNazanin"/>
          <w:color w:val="111111"/>
          <w:sz w:val="28"/>
          <w:sz w:val="28"/>
          <w:szCs w:val="28"/>
          <w:rtl w:val="true"/>
          <w:lang w:bidi="fa-IR"/>
        </w:rPr>
        <w:t>و ديگر علماى اسلامى، اجماع مسلمانان را بر اين مطلب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در آيات الهى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الّذين يدعون من دونه الشفاعة الا من شهد بالحقّ و هم يعلمون</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جز او را كه مى خوانند، نمى توانند شفاعت كنند، مگر آنان كه به حق شهادت دادند و به خوبى 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ما انسان ها نمى توانيم حكمت همه ى كردارهاى الهى را درك كنيم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أوتيتم من العلم الا قليلا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بر پيشانى ما خورده است، ولى يقين داريم كه همه ى افعال الهى،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بهره گيرى از آيات الهى و سخنان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اين پرسش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جهان آفرينش را به بهترين صورت آفريده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أحسن كلّ شىء خلقه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آن خدايى كه هر چيز را به بهترين صورت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براساس نظام علّى و معلولى و اسباب و مسببات، براى هدايت و رشد و تكامل انسان ها آفريده شده است و نيازمندى هاى طبيعى بشر به وسيله ى عوامل و اسباب عادى، برآورده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فيوضات معنوى خداوند هم چون هدايت، مغفرت و آمرزش نيز براساس نظامى خاص بر انسان ها نازل مى شود و اراده ى حكيمانه ى خداوند اين گونه تعلق گرفته است كه اين امور به وسيله ى اسباب خاص و علل و معين به انسان هابرسد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بنابراين، همان گونه كه در عالم ماده نمى 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زمين را به وسيله ى خورشيد نورانى كرده و خود بىواسطه به چنين كارى دست نزده است، در عالم معنا نيز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واسطه ى اولياى الهى، مغفرت خويش را شامل حال بندگان مى كند؟</w:t>
      </w:r>
    </w:p>
    <w:p>
      <w:pPr>
        <w:pStyle w:val="BookText"/>
        <w:rPr/>
      </w:pPr>
      <w:r>
        <w:rPr>
          <w:rFonts w:ascii="Amiri" w:hAnsi="Amiri" w:eastAsia="Amiri" w:cs="Amiri"/>
          <w:color w:val="111111"/>
          <w:sz w:val="28"/>
          <w:sz w:val="28"/>
          <w:szCs w:val="28"/>
          <w:rtl w:val="true"/>
          <w:lang w:bidi="ar-SA"/>
        </w:rPr>
        <w:t>شهيد مطهرى مى فرمايد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خدا، داراى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نظام آفرينش،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خداى متعال، گناه كاران را ارشاد فرموده است كه در خانه 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علاوه بر اين كه خود طلب مغفرت كنند، از آن بزرگوار بخواهند كه براى ايشان، طلب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اذ ظلموا أنفسهم جاؤوك فاستغفرو الله و استغفر لهم الرسول لوجدو الله توّاباً </w:t>
      </w:r>
    </w:p>
    <w:p>
      <w:pPr>
        <w:pStyle w:val="BookText"/>
        <w:rPr/>
      </w:pP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ايشان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كردند، نزد تو مى آمدند و از خدا آمرزش مى خواستند و پيامبر هم براى ايشان طلب مغفرت مى كرد، خدا را توبه پذير مهربان مى يافتند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مشيت الهى اين گونه تعلق گرفته است كه با اعطاى منزلت شفاعت به پيامبران و اولياى الهى، آنان را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دعا و درخواست اوليا، گونه اى تكريم و احترام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نيكوكرداران، فرشتگان آسمان ها و حاملان عرش كه همه ى روزگار را به فرمانبردارى خدا گذارنده و از مدار عبوديت الهى، گام بيرون ننهاده اند، شايسته ى تكريم هستند و چه احترامى بالاتر و برتر از اين كه دعاى آنان درباره ى بندگان شايسته ى رحمت و مغفرت الهى، مستجاب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رسول خود چنين خطاب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يَبْعَثَكَ رَبُكَ مَقاماً مَحمُوداً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اميد است پروردگارت، تو را به مقامى در خور ستايش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سخن خداوند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مقام شفاعت من براى امتم در روز قيامت است</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 چنين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شفاعت را به برخى مؤمنان عطا كرده است و اين به دليل كرامت و مقامى است كه آنان نزد خدا دارند</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رهگذر مى توان دريافت كه ثمره ى ديگر اين تكريم، آن است كه مقام اولياى الهى براى انسان ها جلوه گر مى شود و افراد عادى با الگوبردارى از آنان هدايت مى شوند و براى برخوردارى از شفاعت، خود را به آنان نزديك مى سازند</w:t>
      </w:r>
      <w:r>
        <w:rPr>
          <w:rFonts w:eastAsia="IRNazanin" w:cs="IRNazanin"/>
          <w:color w:val="111111"/>
          <w:sz w:val="28"/>
          <w:szCs w:val="28"/>
          <w:rtl w:val="true"/>
          <w:lang w:bidi="fa-IR"/>
        </w:rPr>
        <w:t xml:space="preserve">. </w:t>
      </w:r>
      <w:bookmarkStart w:id="303" w:name="pg7521_56452"/>
    </w:p>
    <w:p>
      <w:pPr>
        <w:pStyle w:val="BookText"/>
        <w:rPr/>
      </w:pPr>
      <w:bookmarkEnd w:id="3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 روايات فراوانى به رحمت گسترده ى خداوند،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آن چنان گسترده است كه همه ى موجودات جهان به اندازه ى شايستگى خود از آن بهره مندند و تنها آنان كه شايستگى ندارند،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واسع المغفرة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همانا آمرزش پروردگار تو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اين رحمت و فيض گسترده را از راه هاى گوناگون و اسباب گسترده اى، به انسان ها ارايه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هماره به اين روش ها اشاره كرده است، براى نمونه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 الّذين أسرفوا على أنفسهم لا تقنطوا من رحمة الله ان الله يغفر الذنوب جميعاً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اسراف و ستم كرده ايد، از رحمت خداوند نوميد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همه ى گناهان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شفاعت را يكى از روش هاى مغفرت دانسته و بيان فرموده است كه با وساطت برخى موجودات از جمله انسان هايى از خود شما، از گناهان تان چشم پوشى مى كنم تا اميد به رحمت الهى، در دل انسان هاى گناه كار بيش از پيش پديدار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افراد عادى بشر ببينند افرادى از جنس خود آنان، در اين امر مهم نقش دارند، رحمت الهى را بيش از پيش درك مى كنند و قلب خود را با آن نورانى مى سازند</w:t>
      </w:r>
      <w:r>
        <w:rPr>
          <w:rFonts w:eastAsia="IRNazanin" w:cs="IRNazanin"/>
          <w:color w:val="111111"/>
          <w:sz w:val="28"/>
          <w:szCs w:val="28"/>
          <w:rtl w:val="true"/>
          <w:lang w:bidi="fa-IR"/>
        </w:rPr>
        <w:t>.</w:t>
      </w:r>
    </w:p>
    <w:p>
      <w:pPr>
        <w:pStyle w:val="Heading3"/>
        <w:numPr>
          <w:ilvl w:val="2"/>
          <w:numId w:val="1"/>
        </w:numPr>
        <w:rPr/>
      </w:pPr>
      <w:bookmarkStart w:id="304" w:name="__RefHeading___Toc2564153_1051229030"/>
      <w:bookmarkStart w:id="305" w:name="_Toc120"/>
      <w:bookmarkEnd w:id="304"/>
      <w:r>
        <w:rPr>
          <w:rtl w:val="true"/>
        </w:rPr>
        <w:t xml:space="preserve">آيا اعتقاد داشتن به شفاعت سبب دگرگونى دانش و اراده ى خدا نمى شود؟ </w:t>
      </w:r>
      <w:r>
        <w:rPr>
          <w:rtl w:val="true"/>
        </w:rPr>
        <w:t xml:space="preserve">/ </w:t>
      </w:r>
      <w:r>
        <w:rPr>
          <w:rtl w:val="true"/>
        </w:rPr>
        <w:t>سيد هيبت الله صدرالسادات</w:t>
      </w:r>
      <w:bookmarkEnd w:id="305"/>
    </w:p>
    <w:p>
      <w:pPr>
        <w:pStyle w:val="BookText"/>
        <w:rPr/>
      </w:pPr>
      <w:r>
        <w:rPr>
          <w:rFonts w:ascii="IRNazanin" w:hAnsi="IRNazanin" w:eastAsia="IRNazanin"/>
          <w:color w:val="111111"/>
          <w:sz w:val="28"/>
          <w:sz w:val="28"/>
          <w:szCs w:val="28"/>
          <w:rtl w:val="true"/>
          <w:lang w:bidi="fa-IR"/>
        </w:rPr>
        <w:t>براى روشن شدن زاويه هاى گوناگون بحث بايد مطالبى را در نظر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رشيد رضا، نويسنده ى تفسير المنار با بيان استدلالى عقلى، كوشيده است بر اصل شفاعت، خدشه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حكم پروردگار عين عدل است و براساس مصلحت الهى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شفاعت در عرف مردم به اين معناست كه شخص شفيع و واسطه، متخلف را از اجراى حكم صادر شده در حق وى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حكم دوم كه در سايه ى شفاعت واسطه به دست آمده، مطابق عدل است و حكم نخست مخالف آن، پس دو حالت پيش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خدا را غير عادل دانست كه با توجه به خلاف بودن حكم نخست، آن را صادر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مى دانيم كه ذات الهى از اين امر منزّه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گفت خداوند عادل است، ولى علم و آگاهى اش نارسا بوده است كه اينك از رهگذر يادآور شدن شفيع و واسطه، تغيير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حكم جديد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خدا، عين ذات اوست و تغيير و دگرگونى در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كنيم حكم نخست، عين عدل بوده است و حكم دوم برخلاف آن و خداوند تنها به دليل علاقه به شفيع، حاضر شده است عدل را زير پا نهد و حكم جديد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نيز با عدالت الهى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پذيرش شفاعت با چالش هاى فراوان رو به روست و استدلال عقلى، نفى آن را گواه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 اين اشكال از آن جا پديد مى آيد كه نويسنده ميان تغيير در علم و اراده ى الهى و دگرگونى و تحول در موضوع و معلوم و مراد را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آن چه دگرگون شده، وضعيت مجرم و گنه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به گونه اى دگرگون شده كه سزاوار رحمت الهى گشته است، در حالى كه پيش تر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و اراده ى خداوند، هيچ گونه دگرگونى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 چون توبه ى گنه كار است كه در آن جا نيز خداوند در برخورد با دو موضوع گوناگون، دو اراده ى متفاوت، ولى متناسب ارايه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كيفر دادن گنه كار و دوم، بخشش گنه كار توبه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اراده وجود دارد و خداوند مى داند كه اين شخص دگرگون خواهد شد و در پرتو اراده ى دوم پروردگار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و اراده ى الهى </w:t>
      </w:r>
    </w:p>
    <w:p>
      <w:pPr>
        <w:pStyle w:val="BookText"/>
        <w:rPr/>
      </w:pPr>
      <w:r>
        <w:rPr>
          <w:rFonts w:ascii="IRNazanin" w:hAnsi="IRNazanin" w:eastAsia="IRNazanin"/>
          <w:color w:val="111111"/>
          <w:sz w:val="28"/>
          <w:sz w:val="28"/>
          <w:szCs w:val="28"/>
          <w:rtl w:val="true"/>
          <w:lang w:bidi="fa-IR"/>
        </w:rPr>
        <w:t>دگرگون نشده است، بلكه دو اراده ى گوناگون نسبت به دو موضوع متفاوت وجود دارد كه هيچ يك ناقض ديگرى نيست، بلكه هر دو عين عدل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علم و اراده ى خدا دگرگون نمى شود، بلكه علم و اراده ى جديدى به موضوع نوينى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همگى مى دانيم كه هنگام شب، تاريكى همه جا را فرامى گيرد و با توجه به اين علم، اراده مى كنيم تا از وسايل الكتريكى مانند چراغ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طلوع آفتاب، چراغ را خاموش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دو علم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نور ندارد و روز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براساس اين دو علم، دو اراده و دو كار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چراغ را روشن و در روز، آن را خاموش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علم و اراده ى دوم با علم و اراده ى نخست در تعارض نيست، بلكه با توجه به تفاوت موضوع، متناسب با آن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 پنداشت كه از دور شبحى را ببينيم و تصور كنيم كه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وقتى نزديك شديم، دريابيم كه خطا كرده ايم و آن شبح، درخت نبوده، بلكه حيوان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جا علم دوم با علم نخست، تعارض دارد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اين مطالب درباره ى شفاعت،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ازل مى دانست كه فلان انسان، حالت هاى گوناگونى خواهد داشت و براساس آن شرايط، اراده ى ويژه اى درباره ى او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براساس تعدد حالت ها و تغيير موضوع، اراده هاى متفاوتى نيز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اول خداوند اراده ى او، خطا و تغييرى پديد نيامده است، بلكه هر علمى نسبت به موضوع خود درست است و هر اراده نسبت به موضوع خود، حكيمانه و براساس مصلحت است</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سفيد است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521_56456"/>
      <w:bookmarkStart w:id="307" w:name="pg7521_56456"/>
      <w:bookmarkEnd w:id="307"/>
    </w:p>
    <w:p>
      <w:pPr>
        <w:pStyle w:val="Heading2"/>
        <w:numPr>
          <w:ilvl w:val="1"/>
          <w:numId w:val="1"/>
        </w:numPr>
        <w:rPr/>
      </w:pPr>
      <w:bookmarkStart w:id="308" w:name="pg7521_56456"/>
      <w:bookmarkStart w:id="309" w:name="__RefHeading___Toc2564155_1051229030"/>
      <w:bookmarkStart w:id="310" w:name="_Toc121"/>
      <w:bookmarkEnd w:id="308"/>
      <w:bookmarkEnd w:id="309"/>
      <w:r>
        <w:rPr>
          <w:rtl w:val="true"/>
        </w:rPr>
        <w:t>تاريخ</w:t>
      </w:r>
      <w:bookmarkEnd w:id="310"/>
    </w:p>
    <w:p>
      <w:pPr>
        <w:pStyle w:val="Heading3"/>
        <w:numPr>
          <w:ilvl w:val="2"/>
          <w:numId w:val="1"/>
        </w:numPr>
        <w:rPr/>
      </w:pPr>
      <w:bookmarkStart w:id="311" w:name="__RefHeading___Toc2564157_1051229030"/>
      <w:bookmarkStart w:id="312" w:name="_Toc122"/>
      <w:bookmarkEnd w:id="311"/>
      <w:r>
        <w:rPr>
          <w:rtl w:val="true"/>
        </w:rPr>
        <w:t>اشاره</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ى حكومتى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ى حكومتى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همواره در آرزوى تحقق عدالت در همه ى جنبه هاى زندگى فردى و اجتماعى خويش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عشق و علاقه به عدالت، امرى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انسان ها از عدالت لذت مى برند و با تمام وجود، خواهان جهانى پر از عدل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يافتن رهبرى و اداره ى عادلانه ى جامعه هاى بشرى، بيدارى ملت هاى مظلوم، ادعاى گروه هاى گوناگون در هوادارى از حقوق اجتماعى انسان ها و نااميدى بشر از انجام اصلاحات واقعى به دست زمام داران قدرت مند جهان از عواملى است كه باور مسلمانان به ويژه شيعيان را درباره ى مصلح آخرالزمان، ارج و جلوه اى تازه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سبب شده است انتظار از عقيده ى صرف مذهبى به دلبستگى و آرمان عمومى خيرانديشان و ستمديدگان جهان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تحقق چنين آرزويى به وجود جامعه اى فرمانبردار و آماده ى پذيرش اجراى حق و عدالت درباره ى خود و ديگران، برنامه اى مدون و الهى و رهبرى معصوم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منجى مى تواند با ظهور و قيام خود، اسلام واقعى را در همه ى مراحل حيات معنوى و مادى و زندگى فردى و اجتماعى انسان ها تحقق بخشد</w:t>
      </w:r>
      <w:r>
        <w:rPr>
          <w:rFonts w:eastAsia="IRNazanin" w:cs="IRNazanin"/>
          <w:color w:val="111111"/>
          <w:sz w:val="28"/>
          <w:szCs w:val="28"/>
          <w:rtl w:val="true"/>
          <w:lang w:bidi="fa-IR"/>
        </w:rPr>
        <w:t>.</w:t>
      </w:r>
    </w:p>
    <w:p>
      <w:pPr>
        <w:pStyle w:val="Heading3"/>
        <w:numPr>
          <w:ilvl w:val="2"/>
          <w:numId w:val="1"/>
        </w:numPr>
        <w:rPr/>
      </w:pPr>
      <w:bookmarkStart w:id="313" w:name="__RefHeading___Toc2564159_1051229030"/>
      <w:bookmarkStart w:id="314" w:name="_Toc123"/>
      <w:bookmarkEnd w:id="313"/>
      <w:r>
        <w:rPr>
          <w:rtl w:val="true"/>
        </w:rPr>
        <w:t>حكومت امام زمان</w:t>
      </w:r>
      <w:r>
        <w:rPr>
          <w:rtl w:val="true"/>
        </w:rPr>
        <w:t>(</w:t>
      </w:r>
      <w:r>
        <w:rPr>
          <w:rtl w:val="true"/>
        </w:rPr>
        <w:t>عج</w:t>
      </w:r>
      <w:r>
        <w:rPr>
          <w:rtl w:val="true"/>
        </w:rPr>
        <w:t xml:space="preserve">) </w:t>
      </w:r>
      <w:r>
        <w:rPr>
          <w:rtl w:val="true"/>
        </w:rPr>
        <w:t xml:space="preserve">تا چه زمانى به درازا خواهد كشيد؟ </w:t>
      </w:r>
      <w:r>
        <w:rPr>
          <w:rtl w:val="true"/>
        </w:rPr>
        <w:t xml:space="preserve">/ </w:t>
      </w:r>
      <w:r>
        <w:rPr>
          <w:rtl w:val="true"/>
        </w:rPr>
        <w:t>محمد على ملاحسنى</w:t>
      </w:r>
      <w:bookmarkEnd w:id="3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انديشه ى پيروزى نهايى نيروى حق، برقرارى حكومت عدل جهانى و احياى همه جانبه ى ارزش هاى انسانى به دست شخصيتى مقدس و عالى قدر كه در روايات متواتر اسلامى از او به مهدى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انديشه اى است كه كم و بيش همه ى مذاهب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ها و اختلاف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تنها به شيعه منسوب نيست، بلكه اصلى </w:t>
      </w:r>
    </w:p>
    <w:p>
      <w:pPr>
        <w:pStyle w:val="BookText"/>
        <w:rPr/>
      </w:pPr>
      <w:r>
        <w:rPr>
          <w:rFonts w:ascii="IRNazanin" w:hAnsi="IRNazanin" w:eastAsia="IRNazanin"/>
          <w:color w:val="111111"/>
          <w:sz w:val="28"/>
          <w:sz w:val="28"/>
          <w:szCs w:val="28"/>
          <w:rtl w:val="true"/>
          <w:lang w:bidi="fa-IR"/>
        </w:rPr>
        <w:t>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قاطعيت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 أَنَّ الْأَرْضَ يَرِثُها عِبادِىَ الصَّالِحُونَ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جاى ديگر نيز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 نَجْعَلَهُمْ أَئِمَّه وَ نَجْعَلَهُمُ الْوارِثِينَ</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اين دو آيه، پيروزى و حاكميت بندگان صالح خدا، كوتاه شدن دست ستم كاران و آينده ى درخشان بشريت را نويد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حكومت عدل جهانى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است كه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پاسخ پرسش بالا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مدت زمان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در كتاب هاى معتبر فقهى آمده است كه گويا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روايات بسيارى در بيان مدت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آن حضرت وارد شده است از جمله روايت عبدالكريم خثعمى است 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حكومت مى كند؟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هر سال آن به اندازه ى ده سال از سال 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هفتاد سال حكومت مى كند و زمانى كه ظهور او فرا رسد، در ماه جمادى الآخر و ده روز از ماه رجب چنان بارانى مى بارد كه هيچ كس مانند آن را 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بركت آن باران، گوشت هاى مؤمنان و بدن هاى آنان را در قبرستان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بينيم كه به يارى قائم ما روى مى آورند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آيت الله صافى به نقل از منن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بين مشرق و مغرب حكومت مى كند، خوشا به حال كسى كه آن روزها را درك كند و كلامش را بشنود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ايشان از كتاب البيان به نقل از هيثم بن عبدالرحمن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مردم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منتخب كنزالعمال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تلى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 ثلاثين سَنه او اربعين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نويسنده ى اعيان الشيعه از ابى سعيد خدرى نقل كرده است كه مدت حكومت آن حضرت هفت يا ده سال خواهد بود، ولى معلوم نيست كه دقيقاً چند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اسعاف الراغبين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سالى كه عدد فرد داشته باشد 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استقرار ده سال، امارت مى كند و ده سال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سال سلطنت مى كند و برخى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بعضى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ى اختلاف روايات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هفت سال، نهايت ظهور و استقرار حكومت و چهل سال مدت كشوردارى و خلافت اوست و مراد از بيست سال و امثال آن، حد وسط ضعف و قوت سلطنت او خواهد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علامه مجلسى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غيبت او چه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يفعل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دلالت دارد بر اين كه مسأله ى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نظر مدت قابل بداء و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مى توان قوى تلقى كرد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برخى روايات از جمله روايت مفضل بن عمر گفته شده است كه مدت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جز خدا نمى داند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چنين پرسشى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خود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عهد كرده است كه آن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جز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نگويم</w:t>
      </w:r>
      <w:r>
        <w:rPr>
          <w:rFonts w:eastAsia="IRNazanin" w:cs="IRNazanin"/>
          <w:color w:val="111111"/>
          <w:sz w:val="28"/>
          <w:szCs w:val="28"/>
          <w:rtl w:val="true"/>
          <w:lang w:bidi="fa-IR"/>
        </w:rPr>
        <w:t>.</w:t>
      </w:r>
      <w:r>
        <w:rPr>
          <w:rStyle w:val="FootnoteAnchor"/>
          <w:rtl w:val="true"/>
        </w:rPr>
        <w:footnoteReference w:id="239"/>
      </w:r>
      <w:bookmarkStart w:id="315" w:name="pg7521_56459"/>
    </w:p>
    <w:p>
      <w:pPr>
        <w:pStyle w:val="BookText"/>
        <w:rPr/>
      </w:pPr>
      <w:bookmarkEnd w:id="315"/>
      <w:r>
        <w:rPr>
          <w:rFonts w:ascii="IRNazanin" w:hAnsi="IRNazanin" w:eastAsia="IRNazanin"/>
          <w:color w:val="111111"/>
          <w:sz w:val="28"/>
          <w:sz w:val="28"/>
          <w:szCs w:val="28"/>
          <w:rtl w:val="true"/>
          <w:lang w:bidi="fa-IR"/>
        </w:rPr>
        <w:t>براساس آن چه در روايات ديده مى شود، مدت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سال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روايات، اربعين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هر سال برابر ده سال محاسبه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و نظريه هاى دانشمندان اسلامى، گفته هاى گوناگونى به دست مى آيد، ولى با اعتماد به رواياتى هم چون روايت مفضّل و آن چه در بحارالانوار آمده است، قول قوى اين است كه مدت حكومت آن حضرت را به خود او و مشيت خداوند واگذار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علم خداوند استفاده كرده اند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316" w:name="__RefHeading___Toc2564161_1051229030"/>
      <w:bookmarkStart w:id="317" w:name="_Toc124"/>
      <w:bookmarkEnd w:id="316"/>
      <w:r>
        <w:rPr>
          <w:rtl w:val="true"/>
        </w:rPr>
        <w:t>دليل شيعه براى زنده بودن امام زمان</w:t>
      </w:r>
      <w:r>
        <w:rPr>
          <w:rtl w:val="true"/>
        </w:rPr>
        <w:t>(</w:t>
      </w:r>
      <w:r>
        <w:rPr>
          <w:rtl w:val="true"/>
        </w:rPr>
        <w:t>عج</w:t>
      </w:r>
      <w:r>
        <w:rPr>
          <w:rtl w:val="true"/>
        </w:rPr>
        <w:t xml:space="preserve">) </w:t>
      </w:r>
      <w:r>
        <w:rPr>
          <w:rtl w:val="true"/>
        </w:rPr>
        <w:t xml:space="preserve">چيست؟ آيا اين طول عمر معقول است؟ </w:t>
      </w:r>
      <w:r>
        <w:rPr>
          <w:rtl w:val="true"/>
        </w:rPr>
        <w:t xml:space="preserve">/ </w:t>
      </w:r>
      <w:r>
        <w:rPr>
          <w:rtl w:val="true"/>
        </w:rPr>
        <w:t>حمزه كلانترى</w:t>
      </w:r>
      <w:bookmarkEnd w:id="317"/>
    </w:p>
    <w:p>
      <w:pPr>
        <w:pStyle w:val="BookText"/>
        <w:rPr/>
      </w:pPr>
      <w:r>
        <w:rPr>
          <w:rFonts w:ascii="IRNazanin" w:hAnsi="IRNazanin" w:eastAsia="IRNazanin"/>
          <w:color w:val="111111"/>
          <w:sz w:val="28"/>
          <w:sz w:val="28"/>
          <w:szCs w:val="28"/>
          <w:rtl w:val="true"/>
          <w:lang w:bidi="fa-IR"/>
        </w:rPr>
        <w:t>مهدويت، يكى از مسايل اختلافى شيعه و اهل سنت است كه جنبه 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مورد بحث مهدويت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مهدويت و انتظار ظهور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ى باور داشتن وجود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شيعيان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ى نخست نه تنها مورد اتفاق شيعه و اهل سنت است،بلكه همه ى ملت ها، فرقه ها و اديان جهان منتظر ظهور مصلح كل هستند تا در آخر الزمان بر اين جهان، حكومت براند و بشريت را از ستم، رهايى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زبور داوود در اين باره مى خوانيم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منتظران خداوند، وارث زمين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شرير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خداوند صالحان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كه از وى بركت يابند، وارث زمين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نسل شرير از هم گسسته خواهد شد، صالحان وارث زمين خواهند بود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اين جا از ستم و شر، سخن به ميان آمده و گفته شده است شر و ستم از ميان خواهد رفت و صالحان وارث 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نيز با اشاره به اين رخداد،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كَتَبنا فِى الزَّبورِ مِن بَعدِ الذِّكْرِ أَنَّ الْأَرْضَ يَرِثُها عِبادِى الصَّالِحون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ما در زبور نوشتيم كه بندگان صالح من وارث زمين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اناجيل اربعه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از مردم خواسته است انتظار بكشند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آيات قرآن و روايات نبوى نيز از مردم مى خواهند به انتظار روزى باشند كه شخصى از اهل بيت پيامبر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با برچيدن بساط ستم كارى، جهان را از عدل و داد، سرشار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در اسلام، امرى مسلّم و انكارناپذيراست تا جايى كه محى الدين عربى حنفى در فتوحات مكيه در بابى با نام وزراءالمهدى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مفصلى را پيش كشيده و با توضيح دادن درباره ى شمايل آن حضرت، به نام مبارك او اشاره كرده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 چنين ابن حجر در الصواعق المحرقة به تفصيل در شرح حال امامان دوازده گانه سخن گفته و بابى به نام الآيات التى وردت فى ذريه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الآيات التى وردت فى فضائل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آيات فراوانى را درباره 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سنن ابن داوود كه يكى از صحاح ستة اهل سنت است، بابى به نام كتاب المهدى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كتاب ها و صحاح اهل سنت نيز روايات فراوانى در اين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تنها به سه روايت بسنده مى كنيم و خوانندگان را به پى گيرى تفصيلى آن ها ارجاع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نبوى موجود در بسيارى از كتاب هاى اهل سنت،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الساعه حتى يلى رجل من اهل بيتى يواطؤ اسمه اسمى</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قيامت برپا نمى شود مگر اين كه مردى از اهل بيت من كه نام او همانند 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 امور را در دست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نقل مى كند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اثنا عشر اميراً كلهم من قريش</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از من دوازده امير خواهند آمد كه همگى از قريش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المهدى من ولد فاطمه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مهدى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و اهل سنت بر سر روايت دوم و سوم اختلاف نظر دارند و روايت دوم بيشتر مورد نزاع و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دوم به دو بخش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شبهه درباره ى طول عمر آن حضرت است، به طور فشرده به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پاسخ به اين پرسش، به ابهام بخش نخست نيز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سخن برخى افراد مبنى بر از دنيا رفتن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به دليل و برهان نياز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فرض اين است كه طرف سخن و صاحب شبهه كسانى هستند كه قرآن را پذيرفته اند و حقانيت آن را باور دارند، مى گوييم نبايد طولانى بودن عمر يكى از اولياى خدا براى شما شگفت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درباره ى افراد گوناگون، عمرهاى طولانى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گفته شده است كه 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توفان، در ميان قومش بوده و ساليانى پس </w:t>
      </w:r>
    </w:p>
    <w:p>
      <w:pPr>
        <w:pStyle w:val="BookText"/>
        <w:rPr/>
      </w:pPr>
      <w:r>
        <w:rPr>
          <w:rFonts w:ascii="Amiri" w:hAnsi="Amiri" w:eastAsia="Amiri" w:cs="Amiri"/>
          <w:color w:val="111111"/>
          <w:sz w:val="28"/>
          <w:sz w:val="28"/>
          <w:szCs w:val="28"/>
          <w:rtl w:val="true"/>
          <w:lang w:bidi="ar-SA"/>
        </w:rPr>
        <w:t>از توفان نيز زيسته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الف سنه الاخمسين عاماً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برخى طول عمر حضرت نوح را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قرآن كريم، سخن يهوديان درباره ى به دار آويختن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يقيناً بل رفعه الله اليه</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همانا كشته نشده، بلكه خدا، او را به سوى خود بالا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چنين آياتى و روايات ديگرى كه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طولانى داشته و حضرت عيسى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حدود دو هزار سال است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ترتيب،چگونه نسبت به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خدشه وارد مى شود و آن را بعيد مى شمارند؟ افزون بر آن، معمرين بسيارى را در تاريخ نام برده اند كه بعضى با اين كه ولى خدا نبوده اند، عمرهاى طولانى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همه ى اين استدلال ها، ما كه خدا را قادر مطلق مى دانيم، چرا باور نكنيم كه خداوند مى تواند براساس مصالحى، ولى خود را براى مدت زمانى طولانى از دسترس مردم، دور نگاه دارد و با اين كار، بندگان خود را آزمايش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قرآن كريم، عمر طولانى را براى يك انسان ممكن مى داند، شگفت اين است كه كسانى كه به اين آيات عقيده دارند، به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ايراد مى گيرند و آن را منكر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چيزى ممكن شد، ميان مصداق هاى آن تفاوتى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زنده ماندن عيسى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ممكن است 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طول عمر امام زمان به چند دليل 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طول عمر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بعيدتر و غريب تر از آفرينش انسان و سير تكوينى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عالم اصلاب به عالم ارحام و سپس از آن جا به عالم دنيا منتقل مى گردد و پس از آن، برزخ و آخرت درانتظار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جسم انسان را اين گونه منقلب مى گرداند،</w:t>
      </w:r>
      <w:bookmarkStart w:id="318" w:name="pg7521_56463"/>
    </w:p>
    <w:p>
      <w:pPr>
        <w:pStyle w:val="BookText"/>
        <w:rPr/>
      </w:pPr>
      <w:bookmarkEnd w:id="318"/>
      <w:r>
        <w:rPr>
          <w:rFonts w:ascii="IRNazanin" w:hAnsi="IRNazanin" w:eastAsia="IRNazanin"/>
          <w:color w:val="111111"/>
          <w:sz w:val="28"/>
          <w:sz w:val="28"/>
          <w:szCs w:val="28"/>
          <w:rtl w:val="true"/>
          <w:lang w:bidi="fa-IR"/>
        </w:rPr>
        <w:t>مى تواند مخلوق خويش را مدت زمانى بيشتر، در اين دنيا و هر كدام از مراحل آفرينش يا تكوين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على كل شى قدير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ابليس نيز از كسانى است كه به اذن خداوند، عمرى طولانى دارد و هيچ مسلمانى، آن را انكار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تازه اى نيست و در طول تاريخ در اديان گوناگون، افرادى بوده اند كه طول عمر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ديگر كتاب هاى آسمانى نيز به اين مطلب اشاره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آيات و روايات و شواهد تاريخى آشكار مى شود كه طول عمر انسان يا هر موجود ديگرى به اشراف و اراده ى آفريننده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اراده كرده است ولىّ خويش را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تاكنون از ديد افراد عادى پنهان بدارد</w:t>
      </w:r>
      <w:r>
        <w:rPr>
          <w:rFonts w:eastAsia="IRNazanin" w:cs="IRNazanin"/>
          <w:color w:val="111111"/>
          <w:sz w:val="28"/>
          <w:szCs w:val="28"/>
          <w:rtl w:val="true"/>
          <w:lang w:bidi="fa-IR"/>
        </w:rPr>
        <w:t>.</w:t>
      </w:r>
    </w:p>
    <w:p>
      <w:pPr>
        <w:pStyle w:val="Heading3"/>
        <w:numPr>
          <w:ilvl w:val="2"/>
          <w:numId w:val="1"/>
        </w:numPr>
        <w:rPr/>
      </w:pPr>
      <w:bookmarkStart w:id="319" w:name="__RefHeading___Toc2564163_1051229030"/>
      <w:bookmarkStart w:id="320" w:name="_Toc125"/>
      <w:bookmarkEnd w:id="319"/>
      <w:r>
        <w:rPr>
          <w:rtl w:val="true"/>
        </w:rPr>
        <w:t>ساختار سياسى و اجتماعى حكومت امام زمان</w:t>
      </w:r>
      <w:r>
        <w:rPr>
          <w:rtl w:val="true"/>
        </w:rPr>
        <w:t>(</w:t>
      </w:r>
      <w:r>
        <w:rPr>
          <w:rtl w:val="true"/>
        </w:rPr>
        <w:t>عج</w:t>
      </w:r>
      <w:r>
        <w:rPr>
          <w:rtl w:val="true"/>
        </w:rPr>
        <w:t xml:space="preserve">) </w:t>
      </w:r>
      <w:r>
        <w:rPr>
          <w:rtl w:val="true"/>
        </w:rPr>
        <w:t xml:space="preserve">چگونه است؟ </w:t>
      </w:r>
      <w:r>
        <w:rPr>
          <w:rtl w:val="true"/>
        </w:rPr>
        <w:t xml:space="preserve">/ </w:t>
      </w:r>
      <w:r>
        <w:rPr>
          <w:rtl w:val="true"/>
        </w:rPr>
        <w:t>حمزه كلانترى</w:t>
      </w:r>
      <w:bookmarkEnd w:id="320"/>
    </w:p>
    <w:p>
      <w:pPr>
        <w:pStyle w:val="Heading4"/>
        <w:numPr>
          <w:ilvl w:val="3"/>
          <w:numId w:val="1"/>
        </w:numPr>
        <w:rPr/>
      </w:pPr>
      <w:bookmarkStart w:id="321" w:name="__RefHeading___Toc2564165_1051229030"/>
      <w:bookmarkStart w:id="322" w:name="_Toc126"/>
      <w:bookmarkEnd w:id="321"/>
      <w:r>
        <w:rPr>
          <w:rtl w:val="true"/>
        </w:rPr>
        <w:t>اشاره</w:t>
      </w:r>
      <w:bookmarkEnd w:id="32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انقلاب و حكومتى بدون داشتن ساختار منظم حكومتى نمى تواند براى مدت زيادى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جهانى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مهم ترين و گسترده ترين و ژرف ترين انقلاب جهانى است، از اين قانون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پيشرفت علم و صنعت، عدالت، اخلاق، انديشه، كشاورزى و دام دارى،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مى رسد و عالى ترين تمدن بشرى و حكومت جهانى براساس عدالت،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چنين حكومتى در همه ى شؤون به مردان كارآزموده و با تقوا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شمار اصحاب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گوناگون، در پاسخ ابوبصير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غير از اين تعداد، مؤمن يافت نمى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يافت مى شوند، ولى اين ها كسانى هستند كه بزرگان و حكّام و فقهاى </w:t>
      </w:r>
      <w:bookmarkStart w:id="323" w:name="pg7521_56464"/>
    </w:p>
    <w:p>
      <w:pPr>
        <w:pStyle w:val="BookText"/>
        <w:rPr/>
      </w:pPr>
      <w:bookmarkEnd w:id="323"/>
      <w:r>
        <w:rPr>
          <w:rFonts w:ascii="Amiri" w:hAnsi="Amiri" w:eastAsia="Amiri" w:cs="Amiri"/>
          <w:color w:val="111111"/>
          <w:sz w:val="28"/>
          <w:sz w:val="28"/>
          <w:szCs w:val="28"/>
          <w:rtl w:val="true"/>
          <w:lang w:bidi="ar-SA"/>
        </w:rPr>
        <w:t>حكومت را تشكيل مى دهند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ايشان در حديثى ديگر، از وزيران دولت كريمه ى حضرت نام مى برد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هم چنين در احاديث ديگرى به عدالت، شجاعت، زيركى و شمار ياران ايشان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همانند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چنين يارانى، اسلام را در همه زمينه ها تكميل مى كند، چنان كه در رواياتى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باطل پيشين را ويران مى كند، همان گونه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اسلام را نوسازى و تكميل مى كند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اينك به طور فشرده به برخى دگرگونى هايى اشاره مى كنيم كه در ساختار سياسى و اجتماعى حكومت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 دهد</w:t>
      </w:r>
      <w:r>
        <w:rPr>
          <w:rFonts w:eastAsia="IRNazanin" w:cs="IRNazanin"/>
          <w:color w:val="111111"/>
          <w:sz w:val="28"/>
          <w:szCs w:val="28"/>
          <w:rtl w:val="true"/>
          <w:lang w:bidi="fa-IR"/>
        </w:rPr>
        <w:t>.</w:t>
      </w:r>
    </w:p>
    <w:p>
      <w:pPr>
        <w:pStyle w:val="Heading4"/>
        <w:numPr>
          <w:ilvl w:val="3"/>
          <w:numId w:val="1"/>
        </w:numPr>
        <w:rPr/>
      </w:pPr>
      <w:bookmarkStart w:id="324" w:name="__RefHeading___Toc2564167_1051229030"/>
      <w:bookmarkStart w:id="325" w:name="_Toc127"/>
      <w:bookmarkEnd w:id="324"/>
      <w:r>
        <w:rPr/>
        <w:t>1</w:t>
      </w:r>
      <w:r>
        <w:rPr>
          <w:rtl w:val="true"/>
        </w:rPr>
        <w:t xml:space="preserve">. </w:t>
      </w:r>
      <w:r>
        <w:rPr>
          <w:rtl w:val="true"/>
        </w:rPr>
        <w:t>تحول تربيتى و اخلاقى</w:t>
      </w:r>
      <w:bookmarkEnd w:id="325"/>
    </w:p>
    <w:p>
      <w:pPr>
        <w:pStyle w:val="BookText"/>
        <w:rPr/>
      </w:pPr>
      <w:r>
        <w:rPr>
          <w:rFonts w:ascii="IRNazanin" w:hAnsi="IRNazanin" w:eastAsia="IRNazanin"/>
          <w:color w:val="111111"/>
          <w:sz w:val="28"/>
          <w:sz w:val="28"/>
          <w:szCs w:val="28"/>
          <w:rtl w:val="true"/>
          <w:lang w:bidi="fa-IR"/>
        </w:rPr>
        <w:t>بى شك اعتلاى تربيت و اخلاق از مهم ترين جنبه هاى پيشرفت هر گونه حكومتى به ويژه حكومت هاى الهى ،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 شكوفا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اخلاقى و كوته بينى هايى كه سرچشمه ى بسيارى از درگيرى هاى سياسى و اجتماعى است،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قيام كند، دست خود را بر سر بندگان مى گذارد و خرد آنان را متمركز مى سازد و اخلاق شان را به كمال مى رساند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ايشان در حديثى ديگر مى 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دولت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ى مردم حكمت و دانش بياموزند</w:t>
      </w:r>
      <w:r>
        <w:rPr>
          <w:rFonts w:eastAsia="Amiri" w:cs="Amiri" w:ascii="Amiri" w:hAnsi="Amiri"/>
          <w:color w:val="111111"/>
          <w:sz w:val="28"/>
          <w:szCs w:val="28"/>
          <w:rtl w:val="true"/>
          <w:lang w:bidi="ar-SA"/>
        </w:rPr>
        <w:t>.</w:t>
      </w:r>
      <w:r>
        <w:rPr>
          <w:rStyle w:val="FootnoteAnchor"/>
          <w:rtl w:val="true"/>
        </w:rPr>
        <w:footnoteReference w:id="254"/>
      </w:r>
      <w:bookmarkStart w:id="326" w:name="pg7521_56465"/>
    </w:p>
    <w:p>
      <w:pPr>
        <w:pStyle w:val="Heading4"/>
        <w:numPr>
          <w:ilvl w:val="3"/>
          <w:numId w:val="1"/>
        </w:numPr>
        <w:rPr/>
      </w:pPr>
      <w:bookmarkStart w:id="327" w:name="__RefHeading___Toc2564169_1051229030"/>
      <w:bookmarkStart w:id="328" w:name="_Toc128"/>
      <w:bookmarkEnd w:id="326"/>
      <w:bookmarkEnd w:id="327"/>
      <w:r>
        <w:rPr/>
        <w:t>2</w:t>
      </w:r>
      <w:r>
        <w:rPr>
          <w:rtl w:val="true"/>
        </w:rPr>
        <w:t xml:space="preserve">. </w:t>
      </w:r>
      <w:r>
        <w:rPr>
          <w:rtl w:val="true"/>
        </w:rPr>
        <w:t>عدالت خواهى</w:t>
      </w:r>
      <w:bookmarkEnd w:id="328"/>
    </w:p>
    <w:p>
      <w:pPr>
        <w:pStyle w:val="BookText"/>
        <w:rPr/>
      </w:pPr>
      <w:r>
        <w:rPr>
          <w:rFonts w:ascii="IRNazanin" w:hAnsi="IRNazanin" w:eastAsia="IRNazanin"/>
          <w:color w:val="111111"/>
          <w:sz w:val="28"/>
          <w:sz w:val="28"/>
          <w:szCs w:val="28"/>
          <w:rtl w:val="true"/>
          <w:lang w:bidi="fa-IR"/>
        </w:rPr>
        <w:t xml:space="preserve">يكى از اهداف همه ى پيامبران و مصلحان بزرگ الهى، 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بيش از هر چيز ديگرى بر روى اين موضوع تأكيد مى كند تا جايى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از عدالت،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خواهد داد كه سيرت عادلانه چگونه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حكومت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زمين را از قسط و عدل سرشار مى سازد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هم چنان كه سرما و گرما وارد خانه ها مى شود، وارد خانه هاى مردمان مى كند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نمونه ى كامل حكومت ها مى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در اين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روابط نامشروع، مشروبات الكلى و رباخوارى از بين مى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به عبادت و اطاعت روى مى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ها را به خوبى رعايت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اشرار نابود مى شوند و افراد صالح باقى مى مانند</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هاى اصلى را توسعه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مسجدى را بر سر راه باشد، تخريب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راحتى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بالكن ها را مى شكند، پنجره هايى را كه به كوچه باز شود، مى بندد و فاضلاب و ناودان هايى كه به كوچه ها باز باشد، بسته مى شود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پس به يقين، در چنين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زمين از او راضىهستند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سرمايه ها را عادلانه تقسيم مى كند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ميان مردم چنان تساوى تقسيم مى كند كه ديگر نيازمندى يافت نمى شود تا به او زكات پرداخت شود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در چنين زمانى و با چنين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 باطلى از بين مى رود</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حكومتى جز حكومت اسلامى نخواهد بود</w:t>
      </w:r>
      <w:r>
        <w:rPr>
          <w:rFonts w:eastAsia="Amiri" w:cs="Amiri" w:ascii="Amiri" w:hAnsi="Amiri"/>
          <w:color w:val="111111"/>
          <w:sz w:val="28"/>
          <w:szCs w:val="28"/>
          <w:rtl w:val="true"/>
          <w:lang w:bidi="ar-SA"/>
        </w:rPr>
        <w:t>».</w:t>
      </w:r>
      <w:r>
        <w:rPr>
          <w:rStyle w:val="FootnoteAnchor"/>
          <w:rtl w:val="true"/>
        </w:rPr>
        <w:footnoteReference w:id="263"/>
      </w:r>
      <w:bookmarkStart w:id="329" w:name="pg7521_56466"/>
    </w:p>
    <w:p>
      <w:pPr>
        <w:pStyle w:val="Heading4"/>
        <w:numPr>
          <w:ilvl w:val="3"/>
          <w:numId w:val="1"/>
        </w:numPr>
        <w:rPr/>
      </w:pPr>
      <w:bookmarkStart w:id="330" w:name="__RefHeading___Toc2564171_1051229030"/>
      <w:bookmarkStart w:id="331" w:name="_Toc129"/>
      <w:bookmarkEnd w:id="329"/>
      <w:bookmarkEnd w:id="330"/>
      <w:r>
        <w:rPr/>
        <w:t>3</w:t>
      </w:r>
      <w:r>
        <w:rPr>
          <w:rtl w:val="true"/>
        </w:rPr>
        <w:t xml:space="preserve">. </w:t>
      </w:r>
      <w:r>
        <w:rPr>
          <w:rtl w:val="true"/>
        </w:rPr>
        <w:t>تحول اقتصادى</w:t>
      </w:r>
      <w:bookmarkEnd w:id="331"/>
    </w:p>
    <w:p>
      <w:pPr>
        <w:pStyle w:val="BookText"/>
        <w:rPr/>
      </w:pPr>
      <w:r>
        <w:rPr>
          <w:rFonts w:ascii="IRNazanin" w:hAnsi="IRNazanin" w:eastAsia="IRNazanin"/>
          <w:color w:val="111111"/>
          <w:sz w:val="28"/>
          <w:sz w:val="28"/>
          <w:szCs w:val="28"/>
          <w:rtl w:val="true"/>
          <w:lang w:bidi="fa-IR"/>
        </w:rPr>
        <w:t>دانشمندان و بزرگان عقيده دارند كه حكومتى توان مند و موفق است كه در همه ى زمينه ها به ويژه اقتصاد، زمينه ى شكوفايى مردم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جنبه توجه ويژه اى صورت مى گيرد تا جايى كه در احاديثى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امت من چنان از نعمت برخوردار شوند كه هرگز امتى آن چنان از نعمت برخوردار نشده باشند، سرتاسر زمين محصول دهد و </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دولت و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گذارى هاى اقتصادى به سود عامه ى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آن حضرت، رباخوارى از بين مى رود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زيرا رباخوارى مايه ى تضعيف اقتصاد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كريمه 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آباد و خرم و سرسبز مى گردد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همه ى معادن و گنج هاى زيرزمينى، استخراج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 مخروبه اى نمى ماند، مگر آن كه به وسيله ى آن حضرت آباد مى شود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ايشان براى اجراى عدالت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چنان ميان مردم به تساوى قسمت مى كند كه ديگر نيازمندى يافت نمى شود تا به او زكات دهد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332" w:name="__RefHeading___Toc2564173_1051229030"/>
      <w:bookmarkStart w:id="333" w:name="_Toc130"/>
      <w:bookmarkEnd w:id="332"/>
      <w:r>
        <w:rPr/>
        <w:t>4</w:t>
      </w:r>
      <w:r>
        <w:rPr>
          <w:rtl w:val="true"/>
        </w:rPr>
        <w:t xml:space="preserve">. </w:t>
      </w:r>
      <w:r>
        <w:rPr>
          <w:rtl w:val="true"/>
        </w:rPr>
        <w:t>تحول قضايى</w:t>
      </w:r>
      <w:bookmarkEnd w:id="3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قضايى در مرتبه ى بالا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داوود ميان مردم، داورى مى كند</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و با آشنايى به همه ى اديان الهى، همه ى ملل از عدالت آن حضرت برخوردار مى شوند تا جايى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اهل تورات با تورات و ميان اهل انجيل با انجيل و ميان اهل زبور با زبور و ميان اهل قرآن با قرآن، داورى خواهد كرد</w:t>
      </w:r>
      <w:r>
        <w:rPr>
          <w:rFonts w:eastAsia="Amiri" w:cs="Amiri" w:ascii="Amiri" w:hAnsi="Amiri"/>
          <w:color w:val="111111"/>
          <w:sz w:val="28"/>
          <w:szCs w:val="28"/>
          <w:rtl w:val="true"/>
          <w:lang w:bidi="ar-SA"/>
        </w:rPr>
        <w:t>».</w:t>
      </w:r>
      <w:r>
        <w:rPr>
          <w:rStyle w:val="FootnoteAnchor"/>
          <w:rtl w:val="true"/>
        </w:rPr>
        <w:footnoteReference w:id="270"/>
      </w:r>
      <w:bookmarkStart w:id="334" w:name="pg7521_56467"/>
    </w:p>
    <w:p>
      <w:pPr>
        <w:pStyle w:val="Heading4"/>
        <w:numPr>
          <w:ilvl w:val="3"/>
          <w:numId w:val="1"/>
        </w:numPr>
        <w:rPr/>
      </w:pPr>
      <w:bookmarkStart w:id="335" w:name="__RefHeading___Toc2564175_1051229030"/>
      <w:bookmarkStart w:id="336" w:name="_Toc131"/>
      <w:bookmarkEnd w:id="334"/>
      <w:bookmarkEnd w:id="335"/>
      <w:r>
        <w:rPr/>
        <w:t>5</w:t>
      </w:r>
      <w:r>
        <w:rPr>
          <w:rtl w:val="true"/>
        </w:rPr>
        <w:t xml:space="preserve">. </w:t>
      </w:r>
      <w:r>
        <w:rPr>
          <w:rtl w:val="true"/>
        </w:rPr>
        <w:t>پيروى از سيره ى پيامبر گرامى اسلام</w:t>
      </w:r>
      <w:r>
        <w:rPr>
          <w:rtl w:val="true"/>
        </w:rPr>
        <w:t>(</w:t>
      </w:r>
      <w:r>
        <w:rPr>
          <w:rtl w:val="true"/>
        </w:rPr>
        <w:t>صلى الله عليه وآله وسلم</w:t>
      </w:r>
      <w:r>
        <w:rPr>
          <w:rtl w:val="true"/>
        </w:rPr>
        <w:t>)</w:t>
      </w:r>
      <w:bookmarkEnd w:id="336"/>
    </w:p>
    <w:p>
      <w:pPr>
        <w:pStyle w:val="BookText"/>
        <w:rPr/>
      </w:pP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مردم با سيره ى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مى كند</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اى است كه مال را به وفور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كارگزاران و مسؤولان دولت خويش بسيار سخت مى گيرد و بر بى نوايان بسيار مهربان و رؤوف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براى رسيدگى به وضع مردم و گسترش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را در همه ى شهرها مى پراكند و به آنان دستور مى دهد عدل و احسان را شيوه ى خود سازند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دقيقاً فرمان خدا را اجرا مى كند و با كسى، حساب خويشاوندى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ى او، درهاى حق و حقيقت را مى گشايد و درهاى باطل را مى بندد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آن حضرت براى رسيدن به اهداف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وزيران خود كه همگى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سخن مى گويند و خالص ترين و برترين وزيران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 مى كند</w:t>
      </w:r>
      <w:r>
        <w:rPr>
          <w:rFonts w:eastAsia="Amiri" w:cs="Amiri" w:ascii="Amiri" w:hAnsi="Amiri"/>
          <w:color w:val="111111"/>
          <w:sz w:val="28"/>
          <w:szCs w:val="28"/>
          <w:rtl w:val="true"/>
          <w:lang w:bidi="ar-SA"/>
        </w:rPr>
        <w:t>».</w:t>
      </w:r>
      <w:r>
        <w:rPr>
          <w:rStyle w:val="FootnoteAnchor"/>
          <w:rtl w:val="true"/>
        </w:rPr>
        <w:footnoteReference w:id="276"/>
      </w:r>
    </w:p>
    <w:p>
      <w:pPr>
        <w:pStyle w:val="Heading4"/>
        <w:numPr>
          <w:ilvl w:val="3"/>
          <w:numId w:val="1"/>
        </w:numPr>
        <w:rPr/>
      </w:pPr>
      <w:bookmarkStart w:id="337" w:name="__RefHeading___Toc2564177_1051229030"/>
      <w:bookmarkStart w:id="338" w:name="_Toc132"/>
      <w:bookmarkEnd w:id="337"/>
      <w:r>
        <w:rPr/>
        <w:t>6</w:t>
      </w:r>
      <w:r>
        <w:rPr>
          <w:rtl w:val="true"/>
        </w:rPr>
        <w:t xml:space="preserve">. </w:t>
      </w:r>
      <w:r>
        <w:rPr>
          <w:rtl w:val="true"/>
        </w:rPr>
        <w:t>رهبرى بى آلايش</w:t>
      </w:r>
      <w:bookmarkEnd w:id="338"/>
    </w:p>
    <w:p>
      <w:pPr>
        <w:pStyle w:val="BookText"/>
        <w:rPr/>
      </w:pPr>
      <w:r>
        <w:rPr>
          <w:rFonts w:ascii="IRNazanin" w:hAnsi="IRNazanin" w:eastAsia="IRNazanin"/>
          <w:color w:val="111111"/>
          <w:sz w:val="28"/>
          <w:sz w:val="28"/>
          <w:szCs w:val="28"/>
          <w:rtl w:val="true"/>
          <w:lang w:bidi="fa-IR"/>
        </w:rPr>
        <w:t xml:space="preserve">سيره ى فردى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انقلاب جهانى هم چون زندگى اجداد بزرگوارش،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است تا جايى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وضع ظاهرى آن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پارچه اى خشن و غذاى او جز غذاى ساده اى نيست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آن حضرت با عموم مردم فرقى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آنان جامه مى پوشد و مركبى همانند مركب آنان سوار مى شود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با همين سادگى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كتاب و سنت متروك مانده است، به دست او زنده </w:t>
      </w:r>
      <w:bookmarkStart w:id="339" w:name="pg7521_56468"/>
    </w:p>
    <w:p>
      <w:pPr>
        <w:pStyle w:val="BookText"/>
        <w:rPr/>
      </w:pPr>
      <w:bookmarkEnd w:id="339"/>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ى او، بدعت ها را نابود مى سازد و گمراهى را از بين مى برد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حكومت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امتيازها و تبعيض هاى نژادى و طبقاتى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و آن عصر و آن دولت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اليك فى دولة كريمه تعزّبها الاسلام و اهله و تذلّ بها النفاق و اهله</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340" w:name="__RefHeading___Toc2564179_1051229030"/>
      <w:bookmarkStart w:id="341" w:name="_Toc133"/>
      <w:bookmarkEnd w:id="340"/>
      <w:r>
        <w:rPr>
          <w:rtl w:val="true"/>
        </w:rPr>
        <w:t>سيره ى حكومتى امام زمان با سيره ى حكومتى پيامبر</w:t>
      </w:r>
      <w:r>
        <w:rPr>
          <w:rtl w:val="true"/>
        </w:rPr>
        <w:t>(</w:t>
      </w:r>
      <w:r>
        <w:rPr>
          <w:rtl w:val="true"/>
        </w:rPr>
        <w:t>صلى الله عليه وآله وسلم</w:t>
      </w:r>
      <w:r>
        <w:rPr>
          <w:rtl w:val="true"/>
        </w:rPr>
        <w:t xml:space="preserve">) </w:t>
      </w:r>
      <w:r>
        <w:rPr>
          <w:rtl w:val="true"/>
        </w:rPr>
        <w:t>و ائمه معصومين</w:t>
      </w:r>
      <w:r>
        <w:rPr>
          <w:rtl w:val="true"/>
        </w:rPr>
        <w:t>(</w:t>
      </w:r>
      <w:r>
        <w:rPr>
          <w:rtl w:val="true"/>
        </w:rPr>
        <w:t>عليهم السلام</w:t>
      </w:r>
      <w:r>
        <w:rPr>
          <w:rtl w:val="true"/>
        </w:rPr>
        <w:t xml:space="preserve">) </w:t>
      </w:r>
      <w:r>
        <w:rPr>
          <w:rtl w:val="true"/>
        </w:rPr>
        <w:t>چه فرقى دارد</w:t>
      </w:r>
      <w:r>
        <w:rPr>
          <w:rtl w:val="true"/>
        </w:rPr>
        <w:t xml:space="preserve">. </w:t>
      </w:r>
      <w:r>
        <w:rPr>
          <w:rtl w:val="true"/>
        </w:rPr>
        <w:t xml:space="preserve">چرا؟ </w:t>
      </w:r>
      <w:r>
        <w:rPr>
          <w:rtl w:val="true"/>
        </w:rPr>
        <w:t xml:space="preserve">/ </w:t>
      </w:r>
      <w:r>
        <w:rPr>
          <w:rtl w:val="true"/>
        </w:rPr>
        <w:t>محمد مهدى باباپور</w:t>
      </w:r>
      <w:bookmarkEnd w:id="341"/>
    </w:p>
    <w:p>
      <w:pPr>
        <w:pStyle w:val="BookText"/>
        <w:rPr/>
      </w:pPr>
      <w:r>
        <w:rPr>
          <w:rFonts w:ascii="IRNazanin" w:hAnsi="IRNazanin" w:eastAsia="IRNazanin"/>
          <w:color w:val="111111"/>
          <w:sz w:val="28"/>
          <w:sz w:val="28"/>
          <w:szCs w:val="28"/>
          <w:rtl w:val="true"/>
          <w:lang w:bidi="fa-IR"/>
        </w:rPr>
        <w:t>البته احاديث بسيارى دلالت مى كند كه سيره 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سيره ى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روايت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اهل بيت من قيام مى كند و به سنت و روش من رفتار مى كند</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ايشان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 از فرزندان من هم نام و هم كنيه ى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خُوى من و رفتارش، رفتار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طاعت و دين من و قرآن مى خواند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 چنين يكى از دوستان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 بن عطا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پرسيدم روش و سيره 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امام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همان كار و سيره اى را انجام مى دهد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اين ميان به برخى احاديث برمى خوريم كه ممكن است اين توهم را پديد آورد كه سيره ى آن حضرت با پيامبر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اسلام را از نو بنا مى كند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خديجه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ظهور كرد، با امر جديدى خواهد آمد چنان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مردم را به امر جديدى فرا مى خواند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جديد و كتاب جديد و رفتار و قضاوت تازه، پديدار مى شود كه بر عرب سخت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آيت الله ابراهيم امينى در تفسير اين روايات مى نويسد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غيبت بدعت هايى در دين گذاشته مى شود و احكامى از قرآن و اسلام بر طبق ميل مردم تأويل و تفسير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حدود و احكام چنان فراموش مى شود كه گويا اصلاً از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بدعت ها را ابطال مى كند و احكام خدا را همان جور كه صادر شده ظاهر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اسلامى رابدون سهل انگارى اجرا مى كند و معلوم است كه چنين برنامه اى كاملاً براى مردم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اركان و اصول مسلمه ى اسلام را رها كرده، به بعض ظواهر آن اكتفا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كوچه و خيابان و خانه اثرى از اسلام شان پيدا نيست، اخلاقيات و دستورات اجتماعى را اصلا از اسلام محسوب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زشت در نظرشان هيچ اهميت ندارد، محرمات الهى را با حيله هاى گوناگون جائز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فقط به ظواهر قرائت اكتفا مى كنند و اگر امام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و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حقيقت و گوهر دين به دور افتاده ايد و آيات قرآن و احاديث پيغمبر را برخلاف واقع تفسير و تأويل كرده ايد، چرا حقيقت اسلام را رها كرده، به ظواهرش قناعت كرديد؟ شما اعمال و رفتارتان را با دين تطبيق نكرده ايد، بايد دستورات اخلاقى و اجتماعى اسلام را عمل كنيد و خلاف واجب را انجام دهيد و فلان بدعت را رها كنيد، چنين دين و برنامه اى برايشان تازگى داشته، از آن وحشت مى كنند و اصلاً اسلامش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را جور ديگر تصور كرده بودند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آيت الله ناصر مكارم شيرازى نيز در اين زمينه مى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تازگى اين برنامه ها و روش ها نه به خاطر آن است كه مذهب جديدى با خود مى آورد، بلكه آن چنان اسلام را از ميان انبوه خرافات و تحريف ها و تفسيرهاى نادرست و تلقى هاى غلط بيرون مى آورد كه بنايى كاملاً نو و جديد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رسالت هاى آن حضرت، پيرايش اسلام از همين وصله ها و پيرايه ها و به تعبير ديگر نوسازى كاخ شكوهمند آن است كه مجموعه ى اين نوسازى در عرصه هاى مختلف اعتقادات، اخلاقيات، اجتماعيات و فرهنگ و سياست آن چنان زياد و دگرگون كننده است كه در پاره اى از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كردن او بر طبق قانون دادرسى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اشاره به اين نكته ى لطيف است كه او هم از موازين ظاهرى دادرسى اسلامى هم چون اقرار و گواهى گواهان و مانند آن استفاده مى كند و هم از طريق روانى و علمى براى كشف مجرمان اصلى، آن چنان كه پاره اى از نمونه هاى آن از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عصر او، به موازات پيشرفت علوم و دانش ها و تكنيك و صنعت آن قدر وسايل كشف جرم تكامل مى يابد كه كمتر مجرمى مى تواند ردپايى كه با آن شناخته شود، از خود به جا نگذارد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ايشان براى تأكيد بر اين مطلب مى افزايد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چندين بار تكرار مى كنم، اين اشتباه است اگر ما تصور كنيم كه در عصر حكومت او همه ى اين مسايل از طريق اعجاز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اعجاز، حكم يك استثنا را دارد و براى مواقع ضرورى و مخصوصاً اثبات حقانيت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براى تنظيم زندگى روزمره و جريان عادى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پيامبرى براى اين مقصد، از معجزه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مسير حكومت جهانى او از همان نمونه است نه اعجاز</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در نتيجه، به دليل پيرايه هايى كه زمام داران نالايق و ديگران در طول تاريخ به اسلام بسته اند و بدعت ها و تحريف هاى بى شمارى كه وارد آن شده است، امام مى كوشد حقيقت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مردم مى پندارند مكتب جديد، روش جديد و قضاوت جديدى به جز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سيره 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سيره 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0"/>
      </w:r>
      <w:bookmarkStart w:id="342" w:name="pg7521_56472"/>
    </w:p>
    <w:p>
      <w:pPr>
        <w:pStyle w:val="Heading2"/>
        <w:numPr>
          <w:ilvl w:val="1"/>
          <w:numId w:val="1"/>
        </w:numPr>
        <w:rPr/>
      </w:pPr>
      <w:bookmarkStart w:id="343" w:name="__RefHeading___Toc2564181_1051229030"/>
      <w:bookmarkStart w:id="344" w:name="_Toc134"/>
      <w:bookmarkEnd w:id="342"/>
      <w:bookmarkEnd w:id="343"/>
      <w:r>
        <w:rPr>
          <w:rtl w:val="true"/>
        </w:rPr>
        <w:t>اينترنت</w:t>
      </w:r>
      <w:bookmarkEnd w:id="344"/>
    </w:p>
    <w:p>
      <w:pPr>
        <w:pStyle w:val="Heading3"/>
        <w:numPr>
          <w:ilvl w:val="2"/>
          <w:numId w:val="1"/>
        </w:numPr>
        <w:rPr/>
      </w:pPr>
      <w:bookmarkStart w:id="345" w:name="__RefHeading___Toc2564183_1051229030"/>
      <w:bookmarkStart w:id="346" w:name="_Toc135"/>
      <w:bookmarkEnd w:id="345"/>
      <w:r>
        <w:rPr>
          <w:rtl w:val="true"/>
        </w:rPr>
        <w:t>اشاره</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انديشه قم</w:t>
      </w:r>
      <w:r>
        <w:rPr>
          <w:rFonts w:eastAsia="IRNazanin" w:cs="IRNazanin"/>
          <w:color w:val="111111"/>
          <w:sz w:val="28"/>
          <w:szCs w:val="28"/>
          <w:rtl w:val="true"/>
          <w:lang w:bidi="fa-IR"/>
        </w:rPr>
        <w:t>)</w:t>
      </w:r>
    </w:p>
    <w:p>
      <w:pPr>
        <w:pStyle w:val="Heading3"/>
        <w:numPr>
          <w:ilvl w:val="2"/>
          <w:numId w:val="1"/>
        </w:numPr>
        <w:rPr/>
      </w:pPr>
      <w:bookmarkStart w:id="347" w:name="__RefHeading___Toc2564185_1051229030"/>
      <w:bookmarkStart w:id="348" w:name="_Toc136"/>
      <w:bookmarkEnd w:id="347"/>
      <w:r>
        <w:rPr>
          <w:rtl w:val="true"/>
        </w:rPr>
        <w:t>معرفى پايگاه هاى اسلامى اينترنت</w:t>
      </w:r>
      <w:bookmarkEnd w:id="348"/>
    </w:p>
    <w:p>
      <w:pPr>
        <w:pStyle w:val="Heading4"/>
        <w:numPr>
          <w:ilvl w:val="3"/>
          <w:numId w:val="1"/>
        </w:numPr>
        <w:rPr/>
      </w:pPr>
      <w:bookmarkStart w:id="349" w:name="__RefHeading___Toc2564187_1051229030"/>
      <w:bookmarkStart w:id="350" w:name="_Toc137"/>
      <w:bookmarkEnd w:id="349"/>
      <w:r>
        <w:rPr>
          <w:rtl w:val="true"/>
        </w:rPr>
        <w:t xml:space="preserve">پايگاه </w:t>
      </w:r>
      <w:r>
        <w:rPr>
          <w:rtl w:val="true"/>
        </w:rPr>
        <w:t>«</w:t>
      </w:r>
      <w:r>
        <w:rPr>
          <w:rtl w:val="true"/>
        </w:rPr>
        <w:t>انديشه ى قم</w:t>
      </w:r>
      <w:r>
        <w:rPr>
          <w:rtl w:val="true"/>
        </w:rPr>
        <w:t>»</w:t>
      </w:r>
      <w:bookmarkEnd w:id="350"/>
    </w:p>
    <w:p>
      <w:pPr>
        <w:pStyle w:val="Heading5"/>
        <w:numPr>
          <w:ilvl w:val="4"/>
          <w:numId w:val="1"/>
        </w:numPr>
        <w:rPr/>
      </w:pPr>
      <w:bookmarkStart w:id="351" w:name="__RefHeading___Toc2564189_1051229030"/>
      <w:bookmarkStart w:id="352" w:name="_Toc138"/>
      <w:bookmarkEnd w:id="351"/>
      <w:r>
        <w:rPr>
          <w:rtl w:val="true"/>
        </w:rPr>
        <w:t>اشاره</w:t>
      </w:r>
      <w:bookmarkEnd w:id="352"/>
    </w:p>
    <w:p>
      <w:pPr>
        <w:pStyle w:val="BookText"/>
        <w:rPr/>
      </w:pPr>
      <w:r>
        <w:rPr>
          <w:rFonts w:eastAsia="Times New Roman" w:cs="Times New Roman" w:ascii="Times New Roman" w:hAnsi="Times New Roman"/>
          <w:color w:val="111111"/>
          <w:sz w:val="28"/>
          <w:szCs w:val="28"/>
          <w:lang w:val="en-US" w:bidi="en-US"/>
        </w:rPr>
        <w:t>www.andisheqom.com//:http</w:t>
      </w:r>
    </w:p>
    <w:p>
      <w:pPr>
        <w:pStyle w:val="BookText"/>
        <w:rPr/>
      </w:pPr>
      <w:r>
        <w:rPr>
          <w:rFonts w:ascii="IRNazanin" w:hAnsi="IRNazanin" w:eastAsia="IRNazanin"/>
          <w:color w:val="111111"/>
          <w:sz w:val="28"/>
          <w:sz w:val="28"/>
          <w:szCs w:val="28"/>
          <w:rtl w:val="true"/>
          <w:lang w:bidi="fa-IR"/>
        </w:rPr>
        <w:t xml:space="preserve">پايگاه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مركز مطالعات و پژوهش هاى فرهنگى حوزه ى علميه ى قم با هدف پاسخ گويى به پرسش ها و شبهه هاى قشرهاى گوناگون جامعه در زمينه ى علوم اسلامى و انسانى، تبيين معارف والاى دينى و دفاع از حريم تشيع، در خردادماه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شده است</w:t>
      </w:r>
      <w:r>
        <w:rPr>
          <w:rFonts w:eastAsia="IRNazanin" w:cs="IRNazanin"/>
          <w:color w:val="111111"/>
          <w:sz w:val="28"/>
          <w:szCs w:val="28"/>
          <w:rtl w:val="true"/>
          <w:lang w:bidi="fa-IR"/>
        </w:rPr>
        <w:t>.</w:t>
      </w:r>
    </w:p>
    <w:p>
      <w:pPr>
        <w:pStyle w:val="Heading5"/>
        <w:numPr>
          <w:ilvl w:val="4"/>
          <w:numId w:val="1"/>
        </w:numPr>
        <w:rPr/>
      </w:pPr>
      <w:bookmarkStart w:id="353" w:name="__RefHeading___Toc2564191_1051229030"/>
      <w:bookmarkStart w:id="354" w:name="_Toc139"/>
      <w:bookmarkEnd w:id="353"/>
      <w:r>
        <w:rPr>
          <w:rtl w:val="true"/>
        </w:rPr>
        <w:t>درون مايه</w:t>
      </w:r>
      <w:r>
        <w:rPr>
          <w:rtl w:val="true"/>
        </w:rPr>
        <w:t>:</w:t>
      </w:r>
      <w:bookmarkEnd w:id="354"/>
    </w:p>
    <w:p>
      <w:pPr>
        <w:pStyle w:val="Heading6"/>
        <w:numPr>
          <w:ilvl w:val="5"/>
          <w:numId w:val="1"/>
        </w:numPr>
        <w:rPr/>
      </w:pPr>
      <w:bookmarkStart w:id="355" w:name="__RefHeading___Toc2564193_1051229030"/>
      <w:bookmarkStart w:id="356" w:name="_Toc140"/>
      <w:bookmarkEnd w:id="355"/>
      <w:r>
        <w:rPr>
          <w:rtl w:val="true"/>
        </w:rPr>
        <w:t xml:space="preserve">الف </w:t>
      </w:r>
      <w:r>
        <w:rPr>
          <w:rtl w:val="true"/>
        </w:rPr>
        <w:t xml:space="preserve">- </w:t>
      </w:r>
      <w:r>
        <w:rPr>
          <w:rtl w:val="true"/>
        </w:rPr>
        <w:t>فرآورده هاى مركز</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به بيش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پاسخ داده شده و براى وارد كردن به پايگاه، در دست ويرايش و دسته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 ها نيز به صورت موضوعى وارد پايگاه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كانون گفتمان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جلسه ها در قالب نشست هاى هفتگى سخنرانى و پرسش و پاسخ، با حضور انديشمندان دينى برگزار و مباحث آن پس از تنظيم، وارد پايگاه مى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جلسه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 سخنرانى و پرسش و پاسخ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مباحث مطرح شده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ى برگزار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آزادى، پلوراليزم دينى، ولايت فقيه، منطق </w:t>
      </w:r>
    </w:p>
    <w:p>
      <w:pPr>
        <w:pStyle w:val="BookText"/>
        <w:rPr/>
      </w:pPr>
      <w:r>
        <w:rPr>
          <w:rFonts w:ascii="IRNazanin" w:hAnsi="IRNazanin" w:eastAsia="IRNazanin"/>
          <w:color w:val="111111"/>
          <w:sz w:val="28"/>
          <w:sz w:val="28"/>
          <w:szCs w:val="28"/>
          <w:rtl w:val="true"/>
          <w:lang w:bidi="fa-IR"/>
        </w:rPr>
        <w:t>فهم قرآن، دين و اقتصاد، گستره ى آزادى مطبوعات، امنيت ملى، قلمرو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حضرات آيات و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يزدى، سبحانى، معرفت، رشاد، رجبى، استادى، مؤمن، پيشوايى، كعبى، يونسى، ربانى گلپايگانى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پاسخ گويى به پرسش ها و چالش هاى دينى در عرصه ى علوم انسانى، راه اندازى شده است و به صورت روزآمد، وارد پايگاه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شماره 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ى صباح در پايگاه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ى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نشست هاى تخصصى است كه با حضور كارشناسان براى بررسى نظريه ها و شبهه هاى مطرح شده در حوزه ى فرهنگ دينى تشكيل مى شود و نقد آن ها بر مبناى فقاهتى و نگرش حوزوى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از نشست هاى حلقه ى نقد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ايران و امريكا، حكومت دينى و انديشه ى دينى با حضور استادان حوزه و دانشگاه،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يوسفى غروى، مهدى زاده، محمدى، كعبى، ارسطا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و مباحث آن وارد پايگاه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بررسى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مطبوعات مركز مطالعات و پژوهش هاى فرهنگى حوزه ى علميه با هدف تبيين معارف دينى در عرصه ى مطبوعات، عهده دار شبهه يابى و پاسخ گويى منطقى و مستدل به اين شبهه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درون مايه هاى اين لينك در قالب مقاله هاى نقد و مستقل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مشخصات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نشريه، شماره و تاريخ، عنوان نقد، نويسنده، عنوان مقاله، عنوان نقد و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صفحه هاى اين لينك در دست طراحى جديد است و در آينده اى نزديك، همه ى مقاله ها به طور كامل و جامع، عرضه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لوح فشرده و جزوه هاى مركز به صورت روزآمد، وارد پايگاه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جديد، عصمت، ضمانت اجرايى قانون اساسى، پلوراليزم دينى، جوانان و پرسش هاى اخلاقى، ايمان و چالش هاى معاصر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شبهه هاى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حوزه ى علميه به شبهه هاى موجود در زمينه ى عقايد و مذهب تشيع، به صورت مستند و مستدل پاسخ مى دهند</w:t>
      </w:r>
      <w:r>
        <w:rPr>
          <w:rFonts w:eastAsia="IRNazanin" w:cs="IRNazanin"/>
          <w:color w:val="111111"/>
          <w:sz w:val="28"/>
          <w:szCs w:val="28"/>
          <w:rtl w:val="true"/>
          <w:lang w:bidi="fa-IR"/>
        </w:rPr>
        <w:t xml:space="preserve">. </w:t>
      </w:r>
      <w:bookmarkStart w:id="357" w:name="pg7521_56474"/>
    </w:p>
    <w:p>
      <w:pPr>
        <w:pStyle w:val="BookText"/>
        <w:rPr/>
      </w:pPr>
      <w:bookmarkEnd w:id="357"/>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هاى وهابيت و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بندى موضوعى 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و شرك، انبيا، دين اسلام، مذهب تشيع، عصمت، امامت،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صحابه و خلفا، عبادات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پاسخ ها و اعلام آمادگى براى پاسخ هاى مفصل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لينك در آينده اى نزديك تكميل و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پاسخ، در آن عرضه خواهد شد</w:t>
      </w:r>
      <w:r>
        <w:rPr>
          <w:rFonts w:eastAsia="IRNazanin" w:cs="IRNazanin"/>
          <w:color w:val="111111"/>
          <w:sz w:val="28"/>
          <w:szCs w:val="28"/>
          <w:rtl w:val="true"/>
          <w:lang w:bidi="fa-IR"/>
        </w:rPr>
        <w:t>.</w:t>
      </w:r>
    </w:p>
    <w:p>
      <w:pPr>
        <w:pStyle w:val="Heading6"/>
        <w:numPr>
          <w:ilvl w:val="5"/>
          <w:numId w:val="1"/>
        </w:numPr>
        <w:rPr/>
      </w:pPr>
      <w:bookmarkStart w:id="358" w:name="__RefHeading___Toc2564195_1051229030"/>
      <w:bookmarkStart w:id="359" w:name="_Toc141"/>
      <w:bookmarkEnd w:id="358"/>
      <w:r>
        <w:rPr>
          <w:rtl w:val="true"/>
        </w:rPr>
        <w:t xml:space="preserve">ب </w:t>
      </w:r>
      <w:r>
        <w:rPr>
          <w:rtl w:val="true"/>
        </w:rPr>
        <w:t xml:space="preserve">- </w:t>
      </w:r>
      <w:r>
        <w:rPr>
          <w:rtl w:val="true"/>
        </w:rPr>
        <w:t>اطلاع رسانى</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و ترجمه ى قرآن در اين لينك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اى نزديك، مقاله هايى درباره ى شناخت جايگاه قرآن، علوم قرآن، معارف قرآن، تفسيرهاى مهم شيعى، عرضه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 گذارى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مقام معظم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علوى، ويژه نامه اى جامع و متنوع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كلى تنظيم و تهيه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اين لينك ها زير مجموعه هايى دارند كه مقاله هاى علمى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لينك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 سيره ى عملى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و شناخت آن، شيعه، گلچين فرمايشات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برگزيده، كتاب شناسى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عزت و افتخار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لينك براساس نام گذارى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مقام معظم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كلى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هاى اين لينك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عظيم عاشورا، پيام هاى حماسه ى عاشورا، عوام و خواص و عبرت هاى عاشورا، سيره ى عملى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عزادارى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شيعه با مخالفان در موضوع هاى گوناگون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در دو بخش فارسى و عربى عرضه شده است و در آينده اى نزديك، به صورت گسترده تر و موضوعى، تكميل خواهد شد</w:t>
      </w:r>
      <w:r>
        <w:rPr>
          <w:rFonts w:eastAsia="IRNazanin" w:cs="IRNazanin"/>
          <w:color w:val="111111"/>
          <w:sz w:val="28"/>
          <w:szCs w:val="28"/>
          <w:rtl w:val="true"/>
          <w:lang w:bidi="fa-IR"/>
        </w:rPr>
        <w:t xml:space="preserve">. </w:t>
      </w:r>
      <w:bookmarkStart w:id="360" w:name="pg7521_56475"/>
    </w:p>
    <w:p>
      <w:pPr>
        <w:pStyle w:val="BookText"/>
        <w:rPr/>
      </w:pPr>
      <w:bookmarkEnd w:id="3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هاى اسلامى شيعى كه در اينترنت حضور دارند، شناسايى و معرفى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هاى تازه را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ها را به صورت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اهل بيت، عقايد، علما و بزرگان، مجلات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پايگاه هاى اسلامى به پايگاه </w:t>
      </w:r>
      <w:r>
        <w:rPr>
          <w:rFonts w:eastAsia="Times New Roman" w:cs="Times New Roman" w:ascii="Times New Roman" w:hAnsi="Times New Roman"/>
          <w:color w:val="111111"/>
          <w:sz w:val="28"/>
          <w:szCs w:val="28"/>
          <w:lang w:val="en-US" w:bidi="en-US"/>
        </w:rPr>
        <w:t>www.rahnama.noornet.net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لينك است</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564197_1051229030"/>
      <w:bookmarkStart w:id="362" w:name="_Toc142"/>
      <w:bookmarkEnd w:id="361"/>
      <w:r>
        <w:rPr>
          <w:rtl w:val="true"/>
        </w:rPr>
        <w:t xml:space="preserve">ج </w:t>
      </w:r>
      <w:r>
        <w:rPr>
          <w:rtl w:val="true"/>
        </w:rPr>
        <w:t xml:space="preserve">- </w:t>
      </w:r>
      <w:r>
        <w:rPr>
          <w:rtl w:val="true"/>
        </w:rPr>
        <w:t>خدمات</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برقرارى ارتباط به وسيله ى پست الكترونيك با بخش هاى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مديريت، جانشين، معاونت ها، گروه هاى تحقيقاتى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سخنرانى هاى 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قابليت پخش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لينك در حال تكميل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همايش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گفتوگو و طرح پرسش و دريافت 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گلچين مداحى مداحان معروف در مرثيه 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قابليت پخش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گلچين زيارات و دعاهاى معروف با قابليت پخش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پايگاه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برقرارى ارتباط با مدير پايگاه براى طرح نظر، پيشنهاد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 جو در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جست جو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جست جوگر پر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گويى مستدل و علمى به پرسش ها و شبهه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فرآورده هاى علمى مركز به پايگاه به صورت روزآمد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آهنگى درون مايه مطالب با نياز كاربران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ارتباط با بخش هاى گوناگون مركز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مطالب جديد در لينك تازه 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mail : howzeh@andisheqom.com E</w:t>
      </w: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ى كانت، استفان كورنر، برگردان عزت الله فولادوند، تهران، انتشارات خوارزمى، مقدمه ى 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ى كانت، استفان كورنر، برگردان عزت الله فولادوند، تهران، انتشارات خوارزمى، مقدمه ى 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Philosophy</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 cendental Idealism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سنجش خردناب، ايمانوئل كانت،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ميرشمس الدين اديب سلطانى، انتشارات اميركبير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تمهيدات، ايمانوئل كانت،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على حداد عادل، انتشارات نشر دانشگاهى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ى كانت، استفان كورنر،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فولادوند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قوه ى حكم،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رشيديان، نشر نى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دين،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محمدتقى مصباح يزدى، انتشارات سازمان تبليغات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موضوعه، مبانى، پيش دانسته ها و اصولى است كه مورد توافق همگان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تفصيل اين مطلب در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جهان شناسى، محمد تقى مصباح يزدى، قم، مؤسسه ى در راه حق،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سيدمحمد حسين طباطبايى، قم، مؤسسه ى مطبوعاتى اسماعيليان،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سيد محمدحسين طباطبايى، بى جا، بنياد علمى و فرهنگى علامه طباطبايى، پاييز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معرفت،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پژوهش هاى قرآنى، ش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كلامى اجتهاد در برداشت از قرآن كريم، مهدى هادوى تهرانى، قم، مؤسسه ى فرهنگى خانه ى خرد،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 عباس على عميد زنجانى، تهران، وزارت فرهنگ و ارشاد اسلامى، سازمان چاپ و انتشارات،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قرائت هاى گوناگون، فرآيند فهم بر مدار درك مفسر مى چرخد و تنها افق معنايى مفسر به متن، معنا 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بدون مفسر، صامت است و هيچ معنايى از آن تراوش نمى كند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عبدالحسين خسرو پناه، مركز مطالعات فرهنگى حوزه ى علميه قم،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اقتراح با استاد سبحانى و آقاى واعظى، قبسات،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پذيرى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واعظى، 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محمد حسين زاده، مؤسسه ى آموزشى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 اول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توضيح است كه همه ى نحله هاى هرمنوتيكى، مبانى ياد شده را نمى پذيرند و درباره ى برخى از آن ها، اختلاف نظر وجود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هرمنوتيك، كتاب و سنّت و آينه ى تفسير وحى، محمد مجتهد شبسترى، تهران، انتشارات طرح نو،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هرمنوتيك، كتاب و سنّت و آينه ى تفسير وحى، محمد مجتهد شبسترى، تهران، انتشارات طرح نو،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هرمنوتيك، كتاب و سنّت و آينه ى تفسير وحى، محمد مجتهد شبسترى، تهران، انتشارات طرح نو،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هرمنوتيك، كتاب و سنّت و آينه ى تفسير وحى، محمد مجتهد شبسترى، تهران، انتشارات طرح نو،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و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بهشتى،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و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بهشتى،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سيدصدرالدين طاهرى،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لوازم و آثار، احمد بهشتى،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عبدالحسين خسروپناه، قم، مركز مطالعات و پژوهش هاى فرهنگى حوزه،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پذيرى دين، احمد واعظى، قبسات،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خود انيشتين با اين تعميم موافق نبود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فردريك كاپلستون،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غلط عام و خاص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روش، از تفسير به رأى و دخالت ذهنيت و پيش فرض و پيش دانسته هاى خود در فرآيند فهم پرهيز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براى رسيدن به مراد متكلم، به عناصرى هم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زبان متكلّم و قواعد زبان شناختى و قراين حاليه و مقاليه و شأن نزول ها و معانى عصر نزول تمسك مى جويند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صبح امروز، مقاله ى عبدالكريم سروش، </w:t>
      </w:r>
      <w:r>
        <w:rPr>
          <w:rFonts w:eastAsia="IRNazanin" w:cs="IRNazanin"/>
          <w:b w:val="false"/>
          <w:bCs w:val="false"/>
          <w:i w:val="false"/>
          <w:iCs w:val="false"/>
          <w:color w:val="333333"/>
          <w:sz w:val="20"/>
          <w:szCs w:val="20"/>
        </w:rPr>
        <w:t>14/7/1378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محمد حسن قرامكى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محمد حسين زاده، قم، انتشارات مؤسسه ى آموزشى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نظريه ى تفسير متون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يحيى يثربى،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محمد حسين زاده،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پلوراليسم معرفتى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محمدرضايى، 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محمد حسين زاده، انتشارات مؤسسه ى آموزشى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امام خمينى،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اقتراح با استاد سبحانى و حجت الاسلام واعظى، قبسات،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عبدالحسين خسرو پناه، قم، مركز مطالعات و پژوهش هاى حوزه،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شخصيت كودك، پاول هنرى ماسن و همكاران،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مهشيد ياسايى، تهران، نشر مركز،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نامه ى تربيت،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على مصباح و همكاران، سمت،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على مصباح و همكاران، سمت،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نامه ى تربيت،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هاى آموزشى مناسب،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و تلويزيون، مجيد درخشان، صدا و سيماى جمهورى اسلامى ايران،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تلويزيون و كودكان، امه دور،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رستمى، سروش،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تلويزيون در زندگى كودكان ما، ويلبر شرام،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حقيقت كاشانى، صدا و سيماى جمهورى اسلامى ايران،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فرهنگى، مهدى نويد، فلق،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ويدئو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كاركردها و راه حل ها، معاونت پرورشى اداره كل آموزش و پرورش خراسان،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اشاعه ى فساد و فرهنگ پوچ گرايى، رضا فتح آبادى، نشر بليغ،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شبيخون فرهنگى، منصور ميرزايى، تبريز، احرار،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ستيز با تهاجم فرهنگى غرب، دفتر عقيدتى سياسى فرماندهى معظم كل قوا، رامين،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ويدئو، كاركردها و راه حل ها، معاونت پرورشى اداره ى كل آموزش و پرورش خراسان،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شبيخون فرهنگى، منصور ميرزايى، تبريز، احرار،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نهى از منكر از ديدگاه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معاونت پژوهشى مؤسسه ى تنظيم و نشر آثار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حر عاملى،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 هاى صحيح امر به معروف و نهى از منكر، در دادسراى انقلاب اسلامى سازمان تبليغات اسلامى،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نظارت ملى يا امر به معروف و نهى از منكر، على زاده حسن آبادى،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نهى از منكر از ديدگاه امام خمينى، مؤسسه ى تنظيم و نشر آثار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ستيز با تهاجم فرهنگى غرب، دفتر عقيدتى سياسى فرماندهى كل قوا، رامين،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رسانه،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رسانه،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گوى دكتر غلام على افروز با بخش خبرى شبكه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سيما،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هاى نظرى و كاربردى آن، ابراهيم افشار زنجانى و همكاران، نشر كتابدار،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رسانه، سال دوم،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تلويزيون و كودكان، امه دور،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رستمى،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رسانه، سال اول،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دوم،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راديو، تلويزيون، سينما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تلويزيون در زندگى كودكان ما، ويلبر شرام، صدا و سيما،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تلويزيون و كودكان، امه دور،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رستمى، سروش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ستيزبا تهاجم فرهنگى غرب، دفتر عقيدتى سياسى فرماندهى كل قوا، رامين،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حسن مصطفوى، قم، دفتر تبليغات اسلامى،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هاى دخيل در قرآن مجيد، آرتور جفرى،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بدره اى، بى جا، انتشارات توس،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كارشكنى هاى يهود در عصر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جديد بناب،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نامه ى كارشناسى ارشد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كامل فارسى، غلام رضا انصاف پور، تهران، انتشارات زوار،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فرهيخته، شمس الدين فرهيخته، تهران، انتشارات زرين،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ى دهخدا، على اكبر دهخدا، تهران، مؤسسه ى انتشارات و چاپ دانشگاه تهران، چ اوّل از دوره ى جديد،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ى دهخدا، على اكبر دهخدا، تهران، مؤسسه ى انتشارات و چاپ دانشگاه تهران، چ اوّل از دوره ى جديد،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زبان فارسى، مهشيد مشيرى، تهران، انتشارات 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اكهارت معروف به استاد اكخارت، فيلسوف آلمانى است كه پاپ نظريه هاى عرفانى او مبتنى بر وحدت مطلق خدا با جهان را محكوم كرد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اسراييل و صهيونيسم سياسى، روژه گارودى،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بيات مختارى، مشهد، مؤسسه چاپ و انتشارات آستان قدس رضوى،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جمهورى اسلامى، </w:t>
      </w:r>
      <w:r>
        <w:rPr>
          <w:rFonts w:eastAsia="IRNazanin" w:cs="IRNazanin"/>
          <w:b w:val="false"/>
          <w:bCs w:val="false"/>
          <w:i w:val="false"/>
          <w:iCs w:val="false"/>
          <w:color w:val="333333"/>
          <w:sz w:val="20"/>
          <w:szCs w:val="20"/>
        </w:rPr>
        <w:t>25/1/1380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جمهورى اسلامى، </w:t>
      </w:r>
      <w:r>
        <w:rPr>
          <w:rFonts w:eastAsia="IRNazanin" w:cs="IRNazanin"/>
          <w:b w:val="false"/>
          <w:bCs w:val="false"/>
          <w:i w:val="false"/>
          <w:iCs w:val="false"/>
          <w:color w:val="333333"/>
          <w:sz w:val="20"/>
          <w:szCs w:val="20"/>
        </w:rPr>
        <w:t>25/1/1380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اسراييل و صهيونيسم سياسى،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اسراييل و صهيونيسم سياسى،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ى اسراييل و صهيونيسم، روژه گارودى،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نسرين حكيمى، تهران، سازمان چاپ و انتشارات وزارت فرهنگ و ارشاد اسلامى،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نهادهاى روابط بين الملل، كلييار كلود آلبر،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الله فلسفى، تهران، نشر نو،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درآمدى بر حقوق بين الملل عمومى، گرهاردفن، گلان،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داوود آقايى، تهران، نشر ميزان،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ملل متحد، ماده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جايگاه شوراى امنيت سازمان ملل متحد در نظم اين جهانى، سيد داوود آقايى، تهران، پيك فرهنگ، آذر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حقوق بين الملل عمومى،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جايگاه شوراى امنيت سازمان ملل متحد در نظم اين جهانى،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بين الملل عمومى، محمدرضا ضيايى بيگدلى، تهران، چاپ گلشن،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نامه 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امنيت،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نامه ى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امنيت،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نامه ى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گفت و گو، </w:t>
      </w:r>
      <w:r>
        <w:rPr>
          <w:rFonts w:eastAsia="IRNazanin" w:cs="IRNazanin"/>
          <w:b w:val="false"/>
          <w:bCs w:val="false"/>
          <w:i w:val="false"/>
          <w:iCs w:val="false"/>
          <w:color w:val="333333"/>
          <w:sz w:val="20"/>
          <w:szCs w:val="20"/>
        </w:rPr>
        <w:t>10/10/57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فلسطين، سرزمين موعود، هرمز همايون پور، تهران، انتشارات آگاه،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اسراييل ماشاهاك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رييس جامعه ى حقوق بشر و شهروندان اسراييل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موعود،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موعود،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ى خاورميانه،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پيام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8/8/1358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پرونوكراسيكى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نخستوزير يهودى آلمان، رژيم اسراييل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ترين دروغ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اصفهانى، تهران، مكتبة المرتضوية،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عبدالواحد بن محمد تميمى آمدى، قم، انتشارات دفتر تبليغات اسلامى،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ناصر مكارم شيرازى و همكاران، تهران، دارالكتب الاسلاميه،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بيروت، مؤسسة الوفاء،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شيخ حر عاملى، قم مؤسسه ى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اللئالى، ابن ابى جمهور احسائى، قم، سيدالشهداء،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تاج الدين شعيرى، قم، انتشارات رضى،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عبدالحميد، ابن ابى الحديد، قم، كتاب خانه ى آيت الله مرعشى نجفى،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مرتضى مطهرى، قم، انتشارات صدرا،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محمدابن شهر آشوب، قم، انتشارات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سيدبن طاووس، تهران، انتشارات جهان،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محمد حسين طباطبايى، تهران، دارالكتب الاسلامية،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مرتضى مطهرى، قم، انتشارات صدرا،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ى اخلاق، مرتضى مطهرى، قم، انتشارات صدرا،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مرتضى مطهرى، قم، دفتر تبليغات اسلامى،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مرتضى مطهرى، قم، دفتر تبليغات اسلامى،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لطف خدا، پس از پيروزى انقلاب اسلامى، اين كار به بركت وجود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روحانيت، مرتضى مطهرى،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هاى استاد، على رضا مرتضوى كرونى، كانون و فرهنگ هنر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على بن شعبه،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مرتضى مطهرى،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مرتضى مطهرى،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دشتى، خطبه 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امام از زبان امام،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محمدرضا حكيمى،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محمدرضا حكيمى،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دشتى،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دشتى،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امام از زبان امام،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امام از زبان امام،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روحانيت، مرتضى مطهرى،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ناصر مكارم شيرازى،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هاى عاشورا، سيداحمد خاتمى،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عهدنامه ى مالك اشتر، نامه 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شيخ عباس قمى، تهران، كتاب فروشى علميه اسلاميه،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شيخ عباس قمى، تهران، كتاب فروشى علميه اسلاميه،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عبرت، سيدحسين اسحاقى، قم، انتشارات دفتر تبليغات اسلامى،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عبرت،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خواص و عبرت هاى عاشورا، سيد احمد خاتمى، قم، انتشارات دفتر تبليغات اسلامى،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محمد محمدى رى شهرى، قم، مكتب الاعلام الاسلامى،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خامس آل عبا، ابوالقاسم سحابى، انتشارات ابن سينا،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ى راهيان نور، قم، دفتر تبليغات اسلامى،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بيروت، داراحياء الكتب العربيه،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 حوادث تلخ، قتل عام مردم مدينه، كربلا ونجف و تخريب قبور ائمه ى بقيع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وهابيان، على اصغر فقيهى، نشر اسماعيليان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سيد محسن، امين عاملى، نشر كتابخانه بزرگ اسلامى،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ى اربع قواعد، محمدبن الوهاب،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مكارم شيرازى و همكاران،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جعفر سبحانى،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نضرة النعيم، با همكارى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دانشمندان سعودى، جده، دارالوسيلة،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نضرة النعيم، با همكارى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دانشمندان سعودى، جده، دارالوسيلة،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گفته ى كسانى را كه پنداشته اند شفاعت در اسلام برگرفته از اديان گذشته است، رد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بهويژه آن چه از كتاب مقدس به دست مى آيد، شفاعت دنيايى و اين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ى قرآن، بهاءالدين خرمشاهى،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مكارم شيرازى و همكاران،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عطار نيشابورى،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جعفر سبحانى،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مرتضى مطهرى،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پرفيض افتتاح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ناصر مكارم شيرازى و همكاران، قم، مدرسة الامام اميرالمؤمنين،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جعفر سبحانى، قم، دارالقرآن الكريم،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جعفر سبحانى، قم، دفتر انتشارات اسلامى،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مكتبة المصطفوى،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داراحياء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از دانش، جز اندكى بهره نداريد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مرتضى مطهرى، عدل الهى،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داراحياء التراث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رشيد رضا، مصر، دارالمنار،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كتابفروشى اسلاميه،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لطف الله صافى، انتشارات حضرت معصومه،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لطف الله صافى، انتشارات حضرت معصومه،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مؤسسة الوفاء،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شيخ محمود عراقى، كتاب فروشى اسلاميه،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محمد محمدى رى شهرى، دفتر تبليغات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آيت الله ابراهيم امينى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انجيل مقدس،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انجيل لوقا،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يوحنا،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محى الدين عربى حنفى،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وزراء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ابن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الجزء الرابع فى كتاب الاحكام،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الامارة، باب الناس تبع لقريش والخلافة لقريش،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بيشتر كتاب هاى اهل 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حديث از نبى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حديث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حديث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فؤاد عبدالباقى،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حديث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حديث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 بعدالظهور، سيدمحمدصدر، 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حديث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حديث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پيداى پنهان، مسعود پورسيدآقايى،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پيداى پنهان، مسعود پورسيدآقايى،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پيداى پنهان، مسعود پورسيد آقايى، انتشاراتى حضور،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پيداى پنهان، مسعود پورسيدآقايى،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حديث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شيخ عباس قمى، تهران، شركت سهامى طبع كتاب،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دعاى 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آفتاب، حبيب الله طاهرى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اثباه الهداة، حر عاملى،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اثباه الهداة، حر عاملى،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ابراهيم امينى، انتشارات شفق، فصل هنگام ظهور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جهانى مهدى، ناصر مكارم شيرازى، انتشارات هدف،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جهانى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مكارم شيرازى، انتشارات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ابراهيم امينى، انتشارات شفق، حضرت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تابان ولايت، محمد محمدى اشتهاردى، انتشارات مسجد مقدس جمكران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لطف الله صافى گلپايگانى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43302</Words>
  <Characters>166830</Characters>
  <CharactersWithSpaces>209086</CharactersWithSpaces>
  <Paragraphs>1576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2026-08-27T09:53:45Z</dcterms:created>
  <dc:creator>ghaemiyeh.com</dc:creator>
  <dc:description/>
  <dc:language>en-US</dc:language>
  <cp:lastModifiedBy/>
  <dcterms:modified xsi:type="dcterms:W3CDTF">2026-08-27T13:23:50Z</dcterms:modified>
  <cp:revision>1</cp:revision>
  <dc:subject/>
  <dc:title>مجله صباح - پاسخگوی پرسش های دینی - شماره 4- مرداد-آبان 1381</dc:title>
</cp:coreProperties>
</file>

<file path=docProps/custom.xml><?xml version="1.0" encoding="utf-8"?>
<Properties xmlns="http://schemas.openxmlformats.org/officeDocument/2006/custom-properties" xmlns:vt="http://schemas.openxmlformats.org/officeDocument/2006/docPropsVTypes"/>
</file>