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پژوهشی پرسش ها و پاسخ های دینی صباح </w:t>
      </w:r>
      <w:r>
        <w:rPr>
          <w:rtl w:val="true"/>
        </w:rPr>
        <w:t xml:space="preserve">- </w:t>
      </w:r>
      <w:r>
        <w:rPr>
          <w:rtl w:val="true"/>
        </w:rPr>
        <w:t xml:space="preserve">سال چهارم </w:t>
      </w:r>
      <w:r>
        <w:rPr>
          <w:rtl w:val="true"/>
        </w:rPr>
        <w:t xml:space="preserve">- </w:t>
      </w:r>
      <w:r>
        <w:rPr>
          <w:rtl w:val="true"/>
        </w:rPr>
        <w:t xml:space="preserve">شماره </w:t>
      </w:r>
      <w:r>
        <w:rPr/>
        <w:t>17</w:t>
      </w:r>
      <w:r>
        <w:rPr>
          <w:rtl w:val="true"/>
        </w:rPr>
        <w:t>-</w:t>
      </w:r>
      <w:r>
        <w:rPr/>
        <w:t>18</w:t>
      </w:r>
      <w:r>
        <w:rPr>
          <w:rtl w:val="true"/>
        </w:rPr>
        <w:t xml:space="preserve"> </w:t>
      </w:r>
      <w:r>
        <w:rPr>
          <w:rtl w:val="true"/>
        </w:rPr>
        <w:t xml:space="preserve">پاییز و زمستان </w:t>
      </w:r>
      <w:r>
        <w:rPr/>
        <w:t>1384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707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6707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67078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367080_1051229030">
            <w:r>
              <w:rPr>
                <w:webHidden/>
                <w:rStyle w:val="IndexLink"/>
                <w:rtl w:val="true"/>
              </w:rPr>
              <w:t>سخن سردبير</w:t>
            </w:r>
            <w:r>
              <w:rPr>
                <w:rStyle w:val="IndexLink"/>
                <w:rtl w:val="true"/>
              </w:rPr>
              <w:tab/>
            </w:r>
            <w:r>
              <w:rPr>
                <w:rStyle w:val="IndexLink"/>
              </w:rPr>
              <w:t>13</w:t>
            </w:r>
          </w:hyperlink>
        </w:p>
        <w:p>
          <w:pPr>
            <w:pStyle w:val="Contents2"/>
            <w:tabs>
              <w:tab w:val="clear" w:pos="8743"/>
              <w:tab w:val="right" w:pos="9026" w:leader="dot"/>
            </w:tabs>
            <w:rPr/>
          </w:pPr>
          <w:hyperlink w:anchor="__RefHeading___Toc2367082_1051229030">
            <w:r>
              <w:rPr>
                <w:webHidden/>
                <w:rStyle w:val="IndexLink"/>
                <w:rtl w:val="true"/>
              </w:rPr>
              <w:t>كلام</w:t>
            </w:r>
            <w:r>
              <w:rPr>
                <w:rStyle w:val="IndexLink"/>
                <w:rtl w:val="true"/>
              </w:rPr>
              <w:tab/>
            </w:r>
            <w:r>
              <w:rPr>
                <w:rStyle w:val="IndexLink"/>
              </w:rPr>
              <w:t>15</w:t>
            </w:r>
          </w:hyperlink>
        </w:p>
        <w:p>
          <w:pPr>
            <w:pStyle w:val="Contents3"/>
            <w:tabs>
              <w:tab w:val="clear" w:pos="8459"/>
              <w:tab w:val="right" w:pos="9026" w:leader="dot"/>
            </w:tabs>
            <w:rPr/>
          </w:pPr>
          <w:hyperlink w:anchor="__RefHeading___Toc2367084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67086_1051229030">
            <w:r>
              <w:rPr>
                <w:webHidden/>
                <w:rStyle w:val="IndexLink"/>
                <w:rtl w:val="true"/>
              </w:rPr>
              <w:t>عدل الهى در قيامت</w:t>
            </w:r>
            <w:r>
              <w:rPr>
                <w:rStyle w:val="IndexLink"/>
                <w:rtl w:val="true"/>
              </w:rPr>
              <w:tab/>
            </w:r>
            <w:r>
              <w:rPr>
                <w:rStyle w:val="IndexLink"/>
              </w:rPr>
              <w:t>17</w:t>
            </w:r>
          </w:hyperlink>
        </w:p>
        <w:p>
          <w:pPr>
            <w:pStyle w:val="Contents3"/>
            <w:tabs>
              <w:tab w:val="clear" w:pos="8459"/>
              <w:tab w:val="right" w:pos="9026" w:leader="dot"/>
            </w:tabs>
            <w:rPr/>
          </w:pPr>
          <w:hyperlink w:anchor="__RefHeading___Toc2367088_1051229030">
            <w:r>
              <w:rPr>
                <w:webHidden/>
                <w:rStyle w:val="IndexLink"/>
                <w:rtl w:val="true"/>
              </w:rPr>
              <w:t>خلود و جاودانگى برخى گنهكاران در جهنم چگونه با عدالت خداوند سازگارى دارد؟</w:t>
            </w:r>
            <w:r>
              <w:rPr>
                <w:rStyle w:val="IndexLink"/>
                <w:rtl w:val="true"/>
              </w:rPr>
              <w:tab/>
            </w:r>
            <w:r>
              <w:rPr>
                <w:rStyle w:val="IndexLink"/>
              </w:rPr>
              <w:t>18</w:t>
            </w:r>
          </w:hyperlink>
        </w:p>
        <w:p>
          <w:pPr>
            <w:pStyle w:val="Contents3"/>
            <w:tabs>
              <w:tab w:val="clear" w:pos="8459"/>
              <w:tab w:val="right" w:pos="9026" w:leader="dot"/>
            </w:tabs>
            <w:rPr/>
          </w:pPr>
          <w:hyperlink w:anchor="__RefHeading___Toc2367090_1051229030">
            <w:r>
              <w:rPr>
                <w:webHidden/>
                <w:rStyle w:val="IndexLink"/>
                <w:rtl w:val="true"/>
              </w:rPr>
              <w:t>آيا فقط عمل مسلمانان مورد قبول است و فقط آنان به بهشت مى روند</w:t>
            </w:r>
            <w:r>
              <w:rPr>
                <w:rStyle w:val="IndexLink"/>
                <w:rtl w:val="true"/>
              </w:rPr>
              <w:t>....</w:t>
              <w:tab/>
            </w:r>
            <w:r>
              <w:rPr>
                <w:rStyle w:val="IndexLink"/>
              </w:rPr>
              <w:t>24</w:t>
            </w:r>
          </w:hyperlink>
        </w:p>
        <w:p>
          <w:pPr>
            <w:pStyle w:val="Contents3"/>
            <w:tabs>
              <w:tab w:val="clear" w:pos="8459"/>
              <w:tab w:val="right" w:pos="9026" w:leader="dot"/>
            </w:tabs>
            <w:rPr/>
          </w:pPr>
          <w:hyperlink w:anchor="__RefHeading___Toc2367092_1051229030">
            <w:r>
              <w:rPr>
                <w:webHidden/>
                <w:rStyle w:val="IndexLink"/>
                <w:rtl w:val="true"/>
              </w:rPr>
              <w:t>الف</w:t>
            </w:r>
            <w:r>
              <w:rPr>
                <w:rStyle w:val="IndexLink"/>
                <w:rtl w:val="true"/>
              </w:rPr>
              <w:t xml:space="preserve">) </w:t>
            </w:r>
            <w:r>
              <w:rPr>
                <w:rStyle w:val="IndexLink"/>
                <w:rtl w:val="true"/>
              </w:rPr>
              <w:t>دينى جز اسلام پذيرفته نيست</w:t>
            </w:r>
            <w:r>
              <w:rPr>
                <w:rStyle w:val="IndexLink"/>
                <w:rtl w:val="true"/>
              </w:rPr>
              <w:t>.</w:t>
              <w:tab/>
            </w:r>
            <w:r>
              <w:rPr>
                <w:rStyle w:val="IndexLink"/>
              </w:rPr>
              <w:t>25</w:t>
            </w:r>
          </w:hyperlink>
        </w:p>
        <w:p>
          <w:pPr>
            <w:pStyle w:val="Contents3"/>
            <w:tabs>
              <w:tab w:val="clear" w:pos="8459"/>
              <w:tab w:val="right" w:pos="9026" w:leader="dot"/>
            </w:tabs>
            <w:rPr/>
          </w:pPr>
          <w:hyperlink w:anchor="__RefHeading___Toc2367094_1051229030">
            <w:r>
              <w:rPr>
                <w:webHidden/>
                <w:rStyle w:val="IndexLink"/>
                <w:rtl w:val="true"/>
              </w:rPr>
              <w:t>ب</w:t>
            </w:r>
            <w:r>
              <w:rPr>
                <w:rStyle w:val="IndexLink"/>
                <w:rtl w:val="true"/>
              </w:rPr>
              <w:t xml:space="preserve">) </w:t>
            </w:r>
            <w:r>
              <w:rPr>
                <w:rStyle w:val="IndexLink"/>
                <w:rtl w:val="true"/>
              </w:rPr>
              <w:t>تأثير ايمان در سرنوشت انسان و قبولى اعمال</w:t>
            </w:r>
            <w:r>
              <w:rPr>
                <w:rStyle w:val="IndexLink"/>
                <w:rtl w:val="true"/>
              </w:rPr>
              <w:tab/>
            </w:r>
            <w:r>
              <w:rPr>
                <w:rStyle w:val="IndexLink"/>
              </w:rPr>
              <w:t>25</w:t>
            </w:r>
          </w:hyperlink>
        </w:p>
        <w:p>
          <w:pPr>
            <w:pStyle w:val="Contents3"/>
            <w:tabs>
              <w:tab w:val="clear" w:pos="8459"/>
              <w:tab w:val="right" w:pos="9026" w:leader="dot"/>
            </w:tabs>
            <w:rPr/>
          </w:pPr>
          <w:hyperlink w:anchor="__RefHeading___Toc2367096_1051229030">
            <w:r>
              <w:rPr>
                <w:webHidden/>
                <w:rStyle w:val="IndexLink"/>
                <w:rtl w:val="true"/>
              </w:rPr>
              <w:t>ج</w:t>
            </w:r>
            <w:r>
              <w:rPr>
                <w:rStyle w:val="IndexLink"/>
                <w:rtl w:val="true"/>
              </w:rPr>
              <w:t xml:space="preserve">) </w:t>
            </w:r>
            <w:r>
              <w:rPr>
                <w:rStyle w:val="IndexLink"/>
                <w:rtl w:val="true"/>
              </w:rPr>
              <w:t>كافرانِ اهل خير از عمل خود بهره مند مى شوند</w:t>
            </w:r>
            <w:r>
              <w:rPr>
                <w:rStyle w:val="IndexLink"/>
                <w:rtl w:val="true"/>
              </w:rPr>
              <w:tab/>
            </w:r>
            <w:r>
              <w:rPr>
                <w:rStyle w:val="IndexLink"/>
              </w:rPr>
              <w:t>28</w:t>
            </w:r>
          </w:hyperlink>
        </w:p>
        <w:p>
          <w:pPr>
            <w:pStyle w:val="Contents2"/>
            <w:tabs>
              <w:tab w:val="clear" w:pos="8743"/>
              <w:tab w:val="right" w:pos="9026" w:leader="dot"/>
            </w:tabs>
            <w:rPr/>
          </w:pPr>
          <w:hyperlink w:anchor="__RefHeading___Toc2367098_1051229030">
            <w:r>
              <w:rPr>
                <w:webHidden/>
                <w:rStyle w:val="IndexLink"/>
                <w:rtl w:val="true"/>
              </w:rPr>
              <w:t>دين پژوهى</w:t>
            </w:r>
            <w:r>
              <w:rPr>
                <w:rStyle w:val="IndexLink"/>
                <w:rtl w:val="true"/>
              </w:rPr>
              <w:tab/>
            </w:r>
            <w:r>
              <w:rPr>
                <w:rStyle w:val="IndexLink"/>
              </w:rPr>
              <w:t>31</w:t>
            </w:r>
          </w:hyperlink>
        </w:p>
        <w:p>
          <w:pPr>
            <w:pStyle w:val="Contents3"/>
            <w:tabs>
              <w:tab w:val="clear" w:pos="8459"/>
              <w:tab w:val="right" w:pos="9026" w:leader="dot"/>
            </w:tabs>
            <w:rPr/>
          </w:pPr>
          <w:hyperlink w:anchor="__RefHeading___Toc236710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367102_1051229030">
            <w:r>
              <w:rPr>
                <w:webHidden/>
                <w:rStyle w:val="IndexLink"/>
                <w:rtl w:val="true"/>
              </w:rPr>
              <w:t>«</w:t>
            </w:r>
            <w:r>
              <w:rPr>
                <w:rStyle w:val="IndexLink"/>
                <w:rtl w:val="true"/>
              </w:rPr>
              <w:t>جامعيت دين</w:t>
            </w:r>
            <w:r>
              <w:rPr>
                <w:rStyle w:val="IndexLink"/>
                <w:rtl w:val="true"/>
              </w:rPr>
              <w:t>»</w:t>
              <w:tab/>
            </w:r>
            <w:r>
              <w:rPr>
                <w:rStyle w:val="IndexLink"/>
              </w:rPr>
              <w:t>33</w:t>
            </w:r>
          </w:hyperlink>
        </w:p>
        <w:p>
          <w:pPr>
            <w:pStyle w:val="Contents3"/>
            <w:tabs>
              <w:tab w:val="clear" w:pos="8459"/>
              <w:tab w:val="right" w:pos="9026" w:leader="dot"/>
            </w:tabs>
            <w:rPr/>
          </w:pPr>
          <w:hyperlink w:anchor="__RefHeading___Toc2367104_1051229030">
            <w:r>
              <w:rPr>
                <w:webHidden/>
                <w:rStyle w:val="IndexLink"/>
                <w:rtl w:val="true"/>
              </w:rPr>
              <w:t>مقصود از جامعيت دين چيست؟ نظريه هاى مطرح در اين باره كدام اند؟</w:t>
            </w:r>
            <w:r>
              <w:rPr>
                <w:rStyle w:val="IndexLink"/>
                <w:rtl w:val="true"/>
              </w:rPr>
              <w:tab/>
            </w:r>
            <w:r>
              <w:rPr>
                <w:rStyle w:val="IndexLink"/>
              </w:rPr>
              <w:t>34</w:t>
            </w:r>
          </w:hyperlink>
        </w:p>
        <w:p>
          <w:pPr>
            <w:pStyle w:val="Contents3"/>
            <w:tabs>
              <w:tab w:val="clear" w:pos="8459"/>
              <w:tab w:val="right" w:pos="9026" w:leader="dot"/>
            </w:tabs>
            <w:rPr/>
          </w:pPr>
          <w:hyperlink w:anchor="__RefHeading___Toc2367106_1051229030">
            <w:r>
              <w:rPr>
                <w:webHidden/>
                <w:rStyle w:val="IndexLink"/>
                <w:rtl w:val="true"/>
              </w:rPr>
              <w:t>مفهوم دين</w:t>
            </w:r>
            <w:r>
              <w:rPr>
                <w:rStyle w:val="IndexLink"/>
                <w:rtl w:val="true"/>
              </w:rPr>
              <w:tab/>
            </w:r>
            <w:r>
              <w:rPr>
                <w:rStyle w:val="IndexLink"/>
              </w:rPr>
              <w:t>34</w:t>
            </w:r>
          </w:hyperlink>
        </w:p>
        <w:p>
          <w:pPr>
            <w:pStyle w:val="Contents3"/>
            <w:tabs>
              <w:tab w:val="clear" w:pos="8459"/>
              <w:tab w:val="right" w:pos="9026" w:leader="dot"/>
            </w:tabs>
            <w:rPr/>
          </w:pPr>
          <w:hyperlink w:anchor="__RefHeading___Toc2367108_1051229030">
            <w:r>
              <w:rPr>
                <w:webHidden/>
                <w:rStyle w:val="IndexLink"/>
                <w:rtl w:val="true"/>
              </w:rPr>
              <w:t>مفهوم جامعيت دين</w:t>
            </w:r>
            <w:r>
              <w:rPr>
                <w:rStyle w:val="IndexLink"/>
                <w:rtl w:val="true"/>
              </w:rPr>
              <w:tab/>
            </w:r>
            <w:r>
              <w:rPr>
                <w:rStyle w:val="IndexLink"/>
              </w:rPr>
              <w:t>34</w:t>
            </w:r>
          </w:hyperlink>
        </w:p>
        <w:p>
          <w:pPr>
            <w:pStyle w:val="Contents3"/>
            <w:tabs>
              <w:tab w:val="clear" w:pos="8459"/>
              <w:tab w:val="right" w:pos="9026" w:leader="dot"/>
            </w:tabs>
            <w:rPr/>
          </w:pPr>
          <w:hyperlink w:anchor="__RefHeading___Toc2367110_1051229030">
            <w:r>
              <w:rPr>
                <w:webHidden/>
                <w:rStyle w:val="IndexLink"/>
                <w:rtl w:val="true"/>
              </w:rPr>
              <w:t>راه هاى اثبات جامعيت دين خاتم كدام اند؟</w:t>
            </w:r>
            <w:r>
              <w:rPr>
                <w:rStyle w:val="IndexLink"/>
                <w:rtl w:val="true"/>
              </w:rPr>
              <w:tab/>
            </w:r>
            <w:r>
              <w:rPr>
                <w:rStyle w:val="IndexLink"/>
              </w:rPr>
              <w:t>37</w:t>
            </w:r>
          </w:hyperlink>
        </w:p>
        <w:p>
          <w:pPr>
            <w:pStyle w:val="Contents4"/>
            <w:tabs>
              <w:tab w:val="clear" w:pos="8176"/>
              <w:tab w:val="right" w:pos="9026" w:leader="dot"/>
            </w:tabs>
            <w:rPr/>
          </w:pPr>
          <w:hyperlink w:anchor="__RefHeading___Toc2367112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367114_1051229030">
            <w:r>
              <w:rPr>
                <w:webHidden/>
                <w:rStyle w:val="IndexLink"/>
              </w:rPr>
              <w:t>1</w:t>
            </w:r>
            <w:r>
              <w:rPr>
                <w:rStyle w:val="IndexLink"/>
                <w:rtl w:val="true"/>
              </w:rPr>
              <w:t xml:space="preserve">. </w:t>
            </w:r>
            <w:r>
              <w:rPr>
                <w:rStyle w:val="IndexLink"/>
                <w:rtl w:val="true"/>
              </w:rPr>
              <w:t>جهانى بودن دين خاتم و جامعيت آن</w:t>
            </w:r>
            <w:r>
              <w:rPr>
                <w:rStyle w:val="IndexLink"/>
                <w:rtl w:val="true"/>
              </w:rPr>
              <w:tab/>
            </w:r>
            <w:r>
              <w:rPr>
                <w:rStyle w:val="IndexLink"/>
              </w:rPr>
              <w:t>39</w:t>
            </w:r>
          </w:hyperlink>
        </w:p>
        <w:p>
          <w:pPr>
            <w:pStyle w:val="Contents4"/>
            <w:tabs>
              <w:tab w:val="clear" w:pos="8176"/>
              <w:tab w:val="right" w:pos="9026" w:leader="dot"/>
            </w:tabs>
            <w:rPr/>
          </w:pPr>
          <w:hyperlink w:anchor="__RefHeading___Toc2367116_1051229030">
            <w:r>
              <w:rPr>
                <w:webHidden/>
                <w:rStyle w:val="IndexLink"/>
              </w:rPr>
              <w:t>2</w:t>
            </w:r>
            <w:r>
              <w:rPr>
                <w:rStyle w:val="IndexLink"/>
                <w:rtl w:val="true"/>
              </w:rPr>
              <w:t xml:space="preserve">. </w:t>
            </w:r>
            <w:r>
              <w:rPr>
                <w:rStyle w:val="IndexLink"/>
                <w:rtl w:val="true"/>
              </w:rPr>
              <w:t>جاودانگى دين خاتم و جامعيت آن</w:t>
            </w:r>
            <w:r>
              <w:rPr>
                <w:rStyle w:val="IndexLink"/>
                <w:rtl w:val="true"/>
              </w:rPr>
              <w:tab/>
            </w:r>
            <w:r>
              <w:rPr>
                <w:rStyle w:val="IndexLink"/>
              </w:rPr>
              <w:t>40</w:t>
            </w:r>
          </w:hyperlink>
        </w:p>
        <w:p>
          <w:pPr>
            <w:pStyle w:val="Contents3"/>
            <w:tabs>
              <w:tab w:val="clear" w:pos="8459"/>
              <w:tab w:val="right" w:pos="9026" w:leader="dot"/>
            </w:tabs>
            <w:rPr/>
          </w:pPr>
          <w:hyperlink w:anchor="__RefHeading___Toc2367118_1051229030">
            <w:r>
              <w:rPr>
                <w:webHidden/>
                <w:rStyle w:val="IndexLink"/>
                <w:rtl w:val="true"/>
              </w:rPr>
              <w:t>چرا دين كامل و جامعى كه ما آن را اسلام مى ناميم از همان اول بر انسان عرضه نشد؟</w:t>
            </w:r>
            <w:r>
              <w:rPr>
                <w:rStyle w:val="IndexLink"/>
                <w:rtl w:val="true"/>
              </w:rPr>
              <w:tab/>
            </w:r>
            <w:r>
              <w:rPr>
                <w:rStyle w:val="IndexLink"/>
              </w:rPr>
              <w:t>42</w:t>
            </w:r>
          </w:hyperlink>
        </w:p>
        <w:p>
          <w:pPr>
            <w:pStyle w:val="Contents2"/>
            <w:tabs>
              <w:tab w:val="clear" w:pos="8743"/>
              <w:tab w:val="right" w:pos="9026" w:leader="dot"/>
            </w:tabs>
            <w:rPr/>
          </w:pPr>
          <w:hyperlink w:anchor="__RefHeading___Toc2367120_1051229030">
            <w:r>
              <w:rPr>
                <w:webHidden/>
                <w:rStyle w:val="IndexLink"/>
                <w:rtl w:val="true"/>
              </w:rPr>
              <w:t>حقوق</w:t>
            </w:r>
            <w:r>
              <w:rPr>
                <w:rStyle w:val="IndexLink"/>
                <w:rtl w:val="true"/>
              </w:rPr>
              <w:tab/>
            </w:r>
            <w:r>
              <w:rPr>
                <w:rStyle w:val="IndexLink"/>
              </w:rPr>
              <w:t>45</w:t>
            </w:r>
          </w:hyperlink>
        </w:p>
        <w:p>
          <w:pPr>
            <w:pStyle w:val="Contents3"/>
            <w:tabs>
              <w:tab w:val="clear" w:pos="8459"/>
              <w:tab w:val="right" w:pos="9026" w:leader="dot"/>
            </w:tabs>
            <w:rPr/>
          </w:pPr>
          <w:hyperlink w:anchor="__RefHeading___Toc2367122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367124_1051229030">
            <w:r>
              <w:rPr>
                <w:webHidden/>
                <w:rStyle w:val="IndexLink"/>
                <w:rtl w:val="true"/>
              </w:rPr>
              <w:t>مصلحت در فقه شيعه</w:t>
            </w:r>
            <w:r>
              <w:rPr>
                <w:rStyle w:val="IndexLink"/>
                <w:rtl w:val="true"/>
              </w:rPr>
              <w:tab/>
            </w:r>
            <w:r>
              <w:rPr>
                <w:rStyle w:val="IndexLink"/>
              </w:rPr>
              <w:t>47</w:t>
            </w:r>
          </w:hyperlink>
        </w:p>
        <w:p>
          <w:pPr>
            <w:pStyle w:val="Contents3"/>
            <w:tabs>
              <w:tab w:val="clear" w:pos="8459"/>
              <w:tab w:val="right" w:pos="9026" w:leader="dot"/>
            </w:tabs>
            <w:rPr/>
          </w:pPr>
          <w:hyperlink w:anchor="__RefHeading___Toc2367126_1051229030">
            <w:r>
              <w:rPr>
                <w:webHidden/>
                <w:rStyle w:val="IndexLink"/>
                <w:rtl w:val="true"/>
              </w:rPr>
              <w:t>مصلحت در فقه شيعه چه تفاوتى با مصالح مرسله ى در فقه عامّه دارد؟</w:t>
            </w:r>
            <w:r>
              <w:rPr>
                <w:rStyle w:val="IndexLink"/>
                <w:rtl w:val="true"/>
              </w:rPr>
              <w:tab/>
            </w:r>
            <w:r>
              <w:rPr>
                <w:rStyle w:val="IndexLink"/>
              </w:rPr>
              <w:t>48</w:t>
            </w:r>
          </w:hyperlink>
        </w:p>
        <w:p>
          <w:pPr>
            <w:pStyle w:val="Contents3"/>
            <w:tabs>
              <w:tab w:val="clear" w:pos="8459"/>
              <w:tab w:val="right" w:pos="9026" w:leader="dot"/>
            </w:tabs>
            <w:rPr/>
          </w:pPr>
          <w:hyperlink w:anchor="__RefHeading___Toc2367128_1051229030">
            <w:r>
              <w:rPr>
                <w:webHidden/>
                <w:rStyle w:val="IndexLink"/>
                <w:rtl w:val="true"/>
              </w:rPr>
              <w:t>مقايسه ى مصالح مرسله با مصلحت در فقه شيعه</w:t>
            </w:r>
            <w:r>
              <w:rPr>
                <w:rStyle w:val="IndexLink"/>
                <w:rtl w:val="true"/>
              </w:rPr>
              <w:tab/>
            </w:r>
            <w:r>
              <w:rPr>
                <w:rStyle w:val="IndexLink"/>
              </w:rPr>
              <w:t>50</w:t>
            </w:r>
          </w:hyperlink>
        </w:p>
        <w:p>
          <w:pPr>
            <w:pStyle w:val="Contents3"/>
            <w:tabs>
              <w:tab w:val="clear" w:pos="8459"/>
              <w:tab w:val="right" w:pos="9026" w:leader="dot"/>
            </w:tabs>
            <w:rPr/>
          </w:pPr>
          <w:hyperlink w:anchor="__RefHeading___Toc2367130_1051229030">
            <w:r>
              <w:rPr>
                <w:webHidden/>
                <w:rStyle w:val="IndexLink"/>
                <w:rtl w:val="true"/>
              </w:rPr>
              <w:t>آيا ولى فقيه مى تواند در احكام شرعى دخالت و آنها را به عنوان مصلحت نظام تعطيل كند؟</w:t>
            </w:r>
            <w:r>
              <w:rPr>
                <w:rStyle w:val="IndexLink"/>
                <w:rtl w:val="true"/>
              </w:rPr>
              <w:tab/>
            </w:r>
            <w:r>
              <w:rPr>
                <w:rStyle w:val="IndexLink"/>
              </w:rPr>
              <w:t>54</w:t>
            </w:r>
          </w:hyperlink>
        </w:p>
        <w:p>
          <w:pPr>
            <w:pStyle w:val="Contents3"/>
            <w:tabs>
              <w:tab w:val="clear" w:pos="8459"/>
              <w:tab w:val="right" w:pos="9026" w:leader="dot"/>
            </w:tabs>
            <w:rPr/>
          </w:pPr>
          <w:hyperlink w:anchor="__RefHeading___Toc2367132_1051229030">
            <w:r>
              <w:rPr>
                <w:webHidden/>
                <w:rStyle w:val="IndexLink"/>
                <w:rtl w:val="true"/>
              </w:rPr>
              <w:t>برخى احكام حكومتى در دوران معصومين</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2367134_1051229030">
            <w:r>
              <w:rPr>
                <w:webHidden/>
                <w:rStyle w:val="IndexLink"/>
                <w:rtl w:val="true"/>
              </w:rPr>
              <w:t>نتيجه</w:t>
            </w:r>
            <w:r>
              <w:rPr>
                <w:rStyle w:val="IndexLink"/>
                <w:rtl w:val="true"/>
              </w:rPr>
              <w:t>:</w:t>
              <w:tab/>
            </w:r>
            <w:r>
              <w:rPr>
                <w:rStyle w:val="IndexLink"/>
              </w:rPr>
              <w:t>58</w:t>
            </w:r>
          </w:hyperlink>
        </w:p>
        <w:p>
          <w:pPr>
            <w:pStyle w:val="Contents2"/>
            <w:tabs>
              <w:tab w:val="clear" w:pos="8743"/>
              <w:tab w:val="right" w:pos="9026" w:leader="dot"/>
            </w:tabs>
            <w:rPr/>
          </w:pPr>
          <w:hyperlink w:anchor="__RefHeading___Toc2367136_1051229030">
            <w:r>
              <w:rPr>
                <w:webHidden/>
                <w:rStyle w:val="IndexLink"/>
                <w:rtl w:val="true"/>
              </w:rPr>
              <w:t>سياست</w:t>
            </w:r>
            <w:r>
              <w:rPr>
                <w:rStyle w:val="IndexLink"/>
                <w:rtl w:val="true"/>
              </w:rPr>
              <w:tab/>
            </w:r>
            <w:r>
              <w:rPr>
                <w:rStyle w:val="IndexLink"/>
              </w:rPr>
              <w:t>59</w:t>
            </w:r>
          </w:hyperlink>
        </w:p>
        <w:p>
          <w:pPr>
            <w:pStyle w:val="Contents3"/>
            <w:tabs>
              <w:tab w:val="clear" w:pos="8459"/>
              <w:tab w:val="right" w:pos="9026" w:leader="dot"/>
            </w:tabs>
            <w:rPr/>
          </w:pPr>
          <w:hyperlink w:anchor="__RefHeading___Toc2367138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367140_1051229030">
            <w:r>
              <w:rPr>
                <w:webHidden/>
                <w:rStyle w:val="IndexLink"/>
                <w:rtl w:val="true"/>
              </w:rPr>
              <w:t>ولايت فقيه</w:t>
            </w:r>
            <w:r>
              <w:rPr>
                <w:rStyle w:val="IndexLink"/>
                <w:rtl w:val="true"/>
              </w:rPr>
              <w:tab/>
            </w:r>
            <w:r>
              <w:rPr>
                <w:rStyle w:val="IndexLink"/>
              </w:rPr>
              <w:t>61</w:t>
            </w:r>
          </w:hyperlink>
        </w:p>
        <w:p>
          <w:pPr>
            <w:pStyle w:val="Contents3"/>
            <w:tabs>
              <w:tab w:val="clear" w:pos="8459"/>
              <w:tab w:val="right" w:pos="9026" w:leader="dot"/>
            </w:tabs>
            <w:rPr/>
          </w:pPr>
          <w:hyperlink w:anchor="__RefHeading___Toc2367142_1051229030">
            <w:r>
              <w:rPr>
                <w:webHidden/>
                <w:rStyle w:val="IndexLink"/>
                <w:rtl w:val="true"/>
              </w:rPr>
              <w:t>ساده ترين و متقن ترين دليل بر اثبات ولايت فقيه چيست؟</w:t>
            </w:r>
            <w:r>
              <w:rPr>
                <w:rStyle w:val="IndexLink"/>
                <w:rtl w:val="true"/>
              </w:rPr>
              <w:tab/>
            </w:r>
            <w:r>
              <w:rPr>
                <w:rStyle w:val="IndexLink"/>
              </w:rPr>
              <w:t>62</w:t>
            </w:r>
          </w:hyperlink>
        </w:p>
        <w:p>
          <w:pPr>
            <w:pStyle w:val="Contents3"/>
            <w:tabs>
              <w:tab w:val="clear" w:pos="8459"/>
              <w:tab w:val="right" w:pos="9026" w:leader="dot"/>
            </w:tabs>
            <w:rPr/>
          </w:pPr>
          <w:hyperlink w:anchor="__RefHeading___Toc2367144_1051229030">
            <w:r>
              <w:rPr>
                <w:webHidden/>
                <w:rStyle w:val="IndexLink"/>
                <w:rtl w:val="true"/>
              </w:rPr>
              <w:t>مقدمه ى اول</w:t>
            </w:r>
            <w:r>
              <w:rPr>
                <w:rStyle w:val="IndexLink"/>
                <w:rtl w:val="true"/>
              </w:rPr>
              <w:t xml:space="preserve">: </w:t>
            </w:r>
            <w:r>
              <w:rPr>
                <w:rStyle w:val="IndexLink"/>
                <w:rtl w:val="true"/>
              </w:rPr>
              <w:t>رجوع به كارشناس امين</w:t>
            </w:r>
            <w:r>
              <w:rPr>
                <w:rStyle w:val="IndexLink"/>
                <w:rtl w:val="true"/>
              </w:rPr>
              <w:tab/>
            </w:r>
            <w:r>
              <w:rPr>
                <w:rStyle w:val="IndexLink"/>
              </w:rPr>
              <w:t>62</w:t>
            </w:r>
          </w:hyperlink>
        </w:p>
        <w:p>
          <w:pPr>
            <w:pStyle w:val="Contents3"/>
            <w:tabs>
              <w:tab w:val="clear" w:pos="8459"/>
              <w:tab w:val="right" w:pos="9026" w:leader="dot"/>
            </w:tabs>
            <w:rPr/>
          </w:pPr>
          <w:hyperlink w:anchor="__RefHeading___Toc2367146_1051229030">
            <w:r>
              <w:rPr>
                <w:webHidden/>
                <w:rStyle w:val="IndexLink"/>
                <w:rtl w:val="true"/>
              </w:rPr>
              <w:t>مقدمه ى دوم</w:t>
            </w:r>
            <w:r>
              <w:rPr>
                <w:rStyle w:val="IndexLink"/>
                <w:rtl w:val="true"/>
              </w:rPr>
              <w:t xml:space="preserve">: </w:t>
            </w:r>
            <w:r>
              <w:rPr>
                <w:rStyle w:val="IndexLink"/>
                <w:rtl w:val="true"/>
              </w:rPr>
              <w:t>اصل تنزّل تدريجى</w:t>
            </w:r>
            <w:r>
              <w:rPr>
                <w:rStyle w:val="IndexLink"/>
                <w:rtl w:val="true"/>
              </w:rPr>
              <w:tab/>
            </w:r>
            <w:r>
              <w:rPr>
                <w:rStyle w:val="IndexLink"/>
              </w:rPr>
              <w:t>62</w:t>
            </w:r>
          </w:hyperlink>
        </w:p>
        <w:p>
          <w:pPr>
            <w:pStyle w:val="Contents3"/>
            <w:tabs>
              <w:tab w:val="clear" w:pos="8459"/>
              <w:tab w:val="right" w:pos="9026" w:leader="dot"/>
            </w:tabs>
            <w:rPr/>
          </w:pPr>
          <w:hyperlink w:anchor="__RefHeading___Toc2367148_1051229030">
            <w:r>
              <w:rPr>
                <w:webHidden/>
                <w:rStyle w:val="IndexLink"/>
                <w:rtl w:val="true"/>
              </w:rPr>
              <w:t>تبيين دليل</w:t>
            </w:r>
            <w:r>
              <w:rPr>
                <w:rStyle w:val="IndexLink"/>
                <w:rtl w:val="true"/>
              </w:rPr>
              <w:tab/>
            </w:r>
            <w:r>
              <w:rPr>
                <w:rStyle w:val="IndexLink"/>
              </w:rPr>
              <w:t>64</w:t>
            </w:r>
          </w:hyperlink>
        </w:p>
        <w:p>
          <w:pPr>
            <w:pStyle w:val="Contents3"/>
            <w:tabs>
              <w:tab w:val="clear" w:pos="8459"/>
              <w:tab w:val="right" w:pos="9026" w:leader="dot"/>
            </w:tabs>
            <w:rPr/>
          </w:pPr>
          <w:hyperlink w:anchor="__RefHeading___Toc2367150_1051229030">
            <w:r>
              <w:rPr>
                <w:webHidden/>
                <w:rStyle w:val="IndexLink"/>
                <w:rtl w:val="true"/>
              </w:rPr>
              <w:t>ولى فقيه چه وظايف و مسئوليت هايى دارد؟</w:t>
            </w:r>
            <w:r>
              <w:rPr>
                <w:rStyle w:val="IndexLink"/>
                <w:rtl w:val="true"/>
              </w:rPr>
              <w:tab/>
            </w:r>
            <w:r>
              <w:rPr>
                <w:rStyle w:val="IndexLink"/>
              </w:rPr>
              <w:t>67</w:t>
            </w:r>
          </w:hyperlink>
        </w:p>
        <w:p>
          <w:pPr>
            <w:pStyle w:val="Contents4"/>
            <w:tabs>
              <w:tab w:val="clear" w:pos="8176"/>
              <w:tab w:val="right" w:pos="9026" w:leader="dot"/>
            </w:tabs>
            <w:rPr/>
          </w:pPr>
          <w:hyperlink w:anchor="__RefHeading___Toc2367152_105122903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367154_1051229030">
            <w:r>
              <w:rPr>
                <w:webHidden/>
                <w:rStyle w:val="IndexLink"/>
              </w:rPr>
              <w:t>1</w:t>
            </w:r>
            <w:r>
              <w:rPr>
                <w:rStyle w:val="IndexLink"/>
                <w:rtl w:val="true"/>
              </w:rPr>
              <w:t xml:space="preserve">. </w:t>
            </w:r>
            <w:r>
              <w:rPr>
                <w:rStyle w:val="IndexLink"/>
                <w:rtl w:val="true"/>
              </w:rPr>
              <w:t>تعيين سياست هاى كلى نظام</w:t>
            </w:r>
            <w:r>
              <w:rPr>
                <w:rStyle w:val="IndexLink"/>
                <w:rtl w:val="true"/>
              </w:rPr>
              <w:tab/>
            </w:r>
            <w:r>
              <w:rPr>
                <w:rStyle w:val="IndexLink"/>
              </w:rPr>
              <w:t>68</w:t>
            </w:r>
          </w:hyperlink>
        </w:p>
        <w:p>
          <w:pPr>
            <w:pStyle w:val="Contents4"/>
            <w:tabs>
              <w:tab w:val="clear" w:pos="8176"/>
              <w:tab w:val="right" w:pos="9026" w:leader="dot"/>
            </w:tabs>
            <w:rPr/>
          </w:pPr>
          <w:hyperlink w:anchor="__RefHeading___Toc2367156_1051229030">
            <w:r>
              <w:rPr>
                <w:webHidden/>
                <w:rStyle w:val="IndexLink"/>
              </w:rPr>
              <w:t>2</w:t>
            </w:r>
            <w:r>
              <w:rPr>
                <w:rStyle w:val="IndexLink"/>
                <w:rtl w:val="true"/>
              </w:rPr>
              <w:t xml:space="preserve">. </w:t>
            </w:r>
            <w:r>
              <w:rPr>
                <w:rStyle w:val="IndexLink"/>
                <w:rtl w:val="true"/>
              </w:rPr>
              <w:t>نظارت بر حسن اجراى سياست هاى كلى نظام</w:t>
            </w:r>
            <w:r>
              <w:rPr>
                <w:rStyle w:val="IndexLink"/>
                <w:rtl w:val="true"/>
              </w:rPr>
              <w:tab/>
            </w:r>
            <w:r>
              <w:rPr>
                <w:rStyle w:val="IndexLink"/>
              </w:rPr>
              <w:t>69</w:t>
            </w:r>
          </w:hyperlink>
        </w:p>
        <w:p>
          <w:pPr>
            <w:pStyle w:val="Contents4"/>
            <w:tabs>
              <w:tab w:val="clear" w:pos="8176"/>
              <w:tab w:val="right" w:pos="9026" w:leader="dot"/>
            </w:tabs>
            <w:rPr/>
          </w:pPr>
          <w:hyperlink w:anchor="__RefHeading___Toc2367158_1051229030">
            <w:r>
              <w:rPr>
                <w:webHidden/>
                <w:rStyle w:val="IndexLink"/>
              </w:rPr>
              <w:t>3</w:t>
            </w:r>
            <w:r>
              <w:rPr>
                <w:rStyle w:val="IndexLink"/>
                <w:rtl w:val="true"/>
              </w:rPr>
              <w:t xml:space="preserve">. </w:t>
            </w:r>
            <w:r>
              <w:rPr>
                <w:rStyle w:val="IndexLink"/>
                <w:rtl w:val="true"/>
              </w:rPr>
              <w:t>فرمان همه پرسى</w:t>
            </w:r>
            <w:r>
              <w:rPr>
                <w:rStyle w:val="IndexLink"/>
                <w:rtl w:val="true"/>
              </w:rPr>
              <w:tab/>
            </w:r>
            <w:r>
              <w:rPr>
                <w:rStyle w:val="IndexLink"/>
              </w:rPr>
              <w:t>69</w:t>
            </w:r>
          </w:hyperlink>
        </w:p>
        <w:p>
          <w:pPr>
            <w:pStyle w:val="Contents4"/>
            <w:tabs>
              <w:tab w:val="clear" w:pos="8176"/>
              <w:tab w:val="right" w:pos="9026" w:leader="dot"/>
            </w:tabs>
            <w:rPr/>
          </w:pPr>
          <w:hyperlink w:anchor="__RefHeading___Toc2367160_1051229030">
            <w:r>
              <w:rPr>
                <w:webHidden/>
                <w:rStyle w:val="IndexLink"/>
              </w:rPr>
              <w:t>4</w:t>
            </w:r>
            <w:r>
              <w:rPr>
                <w:rStyle w:val="IndexLink"/>
                <w:rtl w:val="true"/>
              </w:rPr>
              <w:t xml:space="preserve">. </w:t>
            </w:r>
            <w:r>
              <w:rPr>
                <w:rStyle w:val="IndexLink"/>
                <w:rtl w:val="true"/>
              </w:rPr>
              <w:t>فرماندهى كل نيروهاى مسلح</w:t>
            </w:r>
            <w:r>
              <w:rPr>
                <w:rStyle w:val="IndexLink"/>
                <w:rtl w:val="true"/>
              </w:rPr>
              <w:tab/>
            </w:r>
            <w:r>
              <w:rPr>
                <w:rStyle w:val="IndexLink"/>
              </w:rPr>
              <w:t>70</w:t>
            </w:r>
          </w:hyperlink>
        </w:p>
        <w:p>
          <w:pPr>
            <w:pStyle w:val="Contents4"/>
            <w:tabs>
              <w:tab w:val="clear" w:pos="8176"/>
              <w:tab w:val="right" w:pos="9026" w:leader="dot"/>
            </w:tabs>
            <w:rPr/>
          </w:pPr>
          <w:hyperlink w:anchor="__RefHeading___Toc2367162_1051229030">
            <w:r>
              <w:rPr>
                <w:webHidden/>
                <w:rStyle w:val="IndexLink"/>
              </w:rPr>
              <w:t>5</w:t>
            </w:r>
            <w:r>
              <w:rPr>
                <w:rStyle w:val="IndexLink"/>
                <w:rtl w:val="true"/>
              </w:rPr>
              <w:t xml:space="preserve">. </w:t>
            </w:r>
            <w:r>
              <w:rPr>
                <w:rStyle w:val="IndexLink"/>
                <w:rtl w:val="true"/>
              </w:rPr>
              <w:t>اعلان جنگ و صلح و بسيج نيروها</w:t>
            </w:r>
            <w:r>
              <w:rPr>
                <w:rStyle w:val="IndexLink"/>
                <w:rtl w:val="true"/>
              </w:rPr>
              <w:tab/>
            </w:r>
            <w:r>
              <w:rPr>
                <w:rStyle w:val="IndexLink"/>
              </w:rPr>
              <w:t>70</w:t>
            </w:r>
          </w:hyperlink>
        </w:p>
        <w:p>
          <w:pPr>
            <w:pStyle w:val="Contents4"/>
            <w:tabs>
              <w:tab w:val="clear" w:pos="8176"/>
              <w:tab w:val="right" w:pos="9026" w:leader="dot"/>
            </w:tabs>
            <w:rPr/>
          </w:pPr>
          <w:hyperlink w:anchor="__RefHeading___Toc2367164_1051229030">
            <w:r>
              <w:rPr>
                <w:webHidden/>
                <w:rStyle w:val="IndexLink"/>
              </w:rPr>
              <w:t>6</w:t>
            </w:r>
            <w:r>
              <w:rPr>
                <w:rStyle w:val="IndexLink"/>
                <w:rtl w:val="true"/>
              </w:rPr>
              <w:t xml:space="preserve">. </w:t>
            </w:r>
            <w:r>
              <w:rPr>
                <w:rStyle w:val="IndexLink"/>
                <w:rtl w:val="true"/>
              </w:rPr>
              <w:t>نصب و عزل و قبول استعفاى</w:t>
            </w:r>
            <w:r>
              <w:rPr>
                <w:rStyle w:val="IndexLink"/>
                <w:rtl w:val="true"/>
              </w:rPr>
              <w:tab/>
            </w:r>
            <w:r>
              <w:rPr>
                <w:rStyle w:val="IndexLink"/>
              </w:rPr>
              <w:t>71</w:t>
            </w:r>
          </w:hyperlink>
        </w:p>
        <w:p>
          <w:pPr>
            <w:pStyle w:val="Contents4"/>
            <w:tabs>
              <w:tab w:val="clear" w:pos="8176"/>
              <w:tab w:val="right" w:pos="9026" w:leader="dot"/>
            </w:tabs>
            <w:rPr/>
          </w:pPr>
          <w:hyperlink w:anchor="__RefHeading___Toc2367166_1051229030">
            <w:r>
              <w:rPr>
                <w:webHidden/>
                <w:rStyle w:val="IndexLink"/>
              </w:rPr>
              <w:t>7</w:t>
            </w:r>
            <w:r>
              <w:rPr>
                <w:rStyle w:val="IndexLink"/>
                <w:rtl w:val="true"/>
              </w:rPr>
              <w:t xml:space="preserve">. </w:t>
            </w:r>
            <w:r>
              <w:rPr>
                <w:rStyle w:val="IndexLink"/>
                <w:rtl w:val="true"/>
              </w:rPr>
              <w:t>حل اختلاف و تنظيم روابط قواى سه گانه</w:t>
            </w:r>
            <w:r>
              <w:rPr>
                <w:rStyle w:val="IndexLink"/>
                <w:rtl w:val="true"/>
              </w:rPr>
              <w:tab/>
            </w:r>
            <w:r>
              <w:rPr>
                <w:rStyle w:val="IndexLink"/>
              </w:rPr>
              <w:t>71</w:t>
            </w:r>
          </w:hyperlink>
        </w:p>
        <w:p>
          <w:pPr>
            <w:pStyle w:val="Contents4"/>
            <w:tabs>
              <w:tab w:val="clear" w:pos="8176"/>
              <w:tab w:val="right" w:pos="9026" w:leader="dot"/>
            </w:tabs>
            <w:rPr/>
          </w:pPr>
          <w:hyperlink w:anchor="__RefHeading___Toc2367168_1051229030">
            <w:r>
              <w:rPr>
                <w:webHidden/>
                <w:rStyle w:val="IndexLink"/>
              </w:rPr>
              <w:t>8</w:t>
            </w:r>
            <w:r>
              <w:rPr>
                <w:rStyle w:val="IndexLink"/>
                <w:rtl w:val="true"/>
              </w:rPr>
              <w:t xml:space="preserve">. </w:t>
            </w:r>
            <w:r>
              <w:rPr>
                <w:rStyle w:val="IndexLink"/>
                <w:rtl w:val="true"/>
              </w:rPr>
              <w:t>حل معضلات نظام</w:t>
            </w:r>
            <w:r>
              <w:rPr>
                <w:rStyle w:val="IndexLink"/>
                <w:rtl w:val="true"/>
              </w:rPr>
              <w:tab/>
            </w:r>
            <w:r>
              <w:rPr>
                <w:rStyle w:val="IndexLink"/>
              </w:rPr>
              <w:t>72</w:t>
            </w:r>
          </w:hyperlink>
        </w:p>
        <w:p>
          <w:pPr>
            <w:pStyle w:val="Contents4"/>
            <w:tabs>
              <w:tab w:val="clear" w:pos="8176"/>
              <w:tab w:val="right" w:pos="9026" w:leader="dot"/>
            </w:tabs>
            <w:rPr/>
          </w:pPr>
          <w:hyperlink w:anchor="__RefHeading___Toc2367170_1051229030">
            <w:r>
              <w:rPr>
                <w:webHidden/>
                <w:rStyle w:val="IndexLink"/>
              </w:rPr>
              <w:t>9</w:t>
            </w:r>
            <w:r>
              <w:rPr>
                <w:rStyle w:val="IndexLink"/>
                <w:rtl w:val="true"/>
              </w:rPr>
              <w:t xml:space="preserve">. </w:t>
            </w:r>
            <w:r>
              <w:rPr>
                <w:rStyle w:val="IndexLink"/>
                <w:rtl w:val="true"/>
              </w:rPr>
              <w:t>امضاى حكم رياست جمهورى</w:t>
            </w:r>
            <w:r>
              <w:rPr>
                <w:rStyle w:val="IndexLink"/>
                <w:rtl w:val="true"/>
              </w:rPr>
              <w:tab/>
            </w:r>
            <w:r>
              <w:rPr>
                <w:rStyle w:val="IndexLink"/>
              </w:rPr>
              <w:t>72</w:t>
            </w:r>
          </w:hyperlink>
        </w:p>
        <w:p>
          <w:pPr>
            <w:pStyle w:val="Contents4"/>
            <w:tabs>
              <w:tab w:val="clear" w:pos="8176"/>
              <w:tab w:val="right" w:pos="9026" w:leader="dot"/>
            </w:tabs>
            <w:rPr/>
          </w:pPr>
          <w:hyperlink w:anchor="__RefHeading___Toc2367172_1051229030">
            <w:r>
              <w:rPr>
                <w:webHidden/>
                <w:rStyle w:val="IndexLink"/>
              </w:rPr>
              <w:t>10</w:t>
            </w:r>
            <w:r>
              <w:rPr>
                <w:rStyle w:val="IndexLink"/>
                <w:rtl w:val="true"/>
              </w:rPr>
              <w:t xml:space="preserve">. </w:t>
            </w:r>
            <w:r>
              <w:rPr>
                <w:rStyle w:val="IndexLink"/>
                <w:rtl w:val="true"/>
              </w:rPr>
              <w:t>عزل رييس جمهور</w:t>
            </w:r>
            <w:r>
              <w:rPr>
                <w:rStyle w:val="IndexLink"/>
                <w:rtl w:val="true"/>
              </w:rPr>
              <w:tab/>
            </w:r>
            <w:r>
              <w:rPr>
                <w:rStyle w:val="IndexLink"/>
              </w:rPr>
              <w:t>72</w:t>
            </w:r>
          </w:hyperlink>
        </w:p>
        <w:p>
          <w:pPr>
            <w:pStyle w:val="Contents4"/>
            <w:tabs>
              <w:tab w:val="clear" w:pos="8176"/>
              <w:tab w:val="right" w:pos="9026" w:leader="dot"/>
            </w:tabs>
            <w:rPr/>
          </w:pPr>
          <w:hyperlink w:anchor="__RefHeading___Toc2367174_1051229030">
            <w:r>
              <w:rPr>
                <w:webHidden/>
                <w:rStyle w:val="IndexLink"/>
              </w:rPr>
              <w:t>11</w:t>
            </w:r>
            <w:r>
              <w:rPr>
                <w:rStyle w:val="IndexLink"/>
                <w:rtl w:val="true"/>
              </w:rPr>
              <w:t xml:space="preserve">. </w:t>
            </w:r>
            <w:r>
              <w:rPr>
                <w:rStyle w:val="IndexLink"/>
                <w:rtl w:val="true"/>
              </w:rPr>
              <w:t>عفو يا تخفيف مجازات محكومين</w:t>
            </w:r>
            <w:r>
              <w:rPr>
                <w:rStyle w:val="IndexLink"/>
                <w:rtl w:val="true"/>
              </w:rPr>
              <w:tab/>
            </w:r>
            <w:r>
              <w:rPr>
                <w:rStyle w:val="IndexLink"/>
              </w:rPr>
              <w:t>72</w:t>
            </w:r>
          </w:hyperlink>
        </w:p>
        <w:p>
          <w:pPr>
            <w:pStyle w:val="Contents4"/>
            <w:tabs>
              <w:tab w:val="clear" w:pos="8176"/>
              <w:tab w:val="right" w:pos="9026" w:leader="dot"/>
            </w:tabs>
            <w:rPr/>
          </w:pPr>
          <w:hyperlink w:anchor="__RefHeading___Toc2367176_1051229030">
            <w:r>
              <w:rPr>
                <w:webHidden/>
                <w:rStyle w:val="IndexLink"/>
              </w:rPr>
              <w:t>12</w:t>
            </w:r>
            <w:r>
              <w:rPr>
                <w:rStyle w:val="IndexLink"/>
                <w:rtl w:val="true"/>
              </w:rPr>
              <w:t xml:space="preserve">. </w:t>
            </w:r>
            <w:r>
              <w:rPr>
                <w:rStyle w:val="IndexLink"/>
                <w:rtl w:val="true"/>
              </w:rPr>
              <w:t>حكم به اقدام تجديد نظر در قانون اساسى</w:t>
            </w:r>
            <w:r>
              <w:rPr>
                <w:rStyle w:val="IndexLink"/>
                <w:rtl w:val="true"/>
              </w:rPr>
              <w:tab/>
            </w:r>
            <w:r>
              <w:rPr>
                <w:rStyle w:val="IndexLink"/>
              </w:rPr>
              <w:t>73</w:t>
            </w:r>
          </w:hyperlink>
        </w:p>
        <w:p>
          <w:pPr>
            <w:pStyle w:val="Contents2"/>
            <w:tabs>
              <w:tab w:val="clear" w:pos="8743"/>
              <w:tab w:val="right" w:pos="9026" w:leader="dot"/>
            </w:tabs>
            <w:rPr/>
          </w:pPr>
          <w:hyperlink w:anchor="__RefHeading___Toc2367178_1051229030">
            <w:r>
              <w:rPr>
                <w:webHidden/>
                <w:rStyle w:val="IndexLink"/>
                <w:rtl w:val="true"/>
              </w:rPr>
              <w:t>تاريخ اسلام</w:t>
            </w:r>
            <w:r>
              <w:rPr>
                <w:rStyle w:val="IndexLink"/>
                <w:rtl w:val="true"/>
              </w:rPr>
              <w:tab/>
            </w:r>
            <w:r>
              <w:rPr>
                <w:rStyle w:val="IndexLink"/>
              </w:rPr>
              <w:t>75</w:t>
            </w:r>
          </w:hyperlink>
        </w:p>
        <w:p>
          <w:pPr>
            <w:pStyle w:val="Contents3"/>
            <w:tabs>
              <w:tab w:val="clear" w:pos="8459"/>
              <w:tab w:val="right" w:pos="9026" w:leader="dot"/>
            </w:tabs>
            <w:rPr/>
          </w:pPr>
          <w:hyperlink w:anchor="__RefHeading___Toc2367180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67182_1051229030">
            <w:r>
              <w:rPr>
                <w:webHidden/>
                <w:rStyle w:val="IndexLink"/>
                <w:rtl w:val="true"/>
              </w:rPr>
              <w:t>خدمات علمای شیعه به مذهب تشیع</w:t>
            </w:r>
            <w:r>
              <w:rPr>
                <w:rStyle w:val="IndexLink"/>
                <w:rtl w:val="true"/>
              </w:rPr>
              <w:tab/>
            </w:r>
            <w:r>
              <w:rPr>
                <w:rStyle w:val="IndexLink"/>
              </w:rPr>
              <w:t>77</w:t>
            </w:r>
          </w:hyperlink>
        </w:p>
        <w:p>
          <w:pPr>
            <w:pStyle w:val="Contents3"/>
            <w:tabs>
              <w:tab w:val="clear" w:pos="8459"/>
              <w:tab w:val="right" w:pos="9026" w:leader="dot"/>
            </w:tabs>
            <w:rPr/>
          </w:pPr>
          <w:hyperlink w:anchor="__RefHeading___Toc2367184_1051229030">
            <w:r>
              <w:rPr>
                <w:webHidden/>
                <w:rStyle w:val="IndexLink"/>
                <w:rtl w:val="true"/>
              </w:rPr>
              <w:t>خدمات علمى و فرهنگى خواجه نصيرالدين طوسى به تشيع چه بوده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2367186_1051229030">
            <w:r>
              <w:rPr>
                <w:webHidden/>
                <w:rStyle w:val="IndexLink"/>
                <w:rtl w:val="true"/>
              </w:rPr>
              <w:t>نقش فيض كاشانى در گسترش فرهنگ تشيع چه بود؟</w:t>
            </w:r>
            <w:r>
              <w:rPr>
                <w:rStyle w:val="IndexLink"/>
                <w:rtl w:val="true"/>
              </w:rPr>
              <w:tab/>
            </w:r>
            <w:r>
              <w:rPr>
                <w:rStyle w:val="IndexLink"/>
              </w:rPr>
              <w:t>84</w:t>
            </w:r>
          </w:hyperlink>
        </w:p>
        <w:p>
          <w:pPr>
            <w:pStyle w:val="Contents3"/>
            <w:tabs>
              <w:tab w:val="clear" w:pos="8459"/>
              <w:tab w:val="right" w:pos="9026" w:leader="dot"/>
            </w:tabs>
            <w:rPr/>
          </w:pPr>
          <w:hyperlink w:anchor="__RefHeading___Toc2367188_1051229030">
            <w:r>
              <w:rPr>
                <w:webHidden/>
                <w:rStyle w:val="IndexLink"/>
                <w:rtl w:val="true"/>
              </w:rPr>
              <w:t>روش هاى كاربردى علما براى فرهنگ سازى و تغيير ساختار فرهنگى</w:t>
            </w:r>
            <w:r>
              <w:rPr>
                <w:rStyle w:val="IndexLink"/>
                <w:rtl w:val="true"/>
              </w:rPr>
              <w:tab/>
            </w:r>
            <w:r>
              <w:rPr>
                <w:rStyle w:val="IndexLink"/>
              </w:rPr>
              <w:t>84</w:t>
            </w:r>
          </w:hyperlink>
        </w:p>
        <w:p>
          <w:pPr>
            <w:pStyle w:val="Contents3"/>
            <w:tabs>
              <w:tab w:val="clear" w:pos="8459"/>
              <w:tab w:val="right" w:pos="9026" w:leader="dot"/>
            </w:tabs>
            <w:rPr/>
          </w:pPr>
          <w:hyperlink w:anchor="__RefHeading___Toc2367190_1051229030">
            <w:r>
              <w:rPr>
                <w:webHidden/>
                <w:rStyle w:val="IndexLink"/>
                <w:rtl w:val="true"/>
              </w:rPr>
              <w:t>تلاش هاى فيض در فرآيند تكامل فرهنگى</w:t>
            </w:r>
            <w:r>
              <w:rPr>
                <w:rStyle w:val="IndexLink"/>
                <w:rtl w:val="true"/>
              </w:rPr>
              <w:tab/>
            </w:r>
            <w:r>
              <w:rPr>
                <w:rStyle w:val="IndexLink"/>
              </w:rPr>
              <w:t>86</w:t>
            </w:r>
          </w:hyperlink>
        </w:p>
        <w:p>
          <w:pPr>
            <w:pStyle w:val="Contents2"/>
            <w:tabs>
              <w:tab w:val="clear" w:pos="8743"/>
              <w:tab w:val="right" w:pos="9026" w:leader="dot"/>
            </w:tabs>
            <w:rPr/>
          </w:pPr>
          <w:hyperlink w:anchor="__RefHeading___Toc2367192_1051229030">
            <w:r>
              <w:rPr>
                <w:webHidden/>
                <w:rStyle w:val="IndexLink"/>
                <w:rtl w:val="true"/>
              </w:rPr>
              <w:t>تاريخ معاصر</w:t>
            </w:r>
            <w:r>
              <w:rPr>
                <w:rStyle w:val="IndexLink"/>
                <w:rtl w:val="true"/>
              </w:rPr>
              <w:tab/>
            </w:r>
            <w:r>
              <w:rPr>
                <w:rStyle w:val="IndexLink"/>
              </w:rPr>
              <w:t>91</w:t>
            </w:r>
          </w:hyperlink>
        </w:p>
        <w:p>
          <w:pPr>
            <w:pStyle w:val="Contents3"/>
            <w:tabs>
              <w:tab w:val="clear" w:pos="8459"/>
              <w:tab w:val="right" w:pos="9026" w:leader="dot"/>
            </w:tabs>
            <w:rPr/>
          </w:pPr>
          <w:hyperlink w:anchor="__RefHeading___Toc2367194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367196_1051229030">
            <w:r>
              <w:rPr>
                <w:webHidden/>
                <w:rStyle w:val="IndexLink"/>
                <w:rtl w:val="true"/>
              </w:rPr>
              <w:t>سید جمال الدین اسد ابادی</w:t>
            </w:r>
            <w:r>
              <w:rPr>
                <w:rStyle w:val="IndexLink"/>
                <w:rtl w:val="true"/>
              </w:rPr>
              <w:tab/>
            </w:r>
            <w:r>
              <w:rPr>
                <w:rStyle w:val="IndexLink"/>
              </w:rPr>
              <w:t>93</w:t>
            </w:r>
          </w:hyperlink>
        </w:p>
        <w:p>
          <w:pPr>
            <w:pStyle w:val="Contents3"/>
            <w:tabs>
              <w:tab w:val="clear" w:pos="8459"/>
              <w:tab w:val="right" w:pos="9026" w:leader="dot"/>
            </w:tabs>
            <w:rPr/>
          </w:pPr>
          <w:hyperlink w:anchor="__RefHeading___Toc2367198_1051229030">
            <w:r>
              <w:rPr>
                <w:webHidden/>
                <w:rStyle w:val="IndexLink"/>
                <w:rtl w:val="true"/>
              </w:rPr>
              <w:t>انديشه ى سياسى سيد جمال الدين اسدآبادى چه بود؟</w:t>
            </w:r>
            <w:r>
              <w:rPr>
                <w:rStyle w:val="IndexLink"/>
                <w:rtl w:val="true"/>
              </w:rPr>
              <w:tab/>
            </w:r>
            <w:r>
              <w:rPr>
                <w:rStyle w:val="IndexLink"/>
              </w:rPr>
              <w:t>94</w:t>
            </w:r>
          </w:hyperlink>
        </w:p>
        <w:p>
          <w:pPr>
            <w:pStyle w:val="Contents3"/>
            <w:tabs>
              <w:tab w:val="clear" w:pos="8459"/>
              <w:tab w:val="right" w:pos="9026" w:leader="dot"/>
            </w:tabs>
            <w:rPr/>
          </w:pPr>
          <w:hyperlink w:anchor="__RefHeading___Toc2367200_1051229030">
            <w:r>
              <w:rPr>
                <w:webHidden/>
                <w:rStyle w:val="IndexLink"/>
                <w:rtl w:val="true"/>
              </w:rPr>
              <w:t>الف</w:t>
            </w:r>
            <w:r>
              <w:rPr>
                <w:rStyle w:val="IndexLink"/>
                <w:rtl w:val="true"/>
              </w:rPr>
              <w:t xml:space="preserve">) </w:t>
            </w:r>
            <w:r>
              <w:rPr>
                <w:rStyle w:val="IndexLink"/>
                <w:rtl w:val="true"/>
              </w:rPr>
              <w:t>محورهاى اصلى انديشه ى سياسى سيد جمال</w:t>
            </w:r>
            <w:r>
              <w:rPr>
                <w:rStyle w:val="IndexLink"/>
                <w:rtl w:val="true"/>
              </w:rPr>
              <w:tab/>
            </w:r>
            <w:r>
              <w:rPr>
                <w:rStyle w:val="IndexLink"/>
              </w:rPr>
              <w:t>94</w:t>
            </w:r>
          </w:hyperlink>
        </w:p>
        <w:p>
          <w:pPr>
            <w:pStyle w:val="Contents4"/>
            <w:tabs>
              <w:tab w:val="clear" w:pos="8176"/>
              <w:tab w:val="right" w:pos="9026" w:leader="dot"/>
            </w:tabs>
            <w:rPr/>
          </w:pPr>
          <w:hyperlink w:anchor="__RefHeading___Toc2367202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367204_1051229030">
            <w:r>
              <w:rPr>
                <w:webHidden/>
                <w:rStyle w:val="IndexLink"/>
              </w:rPr>
              <w:t>1</w:t>
            </w:r>
            <w:r>
              <w:rPr>
                <w:rStyle w:val="IndexLink"/>
                <w:rtl w:val="true"/>
              </w:rPr>
              <w:t xml:space="preserve">. </w:t>
            </w:r>
            <w:r>
              <w:rPr>
                <w:rStyle w:val="IndexLink"/>
                <w:rtl w:val="true"/>
              </w:rPr>
              <w:t>مبارزه با استعمار</w:t>
            </w:r>
            <w:r>
              <w:rPr>
                <w:rStyle w:val="IndexLink"/>
                <w:rtl w:val="true"/>
              </w:rPr>
              <w:tab/>
            </w:r>
            <w:r>
              <w:rPr>
                <w:rStyle w:val="IndexLink"/>
              </w:rPr>
              <w:t>94</w:t>
            </w:r>
          </w:hyperlink>
        </w:p>
        <w:p>
          <w:pPr>
            <w:pStyle w:val="Contents4"/>
            <w:tabs>
              <w:tab w:val="clear" w:pos="8176"/>
              <w:tab w:val="right" w:pos="9026" w:leader="dot"/>
            </w:tabs>
            <w:rPr/>
          </w:pPr>
          <w:hyperlink w:anchor="__RefHeading___Toc2367206_1051229030">
            <w:r>
              <w:rPr>
                <w:webHidden/>
                <w:rStyle w:val="IndexLink"/>
              </w:rPr>
              <w:t>2</w:t>
            </w:r>
            <w:r>
              <w:rPr>
                <w:rStyle w:val="IndexLink"/>
                <w:rtl w:val="true"/>
              </w:rPr>
              <w:t xml:space="preserve">. </w:t>
            </w:r>
            <w:r>
              <w:rPr>
                <w:rStyle w:val="IndexLink"/>
                <w:rtl w:val="true"/>
              </w:rPr>
              <w:t>رجوع به اسلام و آموزه هاى آن</w:t>
            </w:r>
            <w:r>
              <w:rPr>
                <w:rStyle w:val="IndexLink"/>
                <w:rtl w:val="true"/>
              </w:rPr>
              <w:tab/>
            </w:r>
            <w:r>
              <w:rPr>
                <w:rStyle w:val="IndexLink"/>
              </w:rPr>
              <w:t>95</w:t>
            </w:r>
          </w:hyperlink>
        </w:p>
        <w:p>
          <w:pPr>
            <w:pStyle w:val="Contents4"/>
            <w:tabs>
              <w:tab w:val="clear" w:pos="8176"/>
              <w:tab w:val="right" w:pos="9026" w:leader="dot"/>
            </w:tabs>
            <w:rPr/>
          </w:pPr>
          <w:hyperlink w:anchor="__RefHeading___Toc2367208_1051229030">
            <w:r>
              <w:rPr>
                <w:webHidden/>
                <w:rStyle w:val="IndexLink"/>
              </w:rPr>
              <w:t>3</w:t>
            </w:r>
            <w:r>
              <w:rPr>
                <w:rStyle w:val="IndexLink"/>
                <w:rtl w:val="true"/>
              </w:rPr>
              <w:t xml:space="preserve">. </w:t>
            </w:r>
            <w:r>
              <w:rPr>
                <w:rStyle w:val="IndexLink"/>
                <w:rtl w:val="true"/>
              </w:rPr>
              <w:t>انديشه ى وحدت مسلمين</w:t>
            </w:r>
            <w:r>
              <w:rPr>
                <w:rStyle w:val="IndexLink"/>
                <w:rtl w:val="true"/>
              </w:rPr>
              <w:tab/>
            </w:r>
            <w:r>
              <w:rPr>
                <w:rStyle w:val="IndexLink"/>
              </w:rPr>
              <w:t>96</w:t>
            </w:r>
          </w:hyperlink>
        </w:p>
        <w:p>
          <w:pPr>
            <w:pStyle w:val="Contents3"/>
            <w:tabs>
              <w:tab w:val="clear" w:pos="8459"/>
              <w:tab w:val="right" w:pos="9026" w:leader="dot"/>
            </w:tabs>
            <w:rPr/>
          </w:pPr>
          <w:hyperlink w:anchor="__RefHeading___Toc2367210_1051229030">
            <w:r>
              <w:rPr>
                <w:webHidden/>
                <w:rStyle w:val="IndexLink"/>
                <w:rtl w:val="true"/>
              </w:rPr>
              <w:t>ب</w:t>
            </w:r>
            <w:r>
              <w:rPr>
                <w:rStyle w:val="IndexLink"/>
                <w:rtl w:val="true"/>
              </w:rPr>
              <w:t xml:space="preserve">) </w:t>
            </w:r>
            <w:r>
              <w:rPr>
                <w:rStyle w:val="IndexLink"/>
                <w:rtl w:val="true"/>
              </w:rPr>
              <w:t>حكومت و حاكميت در نظر سيد جمال</w:t>
            </w:r>
            <w:r>
              <w:rPr>
                <w:rStyle w:val="IndexLink"/>
                <w:rtl w:val="true"/>
              </w:rPr>
              <w:tab/>
            </w:r>
            <w:r>
              <w:rPr>
                <w:rStyle w:val="IndexLink"/>
              </w:rPr>
              <w:t>97</w:t>
            </w:r>
          </w:hyperlink>
        </w:p>
        <w:p>
          <w:pPr>
            <w:pStyle w:val="Contents4"/>
            <w:tabs>
              <w:tab w:val="clear" w:pos="8176"/>
              <w:tab w:val="right" w:pos="9026" w:leader="dot"/>
            </w:tabs>
            <w:rPr/>
          </w:pPr>
          <w:hyperlink w:anchor="__RefHeading___Toc2367212_1051229030">
            <w:r>
              <w:rPr>
                <w:webHidden/>
                <w:rStyle w:val="IndexLink"/>
              </w:rPr>
              <w:t>1</w:t>
            </w:r>
            <w:r>
              <w:rPr>
                <w:rStyle w:val="IndexLink"/>
                <w:rtl w:val="true"/>
              </w:rPr>
              <w:t xml:space="preserve">. </w:t>
            </w:r>
            <w:r>
              <w:rPr>
                <w:rStyle w:val="IndexLink"/>
                <w:rtl w:val="true"/>
              </w:rPr>
              <w:t>منشأ حكومت</w:t>
            </w:r>
            <w:r>
              <w:rPr>
                <w:rStyle w:val="IndexLink"/>
                <w:rtl w:val="true"/>
              </w:rPr>
              <w:tab/>
            </w:r>
            <w:r>
              <w:rPr>
                <w:rStyle w:val="IndexLink"/>
              </w:rPr>
              <w:t>97</w:t>
            </w:r>
          </w:hyperlink>
        </w:p>
        <w:p>
          <w:pPr>
            <w:pStyle w:val="Contents4"/>
            <w:tabs>
              <w:tab w:val="clear" w:pos="8176"/>
              <w:tab w:val="right" w:pos="9026" w:leader="dot"/>
            </w:tabs>
            <w:rPr/>
          </w:pPr>
          <w:hyperlink w:anchor="__RefHeading___Toc2367214_1051229030">
            <w:r>
              <w:rPr>
                <w:webHidden/>
                <w:rStyle w:val="IndexLink"/>
              </w:rPr>
              <w:t>2</w:t>
            </w:r>
            <w:r>
              <w:rPr>
                <w:rStyle w:val="IndexLink"/>
                <w:rtl w:val="true"/>
              </w:rPr>
              <w:t xml:space="preserve">. </w:t>
            </w:r>
            <w:r>
              <w:rPr>
                <w:rStyle w:val="IndexLink"/>
                <w:rtl w:val="true"/>
              </w:rPr>
              <w:t>پايه هاى حكومت</w:t>
            </w:r>
            <w:r>
              <w:rPr>
                <w:rStyle w:val="IndexLink"/>
                <w:rtl w:val="true"/>
              </w:rPr>
              <w:tab/>
            </w:r>
            <w:r>
              <w:rPr>
                <w:rStyle w:val="IndexLink"/>
              </w:rPr>
              <w:t>97</w:t>
            </w:r>
          </w:hyperlink>
        </w:p>
        <w:p>
          <w:pPr>
            <w:pStyle w:val="Contents4"/>
            <w:tabs>
              <w:tab w:val="clear" w:pos="8176"/>
              <w:tab w:val="right" w:pos="9026" w:leader="dot"/>
            </w:tabs>
            <w:rPr/>
          </w:pPr>
          <w:hyperlink w:anchor="__RefHeading___Toc2367216_1051229030">
            <w:r>
              <w:rPr>
                <w:webHidden/>
                <w:rStyle w:val="IndexLink"/>
              </w:rPr>
              <w:t>3</w:t>
            </w:r>
            <w:r>
              <w:rPr>
                <w:rStyle w:val="IndexLink"/>
                <w:rtl w:val="true"/>
              </w:rPr>
              <w:t xml:space="preserve">. </w:t>
            </w:r>
            <w:r>
              <w:rPr>
                <w:rStyle w:val="IndexLink"/>
                <w:rtl w:val="true"/>
              </w:rPr>
              <w:t>مدل حكومتى</w:t>
            </w:r>
            <w:r>
              <w:rPr>
                <w:rStyle w:val="IndexLink"/>
                <w:rtl w:val="true"/>
              </w:rPr>
              <w:tab/>
            </w:r>
            <w:r>
              <w:rPr>
                <w:rStyle w:val="IndexLink"/>
              </w:rPr>
              <w:t>98</w:t>
            </w:r>
          </w:hyperlink>
        </w:p>
        <w:p>
          <w:pPr>
            <w:pStyle w:val="Contents4"/>
            <w:tabs>
              <w:tab w:val="clear" w:pos="8176"/>
              <w:tab w:val="right" w:pos="9026" w:leader="dot"/>
            </w:tabs>
            <w:rPr/>
          </w:pPr>
          <w:hyperlink w:anchor="__RefHeading___Toc2367218_1051229030">
            <w:r>
              <w:rPr>
                <w:webHidden/>
                <w:rStyle w:val="IndexLink"/>
              </w:rPr>
              <w:t>4</w:t>
            </w:r>
            <w:r>
              <w:rPr>
                <w:rStyle w:val="IndexLink"/>
                <w:rtl w:val="true"/>
              </w:rPr>
              <w:t xml:space="preserve">. </w:t>
            </w:r>
            <w:r>
              <w:rPr>
                <w:rStyle w:val="IndexLink"/>
                <w:rtl w:val="true"/>
              </w:rPr>
              <w:t>حكومت ايده آل سيد جمال</w:t>
            </w:r>
            <w:r>
              <w:rPr>
                <w:rStyle w:val="IndexLink"/>
                <w:rtl w:val="true"/>
              </w:rPr>
              <w:tab/>
            </w:r>
            <w:r>
              <w:rPr>
                <w:rStyle w:val="IndexLink"/>
              </w:rPr>
              <w:t>99</w:t>
            </w:r>
          </w:hyperlink>
        </w:p>
        <w:p>
          <w:pPr>
            <w:pStyle w:val="Contents4"/>
            <w:tabs>
              <w:tab w:val="clear" w:pos="8176"/>
              <w:tab w:val="right" w:pos="9026" w:leader="dot"/>
            </w:tabs>
            <w:rPr/>
          </w:pPr>
          <w:hyperlink w:anchor="__RefHeading___Toc2367220_1051229030">
            <w:r>
              <w:rPr>
                <w:webHidden/>
                <w:rStyle w:val="IndexLink"/>
              </w:rPr>
              <w:t>5</w:t>
            </w:r>
            <w:r>
              <w:rPr>
                <w:rStyle w:val="IndexLink"/>
                <w:rtl w:val="true"/>
              </w:rPr>
              <w:t xml:space="preserve">. </w:t>
            </w:r>
            <w:r>
              <w:rPr>
                <w:rStyle w:val="IndexLink"/>
                <w:rtl w:val="true"/>
              </w:rPr>
              <w:t>شرايط حاكم</w:t>
            </w:r>
            <w:r>
              <w:rPr>
                <w:rStyle w:val="IndexLink"/>
                <w:rtl w:val="true"/>
              </w:rPr>
              <w:tab/>
            </w:r>
            <w:r>
              <w:rPr>
                <w:rStyle w:val="IndexLink"/>
              </w:rPr>
              <w:t>99</w:t>
            </w:r>
          </w:hyperlink>
        </w:p>
        <w:p>
          <w:pPr>
            <w:pStyle w:val="Contents3"/>
            <w:tabs>
              <w:tab w:val="clear" w:pos="8459"/>
              <w:tab w:val="right" w:pos="9026" w:leader="dot"/>
            </w:tabs>
            <w:rPr/>
          </w:pPr>
          <w:hyperlink w:anchor="__RefHeading___Toc2367222_1051229030">
            <w:r>
              <w:rPr>
                <w:webHidden/>
                <w:rStyle w:val="IndexLink"/>
                <w:rtl w:val="true"/>
              </w:rPr>
              <w:t>نقش سيد جمال در مبارزه با استبداد حاكم بر ايران چگونه بود؟</w:t>
            </w:r>
            <w:r>
              <w:rPr>
                <w:rStyle w:val="IndexLink"/>
                <w:rtl w:val="true"/>
              </w:rPr>
              <w:tab/>
            </w:r>
            <w:r>
              <w:rPr>
                <w:rStyle w:val="IndexLink"/>
              </w:rPr>
              <w:t>101</w:t>
            </w:r>
          </w:hyperlink>
        </w:p>
        <w:p>
          <w:pPr>
            <w:pStyle w:val="Contents3"/>
            <w:tabs>
              <w:tab w:val="clear" w:pos="8459"/>
              <w:tab w:val="right" w:pos="9026" w:leader="dot"/>
            </w:tabs>
            <w:rPr/>
          </w:pPr>
          <w:hyperlink w:anchor="__RefHeading___Toc2367224_1051229030">
            <w:r>
              <w:rPr>
                <w:webHidden/>
                <w:rStyle w:val="IndexLink"/>
                <w:rtl w:val="true"/>
              </w:rPr>
              <w:t>اقدامات سيد جمال الدين براى مبارزه با استبداد در ايران</w:t>
            </w:r>
            <w:r>
              <w:rPr>
                <w:rStyle w:val="IndexLink"/>
                <w:rtl w:val="true"/>
              </w:rPr>
              <w:tab/>
            </w:r>
            <w:r>
              <w:rPr>
                <w:rStyle w:val="IndexLink"/>
              </w:rPr>
              <w:t>103</w:t>
            </w:r>
          </w:hyperlink>
        </w:p>
        <w:p>
          <w:pPr>
            <w:pStyle w:val="Contents3"/>
            <w:tabs>
              <w:tab w:val="clear" w:pos="8459"/>
              <w:tab w:val="right" w:pos="9026" w:leader="dot"/>
            </w:tabs>
            <w:rPr/>
          </w:pPr>
          <w:hyperlink w:anchor="__RefHeading___Toc2367226_1051229030">
            <w:r>
              <w:rPr>
                <w:webHidden/>
                <w:rStyle w:val="IndexLink"/>
                <w:rtl w:val="true"/>
              </w:rPr>
              <w:t>سيد جمال الدين اسدآبادى در تحريم تنباكو چه نقشى داشت؟</w:t>
            </w:r>
            <w:r>
              <w:rPr>
                <w:rStyle w:val="IndexLink"/>
                <w:rtl w:val="true"/>
              </w:rPr>
              <w:tab/>
            </w:r>
            <w:r>
              <w:rPr>
                <w:rStyle w:val="IndexLink"/>
              </w:rPr>
              <w:t>107</w:t>
            </w:r>
          </w:hyperlink>
        </w:p>
        <w:p>
          <w:pPr>
            <w:pStyle w:val="Contents3"/>
            <w:tabs>
              <w:tab w:val="clear" w:pos="8459"/>
              <w:tab w:val="right" w:pos="9026" w:leader="dot"/>
            </w:tabs>
            <w:rPr/>
          </w:pPr>
          <w:hyperlink w:anchor="__RefHeading___Toc2367228_1051229030">
            <w:r>
              <w:rPr>
                <w:webHidden/>
                <w:rStyle w:val="IndexLink"/>
                <w:rtl w:val="true"/>
              </w:rPr>
              <w:t>الف</w:t>
            </w:r>
            <w:r>
              <w:rPr>
                <w:rStyle w:val="IndexLink"/>
                <w:rtl w:val="true"/>
              </w:rPr>
              <w:t xml:space="preserve">) </w:t>
            </w:r>
            <w:r>
              <w:rPr>
                <w:rStyle w:val="IndexLink"/>
                <w:rtl w:val="true"/>
              </w:rPr>
              <w:t>اقدامات سيد پيش از اخراج از ايران</w:t>
            </w:r>
            <w:r>
              <w:rPr>
                <w:rStyle w:val="IndexLink"/>
                <w:rtl w:val="true"/>
              </w:rPr>
              <w:tab/>
            </w:r>
            <w:r>
              <w:rPr>
                <w:rStyle w:val="IndexLink"/>
              </w:rPr>
              <w:t>107</w:t>
            </w:r>
          </w:hyperlink>
        </w:p>
        <w:p>
          <w:pPr>
            <w:pStyle w:val="Contents3"/>
            <w:tabs>
              <w:tab w:val="clear" w:pos="8459"/>
              <w:tab w:val="right" w:pos="9026" w:leader="dot"/>
            </w:tabs>
            <w:rPr/>
          </w:pPr>
          <w:hyperlink w:anchor="__RefHeading___Toc2367230_1051229030">
            <w:r>
              <w:rPr>
                <w:webHidden/>
                <w:rStyle w:val="IndexLink"/>
                <w:rtl w:val="true"/>
              </w:rPr>
              <w:t>ب</w:t>
            </w:r>
            <w:r>
              <w:rPr>
                <w:rStyle w:val="IndexLink"/>
                <w:rtl w:val="true"/>
              </w:rPr>
              <w:t xml:space="preserve">) </w:t>
            </w:r>
            <w:r>
              <w:rPr>
                <w:rStyle w:val="IndexLink"/>
                <w:rtl w:val="true"/>
              </w:rPr>
              <w:t>اقدامات سيد بعد از اخراج از ايران</w:t>
            </w:r>
            <w:r>
              <w:rPr>
                <w:rStyle w:val="IndexLink"/>
                <w:rtl w:val="true"/>
              </w:rPr>
              <w:tab/>
            </w:r>
            <w:r>
              <w:rPr>
                <w:rStyle w:val="IndexLink"/>
              </w:rPr>
              <w:t>109</w:t>
            </w:r>
          </w:hyperlink>
        </w:p>
        <w:p>
          <w:pPr>
            <w:pStyle w:val="Contents2"/>
            <w:tabs>
              <w:tab w:val="clear" w:pos="8743"/>
              <w:tab w:val="right" w:pos="9026" w:leader="dot"/>
            </w:tabs>
            <w:rPr/>
          </w:pPr>
          <w:hyperlink w:anchor="__RefHeading___Toc2367232_1051229030">
            <w:r>
              <w:rPr>
                <w:webHidden/>
                <w:rStyle w:val="IndexLink"/>
                <w:rtl w:val="true"/>
              </w:rPr>
              <w:t>مشاوره و تربيت</w:t>
            </w:r>
            <w:r>
              <w:rPr>
                <w:rStyle w:val="IndexLink"/>
                <w:rtl w:val="true"/>
              </w:rPr>
              <w:tab/>
            </w:r>
            <w:r>
              <w:rPr>
                <w:rStyle w:val="IndexLink"/>
              </w:rPr>
              <w:t>113</w:t>
            </w:r>
          </w:hyperlink>
        </w:p>
        <w:p>
          <w:pPr>
            <w:pStyle w:val="Contents3"/>
            <w:tabs>
              <w:tab w:val="clear" w:pos="8459"/>
              <w:tab w:val="right" w:pos="9026" w:leader="dot"/>
            </w:tabs>
            <w:rPr/>
          </w:pPr>
          <w:hyperlink w:anchor="__RefHeading___Toc2367234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367236_1051229030">
            <w:r>
              <w:rPr>
                <w:webHidden/>
                <w:rStyle w:val="IndexLink"/>
                <w:rtl w:val="true"/>
              </w:rPr>
              <w:t>مدگرایی</w:t>
            </w:r>
            <w:r>
              <w:rPr>
                <w:rStyle w:val="IndexLink"/>
                <w:rtl w:val="true"/>
              </w:rPr>
              <w:t>(</w:t>
            </w:r>
            <w:r>
              <w:rPr>
                <w:rStyle w:val="IndexLink"/>
                <w:rtl w:val="true"/>
              </w:rPr>
              <w:t>قسمت دوم</w:t>
            </w:r>
            <w:r>
              <w:rPr>
                <w:rStyle w:val="IndexLink"/>
                <w:rtl w:val="true"/>
              </w:rPr>
              <w:t>)</w:t>
              <w:tab/>
            </w:r>
            <w:r>
              <w:rPr>
                <w:rStyle w:val="IndexLink"/>
              </w:rPr>
              <w:t>115</w:t>
            </w:r>
          </w:hyperlink>
        </w:p>
        <w:p>
          <w:pPr>
            <w:pStyle w:val="Contents3"/>
            <w:tabs>
              <w:tab w:val="clear" w:pos="8459"/>
              <w:tab w:val="right" w:pos="9026" w:leader="dot"/>
            </w:tabs>
            <w:rPr/>
          </w:pPr>
          <w:hyperlink w:anchor="__RefHeading___Toc2367238_1051229030">
            <w:r>
              <w:rPr>
                <w:webHidden/>
                <w:rStyle w:val="IndexLink"/>
                <w:rtl w:val="true"/>
              </w:rPr>
              <w:t>گرايش به مدل هاى بيگانه و نوگرايى منفى چه پيامدهايى دارد؟</w:t>
            </w:r>
            <w:r>
              <w:rPr>
                <w:rStyle w:val="IndexLink"/>
                <w:rtl w:val="true"/>
              </w:rPr>
              <w:tab/>
            </w:r>
            <w:r>
              <w:rPr>
                <w:rStyle w:val="IndexLink"/>
              </w:rPr>
              <w:t>116</w:t>
            </w:r>
          </w:hyperlink>
        </w:p>
        <w:p>
          <w:pPr>
            <w:pStyle w:val="Contents3"/>
            <w:tabs>
              <w:tab w:val="clear" w:pos="8459"/>
              <w:tab w:val="right" w:pos="9026" w:leader="dot"/>
            </w:tabs>
            <w:rPr/>
          </w:pPr>
          <w:hyperlink w:anchor="__RefHeading___Toc2367240_1051229030">
            <w:r>
              <w:rPr>
                <w:webHidden/>
                <w:rStyle w:val="IndexLink"/>
                <w:rtl w:val="true"/>
              </w:rPr>
              <w:t>براى ارائه ى مدل لباس هاى داخلى و ملى، چه مؤلفه ها و ويژگى هايى را بايد در نظر گرفت؟</w:t>
            </w:r>
            <w:r>
              <w:rPr>
                <w:rStyle w:val="IndexLink"/>
                <w:rtl w:val="true"/>
              </w:rPr>
              <w:tab/>
            </w:r>
            <w:r>
              <w:rPr>
                <w:rStyle w:val="IndexLink"/>
              </w:rPr>
              <w:t>125</w:t>
            </w:r>
          </w:hyperlink>
        </w:p>
        <w:p>
          <w:pPr>
            <w:pStyle w:val="Contents3"/>
            <w:tabs>
              <w:tab w:val="clear" w:pos="8459"/>
              <w:tab w:val="right" w:pos="9026" w:leader="dot"/>
            </w:tabs>
            <w:rPr/>
          </w:pPr>
          <w:hyperlink w:anchor="__RefHeading___Toc2367242_1051229030">
            <w:r>
              <w:rPr>
                <w:webHidden/>
                <w:rStyle w:val="IndexLink"/>
                <w:rtl w:val="true"/>
              </w:rPr>
              <w:t>مُد مناسب و نامناسب</w:t>
            </w:r>
            <w:r>
              <w:rPr>
                <w:rStyle w:val="IndexLink"/>
                <w:rtl w:val="true"/>
              </w:rPr>
              <w:tab/>
            </w:r>
            <w:r>
              <w:rPr>
                <w:rStyle w:val="IndexLink"/>
              </w:rPr>
              <w:t>125</w:t>
            </w:r>
          </w:hyperlink>
        </w:p>
        <w:p>
          <w:pPr>
            <w:pStyle w:val="Contents3"/>
            <w:tabs>
              <w:tab w:val="clear" w:pos="8459"/>
              <w:tab w:val="right" w:pos="9026" w:leader="dot"/>
            </w:tabs>
            <w:rPr/>
          </w:pPr>
          <w:hyperlink w:anchor="__RefHeading___Toc2367244_1051229030">
            <w:r>
              <w:rPr>
                <w:webHidden/>
                <w:rStyle w:val="IndexLink"/>
              </w:rPr>
              <w:t>1</w:t>
            </w:r>
            <w:r>
              <w:rPr>
                <w:rStyle w:val="IndexLink"/>
                <w:rtl w:val="true"/>
              </w:rPr>
              <w:t xml:space="preserve">. </w:t>
            </w:r>
            <w:r>
              <w:rPr>
                <w:rStyle w:val="IndexLink"/>
                <w:rtl w:val="true"/>
              </w:rPr>
              <w:t>ديدگاه روان شناختى</w:t>
            </w:r>
            <w:r>
              <w:rPr>
                <w:rStyle w:val="IndexLink"/>
                <w:rtl w:val="true"/>
              </w:rPr>
              <w:tab/>
            </w:r>
            <w:r>
              <w:rPr>
                <w:rStyle w:val="IndexLink"/>
              </w:rPr>
              <w:t>127</w:t>
            </w:r>
          </w:hyperlink>
        </w:p>
        <w:p>
          <w:pPr>
            <w:pStyle w:val="Contents3"/>
            <w:tabs>
              <w:tab w:val="clear" w:pos="8459"/>
              <w:tab w:val="right" w:pos="9026" w:leader="dot"/>
            </w:tabs>
            <w:rPr/>
          </w:pPr>
          <w:hyperlink w:anchor="__RefHeading___Toc2367246_1051229030">
            <w:r>
              <w:rPr>
                <w:webHidden/>
                <w:rStyle w:val="IndexLink"/>
              </w:rPr>
              <w:t>2</w:t>
            </w:r>
            <w:r>
              <w:rPr>
                <w:rStyle w:val="IndexLink"/>
                <w:rtl w:val="true"/>
              </w:rPr>
              <w:t xml:space="preserve">. </w:t>
            </w:r>
            <w:r>
              <w:rPr>
                <w:rStyle w:val="IndexLink"/>
                <w:rtl w:val="true"/>
              </w:rPr>
              <w:t>ديدگاه اجتماعى و سياسى</w:t>
            </w:r>
            <w:r>
              <w:rPr>
                <w:rStyle w:val="IndexLink"/>
                <w:rtl w:val="true"/>
              </w:rPr>
              <w:tab/>
            </w:r>
            <w:r>
              <w:rPr>
                <w:rStyle w:val="IndexLink"/>
              </w:rPr>
              <w:t>130</w:t>
            </w:r>
          </w:hyperlink>
        </w:p>
        <w:p>
          <w:pPr>
            <w:pStyle w:val="Contents3"/>
            <w:tabs>
              <w:tab w:val="clear" w:pos="8459"/>
              <w:tab w:val="right" w:pos="9026" w:leader="dot"/>
            </w:tabs>
            <w:rPr/>
          </w:pPr>
          <w:hyperlink w:anchor="__RefHeading___Toc2367248_1051229030">
            <w:r>
              <w:rPr>
                <w:webHidden/>
                <w:rStyle w:val="IndexLink"/>
              </w:rPr>
              <w:t>3</w:t>
            </w:r>
            <w:r>
              <w:rPr>
                <w:rStyle w:val="IndexLink"/>
                <w:rtl w:val="true"/>
              </w:rPr>
              <w:t xml:space="preserve">. </w:t>
            </w:r>
            <w:r>
              <w:rPr>
                <w:rStyle w:val="IndexLink"/>
                <w:rtl w:val="true"/>
              </w:rPr>
              <w:t>ديدگاه اقتصادى</w:t>
            </w:r>
            <w:r>
              <w:rPr>
                <w:rStyle w:val="IndexLink"/>
                <w:rtl w:val="true"/>
              </w:rPr>
              <w:tab/>
            </w:r>
            <w:r>
              <w:rPr>
                <w:rStyle w:val="IndexLink"/>
              </w:rPr>
              <w:t>132</w:t>
            </w:r>
          </w:hyperlink>
        </w:p>
        <w:p>
          <w:pPr>
            <w:pStyle w:val="Contents3"/>
            <w:tabs>
              <w:tab w:val="clear" w:pos="8459"/>
              <w:tab w:val="right" w:pos="9026" w:leader="dot"/>
            </w:tabs>
            <w:rPr/>
          </w:pPr>
          <w:hyperlink w:anchor="__RefHeading___Toc2367250_1051229030">
            <w:r>
              <w:rPr>
                <w:webHidden/>
                <w:rStyle w:val="IndexLink"/>
              </w:rPr>
              <w:t>4</w:t>
            </w:r>
            <w:r>
              <w:rPr>
                <w:rStyle w:val="IndexLink"/>
                <w:rtl w:val="true"/>
              </w:rPr>
              <w:t xml:space="preserve">. </w:t>
            </w:r>
            <w:r>
              <w:rPr>
                <w:rStyle w:val="IndexLink"/>
                <w:rtl w:val="true"/>
              </w:rPr>
              <w:t>ديدگاه فقهى</w:t>
            </w:r>
            <w:r>
              <w:rPr>
                <w:rStyle w:val="IndexLink"/>
                <w:rtl w:val="true"/>
              </w:rPr>
              <w:tab/>
            </w:r>
            <w:r>
              <w:rPr>
                <w:rStyle w:val="IndexLink"/>
              </w:rPr>
              <w:t>133</w:t>
            </w:r>
          </w:hyperlink>
        </w:p>
        <w:p>
          <w:pPr>
            <w:pStyle w:val="Contents3"/>
            <w:tabs>
              <w:tab w:val="clear" w:pos="8459"/>
              <w:tab w:val="right" w:pos="9026" w:leader="dot"/>
            </w:tabs>
            <w:rPr/>
          </w:pPr>
          <w:hyperlink w:anchor="__RefHeading___Toc2367252_1051229030">
            <w:r>
              <w:rPr>
                <w:webHidden/>
                <w:rStyle w:val="IndexLink"/>
              </w:rPr>
              <w:t>5</w:t>
            </w:r>
            <w:r>
              <w:rPr>
                <w:rStyle w:val="IndexLink"/>
                <w:rtl w:val="true"/>
              </w:rPr>
              <w:t xml:space="preserve">. </w:t>
            </w:r>
            <w:r>
              <w:rPr>
                <w:rStyle w:val="IndexLink"/>
                <w:rtl w:val="true"/>
              </w:rPr>
              <w:t>ديدگاه ايدئولوژى</w:t>
            </w:r>
            <w:r>
              <w:rPr>
                <w:rStyle w:val="IndexLink"/>
                <w:rtl w:val="true"/>
              </w:rPr>
              <w:tab/>
            </w:r>
            <w:r>
              <w:rPr>
                <w:rStyle w:val="IndexLink"/>
              </w:rPr>
              <w:t>134</w:t>
            </w:r>
          </w:hyperlink>
        </w:p>
        <w:p>
          <w:pPr>
            <w:pStyle w:val="Contents3"/>
            <w:tabs>
              <w:tab w:val="clear" w:pos="8459"/>
              <w:tab w:val="right" w:pos="9026" w:leader="dot"/>
            </w:tabs>
            <w:rPr/>
          </w:pPr>
          <w:hyperlink w:anchor="__RefHeading___Toc2367254_1051229030">
            <w:r>
              <w:rPr>
                <w:webHidden/>
                <w:rStyle w:val="IndexLink"/>
              </w:rPr>
              <w:t>6</w:t>
            </w:r>
            <w:r>
              <w:rPr>
                <w:rStyle w:val="IndexLink"/>
                <w:rtl w:val="true"/>
              </w:rPr>
              <w:t xml:space="preserve">. </w:t>
            </w:r>
            <w:r>
              <w:rPr>
                <w:rStyle w:val="IndexLink"/>
                <w:rtl w:val="true"/>
              </w:rPr>
              <w:t>ديدگاه بهداشتى</w:t>
            </w:r>
            <w:r>
              <w:rPr>
                <w:rStyle w:val="IndexLink"/>
                <w:rtl w:val="true"/>
              </w:rPr>
              <w:tab/>
            </w:r>
            <w:r>
              <w:rPr>
                <w:rStyle w:val="IndexLink"/>
              </w:rPr>
              <w:t>135</w:t>
            </w:r>
          </w:hyperlink>
        </w:p>
        <w:p>
          <w:pPr>
            <w:pStyle w:val="Contents3"/>
            <w:tabs>
              <w:tab w:val="clear" w:pos="8459"/>
              <w:tab w:val="right" w:pos="9026" w:leader="dot"/>
            </w:tabs>
            <w:rPr/>
          </w:pPr>
          <w:hyperlink w:anchor="__RefHeading___Toc2367256_1051229030">
            <w:r>
              <w:rPr>
                <w:webHidden/>
                <w:rStyle w:val="IndexLink"/>
                <w:rtl w:val="true"/>
              </w:rPr>
              <w:t>خلاصه ى سخن اين كه</w:t>
            </w:r>
            <w:r>
              <w:rPr>
                <w:rStyle w:val="IndexLink"/>
                <w:rtl w:val="true"/>
              </w:rPr>
              <w:tab/>
            </w:r>
            <w:r>
              <w:rPr>
                <w:rStyle w:val="IndexLink"/>
              </w:rPr>
              <w:t>136</w:t>
            </w:r>
          </w:hyperlink>
        </w:p>
        <w:p>
          <w:pPr>
            <w:pStyle w:val="Contents2"/>
            <w:tabs>
              <w:tab w:val="clear" w:pos="8743"/>
              <w:tab w:val="right" w:pos="9026" w:leader="dot"/>
            </w:tabs>
            <w:rPr/>
          </w:pPr>
          <w:hyperlink w:anchor="__RefHeading___Toc2367258_1051229030">
            <w:r>
              <w:rPr>
                <w:webHidden/>
                <w:rStyle w:val="IndexLink"/>
                <w:rtl w:val="true"/>
              </w:rPr>
              <w:t>قرآن و تفسير</w:t>
            </w:r>
            <w:r>
              <w:rPr>
                <w:rStyle w:val="IndexLink"/>
                <w:rtl w:val="true"/>
              </w:rPr>
              <w:tab/>
            </w:r>
            <w:r>
              <w:rPr>
                <w:rStyle w:val="IndexLink"/>
              </w:rPr>
              <w:t>137</w:t>
            </w:r>
          </w:hyperlink>
        </w:p>
        <w:p>
          <w:pPr>
            <w:pStyle w:val="Contents3"/>
            <w:tabs>
              <w:tab w:val="clear" w:pos="8459"/>
              <w:tab w:val="right" w:pos="9026" w:leader="dot"/>
            </w:tabs>
            <w:rPr/>
          </w:pPr>
          <w:hyperlink w:anchor="__RefHeading___Toc2367260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367262_1051229030">
            <w:r>
              <w:rPr>
                <w:webHidden/>
                <w:rStyle w:val="IndexLink"/>
                <w:rtl w:val="true"/>
              </w:rPr>
              <w:t xml:space="preserve">وحى </w:t>
            </w:r>
            <w:r>
              <w:rPr>
                <w:rStyle w:val="IndexLink"/>
                <w:rtl w:val="true"/>
              </w:rPr>
              <w:t>(</w:t>
            </w:r>
            <w:r>
              <w:rPr>
                <w:rStyle w:val="IndexLink"/>
                <w:rtl w:val="true"/>
              </w:rPr>
              <w:t>قسمت دوم</w:t>
            </w:r>
            <w:r>
              <w:rPr>
                <w:rStyle w:val="IndexLink"/>
                <w:rtl w:val="true"/>
              </w:rPr>
              <w:t>)</w:t>
              <w:tab/>
            </w:r>
            <w:r>
              <w:rPr>
                <w:rStyle w:val="IndexLink"/>
              </w:rPr>
              <w:t>139</w:t>
            </w:r>
          </w:hyperlink>
        </w:p>
        <w:p>
          <w:pPr>
            <w:pStyle w:val="Contents3"/>
            <w:tabs>
              <w:tab w:val="clear" w:pos="8459"/>
              <w:tab w:val="right" w:pos="9026" w:leader="dot"/>
            </w:tabs>
            <w:rPr/>
          </w:pPr>
          <w:hyperlink w:anchor="__RefHeading___Toc2367264_1051229030">
            <w:r>
              <w:rPr>
                <w:webHidden/>
                <w:rStyle w:val="IndexLink"/>
                <w:rtl w:val="true"/>
              </w:rPr>
              <w:t>آيا مى توان وحى قرآنى را تجربه ى دينى و وحيانى ناميد؟</w:t>
            </w:r>
            <w:r>
              <w:rPr>
                <w:rStyle w:val="IndexLink"/>
                <w:rtl w:val="true"/>
              </w:rPr>
              <w:tab/>
            </w:r>
            <w:r>
              <w:rPr>
                <w:rStyle w:val="IndexLink"/>
              </w:rPr>
              <w:t>140</w:t>
            </w:r>
          </w:hyperlink>
        </w:p>
        <w:p>
          <w:pPr>
            <w:pStyle w:val="Contents3"/>
            <w:tabs>
              <w:tab w:val="clear" w:pos="8459"/>
              <w:tab w:val="right" w:pos="9026" w:leader="dot"/>
            </w:tabs>
            <w:rPr/>
          </w:pPr>
          <w:hyperlink w:anchor="__RefHeading___Toc2367266_1051229030">
            <w:r>
              <w:rPr>
                <w:webHidden/>
                <w:rStyle w:val="IndexLink"/>
                <w:rtl w:val="true"/>
              </w:rPr>
              <w:t>تجربه ى وحيانى</w:t>
            </w:r>
            <w:r>
              <w:rPr>
                <w:rStyle w:val="IndexLink"/>
                <w:rtl w:val="true"/>
              </w:rPr>
              <w:tab/>
            </w:r>
            <w:r>
              <w:rPr>
                <w:rStyle w:val="IndexLink"/>
              </w:rPr>
              <w:t>140</w:t>
            </w:r>
          </w:hyperlink>
        </w:p>
        <w:p>
          <w:pPr>
            <w:pStyle w:val="Contents3"/>
            <w:tabs>
              <w:tab w:val="clear" w:pos="8459"/>
              <w:tab w:val="right" w:pos="9026" w:leader="dot"/>
            </w:tabs>
            <w:rPr/>
          </w:pPr>
          <w:hyperlink w:anchor="__RefHeading___Toc2367268_1051229030">
            <w:r>
              <w:rPr>
                <w:webHidden/>
                <w:rStyle w:val="IndexLink"/>
                <w:rtl w:val="true"/>
              </w:rPr>
              <w:t>وحى در قرآن</w:t>
            </w:r>
            <w:r>
              <w:rPr>
                <w:rStyle w:val="IndexLink"/>
                <w:rtl w:val="true"/>
              </w:rPr>
              <w:tab/>
            </w:r>
            <w:r>
              <w:rPr>
                <w:rStyle w:val="IndexLink"/>
              </w:rPr>
              <w:t>141</w:t>
            </w:r>
          </w:hyperlink>
        </w:p>
        <w:p>
          <w:pPr>
            <w:pStyle w:val="Contents3"/>
            <w:tabs>
              <w:tab w:val="clear" w:pos="8459"/>
              <w:tab w:val="right" w:pos="9026" w:leader="dot"/>
            </w:tabs>
            <w:rPr/>
          </w:pPr>
          <w:hyperlink w:anchor="__RefHeading___Toc2367270_1051229030">
            <w:r>
              <w:rPr>
                <w:webHidden/>
                <w:rStyle w:val="IndexLink"/>
                <w:rtl w:val="true"/>
              </w:rPr>
              <w:t>اسلام و تجربه ى وحيانى</w:t>
            </w:r>
            <w:r>
              <w:rPr>
                <w:rStyle w:val="IndexLink"/>
                <w:rtl w:val="true"/>
              </w:rPr>
              <w:tab/>
            </w:r>
            <w:r>
              <w:rPr>
                <w:rStyle w:val="IndexLink"/>
              </w:rPr>
              <w:t>141</w:t>
            </w:r>
          </w:hyperlink>
        </w:p>
        <w:p>
          <w:pPr>
            <w:pStyle w:val="Contents4"/>
            <w:tabs>
              <w:tab w:val="clear" w:pos="8176"/>
              <w:tab w:val="right" w:pos="9026" w:leader="dot"/>
            </w:tabs>
            <w:rPr/>
          </w:pPr>
          <w:hyperlink w:anchor="__RefHeading___Toc2367272_105122903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367274_1051229030">
            <w:r>
              <w:rPr>
                <w:webHidden/>
                <w:rStyle w:val="IndexLink"/>
              </w:rPr>
              <w:t>1</w:t>
            </w:r>
            <w:r>
              <w:rPr>
                <w:rStyle w:val="IndexLink"/>
                <w:rtl w:val="true"/>
              </w:rPr>
              <w:t xml:space="preserve">. </w:t>
            </w:r>
            <w:r>
              <w:rPr>
                <w:rStyle w:val="IndexLink"/>
                <w:rtl w:val="true"/>
              </w:rPr>
              <w:t>زبان قرآن</w:t>
            </w:r>
            <w:r>
              <w:rPr>
                <w:rStyle w:val="IndexLink"/>
                <w:rtl w:val="true"/>
              </w:rPr>
              <w:tab/>
            </w:r>
            <w:r>
              <w:rPr>
                <w:rStyle w:val="IndexLink"/>
              </w:rPr>
              <w:t>148</w:t>
            </w:r>
          </w:hyperlink>
        </w:p>
        <w:p>
          <w:pPr>
            <w:pStyle w:val="Contents4"/>
            <w:tabs>
              <w:tab w:val="clear" w:pos="8176"/>
              <w:tab w:val="right" w:pos="9026" w:leader="dot"/>
            </w:tabs>
            <w:rPr/>
          </w:pPr>
          <w:hyperlink w:anchor="__RefHeading___Toc2367276_1051229030">
            <w:r>
              <w:rPr>
                <w:webHidden/>
                <w:rStyle w:val="IndexLink"/>
              </w:rPr>
              <w:t>2</w:t>
            </w:r>
            <w:r>
              <w:rPr>
                <w:rStyle w:val="IndexLink"/>
                <w:rtl w:val="true"/>
              </w:rPr>
              <w:t xml:space="preserve">. </w:t>
            </w:r>
            <w:r>
              <w:rPr>
                <w:rStyle w:val="IndexLink"/>
                <w:rtl w:val="true"/>
              </w:rPr>
              <w:t>بهره گيرى از آرايه هاى ادبى</w:t>
            </w:r>
            <w:r>
              <w:rPr>
                <w:rStyle w:val="IndexLink"/>
                <w:rtl w:val="true"/>
              </w:rPr>
              <w:tab/>
            </w:r>
            <w:r>
              <w:rPr>
                <w:rStyle w:val="IndexLink"/>
              </w:rPr>
              <w:t>149</w:t>
            </w:r>
          </w:hyperlink>
        </w:p>
        <w:p>
          <w:pPr>
            <w:pStyle w:val="Contents2"/>
            <w:tabs>
              <w:tab w:val="clear" w:pos="8743"/>
              <w:tab w:val="right" w:pos="9026" w:leader="dot"/>
            </w:tabs>
            <w:rPr/>
          </w:pPr>
          <w:hyperlink w:anchor="__RefHeading___Toc2367278_1051229030">
            <w:r>
              <w:rPr>
                <w:webHidden/>
                <w:rStyle w:val="IndexLink"/>
                <w:rtl w:val="true"/>
              </w:rPr>
              <w:t>امامت و مهدويت</w:t>
            </w:r>
            <w:r>
              <w:rPr>
                <w:rStyle w:val="IndexLink"/>
                <w:rtl w:val="true"/>
              </w:rPr>
              <w:tab/>
            </w:r>
            <w:r>
              <w:rPr>
                <w:rStyle w:val="IndexLink"/>
              </w:rPr>
              <w:t>153</w:t>
            </w:r>
          </w:hyperlink>
        </w:p>
        <w:p>
          <w:pPr>
            <w:pStyle w:val="Contents3"/>
            <w:tabs>
              <w:tab w:val="clear" w:pos="8459"/>
              <w:tab w:val="right" w:pos="9026" w:leader="dot"/>
            </w:tabs>
            <w:rPr/>
          </w:pPr>
          <w:hyperlink w:anchor="__RefHeading___Toc2367280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367282_1051229030">
            <w:r>
              <w:rPr>
                <w:webHidden/>
                <w:rStyle w:val="IndexLink"/>
                <w:rtl w:val="true"/>
              </w:rPr>
              <w:t>آرمان شهر مهدوى</w:t>
            </w:r>
            <w:r>
              <w:rPr>
                <w:rStyle w:val="IndexLink"/>
                <w:rtl w:val="true"/>
              </w:rPr>
              <w:tab/>
            </w:r>
            <w:r>
              <w:rPr>
                <w:rStyle w:val="IndexLink"/>
              </w:rPr>
              <w:t>155</w:t>
            </w:r>
          </w:hyperlink>
        </w:p>
        <w:p>
          <w:pPr>
            <w:pStyle w:val="Contents3"/>
            <w:tabs>
              <w:tab w:val="clear" w:pos="8459"/>
              <w:tab w:val="right" w:pos="9026" w:leader="dot"/>
            </w:tabs>
            <w:rPr/>
          </w:pPr>
          <w:hyperlink w:anchor="__RefHeading___Toc2367284_1051229030">
            <w:r>
              <w:rPr>
                <w:webHidden/>
                <w:rStyle w:val="IndexLink"/>
                <w:rtl w:val="true"/>
              </w:rPr>
              <w:t>مدينه ى فاضله ى عصر ظهور چه ويژگى هايى دارد؟</w:t>
            </w:r>
            <w:r>
              <w:rPr>
                <w:rStyle w:val="IndexLink"/>
                <w:rtl w:val="true"/>
              </w:rPr>
              <w:tab/>
            </w:r>
            <w:r>
              <w:rPr>
                <w:rStyle w:val="IndexLink"/>
              </w:rPr>
              <w:t>156</w:t>
            </w:r>
          </w:hyperlink>
        </w:p>
        <w:p>
          <w:pPr>
            <w:pStyle w:val="Contents3"/>
            <w:tabs>
              <w:tab w:val="clear" w:pos="8459"/>
              <w:tab w:val="right" w:pos="9026" w:leader="dot"/>
            </w:tabs>
            <w:rPr/>
          </w:pPr>
          <w:hyperlink w:anchor="__RefHeading___Toc2367286_1051229030">
            <w:r>
              <w:rPr>
                <w:webHidden/>
                <w:rStyle w:val="IndexLink"/>
                <w:rtl w:val="true"/>
              </w:rPr>
              <w:t>الف</w:t>
            </w:r>
            <w:r>
              <w:rPr>
                <w:rStyle w:val="IndexLink"/>
                <w:rtl w:val="true"/>
              </w:rPr>
              <w:t xml:space="preserve">) </w:t>
            </w:r>
            <w:r>
              <w:rPr>
                <w:rStyle w:val="IndexLink"/>
                <w:rtl w:val="true"/>
              </w:rPr>
              <w:t>افلاطون</w:t>
            </w:r>
            <w:r>
              <w:rPr>
                <w:rStyle w:val="IndexLink"/>
                <w:rtl w:val="true"/>
              </w:rPr>
              <w:tab/>
            </w:r>
            <w:r>
              <w:rPr>
                <w:rStyle w:val="IndexLink"/>
              </w:rPr>
              <w:t>156</w:t>
            </w:r>
          </w:hyperlink>
        </w:p>
        <w:p>
          <w:pPr>
            <w:pStyle w:val="Contents3"/>
            <w:tabs>
              <w:tab w:val="clear" w:pos="8459"/>
              <w:tab w:val="right" w:pos="9026" w:leader="dot"/>
            </w:tabs>
            <w:rPr/>
          </w:pPr>
          <w:hyperlink w:anchor="__RefHeading___Toc2367288_1051229030">
            <w:r>
              <w:rPr>
                <w:webHidden/>
                <w:rStyle w:val="IndexLink"/>
                <w:rtl w:val="true"/>
              </w:rPr>
              <w:t>برخى از مفاد مدينه ى فاضله ى افلاطون</w:t>
            </w:r>
            <w:r>
              <w:rPr>
                <w:rStyle w:val="IndexLink"/>
                <w:rtl w:val="true"/>
              </w:rPr>
              <w:tab/>
            </w:r>
            <w:r>
              <w:rPr>
                <w:rStyle w:val="IndexLink"/>
              </w:rPr>
              <w:t>157</w:t>
            </w:r>
          </w:hyperlink>
        </w:p>
        <w:p>
          <w:pPr>
            <w:pStyle w:val="Contents3"/>
            <w:tabs>
              <w:tab w:val="clear" w:pos="8459"/>
              <w:tab w:val="right" w:pos="9026" w:leader="dot"/>
            </w:tabs>
            <w:rPr/>
          </w:pPr>
          <w:hyperlink w:anchor="__RefHeading___Toc2367290_1051229030">
            <w:r>
              <w:rPr>
                <w:webHidden/>
                <w:rStyle w:val="IndexLink"/>
                <w:rtl w:val="true"/>
              </w:rPr>
              <w:t>ب</w:t>
            </w:r>
            <w:r>
              <w:rPr>
                <w:rStyle w:val="IndexLink"/>
                <w:rtl w:val="true"/>
              </w:rPr>
              <w:t xml:space="preserve">) </w:t>
            </w:r>
            <w:r>
              <w:rPr>
                <w:rStyle w:val="IndexLink"/>
                <w:rtl w:val="true"/>
              </w:rPr>
              <w:t>فارابى</w:t>
            </w:r>
            <w:r>
              <w:rPr>
                <w:rStyle w:val="IndexLink"/>
                <w:rtl w:val="true"/>
              </w:rPr>
              <w:tab/>
            </w:r>
            <w:r>
              <w:rPr>
                <w:rStyle w:val="IndexLink"/>
              </w:rPr>
              <w:t>158</w:t>
            </w:r>
          </w:hyperlink>
        </w:p>
        <w:p>
          <w:pPr>
            <w:pStyle w:val="Contents3"/>
            <w:tabs>
              <w:tab w:val="clear" w:pos="8459"/>
              <w:tab w:val="right" w:pos="9026" w:leader="dot"/>
            </w:tabs>
            <w:rPr/>
          </w:pPr>
          <w:hyperlink w:anchor="__RefHeading___Toc2367292_1051229030">
            <w:r>
              <w:rPr>
                <w:webHidden/>
                <w:rStyle w:val="IndexLink"/>
                <w:rtl w:val="true"/>
              </w:rPr>
              <w:t>ج</w:t>
            </w:r>
            <w:r>
              <w:rPr>
                <w:rStyle w:val="IndexLink"/>
                <w:rtl w:val="true"/>
              </w:rPr>
              <w:t xml:space="preserve">) </w:t>
            </w:r>
            <w:r>
              <w:rPr>
                <w:rStyle w:val="IndexLink"/>
                <w:rtl w:val="true"/>
              </w:rPr>
              <w:t>تامس مور</w:t>
            </w:r>
            <w:r>
              <w:rPr>
                <w:rStyle w:val="IndexLink"/>
                <w:rtl w:val="true"/>
              </w:rPr>
              <w:tab/>
            </w:r>
            <w:r>
              <w:rPr>
                <w:rStyle w:val="IndexLink"/>
              </w:rPr>
              <w:t>161</w:t>
            </w:r>
          </w:hyperlink>
        </w:p>
        <w:p>
          <w:pPr>
            <w:pStyle w:val="Contents3"/>
            <w:tabs>
              <w:tab w:val="clear" w:pos="8459"/>
              <w:tab w:val="right" w:pos="9026" w:leader="dot"/>
            </w:tabs>
            <w:rPr/>
          </w:pPr>
          <w:hyperlink w:anchor="__RefHeading___Toc2367294_1051229030">
            <w:r>
              <w:rPr>
                <w:webHidden/>
                <w:rStyle w:val="IndexLink"/>
                <w:rtl w:val="true"/>
              </w:rPr>
              <w:t>د</w:t>
            </w:r>
            <w:r>
              <w:rPr>
                <w:rStyle w:val="IndexLink"/>
                <w:rtl w:val="true"/>
              </w:rPr>
              <w:t xml:space="preserve">) </w:t>
            </w:r>
            <w:r>
              <w:rPr>
                <w:rStyle w:val="IndexLink"/>
                <w:rtl w:val="true"/>
              </w:rPr>
              <w:t>فرانسيس بيكن</w:t>
            </w:r>
            <w:r>
              <w:rPr>
                <w:rStyle w:val="IndexLink"/>
                <w:rtl w:val="true"/>
              </w:rPr>
              <w:tab/>
            </w:r>
            <w:r>
              <w:rPr>
                <w:rStyle w:val="IndexLink"/>
              </w:rPr>
              <w:t>162</w:t>
            </w:r>
          </w:hyperlink>
        </w:p>
        <w:p>
          <w:pPr>
            <w:pStyle w:val="Contents3"/>
            <w:tabs>
              <w:tab w:val="clear" w:pos="8459"/>
              <w:tab w:val="right" w:pos="9026" w:leader="dot"/>
            </w:tabs>
            <w:rPr/>
          </w:pPr>
          <w:hyperlink w:anchor="__RefHeading___Toc2367296_1051229030">
            <w:r>
              <w:rPr>
                <w:webHidden/>
                <w:rStyle w:val="IndexLink"/>
                <w:rtl w:val="true"/>
              </w:rPr>
              <w:t>ذ</w:t>
            </w:r>
            <w:r>
              <w:rPr>
                <w:rStyle w:val="IndexLink"/>
                <w:rtl w:val="true"/>
              </w:rPr>
              <w:t xml:space="preserve">) </w:t>
            </w:r>
            <w:r>
              <w:rPr>
                <w:rStyle w:val="IndexLink"/>
                <w:rtl w:val="true"/>
              </w:rPr>
              <w:t>اگوستين</w:t>
            </w:r>
            <w:r>
              <w:rPr>
                <w:rStyle w:val="IndexLink"/>
                <w:rtl w:val="true"/>
              </w:rPr>
              <w:tab/>
            </w:r>
            <w:r>
              <w:rPr>
                <w:rStyle w:val="IndexLink"/>
              </w:rPr>
              <w:t>163</w:t>
            </w:r>
          </w:hyperlink>
        </w:p>
        <w:p>
          <w:pPr>
            <w:pStyle w:val="Contents3"/>
            <w:tabs>
              <w:tab w:val="clear" w:pos="8459"/>
              <w:tab w:val="right" w:pos="9026" w:leader="dot"/>
            </w:tabs>
            <w:rPr/>
          </w:pPr>
          <w:hyperlink w:anchor="__RefHeading___Toc2367298_1051229030">
            <w:r>
              <w:rPr>
                <w:webHidden/>
                <w:rStyle w:val="IndexLink"/>
                <w:rtl w:val="true"/>
              </w:rPr>
              <w:t>نكات مشترك آرمان شهرهاى فيلسوفان</w:t>
            </w:r>
            <w:r>
              <w:rPr>
                <w:rStyle w:val="IndexLink"/>
                <w:rtl w:val="true"/>
              </w:rPr>
              <w:tab/>
            </w:r>
            <w:r>
              <w:rPr>
                <w:rStyle w:val="IndexLink"/>
              </w:rPr>
              <w:t>164</w:t>
            </w:r>
          </w:hyperlink>
        </w:p>
        <w:p>
          <w:pPr>
            <w:pStyle w:val="Contents3"/>
            <w:tabs>
              <w:tab w:val="clear" w:pos="8459"/>
              <w:tab w:val="right" w:pos="9026" w:leader="dot"/>
            </w:tabs>
            <w:rPr/>
          </w:pPr>
          <w:hyperlink w:anchor="__RefHeading___Toc2367300_1051229030">
            <w:r>
              <w:rPr>
                <w:webHidden/>
                <w:rStyle w:val="IndexLink"/>
                <w:rtl w:val="true"/>
              </w:rPr>
              <w:t>مدينه ى فاضله ى جامعه ى مهدوى</w:t>
            </w:r>
            <w:r>
              <w:rPr>
                <w:rStyle w:val="IndexLink"/>
                <w:rtl w:val="true"/>
              </w:rPr>
              <w:tab/>
            </w:r>
            <w:r>
              <w:rPr>
                <w:rStyle w:val="IndexLink"/>
              </w:rPr>
              <w:t>164</w:t>
            </w:r>
          </w:hyperlink>
        </w:p>
        <w:p>
          <w:pPr>
            <w:pStyle w:val="Contents4"/>
            <w:tabs>
              <w:tab w:val="clear" w:pos="8176"/>
              <w:tab w:val="right" w:pos="9026" w:leader="dot"/>
            </w:tabs>
            <w:rPr/>
          </w:pPr>
          <w:hyperlink w:anchor="__RefHeading___Toc2367302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367304_1051229030">
            <w:r>
              <w:rPr>
                <w:webHidden/>
                <w:rStyle w:val="IndexLink"/>
              </w:rPr>
              <w:t>1</w:t>
            </w:r>
            <w:r>
              <w:rPr>
                <w:rStyle w:val="IndexLink"/>
                <w:rtl w:val="true"/>
              </w:rPr>
              <w:t xml:space="preserve">. </w:t>
            </w:r>
            <w:r>
              <w:rPr>
                <w:rStyle w:val="IndexLink"/>
                <w:rtl w:val="true"/>
              </w:rPr>
              <w:t>حاكم مدينه ى فاضله</w:t>
            </w:r>
            <w:r>
              <w:rPr>
                <w:rStyle w:val="IndexLink"/>
                <w:rtl w:val="true"/>
              </w:rPr>
              <w:tab/>
            </w:r>
            <w:r>
              <w:rPr>
                <w:rStyle w:val="IndexLink"/>
              </w:rPr>
              <w:t>165</w:t>
            </w:r>
          </w:hyperlink>
        </w:p>
        <w:p>
          <w:pPr>
            <w:pStyle w:val="Contents4"/>
            <w:tabs>
              <w:tab w:val="clear" w:pos="8176"/>
              <w:tab w:val="right" w:pos="9026" w:leader="dot"/>
            </w:tabs>
            <w:rPr/>
          </w:pPr>
          <w:hyperlink w:anchor="__RefHeading___Toc2367306_1051229030">
            <w:r>
              <w:rPr>
                <w:webHidden/>
                <w:rStyle w:val="IndexLink"/>
              </w:rPr>
              <w:t>2</w:t>
            </w:r>
            <w:r>
              <w:rPr>
                <w:rStyle w:val="IndexLink"/>
                <w:rtl w:val="true"/>
              </w:rPr>
              <w:t xml:space="preserve">. </w:t>
            </w:r>
            <w:r>
              <w:rPr>
                <w:rStyle w:val="IndexLink"/>
                <w:rtl w:val="true"/>
              </w:rPr>
              <w:t>حاكميت توحيد</w:t>
            </w:r>
            <w:r>
              <w:rPr>
                <w:rStyle w:val="IndexLink"/>
                <w:rtl w:val="true"/>
              </w:rPr>
              <w:tab/>
            </w:r>
            <w:r>
              <w:rPr>
                <w:rStyle w:val="IndexLink"/>
              </w:rPr>
              <w:t>165</w:t>
            </w:r>
          </w:hyperlink>
        </w:p>
        <w:p>
          <w:pPr>
            <w:pStyle w:val="Contents4"/>
            <w:tabs>
              <w:tab w:val="clear" w:pos="8176"/>
              <w:tab w:val="right" w:pos="9026" w:leader="dot"/>
            </w:tabs>
            <w:rPr/>
          </w:pPr>
          <w:hyperlink w:anchor="__RefHeading___Toc2367308_1051229030">
            <w:r>
              <w:rPr>
                <w:webHidden/>
                <w:rStyle w:val="IndexLink"/>
              </w:rPr>
              <w:t>3</w:t>
            </w:r>
            <w:r>
              <w:rPr>
                <w:rStyle w:val="IndexLink"/>
                <w:rtl w:val="true"/>
              </w:rPr>
              <w:t xml:space="preserve">. </w:t>
            </w:r>
            <w:r>
              <w:rPr>
                <w:rStyle w:val="IndexLink"/>
                <w:rtl w:val="true"/>
              </w:rPr>
              <w:t>عدالت محورى</w:t>
            </w:r>
            <w:r>
              <w:rPr>
                <w:rStyle w:val="IndexLink"/>
                <w:rtl w:val="true"/>
              </w:rPr>
              <w:tab/>
            </w:r>
            <w:r>
              <w:rPr>
                <w:rStyle w:val="IndexLink"/>
              </w:rPr>
              <w:t>166</w:t>
            </w:r>
          </w:hyperlink>
        </w:p>
        <w:p>
          <w:pPr>
            <w:pStyle w:val="Contents5"/>
            <w:tabs>
              <w:tab w:val="clear" w:pos="7892"/>
              <w:tab w:val="right" w:pos="9026" w:leader="dot"/>
            </w:tabs>
            <w:rPr/>
          </w:pPr>
          <w:hyperlink w:anchor="__RefHeading___Toc2367310_105122903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367312_1051229030">
            <w:r>
              <w:rPr>
                <w:webHidden/>
                <w:rStyle w:val="IndexLink"/>
                <w:rtl w:val="true"/>
              </w:rPr>
              <w:t>الف</w:t>
            </w:r>
            <w:r>
              <w:rPr>
                <w:rStyle w:val="IndexLink"/>
                <w:rtl w:val="true"/>
              </w:rPr>
              <w:t xml:space="preserve">) </w:t>
            </w:r>
            <w:r>
              <w:rPr>
                <w:rStyle w:val="IndexLink"/>
                <w:rtl w:val="true"/>
              </w:rPr>
              <w:t>عدالت اقتصادى</w:t>
            </w:r>
            <w:r>
              <w:rPr>
                <w:rStyle w:val="IndexLink"/>
                <w:rtl w:val="true"/>
              </w:rPr>
              <w:tab/>
            </w:r>
            <w:r>
              <w:rPr>
                <w:rStyle w:val="IndexLink"/>
              </w:rPr>
              <w:t>166</w:t>
            </w:r>
          </w:hyperlink>
        </w:p>
        <w:p>
          <w:pPr>
            <w:pStyle w:val="Contents5"/>
            <w:tabs>
              <w:tab w:val="clear" w:pos="7892"/>
              <w:tab w:val="right" w:pos="9026" w:leader="dot"/>
            </w:tabs>
            <w:rPr/>
          </w:pPr>
          <w:hyperlink w:anchor="__RefHeading___Toc2367314_1051229030">
            <w:r>
              <w:rPr>
                <w:webHidden/>
                <w:rStyle w:val="IndexLink"/>
                <w:rtl w:val="true"/>
              </w:rPr>
              <w:t>ب</w:t>
            </w:r>
            <w:r>
              <w:rPr>
                <w:rStyle w:val="IndexLink"/>
                <w:rtl w:val="true"/>
              </w:rPr>
              <w:t xml:space="preserve">) </w:t>
            </w:r>
            <w:r>
              <w:rPr>
                <w:rStyle w:val="IndexLink"/>
                <w:rtl w:val="true"/>
              </w:rPr>
              <w:t>عدالت قضايى</w:t>
            </w:r>
            <w:r>
              <w:rPr>
                <w:rStyle w:val="IndexLink"/>
                <w:rtl w:val="true"/>
              </w:rPr>
              <w:tab/>
            </w:r>
            <w:r>
              <w:rPr>
                <w:rStyle w:val="IndexLink"/>
              </w:rPr>
              <w:t>167</w:t>
            </w:r>
          </w:hyperlink>
        </w:p>
        <w:p>
          <w:pPr>
            <w:pStyle w:val="Contents4"/>
            <w:tabs>
              <w:tab w:val="clear" w:pos="8176"/>
              <w:tab w:val="right" w:pos="9026" w:leader="dot"/>
            </w:tabs>
            <w:rPr/>
          </w:pPr>
          <w:hyperlink w:anchor="__RefHeading___Toc2367316_1051229030">
            <w:r>
              <w:rPr>
                <w:webHidden/>
                <w:rStyle w:val="IndexLink"/>
              </w:rPr>
              <w:t>4</w:t>
            </w:r>
            <w:r>
              <w:rPr>
                <w:rStyle w:val="IndexLink"/>
                <w:rtl w:val="true"/>
              </w:rPr>
              <w:t xml:space="preserve">. </w:t>
            </w:r>
            <w:r>
              <w:rPr>
                <w:rStyle w:val="IndexLink"/>
                <w:rtl w:val="true"/>
              </w:rPr>
              <w:t>رفاه و آسايش</w:t>
            </w:r>
            <w:r>
              <w:rPr>
                <w:rStyle w:val="IndexLink"/>
                <w:rtl w:val="true"/>
              </w:rPr>
              <w:tab/>
            </w:r>
            <w:r>
              <w:rPr>
                <w:rStyle w:val="IndexLink"/>
              </w:rPr>
              <w:t>167</w:t>
            </w:r>
          </w:hyperlink>
        </w:p>
        <w:p>
          <w:pPr>
            <w:pStyle w:val="Contents4"/>
            <w:tabs>
              <w:tab w:val="clear" w:pos="8176"/>
              <w:tab w:val="right" w:pos="9026" w:leader="dot"/>
            </w:tabs>
            <w:rPr/>
          </w:pPr>
          <w:hyperlink w:anchor="__RefHeading___Toc2367318_1051229030">
            <w:r>
              <w:rPr>
                <w:webHidden/>
                <w:rStyle w:val="IndexLink"/>
              </w:rPr>
              <w:t>5</w:t>
            </w:r>
            <w:r>
              <w:rPr>
                <w:rStyle w:val="IndexLink"/>
                <w:rtl w:val="true"/>
              </w:rPr>
              <w:t xml:space="preserve">. </w:t>
            </w:r>
            <w:r>
              <w:rPr>
                <w:rStyle w:val="IndexLink"/>
                <w:rtl w:val="true"/>
              </w:rPr>
              <w:t>امنيت</w:t>
            </w:r>
            <w:r>
              <w:rPr>
                <w:rStyle w:val="IndexLink"/>
                <w:rtl w:val="true"/>
              </w:rPr>
              <w:tab/>
            </w:r>
            <w:r>
              <w:rPr>
                <w:rStyle w:val="IndexLink"/>
              </w:rPr>
              <w:t>168</w:t>
            </w:r>
          </w:hyperlink>
        </w:p>
        <w:p>
          <w:pPr>
            <w:pStyle w:val="Contents4"/>
            <w:tabs>
              <w:tab w:val="clear" w:pos="8176"/>
              <w:tab w:val="right" w:pos="9026" w:leader="dot"/>
            </w:tabs>
            <w:rPr/>
          </w:pPr>
          <w:hyperlink w:anchor="__RefHeading___Toc2367320_1051229030">
            <w:r>
              <w:rPr>
                <w:webHidden/>
                <w:rStyle w:val="IndexLink"/>
              </w:rPr>
              <w:t>6</w:t>
            </w:r>
            <w:r>
              <w:rPr>
                <w:rStyle w:val="IndexLink"/>
                <w:rtl w:val="true"/>
              </w:rPr>
              <w:t xml:space="preserve">. </w:t>
            </w:r>
            <w:r>
              <w:rPr>
                <w:rStyle w:val="IndexLink"/>
                <w:rtl w:val="true"/>
              </w:rPr>
              <w:t>شكوفايى علم و دانش</w:t>
            </w:r>
            <w:r>
              <w:rPr>
                <w:rStyle w:val="IndexLink"/>
                <w:rtl w:val="true"/>
              </w:rPr>
              <w:tab/>
            </w:r>
            <w:r>
              <w:rPr>
                <w:rStyle w:val="IndexLink"/>
              </w:rPr>
              <w:t>169</w:t>
            </w:r>
          </w:hyperlink>
        </w:p>
        <w:p>
          <w:pPr>
            <w:pStyle w:val="Contents2"/>
            <w:tabs>
              <w:tab w:val="clear" w:pos="8743"/>
              <w:tab w:val="right" w:pos="9026" w:leader="dot"/>
            </w:tabs>
            <w:rPr/>
          </w:pPr>
          <w:hyperlink w:anchor="__RefHeading___Toc2367322_1051229030">
            <w:r>
              <w:rPr>
                <w:webHidden/>
                <w:rStyle w:val="IndexLink"/>
                <w:rtl w:val="true"/>
              </w:rPr>
              <w:t>اديان و مذاهب</w:t>
            </w:r>
            <w:r>
              <w:rPr>
                <w:rStyle w:val="IndexLink"/>
                <w:rtl w:val="true"/>
              </w:rPr>
              <w:tab/>
            </w:r>
            <w:r>
              <w:rPr>
                <w:rStyle w:val="IndexLink"/>
              </w:rPr>
              <w:t>171</w:t>
            </w:r>
          </w:hyperlink>
        </w:p>
        <w:p>
          <w:pPr>
            <w:pStyle w:val="Contents3"/>
            <w:tabs>
              <w:tab w:val="clear" w:pos="8459"/>
              <w:tab w:val="right" w:pos="9026" w:leader="dot"/>
            </w:tabs>
            <w:rPr/>
          </w:pPr>
          <w:hyperlink w:anchor="__RefHeading___Toc2367324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367326_1051229030">
            <w:r>
              <w:rPr>
                <w:webHidden/>
                <w:rStyle w:val="IndexLink"/>
                <w:rtl w:val="true"/>
              </w:rPr>
              <w:t>مذاهب</w:t>
            </w:r>
            <w:r>
              <w:rPr>
                <w:rStyle w:val="IndexLink"/>
                <w:rtl w:val="true"/>
              </w:rPr>
              <w:tab/>
            </w:r>
            <w:r>
              <w:rPr>
                <w:rStyle w:val="IndexLink"/>
              </w:rPr>
              <w:t>173</w:t>
            </w:r>
          </w:hyperlink>
        </w:p>
        <w:p>
          <w:pPr>
            <w:pStyle w:val="Contents3"/>
            <w:tabs>
              <w:tab w:val="clear" w:pos="8459"/>
              <w:tab w:val="right" w:pos="9026" w:leader="dot"/>
            </w:tabs>
            <w:rPr/>
          </w:pPr>
          <w:hyperlink w:anchor="__RefHeading___Toc2367328_1051229030">
            <w:r>
              <w:rPr>
                <w:webHidden/>
                <w:rStyle w:val="IndexLink"/>
                <w:rtl w:val="true"/>
              </w:rPr>
              <w:t>اگر تشيع عبارت است از قبول ولايت، آيا مترادف با تصوف نيست؟</w:t>
            </w:r>
            <w:r>
              <w:rPr>
                <w:rStyle w:val="IndexLink"/>
                <w:rtl w:val="true"/>
              </w:rPr>
              <w:tab/>
            </w:r>
            <w:r>
              <w:rPr>
                <w:rStyle w:val="IndexLink"/>
              </w:rPr>
              <w:t>174</w:t>
            </w:r>
          </w:hyperlink>
        </w:p>
        <w:p>
          <w:pPr>
            <w:pStyle w:val="Contents3"/>
            <w:tabs>
              <w:tab w:val="clear" w:pos="8459"/>
              <w:tab w:val="right" w:pos="9026" w:leader="dot"/>
            </w:tabs>
            <w:rPr/>
          </w:pPr>
          <w:hyperlink w:anchor="__RefHeading___Toc2367330_1051229030">
            <w:r>
              <w:rPr>
                <w:webHidden/>
                <w:rStyle w:val="IndexLink"/>
                <w:rtl w:val="true"/>
              </w:rPr>
              <w:t>تصوف و عرفان چه رابطه اى با هم دارند و چرا بسيارى از بزرگان شيعه را صوفى نمى شمارند؟</w:t>
            </w:r>
            <w:r>
              <w:rPr>
                <w:rStyle w:val="IndexLink"/>
                <w:rtl w:val="true"/>
              </w:rPr>
              <w:tab/>
            </w:r>
            <w:r>
              <w:rPr>
                <w:rStyle w:val="IndexLink"/>
              </w:rPr>
              <w:t>180</w:t>
            </w:r>
          </w:hyperlink>
        </w:p>
        <w:p>
          <w:pPr>
            <w:pStyle w:val="Contents2"/>
            <w:tabs>
              <w:tab w:val="clear" w:pos="8743"/>
              <w:tab w:val="right" w:pos="9026" w:leader="dot"/>
            </w:tabs>
            <w:rPr/>
          </w:pPr>
          <w:hyperlink w:anchor="__RefHeading___Toc2367332_1051229030">
            <w:r>
              <w:rPr>
                <w:webHidden/>
                <w:rStyle w:val="IndexLink"/>
                <w:rtl w:val="true"/>
              </w:rPr>
              <w:t>اينترنت</w:t>
            </w:r>
            <w:r>
              <w:rPr>
                <w:rStyle w:val="IndexLink"/>
                <w:rtl w:val="true"/>
              </w:rPr>
              <w:tab/>
            </w:r>
            <w:r>
              <w:rPr>
                <w:rStyle w:val="IndexLink"/>
              </w:rPr>
              <w:t>185</w:t>
            </w:r>
          </w:hyperlink>
        </w:p>
        <w:p>
          <w:pPr>
            <w:pStyle w:val="Contents3"/>
            <w:tabs>
              <w:tab w:val="clear" w:pos="8459"/>
              <w:tab w:val="right" w:pos="9026" w:leader="dot"/>
            </w:tabs>
            <w:rPr/>
          </w:pPr>
          <w:hyperlink w:anchor="__RefHeading___Toc2367334_105122903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367336_1051229030">
            <w:r>
              <w:rPr>
                <w:webHidden/>
                <w:rStyle w:val="IndexLink"/>
                <w:rtl w:val="true"/>
              </w:rPr>
              <w:t xml:space="preserve">معرفى بخش هاى علمى سايت انديشه قم </w:t>
            </w:r>
            <w:r>
              <w:rPr>
                <w:rStyle w:val="IndexLink"/>
                <w:rtl w:val="true"/>
              </w:rPr>
              <w:t>(</w:t>
            </w:r>
            <w:r>
              <w:rPr>
                <w:rStyle w:val="IndexLink"/>
              </w:rPr>
              <w:t>1</w:t>
            </w:r>
            <w:r>
              <w:rPr>
                <w:rStyle w:val="IndexLink"/>
                <w:rtl w:val="true"/>
              </w:rPr>
              <w:t>)</w:t>
              <w:tab/>
            </w:r>
            <w:r>
              <w:rPr>
                <w:rStyle w:val="IndexLink"/>
              </w:rPr>
              <w:t>187</w:t>
            </w:r>
          </w:hyperlink>
        </w:p>
        <w:p>
          <w:pPr>
            <w:pStyle w:val="Contents4"/>
            <w:tabs>
              <w:tab w:val="clear" w:pos="8176"/>
              <w:tab w:val="right" w:pos="9026" w:leader="dot"/>
            </w:tabs>
            <w:rPr/>
          </w:pPr>
          <w:hyperlink w:anchor="__RefHeading___Toc2367338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367340_1051229030">
            <w:r>
              <w:rPr>
                <w:webHidden/>
                <w:rStyle w:val="IndexLink"/>
                <w:rtl w:val="true"/>
              </w:rPr>
              <w:t>الف</w:t>
            </w:r>
            <w:r>
              <w:rPr>
                <w:rStyle w:val="IndexLink"/>
                <w:rtl w:val="true"/>
              </w:rPr>
              <w:t xml:space="preserve">) </w:t>
            </w:r>
            <w:r>
              <w:rPr>
                <w:rStyle w:val="IndexLink"/>
                <w:rtl w:val="true"/>
              </w:rPr>
              <w:t>گستردگى موضوعات</w:t>
            </w:r>
            <w:r>
              <w:rPr>
                <w:rStyle w:val="IndexLink"/>
                <w:rtl w:val="true"/>
              </w:rPr>
              <w:tab/>
            </w:r>
            <w:r>
              <w:rPr>
                <w:rStyle w:val="IndexLink"/>
              </w:rPr>
              <w:t>187</w:t>
            </w:r>
          </w:hyperlink>
        </w:p>
        <w:p>
          <w:pPr>
            <w:pStyle w:val="Contents4"/>
            <w:tabs>
              <w:tab w:val="clear" w:pos="8176"/>
              <w:tab w:val="right" w:pos="9026" w:leader="dot"/>
            </w:tabs>
            <w:rPr/>
          </w:pPr>
          <w:hyperlink w:anchor="__RefHeading___Toc2367342_1051229030">
            <w:r>
              <w:rPr>
                <w:webHidden/>
                <w:rStyle w:val="IndexLink"/>
                <w:rtl w:val="true"/>
              </w:rPr>
              <w:t>ب</w:t>
            </w:r>
            <w:r>
              <w:rPr>
                <w:rStyle w:val="IndexLink"/>
                <w:rtl w:val="true"/>
              </w:rPr>
              <w:t xml:space="preserve">) </w:t>
            </w:r>
            <w:r>
              <w:rPr>
                <w:rStyle w:val="IndexLink"/>
                <w:rtl w:val="true"/>
              </w:rPr>
              <w:t>جامعيت و گستردگى مباحث هر لينك اصلى</w:t>
            </w:r>
            <w:r>
              <w:rPr>
                <w:rStyle w:val="IndexLink"/>
                <w:rtl w:val="true"/>
              </w:rPr>
              <w:tab/>
            </w:r>
            <w:r>
              <w:rPr>
                <w:rStyle w:val="IndexLink"/>
              </w:rPr>
              <w:t>188</w:t>
            </w:r>
          </w:hyperlink>
        </w:p>
        <w:p>
          <w:pPr>
            <w:pStyle w:val="Contents4"/>
            <w:tabs>
              <w:tab w:val="clear" w:pos="8176"/>
              <w:tab w:val="right" w:pos="9026" w:leader="dot"/>
            </w:tabs>
            <w:rPr/>
          </w:pPr>
          <w:hyperlink w:anchor="__RefHeading___Toc2367344_1051229030">
            <w:r>
              <w:rPr>
                <w:webHidden/>
                <w:rStyle w:val="IndexLink"/>
                <w:rtl w:val="true"/>
              </w:rPr>
              <w:t>ج</w:t>
            </w:r>
            <w:r>
              <w:rPr>
                <w:rStyle w:val="IndexLink"/>
                <w:rtl w:val="true"/>
              </w:rPr>
              <w:t xml:space="preserve">) </w:t>
            </w:r>
            <w:r>
              <w:rPr>
                <w:rStyle w:val="IndexLink"/>
                <w:rtl w:val="true"/>
              </w:rPr>
              <w:t>به روز بودن محتوا</w:t>
            </w:r>
            <w:r>
              <w:rPr>
                <w:rStyle w:val="IndexLink"/>
                <w:rtl w:val="true"/>
              </w:rPr>
              <w:tab/>
            </w:r>
            <w:r>
              <w:rPr>
                <w:rStyle w:val="IndexLink"/>
              </w:rPr>
              <w:t>188</w:t>
            </w:r>
          </w:hyperlink>
        </w:p>
        <w:p>
          <w:pPr>
            <w:pStyle w:val="Contents5"/>
            <w:tabs>
              <w:tab w:val="clear" w:pos="7892"/>
              <w:tab w:val="right" w:pos="9026" w:leader="dot"/>
            </w:tabs>
            <w:rPr/>
          </w:pPr>
          <w:hyperlink w:anchor="__RefHeading___Toc2367346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367348_1051229030">
            <w:r>
              <w:rPr>
                <w:webHidden/>
                <w:rStyle w:val="IndexLink"/>
              </w:rPr>
              <w:t>1</w:t>
            </w:r>
            <w:r>
              <w:rPr>
                <w:rStyle w:val="IndexLink"/>
                <w:rtl w:val="true"/>
              </w:rPr>
              <w:t xml:space="preserve">. </w:t>
            </w:r>
            <w:r>
              <w:rPr>
                <w:rStyle w:val="IndexLink"/>
                <w:rtl w:val="true"/>
              </w:rPr>
              <w:t>عقايد اسلامى</w:t>
            </w:r>
            <w:r>
              <w:rPr>
                <w:rStyle w:val="IndexLink"/>
                <w:rtl w:val="true"/>
              </w:rPr>
              <w:tab/>
            </w:r>
            <w:r>
              <w:rPr>
                <w:rStyle w:val="IndexLink"/>
              </w:rPr>
              <w:t>188</w:t>
            </w:r>
          </w:hyperlink>
        </w:p>
        <w:p>
          <w:pPr>
            <w:pStyle w:val="Contents5"/>
            <w:tabs>
              <w:tab w:val="clear" w:pos="7892"/>
              <w:tab w:val="right" w:pos="9026" w:leader="dot"/>
            </w:tabs>
            <w:rPr/>
          </w:pPr>
          <w:hyperlink w:anchor="__RefHeading___Toc2367350_1051229030">
            <w:r>
              <w:rPr>
                <w:webHidden/>
                <w:rStyle w:val="IndexLink"/>
              </w:rPr>
              <w:t>2</w:t>
            </w:r>
            <w:r>
              <w:rPr>
                <w:rStyle w:val="IndexLink"/>
                <w:rtl w:val="true"/>
              </w:rPr>
              <w:t xml:space="preserve">. </w:t>
            </w:r>
            <w:r>
              <w:rPr>
                <w:rStyle w:val="IndexLink"/>
                <w:rtl w:val="true"/>
              </w:rPr>
              <w:t>كلام جديد</w:t>
            </w:r>
            <w:r>
              <w:rPr>
                <w:rStyle w:val="IndexLink"/>
                <w:rtl w:val="true"/>
              </w:rPr>
              <w:tab/>
            </w:r>
            <w:r>
              <w:rPr>
                <w:rStyle w:val="IndexLink"/>
              </w:rPr>
              <w:t>189</w:t>
            </w:r>
          </w:hyperlink>
        </w:p>
        <w:p>
          <w:pPr>
            <w:pStyle w:val="Contents5"/>
            <w:tabs>
              <w:tab w:val="clear" w:pos="7892"/>
              <w:tab w:val="right" w:pos="9026" w:leader="dot"/>
            </w:tabs>
            <w:rPr/>
          </w:pPr>
          <w:hyperlink w:anchor="__RefHeading___Toc2367352_1051229030">
            <w:r>
              <w:rPr>
                <w:webHidden/>
                <w:rStyle w:val="IndexLink"/>
              </w:rPr>
              <w:t>3</w:t>
            </w:r>
            <w:r>
              <w:rPr>
                <w:rStyle w:val="IndexLink"/>
                <w:rtl w:val="true"/>
              </w:rPr>
              <w:t xml:space="preserve">. </w:t>
            </w:r>
            <w:r>
              <w:rPr>
                <w:rStyle w:val="IndexLink"/>
                <w:rtl w:val="true"/>
              </w:rPr>
              <w:t>مناظرات علمى</w:t>
            </w:r>
            <w:r>
              <w:rPr>
                <w:rStyle w:val="IndexLink"/>
                <w:rtl w:val="true"/>
              </w:rPr>
              <w:tab/>
            </w:r>
            <w:r>
              <w:rPr>
                <w:rStyle w:val="IndexLink"/>
              </w:rPr>
              <w:t>190</w:t>
            </w:r>
          </w:hyperlink>
        </w:p>
        <w:p>
          <w:pPr>
            <w:pStyle w:val="Contents5"/>
            <w:tabs>
              <w:tab w:val="clear" w:pos="7892"/>
              <w:tab w:val="right" w:pos="9026" w:leader="dot"/>
            </w:tabs>
            <w:rPr/>
          </w:pPr>
          <w:hyperlink w:anchor="__RefHeading___Toc2367354_1051229030">
            <w:r>
              <w:rPr>
                <w:webHidden/>
                <w:rStyle w:val="IndexLink"/>
              </w:rPr>
              <w:t>4</w:t>
            </w:r>
            <w:r>
              <w:rPr>
                <w:rStyle w:val="IndexLink"/>
                <w:rtl w:val="true"/>
              </w:rPr>
              <w:t xml:space="preserve">. </w:t>
            </w:r>
            <w:r>
              <w:rPr>
                <w:rStyle w:val="IndexLink"/>
                <w:rtl w:val="true"/>
              </w:rPr>
              <w:t>فضايل اخلاقى</w:t>
            </w:r>
            <w:r>
              <w:rPr>
                <w:rStyle w:val="IndexLink"/>
                <w:rtl w:val="true"/>
              </w:rPr>
              <w:tab/>
            </w:r>
            <w:r>
              <w:rPr>
                <w:rStyle w:val="IndexLink"/>
              </w:rPr>
              <w:t>190</w:t>
            </w:r>
          </w:hyperlink>
        </w:p>
        <w:p>
          <w:pPr>
            <w:pStyle w:val="Contents5"/>
            <w:tabs>
              <w:tab w:val="clear" w:pos="7892"/>
              <w:tab w:val="right" w:pos="9026" w:leader="dot"/>
            </w:tabs>
            <w:rPr/>
          </w:pPr>
          <w:hyperlink w:anchor="__RefHeading___Toc2367356_1051229030">
            <w:r>
              <w:rPr>
                <w:webHidden/>
                <w:rStyle w:val="IndexLink"/>
              </w:rPr>
              <w:t>5</w:t>
            </w:r>
            <w:r>
              <w:rPr>
                <w:rStyle w:val="IndexLink"/>
                <w:rtl w:val="true"/>
              </w:rPr>
              <w:t xml:space="preserve">. </w:t>
            </w:r>
            <w:r>
              <w:rPr>
                <w:rStyle w:val="IndexLink"/>
                <w:rtl w:val="true"/>
              </w:rPr>
              <w:t>رذايل اخلاقى</w:t>
            </w:r>
            <w:r>
              <w:rPr>
                <w:rStyle w:val="IndexLink"/>
                <w:rtl w:val="true"/>
              </w:rPr>
              <w:tab/>
            </w:r>
            <w:r>
              <w:rPr>
                <w:rStyle w:val="IndexLink"/>
              </w:rPr>
              <w:t>191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3_94768"/>
      <w:bookmarkStart w:id="1" w:name="pg10693_94768"/>
      <w:bookmarkEnd w:id="1"/>
    </w:p>
    <w:p>
      <w:pPr>
        <w:pStyle w:val="Heading2"/>
        <w:numPr>
          <w:ilvl w:val="1"/>
          <w:numId w:val="1"/>
        </w:numPr>
        <w:rPr/>
      </w:pPr>
      <w:bookmarkStart w:id="2" w:name="pg10693_94768"/>
      <w:bookmarkStart w:id="3" w:name="__RefHeading___Toc236707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پژوهشی پرسش ها و پاسخ های دینی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صباح، پاسخگوى پرسش هاى دينى</w:t>
      </w:r>
    </w:p>
    <w:p>
      <w:pPr>
        <w:pStyle w:val="BookText"/>
        <w:rPr/>
      </w:pPr>
      <w:r>
        <w:rPr>
          <w:rFonts w:ascii="Amiri" w:hAnsi="Amiri" w:eastAsia="Amiri" w:cs="Amiri"/>
          <w:color w:val="111111"/>
          <w:sz w:val="28"/>
          <w:sz w:val="28"/>
          <w:szCs w:val="28"/>
          <w:rtl w:val="true"/>
          <w:lang w:bidi="ar-SA"/>
        </w:rPr>
        <w:t>كارى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مطالعات و پاسخ گویی به شبهات حوزه های علميه</w:t>
      </w:r>
    </w:p>
    <w:p>
      <w:pPr>
        <w:pStyle w:val="BookText"/>
        <w:rPr/>
      </w:pPr>
      <w:r>
        <w:rPr>
          <w:rFonts w:ascii="IRNazanin" w:hAnsi="IRNazanin" w:eastAsia="IRNazanin"/>
          <w:color w:val="111111"/>
          <w:sz w:val="28"/>
          <w:sz w:val="28"/>
          <w:szCs w:val="28"/>
          <w:rtl w:val="true"/>
          <w:lang w:bidi="fa-IR"/>
        </w:rPr>
        <w:t xml:space="preserve">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Amiri" w:hAnsi="Amiri" w:eastAsia="Amiri" w:cs="Amiri"/>
          <w:color w:val="111111"/>
          <w:sz w:val="28"/>
          <w:sz w:val="28"/>
          <w:szCs w:val="28"/>
          <w:rtl w:val="true"/>
          <w:lang w:bidi="ar-SA"/>
        </w:rPr>
        <w:t>مدير 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Amiri" w:hAnsi="Amiri" w:eastAsia="Amiri" w:cs="Amiri"/>
          <w:color w:val="111111"/>
          <w:sz w:val="28"/>
          <w:sz w:val="28"/>
          <w:szCs w:val="28"/>
          <w:rtl w:val="true"/>
          <w:lang w:bidi="ar-SA"/>
        </w:rPr>
        <w:t>سردبير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الکترونيک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howzeh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7076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93_94771"/>
      <w:bookmarkStart w:id="8" w:name="pg10693_94771"/>
      <w:bookmarkEnd w:id="8"/>
    </w:p>
    <w:p>
      <w:pPr>
        <w:pStyle w:val="Heading2"/>
        <w:numPr>
          <w:ilvl w:val="1"/>
          <w:numId w:val="1"/>
        </w:numPr>
        <w:rPr/>
      </w:pPr>
      <w:bookmarkStart w:id="9" w:name="pg10693_94771"/>
      <w:bookmarkStart w:id="10" w:name="__RefHeading___Toc2367078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سخن سردبير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عدل الهى در قيامت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خلود و جاودانگى برخى گنهكاران در جهنم چگونه با عدالت خداوند سازگارى دارد؟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آيا فقط عمل مسلمانان مورد قبول است و فقط آنان به بهشت مى روند و اعمال يهوديان و مسيحيان مورد قبول نيست و آنان به بهشت نمى روند؟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دين پژوهى</w:t>
      </w:r>
    </w:p>
    <w:p>
      <w:pPr>
        <w:pStyle w:val="BookText"/>
        <w:rPr/>
      </w:pPr>
      <w:r>
        <w:rPr>
          <w:rFonts w:ascii="Amiri" w:hAnsi="Amiri" w:eastAsia="Amiri" w:cs="Amiri"/>
          <w:color w:val="111111"/>
          <w:sz w:val="28"/>
          <w:sz w:val="28"/>
          <w:szCs w:val="28"/>
          <w:rtl w:val="true"/>
          <w:lang w:bidi="ar-SA"/>
        </w:rPr>
        <w:t>جامعيت دين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مقصود از جامعيت دين چيست؟ نظريه هاى مطرح در اين باره كدام اند؟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راه هاى اثبات جامعيت دين خاتم كدام اند؟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چرا دين كامل و جامعى كه ما آن را اسلام مى ناميم از همان اول بر انسان عرضه نشد؟ آيا انسان هاى اوليه حق به كمال رسيدن و سعادتمند شدن را نداشتند؟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مصلحت در فقه شيعه …</w:t>
      </w:r>
      <w:r>
        <w:rPr>
          <w:rFonts w:eastAsia="Amiri" w:cs="Amiri" w:ascii="Amiri" w:hAnsi="Amiri"/>
          <w:color w:val="111111"/>
          <w:sz w:val="28"/>
          <w:szCs w:val="28"/>
          <w:lang w:bidi="ar-SA"/>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در فقه شيعه چه تفاوتى با مصالح مرسله ى در فقه عامّه دارد؟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ولى فقيه مى تواند در احكام شرعى دخالت و آنها را به عنوان مصلحت نظام تعطيل كند؟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Amiri" w:hAnsi="Amiri" w:eastAsia="Amiri" w:cs="Amiri"/>
          <w:color w:val="111111"/>
          <w:sz w:val="28"/>
          <w:sz w:val="28"/>
          <w:szCs w:val="28"/>
          <w:rtl w:val="true"/>
          <w:lang w:bidi="ar-SA"/>
        </w:rPr>
        <w:t>ولايت فقيه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ساده ترين و متقن ترين دليل بر اثبات ولايت فقيه چيست؟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ولى فقيه چه وظايف و مسئوليت هايى دارد؟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Amiri" w:hAnsi="Amiri" w:eastAsia="Amiri" w:cs="Amiri"/>
          <w:color w:val="111111"/>
          <w:sz w:val="28"/>
          <w:sz w:val="28"/>
          <w:szCs w:val="28"/>
          <w:rtl w:val="true"/>
          <w:lang w:bidi="ar-SA"/>
        </w:rPr>
        <w:t>خدمات علماى شيعه به مذهب تشيع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خدمات علمى و فرهنگى خواجه نصيرالدين طوسى به تشيع چه بوده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نقش فيض كاشانى در گسترش فرهنگ تشيع چه بود؟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تاريخ معاصر</w:t>
      </w:r>
    </w:p>
    <w:p>
      <w:pPr>
        <w:pStyle w:val="BookText"/>
        <w:rPr/>
      </w:pPr>
      <w:r>
        <w:rPr>
          <w:rFonts w:ascii="Amiri" w:hAnsi="Amiri" w:eastAsia="Amiri" w:cs="Amiri"/>
          <w:color w:val="111111"/>
          <w:sz w:val="28"/>
          <w:sz w:val="28"/>
          <w:szCs w:val="28"/>
          <w:rtl w:val="true"/>
          <w:lang w:bidi="ar-SA"/>
        </w:rPr>
        <w:t>سيد جمال الدين اسدآبادى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انديشه ى سياسى سيد جمال الدين اسدآبادى چه بود؟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نقش سيد جمال در مبارزه با استبداد حاكم بر ايران چگونه بود؟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سيد جمال الدين اسدآبادى در تحريم تنباكو چه نقشى داشت؟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مشاوره و تربيت</w:t>
      </w:r>
    </w:p>
    <w:p>
      <w:pPr>
        <w:pStyle w:val="BookText"/>
        <w:rPr/>
      </w:pPr>
      <w:r>
        <w:rPr>
          <w:rFonts w:ascii="IRNazanin" w:hAnsi="IRNazanin" w:eastAsia="IRNazanin"/>
          <w:color w:val="111111"/>
          <w:sz w:val="28"/>
          <w:sz w:val="28"/>
          <w:szCs w:val="28"/>
          <w:rtl w:val="true"/>
          <w:lang w:bidi="fa-IR"/>
        </w:rPr>
        <w:t xml:space="preserve">مدگرايى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گرايش به مدل هاى بيگانه و نوگرايى منفى چه پيامدهايى دارد؟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ارائه ى مدل لباس هاى داخلى و ملى، چه مؤلفه ها و ويژگى هايى را بايد در نظر گرفت؟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آيا مى توان وحى قرآنى را تجربه ى دينى و وحيانى ناميد؟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آيا مى توان ادعا كرد كه تأثيرپذيرى قرآن از فرهنگ ها و دانش هاى زمان نزول و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قبول برخى عرفيات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نشانه هاى تجربه ى وحيانى و دينى است؟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IRNazanin" w:hAnsi="IRNazanin" w:eastAsia="IRNazanin"/>
          <w:color w:val="111111"/>
          <w:sz w:val="28"/>
          <w:sz w:val="28"/>
          <w:szCs w:val="28"/>
          <w:rtl w:val="true"/>
          <w:lang w:bidi="fa-IR"/>
        </w:rPr>
        <w:t>آرمان شهر مهدوى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آيا فيلسوفان در فلسفه ى سياسى خود، مدينه ى فاضله اى همانند مدينه ى فاضله ى عصر ظهور را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فاضله ى عصر ظهور چه ويژگى هايى دارد؟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اديان و مذاهب</w:t>
      </w:r>
    </w:p>
    <w:p>
      <w:pPr>
        <w:pStyle w:val="BookText"/>
        <w:rPr/>
      </w:pPr>
      <w:r>
        <w:rPr>
          <w:rFonts w:ascii="IRNazanin" w:hAnsi="IRNazanin" w:eastAsia="IRNazanin"/>
          <w:color w:val="111111"/>
          <w:sz w:val="28"/>
          <w:sz w:val="28"/>
          <w:szCs w:val="28"/>
          <w:rtl w:val="true"/>
          <w:lang w:bidi="fa-IR"/>
        </w:rPr>
        <w:t>تصوف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اگر تشيع عبارت است از قبول ولايت، آيا مترادف با تصوف نيست؟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تصوف و عرفان چه رابطه اى با هم دارند و چرا بسيارى از بزرگان شيعه را صوفى نمى شمارند؟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اينترنت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معرفى بخش هاى علمى سايت انديشه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96_94775"/>
      <w:bookmarkStart w:id="13" w:name="pg10696_94775"/>
      <w:bookmarkEnd w:id="13"/>
    </w:p>
    <w:p>
      <w:pPr>
        <w:pStyle w:val="Heading2"/>
        <w:numPr>
          <w:ilvl w:val="1"/>
          <w:numId w:val="1"/>
        </w:numPr>
        <w:rPr/>
      </w:pPr>
      <w:bookmarkStart w:id="14" w:name="pg10696_94775"/>
      <w:bookmarkStart w:id="15" w:name="__RefHeading___Toc2367080_1051229030"/>
      <w:bookmarkStart w:id="16" w:name="_Toc4"/>
      <w:bookmarkEnd w:id="14"/>
      <w:bookmarkEnd w:id="15"/>
      <w:r>
        <w:rPr>
          <w:rtl w:val="true"/>
        </w:rPr>
        <w:t>سخن سردبير</w:t>
      </w:r>
      <w:bookmarkEnd w:id="16"/>
    </w:p>
    <w:p>
      <w:pPr>
        <w:pStyle w:val="BookText"/>
        <w:rPr/>
      </w:pPr>
      <w:r>
        <w:rPr>
          <w:rFonts w:ascii="IRNazanin" w:hAnsi="IRNazanin" w:eastAsia="IRNazanin"/>
          <w:color w:val="111111"/>
          <w:sz w:val="28"/>
          <w:sz w:val="28"/>
          <w:szCs w:val="28"/>
          <w:rtl w:val="true"/>
          <w:lang w:bidi="fa-IR"/>
        </w:rPr>
        <w:t>حيات اخروى يا معاد، از آموزه هاى مهم و از اصول دين اسلام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آخرت و فرجام شناسى در ساير اديان نيز وجود دارد و همواره مسائل آن مورد تحقيق و بررسى فلاسفه، متكلمان و ساير انديشمندان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مسئله ى خلود و جاودانگى و تبيين رابطه ى عمل و جزا به دلايل سازگارى خلود و جاودانگى برخى گنهكاران با عدالت خدا و مسئله ى جزاى نيك عمل غير مسلمانان در آخرت است كه در بخش كلام به آن 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دين پژوهى نيز به موضوع جامعيت دين و راه هاى اثبات آن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حقوق دو پرسش در زمينه ى مصلحت در تشيع مطرح شده كه در پاسخ پرسش اول به تفاوت مصلحت در فقه شيعه و مصالح مرسله و اين كه مصالح مرسله از منابع استنباط احكام شريعت است، ولى در فقه شيعه، مصلحت از منابع مستقل استنباط شرعى نيست و در پاسخ پرسش دوم به چگونگى دخالت ولى فقيه در احكام شرعى بر اساس مصلحت نظام اشاره شده است و در بخش سياست، وظايف و دلايل اثبات ولايت فقيه، با استفاده از قانون اساسى و دليل عقلى، ارائه گرديده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تاريخ اسلام خدمات علمى و فرهنگى خواجه نصيرالدين طوسى و نقش فيض كاشانى در گسترش فرهنگ تشيع مانند تربيت شاگردان، تأليف و تحقيق، مبارزه با </w:t>
      </w:r>
    </w:p>
    <w:p>
      <w:pPr>
        <w:pStyle w:val="BookText"/>
        <w:rPr/>
      </w:pPr>
      <w:r>
        <w:rPr>
          <w:rFonts w:ascii="IRNazanin" w:hAnsi="IRNazanin" w:eastAsia="IRNazanin"/>
          <w:color w:val="111111"/>
          <w:sz w:val="28"/>
          <w:sz w:val="28"/>
          <w:szCs w:val="28"/>
          <w:rtl w:val="true"/>
          <w:lang w:bidi="fa-IR"/>
        </w:rPr>
        <w:t>انحرافات و بدعت ها، رشد و پيشرفت در علوم تجربى و غير تجربى و تبليغ و برگزارى آيين هاى مذهبى در جامعه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تاريخ معاصر نيز انديشه ى سياسى سيد جمال الدين اسدآبادى و نقش وى در مبارزه با استبداد حاكم بر ايران و تحريم تنباكو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گرايش به مدل هاى بيگانه و نوگرايى منفى و مؤلفه ها و ويژگى هاى مدل لباس هاى داخلى و ملى در بخش تربيت و مشاوره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قرآن، مسئله ى نسبت وحى با تجربه ى دينى و تأثيرپذيرى قرآن از فرهنگ زمانه و اثبات تفاوت هاى اساسى وحى و تجربه 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وحى از جانب خدا نازل مى شود، ولى تجربه ى دينى از شخصيت تجربه گر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هاى مدينه ى فاضله ى عصر ظهور با مدينه ى فاضله ى فيلسوفانى همچون فارابى، از جمله اين كه در مدينه ى فاضله ى فيلسوفان، دغدغه ى اصلى تحقق سعادت بشر بوده، ولى در مدينه ى فاضله ى عصر ظهور، علاوه بر خوشبختى دنيوى، به سعادت اخروى هم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مهدويت تبيين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ى تشيع و تصوّف و نسبت عرفان و تصوف و عدم سنخيت ولايت مطرح در نزد صوفيه، با ولايت مورد اعتقاد شيعه و تباين تصوف و تشيع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اديان و مذاهب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بخش هايى از سايت انديشه ى قم معرفى شده و ويژگى هاى مهم موضوعات اين پايگاه، مانند جامعيت و گستردگى مباحث هر لينك اصلى و به روز بودن محتوا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گرديده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اين شماره با اشراف حضرت آيت الله معرفت تدوين گرديده است</w:t>
      </w:r>
      <w:r>
        <w:rPr>
          <w:rFonts w:eastAsia="IRNazanin" w:cs="IRNazanin"/>
          <w:color w:val="111111"/>
          <w:sz w:val="28"/>
          <w:szCs w:val="28"/>
          <w:rtl w:val="true"/>
          <w:lang w:bidi="fa-IR"/>
        </w:rPr>
        <w:t xml:space="preserve">. </w:t>
      </w:r>
      <w:bookmarkStart w:id="17" w:name="pg10696_94777"/>
    </w:p>
    <w:p>
      <w:pPr>
        <w:pStyle w:val="Heading2"/>
        <w:numPr>
          <w:ilvl w:val="1"/>
          <w:numId w:val="1"/>
        </w:numPr>
        <w:rPr/>
      </w:pPr>
      <w:bookmarkStart w:id="18" w:name="__RefHeading___Toc2367082_1051229030"/>
      <w:bookmarkStart w:id="19" w:name="_Toc5"/>
      <w:bookmarkEnd w:id="17"/>
      <w:bookmarkEnd w:id="18"/>
      <w:r>
        <w:rPr>
          <w:rtl w:val="true"/>
        </w:rPr>
        <w:t>كلام</w:t>
      </w:r>
      <w:bookmarkEnd w:id="19"/>
    </w:p>
    <w:p>
      <w:pPr>
        <w:pStyle w:val="Heading3"/>
        <w:numPr>
          <w:ilvl w:val="2"/>
          <w:numId w:val="1"/>
        </w:numPr>
        <w:rPr/>
      </w:pPr>
      <w:bookmarkStart w:id="20" w:name="__RefHeading___Toc2367084_1051229030"/>
      <w:bookmarkStart w:id="21" w:name="_Toc6"/>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الهى در قيامت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خلود و جاودانگى برخى گنهكاران در جهنم چگونه با عدالت خداوند سازگارى دارد؟</w:t>
      </w:r>
    </w:p>
    <w:p>
      <w:pPr>
        <w:pStyle w:val="BookText"/>
        <w:rPr/>
      </w:pPr>
      <w:r>
        <w:rPr>
          <w:rFonts w:ascii="IRNazanin" w:hAnsi="IRNazanin" w:eastAsia="IRNazanin"/>
          <w:color w:val="111111"/>
          <w:sz w:val="28"/>
          <w:sz w:val="28"/>
          <w:szCs w:val="28"/>
          <w:rtl w:val="true"/>
          <w:lang w:bidi="fa-IR"/>
        </w:rPr>
        <w:t>على مخدوم</w:t>
      </w:r>
    </w:p>
    <w:p>
      <w:pPr>
        <w:pStyle w:val="BookText"/>
        <w:rPr/>
      </w:pPr>
      <w:r>
        <w:rPr>
          <w:rFonts w:ascii="Amiri" w:hAnsi="Amiri" w:eastAsia="Amiri" w:cs="Amiri"/>
          <w:color w:val="111111"/>
          <w:sz w:val="28"/>
          <w:sz w:val="28"/>
          <w:szCs w:val="28"/>
          <w:rtl w:val="true"/>
          <w:lang w:bidi="ar-SA"/>
        </w:rPr>
        <w:t>آيا فقط عمل مسلمانان مورد قبول است و فقط آنان به بهشت مى روند و اعمال يهوديان و مسيحيان مورد قبول نيست و آنان به بهشت نمى روند؟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هبت الله صدر السادات </w:t>
      </w:r>
      <w:bookmarkStart w:id="22" w:name="pg10696_94779"/>
    </w:p>
    <w:p>
      <w:pPr>
        <w:pStyle w:val="BookText"/>
        <w:rPr/>
      </w:pPr>
      <w:bookmarkEnd w:id="22"/>
      <w:r>
        <w:rPr>
          <w:rFonts w:ascii="Amiri" w:hAnsi="Amiri" w:eastAsia="Amiri" w:cs="Amiri"/>
          <w:color w:val="111111"/>
          <w:sz w:val="28"/>
          <w:sz w:val="28"/>
          <w:szCs w:val="28"/>
          <w:rtl w:val="true"/>
          <w:lang w:bidi="ar-SA"/>
        </w:rPr>
        <w:t>كلام</w:t>
      </w:r>
    </w:p>
    <w:p>
      <w:pPr>
        <w:pStyle w:val="Heading3"/>
        <w:numPr>
          <w:ilvl w:val="2"/>
          <w:numId w:val="1"/>
        </w:numPr>
        <w:rPr/>
      </w:pPr>
      <w:bookmarkStart w:id="23" w:name="__RefHeading___Toc2367086_1051229030"/>
      <w:bookmarkStart w:id="24" w:name="_Toc7"/>
      <w:bookmarkEnd w:id="23"/>
      <w:r>
        <w:rPr>
          <w:rtl w:val="true"/>
        </w:rPr>
        <w:t>عدل الهى در قيامت</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پرسش هاى بسيارى درباره ى عدل الهى مطرح بوده است، به ويژه در مورد عدالت خداوند در آخرت كه در اين بخش به چند پرسش در اين باره پاسخ مى گوييم</w:t>
      </w:r>
      <w:r>
        <w:rPr>
          <w:rFonts w:eastAsia="IRNazanin" w:cs="IRNazanin"/>
          <w:color w:val="111111"/>
          <w:sz w:val="28"/>
          <w:szCs w:val="28"/>
          <w:rtl w:val="true"/>
          <w:lang w:bidi="fa-IR"/>
        </w:rPr>
        <w:t xml:space="preserve">. </w:t>
      </w:r>
      <w:bookmarkStart w:id="25" w:name="pg10696_94780"/>
    </w:p>
    <w:p>
      <w:pPr>
        <w:pStyle w:val="Heading3"/>
        <w:numPr>
          <w:ilvl w:val="2"/>
          <w:numId w:val="1"/>
        </w:numPr>
        <w:rPr/>
      </w:pPr>
      <w:bookmarkStart w:id="26" w:name="__RefHeading___Toc2367088_1051229030"/>
      <w:bookmarkStart w:id="27" w:name="_Toc8"/>
      <w:bookmarkEnd w:id="25"/>
      <w:bookmarkEnd w:id="26"/>
      <w:r>
        <w:rPr>
          <w:rtl w:val="true"/>
        </w:rPr>
        <w:t>خلود و جاودانگى برخى گنهكاران در جهنم چگونه با عدالت خداوند سازگارى دارد؟</w:t>
      </w:r>
      <w:bookmarkEnd w:id="27"/>
    </w:p>
    <w:p>
      <w:pPr>
        <w:pStyle w:val="BookText"/>
        <w:rPr/>
      </w:pPr>
      <w:r>
        <w:rPr>
          <w:rFonts w:ascii="IRNazanin" w:hAnsi="IRNazanin" w:eastAsia="IRNazanin"/>
          <w:color w:val="111111"/>
          <w:sz w:val="28"/>
          <w:sz w:val="28"/>
          <w:szCs w:val="28"/>
          <w:rtl w:val="true"/>
          <w:lang w:bidi="fa-IR"/>
        </w:rPr>
        <w:t>على مخدوم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ى جاودانگى عذاب برخى دوزخيان از ديرباز مورد مناقشه، جدال، شبهه و اشكال هاى فراوان قرار گرفته و انديشمندان رشته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كلام، حديث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اسلامى ديدگاه هاى متنوع و گاه متعارضى در اين باره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متكلمان برآن اند كه معناى خلود در آيات كريمه ى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مدت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معانى خلود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برخى روايات بر خروج گروهى از دوزخ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متكلمان و مفسران اين تأويل را صحيح ندانسته اند و معتقدند همان گونه كه واژه 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مربوط به پاداش بهشتيان</w:t>
      </w:r>
      <w:r>
        <w:rPr>
          <w:rStyle w:val="FootnoteAnchor"/>
          <w:rtl w:val="true"/>
        </w:rPr>
        <w:footnoteReference w:id="2"/>
      </w:r>
      <w:r>
        <w:rPr>
          <w:rFonts w:ascii="IRNazanin" w:hAnsi="IRNazanin" w:eastAsia="IRNazanin"/>
          <w:color w:val="111111"/>
          <w:sz w:val="28"/>
          <w:sz w:val="28"/>
          <w:szCs w:val="28"/>
          <w:rtl w:val="true"/>
          <w:lang w:bidi="fa-IR"/>
        </w:rPr>
        <w:t>دلالت بر جاودانگى پاداش دارد نه طولانى مدت بودن آن، در مورد عذاب جهنميان</w:t>
      </w:r>
      <w:r>
        <w:rPr>
          <w:rStyle w:val="FootnoteAnchor"/>
          <w:rtl w:val="true"/>
        </w:rPr>
        <w:footnoteReference w:id="3"/>
      </w:r>
      <w:r>
        <w:rPr>
          <w:rFonts w:ascii="Amiri" w:hAnsi="Amiri" w:eastAsia="Amiri" w:cs="Amiri"/>
          <w:color w:val="111111"/>
          <w:sz w:val="28"/>
          <w:sz w:val="28"/>
          <w:szCs w:val="28"/>
          <w:rtl w:val="true"/>
          <w:lang w:bidi="ar-SA"/>
        </w:rPr>
        <w:t>نيز به همين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توصيف فوق و با توجه به اين كه به اقتضاى عدالت، كيفر بايد به اندازه ى جرم باشد، چنان كه خداوند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هر بدى، بدى اى 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جزايى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زيادتر از جرم، پس عذاب جاودان چه معنايى دارد؟</w:t>
      </w:r>
    </w:p>
    <w:p>
      <w:pPr>
        <w:pStyle w:val="BookText"/>
        <w:rPr/>
      </w:pPr>
      <w:r>
        <w:rPr>
          <w:rFonts w:ascii="IRNazanin" w:hAnsi="IRNazanin" w:eastAsia="IRNazanin"/>
          <w:color w:val="111111"/>
          <w:sz w:val="28"/>
          <w:sz w:val="28"/>
          <w:szCs w:val="28"/>
          <w:rtl w:val="true"/>
          <w:lang w:bidi="fa-IR"/>
        </w:rPr>
        <w:t>ابتدا حقيقت معصيت و عذاب و جهنم را بررسى مى كنيم و سپس درباره ى جاودانگى عذاب براى يك معصيت و مقايسه ى جزا و جرم به پاسخ اين پرسش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گناه و معصيت در واقع امرى تكوينى است، نه قراردادى و حقيقتاً روح</w:t>
      </w:r>
    </w:p>
    <w:p>
      <w:pPr>
        <w:pStyle w:val="BookText"/>
        <w:rPr/>
      </w:pPr>
      <w:r>
        <w:rPr>
          <w:rFonts w:ascii="IRNazanin" w:hAnsi="IRNazanin" w:eastAsia="IRNazanin"/>
          <w:color w:val="111111"/>
          <w:sz w:val="28"/>
          <w:sz w:val="28"/>
          <w:szCs w:val="28"/>
          <w:rtl w:val="true"/>
          <w:lang w:bidi="fa-IR"/>
        </w:rPr>
        <w:t>گنهكار با ارتكاب آن تيره مى شود و همان تيرگى و فساد روح است كه از آن به عذاب و دوزخ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دينى اسلام از اين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كه دلايل عقلى و نقلى فراوان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چند قرآن خود تعبير به جزا دارد، در موارد متعدد تصريح مى كند كه جزاى شما همان عمل شماست كه به خودتان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عملكرد خود را در آن جا حاضر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سبحانى در تفسير منشور جاويد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اعمال هر انسانى عين اعمال خودش خواهد بود و در اين جمله ذره اى مجازگويى نيست كه عين عمل انسان را به خود انسان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در اصطلاح به تجسم اعمال تعبير مى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قرآن مجيد بر اساس يك اصل عقلانى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هر جانى در گرو دست آورد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مزرع سبز فلك ديدم و داس و مه نو</w:t>
      </w:r>
    </w:p>
    <w:p>
      <w:pPr>
        <w:pStyle w:val="BookText"/>
        <w:rPr/>
      </w:pPr>
      <w:r>
        <w:rPr>
          <w:rFonts w:ascii="IRNazanin" w:hAnsi="IRNazanin" w:eastAsia="IRNazanin"/>
          <w:color w:val="111111"/>
          <w:sz w:val="28"/>
          <w:sz w:val="28"/>
          <w:szCs w:val="28"/>
          <w:rtl w:val="true"/>
          <w:lang w:bidi="fa-IR"/>
        </w:rPr>
        <w:t>يادم از كشته ى خويش آمد و هنگام درو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خار بكارد در قيامت، از جانب خداوند، صورت خار درو مى كند و اگر نهال ميوه ى شيرين بكارد ميوه ى شيرين برداشت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مبدأ، علت قابلى و زمينه است، نه صرفاً علت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اندازه ى استعداد خويش از خداوند فيض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عقايد، اخلاق و اعمال خود علت قابلى و زمينه ساز و مستعد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باطن </w:t>
      </w:r>
    </w:p>
    <w:p>
      <w:pPr>
        <w:pStyle w:val="BookText"/>
        <w:rPr/>
      </w:pPr>
      <w:r>
        <w:rPr>
          <w:rFonts w:ascii="IRNazanin" w:hAnsi="IRNazanin" w:eastAsia="IRNazanin"/>
          <w:color w:val="111111"/>
          <w:sz w:val="28"/>
          <w:sz w:val="28"/>
          <w:szCs w:val="28"/>
          <w:rtl w:val="true"/>
          <w:lang w:bidi="fa-IR"/>
        </w:rPr>
        <w:t>عملى، مثل خوردن مال يتيم، آتش است، آنان كه مال يتيم مى خورند، در حقيقت آتش محسوس مى خورند و اگر باطن عقيده و اخلاقى آتش است، كسانى كه به آن عقايد و اوصاف پليد آلوده اند، گرفتار آتش روحى خواهند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آتش برافروخته ى الهى است، آتشى كه از دل ها سر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كيفر اخروى از جهات مختلف با مجازات هاى قراردادى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كيفيت مجازات هاى قراردادى تابع وضع و قرارداد است و از همين روست كه گاه در نظام هاى حقوقى متفاوت، كيفرهاى متفاوتى براى جرم واحد در نظر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هدف از مجازات هاى قراردادى، علاوه بر تسلّى خاطر كسانى كه مورد جنايت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بستگان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برقرارى نظام اجتماعى و جلوگيرى از تكرار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مجازات اخروى امرى قراردادى نيست، بلكه نتيجه ى تكوينى و قهرى اعمالِ مجرمان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دنيا آثار تكوينى و اجتناب ناپذير خوردن زهر، بيمارى و مرگ است و چنين نيست كه اگر كسى زهر بنوشد، در دادگاه، احضار و سپس به كيفر بيمارى يا مرگ محكوم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خوردن زهر او را دچار بيمارى يا مرگ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كريمه ى قرآن گوياى ارتباط تكوينى محكم بين مجازات هاى اخروى و گناهان اند و اين كه اساساً عذاب دوزخ چيزى جز تجسم گناهان و اعمال زشت مجرمان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بيان شد، رابطه ى كيفر اخروى با اعمال انسان، همانند رابطه ى مجازات هاى قراردادى با جرايم اجتماعى نيست تا از عدم تناسب و سنگينى غيرعادلانه ى آن سخن به ميان آيد، بلكه صورت حقيقى گناهان است كه در روز قيامت، آشكار مى گردد </w:t>
      </w:r>
    </w:p>
    <w:p>
      <w:pPr>
        <w:pStyle w:val="BookText"/>
        <w:rPr/>
      </w:pPr>
      <w:r>
        <w:rPr>
          <w:rFonts w:ascii="IRNazanin" w:hAnsi="IRNazanin" w:eastAsia="IRNazanin"/>
          <w:color w:val="111111"/>
          <w:sz w:val="28"/>
          <w:sz w:val="28"/>
          <w:szCs w:val="28"/>
          <w:rtl w:val="true"/>
          <w:lang w:bidi="fa-IR"/>
        </w:rPr>
        <w:t xml:space="preserve">و چهره مى نماياند و همان گونه كه عمل كوتاه مدتى، مانند خوردن سمّ، عواقب بسيار سنگين و جبران ناپذير و درازمدت يا حتى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 دست دادن حيات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بعضى از گناهان نيز چنين تأثيرى در روح و جان و حيات جاودانه ى آدمى خواهند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بررسى شود كه وعده ى عذاب جاودانه به چه گناهانى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مكرّر از عذاب جاودان ياد و گروه هايى را به خلود در عذاب تهديد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مشركان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منافقان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مرتدان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تكذيب كنندگان آيات الهى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دشمنان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نافرمانان دستور خدا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ستمگران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قاتل 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با توجه به اين كه يكى از معانى خلود، مكث طولانى است، گناهان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از گناه اعتقادى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خلود نمى شوند و تنها موردى كه تقريباً مورد اتفاق اكثر مفسران و متكلمان اسلامى است كه در جهنم جاودان خواهد بود، كافر است كه شامل كافر، مشرك، منافق و مرتد مى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حكيم خواجه ى طوسى در مورد خلود كفار و نجات گناهكاران ديگر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كافر در عذاب دوزخ جاودانه خواهد بود و ساير گناهكارانى كه گناهان بزرگ انجام داده اند، به خاطر ايمان و عدم كفر به خدا بالاخره از دوزخ رهايى مى يابند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المراد در ذيل بيان خواجه ى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عذاب كافر را جاودانه دانسته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مسلمانان اجماع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همه بر اين رأى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عذاب كافر ابدى و لاينقطع خواهد بود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واقع كسى كه با آگاهى از حقيقت، كفر بورزد و خود را به عمد از مسير هدايت و كمال انسانى دور كند و به دست خويش تمام راه هاى نجات و سعادت را بر روى خود ببندد، تا ابد خود را دچار عذاب سخت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كافرى كه على رغم دريافت آذرخش هاى روشنى بخش و سعادت آفرين، خود را از نور ايمان دور داشته و در نتيجه، گوهر و سرمايه ى وجودى اش را ضايع و بلكه نابود كرده است، عذاب دايمى كه دقيقاً همان اعمال، اخلاق و عقايد</w:t>
      </w:r>
    </w:p>
    <w:p>
      <w:pPr>
        <w:pStyle w:val="BookText"/>
        <w:rPr/>
      </w:pPr>
      <w:r>
        <w:rPr>
          <w:rFonts w:ascii="IRNazanin" w:hAnsi="IRNazanin" w:eastAsia="IRNazanin"/>
          <w:color w:val="111111"/>
          <w:sz w:val="28"/>
          <w:sz w:val="28"/>
          <w:szCs w:val="28"/>
          <w:rtl w:val="true"/>
          <w:lang w:bidi="fa-IR"/>
        </w:rPr>
        <w:t>اوست، در قيامت از جانب خداوند متعال برايش 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كافر خود ديگر از سنخ آتش شده و تغييرناپذير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تمام سرمايه هاى خدادادى، از قبيل عمر، استعداد و تذكرهاى مستقيم و غيرمستقيم الهى را از دست داده باشد و در زير باران رحمت الهى در طول زندگى اش حتى قطره اى از حقيقت را از خود دريغ داشته و هيچ روزنه ى اميدى را بازنگذاشته باشد، در قيامت، آن زهر هولناك را به صورت عذابى سخت و دايمى مجسم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ى اندوخته هاى شخص به خودش، عين عدالت است و قيامت روز دريافت اندوخته هاى خود </w:t>
      </w:r>
    </w:p>
    <w:p>
      <w:pPr>
        <w:pStyle w:val="BookText"/>
        <w:rPr/>
      </w:pPr>
      <w:r>
        <w:rPr>
          <w:rFonts w:ascii="IRNazanin" w:hAnsi="IRNazanin" w:eastAsia="IRNazanin"/>
          <w:color w:val="111111"/>
          <w:sz w:val="28"/>
          <w:sz w:val="28"/>
          <w:szCs w:val="28"/>
          <w:rtl w:val="true"/>
          <w:lang w:bidi="fa-IR"/>
        </w:rPr>
        <w:t>ماست و هر چه هست اعمال و رفتار و عقايد و اخلاقيات ماست كه به ما بازمى گردد، الّا ما رحم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گناه امرى تكوينى و عذاب، نتيجه ى قهرى همان عمل است، نه ما به ازاى جداگانه تا سخن از عادلانه يا ناعادلانه بودن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آن دِرَود عاقبت كار كه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عذاب جاودانه فقط به عده ى معينى اختصاص دارد كه آن عده هم كسانى هستند كه تمام سرمايه هاى روحى و انسانى خود را به باد داده و اصلا به نوعى انسانيت خويش را براى هميشه واگذاشته اند و در نتيجه، براى هميشه دچار عذاب و به عبارت ديگر، دچار نتيجه و درد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دو دليل فوق روشن مى شود كه عامل جاودانگى عذاب فقط گناهكار است نه خداوند، تا سؤال شود چرا خداوند عذابى متناسب به آنها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هم مانند معلولات ديگر عالم، تابع علت خويش است و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اعمال مجرمانه 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دو نكته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بيان شد در زندگى دنيا در معرض آسيب، و آفت هولناك كفر و انكار حقايق هستيم، پس همواره بايد بكوشيم با تذكّر و تضرّع به درگاه الهى ايمان دينى خويش را اعتلا بخشيم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تصور نكنيم كه تحمل عذاب غير دايمى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عالمى كه مدت آن با اين عالم قابل مقايسه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هر روز از آن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تحمل عذاب هاى سخت و طاقت فرسا را مى توان ساده انگاشت و جرأت به معصيت و </w:t>
      </w:r>
      <w:bookmarkStart w:id="28" w:name="pg10696_94786"/>
    </w:p>
    <w:p>
      <w:pPr>
        <w:pStyle w:val="BookText"/>
        <w:rPr/>
      </w:pPr>
      <w:bookmarkEnd w:id="28"/>
      <w:r>
        <w:rPr>
          <w:rFonts w:ascii="Amiri" w:hAnsi="Amiri" w:eastAsia="Amiri" w:cs="Amiri"/>
          <w:color w:val="111111"/>
          <w:sz w:val="28"/>
          <w:sz w:val="28"/>
          <w:szCs w:val="28"/>
          <w:rtl w:val="true"/>
          <w:lang w:bidi="ar-SA"/>
        </w:rPr>
        <w:t>سوزاندن خويش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گناه هر چند كوچك را بايد جدّى گرفت و از آثار و عواقب سوء آن هراسناك بود</w:t>
      </w:r>
      <w:r>
        <w:rPr>
          <w:rFonts w:eastAsia="IRNazanin" w:cs="IRNazanin"/>
          <w:color w:val="111111"/>
          <w:sz w:val="28"/>
          <w:szCs w:val="28"/>
          <w:rtl w:val="true"/>
          <w:lang w:bidi="fa-IR"/>
        </w:rPr>
        <w:t>.</w:t>
      </w:r>
    </w:p>
    <w:p>
      <w:pPr>
        <w:pStyle w:val="Heading3"/>
        <w:numPr>
          <w:ilvl w:val="2"/>
          <w:numId w:val="1"/>
        </w:numPr>
        <w:rPr/>
      </w:pPr>
      <w:bookmarkStart w:id="29" w:name="__RefHeading___Toc2367090_1051229030"/>
      <w:bookmarkStart w:id="30" w:name="_Toc9"/>
      <w:bookmarkEnd w:id="29"/>
      <w:r>
        <w:rPr>
          <w:rtl w:val="true"/>
        </w:rPr>
        <w:t>آيا فقط عمل مسلمانان مورد قبول است و فقط آنان به بهشت مى روند</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فقط عمل مسلمانان مورد قبول است و فقط آنان به بهشت مى روند و اعمال يهوديان و مسيحيان مورد قبول نيست و آنان به بهشت نمى روند؟</w:t>
      </w:r>
    </w:p>
    <w:p>
      <w:pPr>
        <w:pStyle w:val="BookText"/>
        <w:rPr/>
      </w:pPr>
      <w:r>
        <w:rPr>
          <w:rFonts w:ascii="Amiri" w:hAnsi="Amiri" w:eastAsia="Amiri" w:cs="Amiri"/>
          <w:color w:val="111111"/>
          <w:sz w:val="28"/>
          <w:sz w:val="28"/>
          <w:szCs w:val="28"/>
          <w:rtl w:val="true"/>
          <w:lang w:bidi="ar-SA"/>
        </w:rPr>
        <w:t>سيد هبت الله صدرالسادات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مباحث كلامى كه داراى پيشينه اى بسيار طولانى است، نقش ايمان و كفر در سعادت و شقاوت ابدى انسان و رابطه ى ميان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طول تاريخ علم كلام اسلامى هر از چند گاهى در قالبى نو و با عنوانى جديد و با مجموعه اى از پرسش هاى متفاوت جلوه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ى نخست ظهور اسلام اين پرسش از اهميت خاصى برخوردار بود كه آيا هر يك از ايمان و عمل صالح براى سعادت ابدى كافى است يا مجموع آن ها موجب سعادت مى شود؟ در اين ميان برخى همچون خوارج راه افراط را پيمودند و هيچ جايگاهى براى ايمان لحاظ نكردند و معتقد شدند كه ارتكاب گناه عامل مستقلى براى شقاوت ابدى است و بلكه موجب كفر و ارتداد مى شود</w:t>
      </w:r>
      <w:r>
        <w:rPr>
          <w:rStyle w:val="FootnoteAnchor"/>
          <w:rtl w:val="true"/>
        </w:rPr>
        <w:footnoteReference w:id="16"/>
      </w:r>
      <w:r>
        <w:rPr>
          <w:rFonts w:ascii="IRNazanin" w:hAnsi="IRNazanin" w:eastAsia="IRNazanin"/>
          <w:color w:val="111111"/>
          <w:sz w:val="28"/>
          <w:sz w:val="28"/>
          <w:szCs w:val="28"/>
          <w:rtl w:val="true"/>
          <w:lang w:bidi="fa-IR"/>
        </w:rPr>
        <w:t>و در مقابل، مرجئه معتقد شدند كه وجود ايمان براى سعادت ابدى كافى است و ارتكاب گناه ضررى به سعادت مؤمن نمى زند و در حقيقت، عمل بشرى نقش چندانى در سرنوشت وى ندارد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اين سؤال را مطرح مى كنند كه اگر رستگارى و رفتن به بهشت تنها از رهگذر ايمان به دين اسلام ميسر باشد، پس اعمال خير مخترعان و مكتشفان بزرگ غيرمسلمان كه خدمات عظيمى به بشريت و پيش برد علم كرده اند چه مى شود و چگونه با عدالت پروردگار </w:t>
      </w:r>
      <w:bookmarkStart w:id="31" w:name="pg10696_94787"/>
    </w:p>
    <w:p>
      <w:pPr>
        <w:pStyle w:val="BookText"/>
        <w:rPr/>
      </w:pPr>
      <w:bookmarkEnd w:id="31"/>
      <w:r>
        <w:rPr>
          <w:rFonts w:ascii="IRNazanin" w:hAnsi="IRNazanin" w:eastAsia="IRNazanin"/>
          <w:color w:val="111111"/>
          <w:sz w:val="28"/>
          <w:sz w:val="28"/>
          <w:szCs w:val="28"/>
          <w:rtl w:val="true"/>
          <w:lang w:bidi="fa-IR"/>
        </w:rPr>
        <w:t>سازگارى دارد؟ براى يافتن پاسخ اين سؤال، به چند مطلب اشاره مى كنيم</w:t>
      </w:r>
      <w:r>
        <w:rPr>
          <w:rFonts w:eastAsia="IRNazanin" w:cs="IRNazanin"/>
          <w:color w:val="111111"/>
          <w:sz w:val="28"/>
          <w:szCs w:val="28"/>
          <w:rtl w:val="true"/>
          <w:lang w:bidi="fa-IR"/>
        </w:rPr>
        <w:t>.</w:t>
      </w:r>
    </w:p>
    <w:p>
      <w:pPr>
        <w:pStyle w:val="Heading3"/>
        <w:numPr>
          <w:ilvl w:val="2"/>
          <w:numId w:val="1"/>
        </w:numPr>
        <w:rPr/>
      </w:pPr>
      <w:bookmarkStart w:id="32" w:name="__RefHeading___Toc2367092_1051229030"/>
      <w:bookmarkStart w:id="33" w:name="_Toc10"/>
      <w:bookmarkEnd w:id="32"/>
      <w:r>
        <w:rPr>
          <w:rtl w:val="true"/>
        </w:rPr>
        <w:t>الف</w:t>
      </w:r>
      <w:r>
        <w:rPr>
          <w:rtl w:val="true"/>
        </w:rPr>
        <w:t xml:space="preserve">) </w:t>
      </w:r>
      <w:r>
        <w:rPr>
          <w:rtl w:val="true"/>
        </w:rPr>
        <w:t>دينى جز اسلام پذيرفته نيست</w:t>
      </w:r>
      <w:r>
        <w:rPr>
          <w:rtl w:val="true"/>
        </w:rPr>
        <w:t>.</w:t>
      </w:r>
      <w:bookmarkEnd w:id="33"/>
    </w:p>
    <w:p>
      <w:pPr>
        <w:pStyle w:val="BookText"/>
        <w:rPr/>
      </w:pPr>
      <w:r>
        <w:rPr>
          <w:rFonts w:ascii="IRNazanin" w:hAnsi="IRNazanin" w:eastAsia="IRNazanin"/>
          <w:color w:val="111111"/>
          <w:sz w:val="28"/>
          <w:sz w:val="28"/>
          <w:szCs w:val="28"/>
          <w:rtl w:val="true"/>
          <w:lang w:bidi="fa-IR"/>
        </w:rPr>
        <w:t>بايد توجه داشت كه دين حق تنها يكى است و مصداق آن نيز در اين زمان اسلام است و اين گونه نيست كه همه ى اديان حق باشند و پيروى از آن ها موجب رستگارى و سعادت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اديان آسمانى و توحيدى، هر يك در زمان خود و پيش از نسخ به وسيله ى آيين آسمانى بعدى، حق بودند و تنها مسير وصول به سعادت به شمار مى آمدند، امّا پس از نسخ، تنها از رهگذر عمل به فرمان جديد الهى است كه سعادت انسان تأمين مى شود و خداوند متعال به همين حقيقت تصريح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هر كس غير از اسلام دينى بجويد، هرگز از او پذيرفته نمى شود و او در سراى ديگر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دين حق منحصر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پرسش مطرح مى شود كه آيا ايمان شرط حتمى قبول عمل است، به طورى، كه هيچ كار نيكى از غيرمسلمانان و بلكه غيرشيعه پذيرفته نيست؟</w:t>
      </w:r>
    </w:p>
    <w:p>
      <w:pPr>
        <w:pStyle w:val="Heading3"/>
        <w:numPr>
          <w:ilvl w:val="2"/>
          <w:numId w:val="1"/>
        </w:numPr>
        <w:rPr/>
      </w:pPr>
      <w:bookmarkStart w:id="34" w:name="__RefHeading___Toc2367094_1051229030"/>
      <w:bookmarkStart w:id="35" w:name="_Toc11"/>
      <w:bookmarkEnd w:id="34"/>
      <w:r>
        <w:rPr>
          <w:rtl w:val="true"/>
        </w:rPr>
        <w:t>ب</w:t>
      </w:r>
      <w:r>
        <w:rPr>
          <w:rtl w:val="true"/>
        </w:rPr>
        <w:t xml:space="preserve">) </w:t>
      </w:r>
      <w:r>
        <w:rPr>
          <w:rtl w:val="true"/>
        </w:rPr>
        <w:t>تأثير ايمان در سرنوشت انسان و قبولى اعمال</w:t>
      </w:r>
      <w:bookmarkEnd w:id="35"/>
    </w:p>
    <w:p>
      <w:pPr>
        <w:pStyle w:val="BookText"/>
        <w:rPr/>
      </w:pPr>
      <w:r>
        <w:rPr>
          <w:rFonts w:ascii="IRNazanin" w:hAnsi="IRNazanin" w:eastAsia="IRNazanin"/>
          <w:color w:val="111111"/>
          <w:sz w:val="28"/>
          <w:sz w:val="28"/>
          <w:szCs w:val="28"/>
          <w:rtl w:val="true"/>
          <w:lang w:bidi="fa-IR"/>
        </w:rPr>
        <w:t>هر عملى داراى دو بعد است و هر يك از دو بعد آن از نظر خوبى و بدى حسابى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شعاع تأثير عمل مفيد و يا مضر در خارج و اجتماع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عمل به شخص</w:t>
      </w:r>
    </w:p>
    <w:p>
      <w:pPr>
        <w:pStyle w:val="BookText"/>
        <w:rPr/>
      </w:pPr>
      <w:r>
        <w:rPr>
          <w:rFonts w:ascii="IRNazanin" w:hAnsi="IRNazanin" w:eastAsia="IRNazanin"/>
          <w:color w:val="111111"/>
          <w:sz w:val="28"/>
          <w:sz w:val="28"/>
          <w:szCs w:val="28"/>
          <w:rtl w:val="true"/>
          <w:lang w:bidi="fa-IR"/>
        </w:rPr>
        <w:t>فاعل و انگيزه هاى نفسانى و روحى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اوّل بايد ديد كه گستره ى تأثير عمل مفيد و يا مضر تا كجاست و از نظر دوّم بايد ديد كه عامل، در نظام روحى و فكرى خود چه سلوكى كرده و به سوى كدام مقصد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بشر از نظر شعاع اثر سودمند ويا زيانبار، در دفتر تاريخ ثبت مى شود و تاريخ درباره ى آن قضاوت مى كند، ولى از نظر شعاع انتساب با روح او، تنها در دفاتر علوى ملكوتى ثبت و ضبط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كسى كه مرگ و زندگى را آفريد تا شما را بيازمايد كه كدام يك نيكوكردارتريد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كيفيت و ميزان حسن عمل مطرح است نه كميت و تعداد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گاه كه تحت تأثير انگيزه هاى روحى، عملى انجام مى دهيم، گذشته از پيكر عمل كه يك سلسله حركات و از نظر اجتماعى داراى ارزش است، بايد بدانيم كه از نظر معنوى واقعاً و حقيقتاً به چه سويى مى رويم و چه طريقى را طى مى كنيم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شخصيت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ما همان روح ماست و روح ما با هر عمل اختيارى از قوه به سوى فعليت گام برمى دارد و اثر و خاصيتى متناسب با اراده و هدف و مقصد خود كسب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و ملكات جزء شخصيت ما مى شود و ما را به عالمى متناسب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حساب حسن فاعلى از حسن فعلى به كلى جداست و انسان از نظر نظام روحى و تكامل معنوى نبايد كارى به كارهاى مفيد اجتماعى داشته باشد، بلكه مقصود اين است كه كار مفيد اجتماعى آن گاه از نظر نظام روحى و تكامل معنوى مفيد است كه روح با انجام آن عمل يك سير و سفر معنوى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حسن فعلى با حسن فاعلى نسبت بدن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موجود زنده تركيبى از روح و بدن است </w:t>
      </w:r>
    </w:p>
    <w:p>
      <w:pPr>
        <w:pStyle w:val="BookText"/>
        <w:rPr/>
      </w:pPr>
      <w:r>
        <w:rPr>
          <w:rFonts w:ascii="IRNazanin" w:hAnsi="IRNazanin" w:eastAsia="IRNazanin"/>
          <w:color w:val="111111"/>
          <w:sz w:val="28"/>
          <w:sz w:val="28"/>
          <w:szCs w:val="28"/>
          <w:rtl w:val="true"/>
          <w:lang w:bidi="fa-IR"/>
        </w:rPr>
        <w:t>و بايد در پيكر عملى كه حسن فعلى دارد، حسن فاعلى دميده شود، تا آن عمل زنده گردد و حيات يابد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از آن جا كه هدف خلقت جهان و آفرينش انسان و ارسال رُسُل و انزال كُتب رساندن انسان به سعادت واقعى و كمال حقيقى است و اين كمال حقيقى انسان، فقط در سايه ى قرب الهى تحقق مى يابد و متقابلاً سقوط انسان در اثر دورى از خداى متعال حاصل مى شود،</w:t>
      </w:r>
      <w:r>
        <w:rPr>
          <w:rStyle w:val="FootnoteAnchor"/>
          <w:rtl w:val="true"/>
        </w:rPr>
        <w:footnoteReference w:id="21"/>
      </w:r>
      <w:r>
        <w:rPr>
          <w:rFonts w:ascii="IRNazanin" w:hAnsi="IRNazanin" w:eastAsia="IRNazanin"/>
          <w:color w:val="111111"/>
          <w:sz w:val="28"/>
          <w:sz w:val="28"/>
          <w:szCs w:val="28"/>
          <w:rtl w:val="true"/>
          <w:lang w:bidi="fa-IR"/>
        </w:rPr>
        <w:t>مى توان ايمان به خداى متعال و ربوبيت تكوينى و تشريعى او را كه مستلزم اعتقاد به معاد و نبوت است، نهال تكامل حقيقى انسان دانست كه اعمال خداپسند به سان شاخ و برگ هايى از آن مى رويد و ميوه اش سعادت ابدى است كه در جهان آخرت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جاى بذر ايمان بذر عصيان و كفر را در دلش پاشيد، استعداد خدادادش را ضايع كرده و درختى را به بارآورده كه ميوه اش زقّوم دوزخى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راهى به سوى سعادت ابدى نمى برد و تأثير كار نيكش از مرز اين جهان فراتر نمى رود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از اين رو قرآن كريم ايمان را شرط تأثير اعمال نيك در سعادت اخروى مى داند و مى 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أَوْ أُنْثى وَ 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هر مرد و زنى كه كارهاى شايسته انجام دهد در حالى كه مومن باشد، چنين كسانى وارد بهشت خواهند شد</w:t>
      </w:r>
      <w:r>
        <w:rPr>
          <w:rFonts w:eastAsia="IRNazanin" w:cs="IRNazanin"/>
          <w:color w:val="111111"/>
          <w:sz w:val="28"/>
          <w:szCs w:val="28"/>
          <w:rtl w:val="true"/>
          <w:lang w:bidi="fa-IR"/>
        </w:rPr>
        <w:t xml:space="preserve">. </w:t>
      </w:r>
      <w:bookmarkStart w:id="36" w:name="pg10696_94790"/>
    </w:p>
    <w:p>
      <w:pPr>
        <w:pStyle w:val="BookText"/>
        <w:rPr/>
      </w:pPr>
      <w:bookmarkEnd w:id="36"/>
      <w:r>
        <w:rPr>
          <w:rFonts w:ascii="IRNazanin" w:hAnsi="IRNazanin" w:eastAsia="IRNazanin"/>
          <w:color w:val="111111"/>
          <w:sz w:val="28"/>
          <w:sz w:val="28"/>
          <w:szCs w:val="28"/>
          <w:rtl w:val="true"/>
          <w:lang w:bidi="fa-IR"/>
        </w:rPr>
        <w:t>و از سوى ديگر، دوزخ را براى كافران مقرر فرموده و اعمال ايشان را تباه و بى ثمر دانسته و آن ها را به خاكسترى تشبيه كرده است كه باد شديدى آن را پراكنده سازد و اثرى از آن به جاى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مثل اعمال كافران مانند خاكسترى است كه در يك روز طوفانى باد به سختى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از دستاوردهايشان دست رسى نخواهند داشت و اين گمراهى دورى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ى ديگرى آن ها را به سرابى تشبيه كرده كه شخصى تشنه به آن دل مى بندد ولى همين كه به آن مى رسد آبى نمى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اعمال كافران همانند سرابى در بيابان</w:t>
      </w:r>
    </w:p>
    <w:p>
      <w:pPr>
        <w:pStyle w:val="BookText"/>
        <w:rPr/>
      </w:pPr>
      <w:r>
        <w:rPr>
          <w:rFonts w:ascii="IRNazanin" w:hAnsi="IRNazanin" w:eastAsia="IRNazanin"/>
          <w:color w:val="111111"/>
          <w:sz w:val="28"/>
          <w:sz w:val="28"/>
          <w:szCs w:val="28"/>
          <w:rtl w:val="true"/>
          <w:lang w:bidi="fa-IR"/>
        </w:rPr>
        <w:t>هموارى است كه شخصى تشنه آن را آب مى پندارد و هنگامى كه نزد آن بيايد آن را چيزى نمى يابد</w:t>
      </w:r>
      <w:r>
        <w:rPr>
          <w:rFonts w:eastAsia="IRNazanin" w:cs="IRNazanin"/>
          <w:color w:val="111111"/>
          <w:sz w:val="28"/>
          <w:szCs w:val="28"/>
          <w:rtl w:val="true"/>
          <w:lang w:bidi="fa-IR"/>
        </w:rPr>
        <w:t>.</w:t>
      </w:r>
    </w:p>
    <w:p>
      <w:pPr>
        <w:pStyle w:val="Heading3"/>
        <w:numPr>
          <w:ilvl w:val="2"/>
          <w:numId w:val="1"/>
        </w:numPr>
        <w:rPr/>
      </w:pPr>
      <w:bookmarkStart w:id="37" w:name="__RefHeading___Toc2367096_1051229030"/>
      <w:bookmarkStart w:id="38" w:name="_Toc12"/>
      <w:bookmarkEnd w:id="37"/>
      <w:r>
        <w:rPr>
          <w:rtl w:val="true"/>
        </w:rPr>
        <w:t>ج</w:t>
      </w:r>
      <w:r>
        <w:rPr>
          <w:rtl w:val="true"/>
        </w:rPr>
        <w:t xml:space="preserve">) </w:t>
      </w:r>
      <w:r>
        <w:rPr>
          <w:rtl w:val="true"/>
        </w:rPr>
        <w:t>كافرانِ اهل خير از عمل خود بهره مند مى شوند</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نكته نبايد غافل شد كه عمل خير كفار اگرچه عمق ندارد و باعث بالا رفتن درجات و نيل به سعادت اخروى نمى گردد، در عين حال، با توجه به آيات قرآن كه هيچ عمل خيرى را بدون پاداش نمى داند و تصريح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نُضِيعُ أَجْرَ مَنْ أَحْسَنَ عَمَلاً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 كار نيك هيچ كسى را از بين نمى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آثارى خواهد داشت كه البته بسيار نسبت به اعمال مبتنى بر ايمان، ناچيز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برخى از روايات نيز همين حقيقت را بيان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راوندى در نوادر خود با اسنادش از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آورده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آتش آن كه عذابش از همه آسان تر است ابن جذعان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ابن جذعان چه كرده است كه عذابش از همه آسان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عادتش اين بود كه مردم را غذا مى داد و اطعام مى نمود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مؤمنى در تحت قدرت و سلطنت حاكم جبار و مملكت جائرى بود كه به حقوق او تعدى مى كردند و او را مورد اهانت قرار مى دادند، لذا از آن جا به دارالشرك فرار كرد و در منزل يكى از مشركان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مشرك او را تحت حمايت خود قرار داد و با او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مرگ آن مشرك فرا رسيد، خداوند به او وحى فرستاد كه به عزّت و جلال خودم سوگند كه اگر در بهشت من جايى براى تو بود، تو را در آن جا سكنا مى دادم امّا بهشت من بر هر كسى كه در حال شرك بميرد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خطاب به آتش نمود كه اى آتش او را حرارت مده و آزار مرسان و ناراحت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شب رزق و روزى اش را برايش مى آوردند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رزق و روزى او را از بهشت مى آورند؟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خدا خواسته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و تأثير ايمان در قبولى اعمال انسان و از طرفى، بهره مندى كفار از عمل خير خود، چنين نتيجه مى شود كه اعمال خير غيرمسلمانان اجر دارد، اما موجب سعادت اخروى آنها نمى شود</w:t>
      </w:r>
      <w:r>
        <w:rPr>
          <w:rFonts w:eastAsia="IRNazanin" w:cs="IRNazanin"/>
          <w:color w:val="111111"/>
          <w:sz w:val="28"/>
          <w:szCs w:val="28"/>
          <w:rtl w:val="true"/>
          <w:lang w:bidi="fa-IR"/>
        </w:rPr>
        <w:t xml:space="preserve">. </w:t>
      </w:r>
      <w:bookmarkStart w:id="39" w:name="pg10696_94793"/>
    </w:p>
    <w:p>
      <w:pPr>
        <w:pStyle w:val="Heading2"/>
        <w:numPr>
          <w:ilvl w:val="1"/>
          <w:numId w:val="1"/>
        </w:numPr>
        <w:rPr/>
      </w:pPr>
      <w:bookmarkStart w:id="40" w:name="__RefHeading___Toc2367098_1051229030"/>
      <w:bookmarkStart w:id="41" w:name="_Toc13"/>
      <w:bookmarkEnd w:id="39"/>
      <w:bookmarkEnd w:id="40"/>
      <w:r>
        <w:rPr>
          <w:rtl w:val="true"/>
        </w:rPr>
        <w:t>دين پژوهى</w:t>
      </w:r>
      <w:bookmarkEnd w:id="41"/>
    </w:p>
    <w:p>
      <w:pPr>
        <w:pStyle w:val="Heading3"/>
        <w:numPr>
          <w:ilvl w:val="2"/>
          <w:numId w:val="1"/>
        </w:numPr>
        <w:rPr/>
      </w:pPr>
      <w:bookmarkStart w:id="42" w:name="__RefHeading___Toc2367100_1051229030"/>
      <w:bookmarkStart w:id="43" w:name="_Toc14"/>
      <w:bookmarkEnd w:id="42"/>
      <w:r>
        <w:rPr>
          <w:rtl w:val="true"/>
        </w:rPr>
        <w:t>اشاره</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جامعيت 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جامعيت دين چيست؟ نظريه هاى مطرح در اين باره كدام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هاى اثبات جامعيت دين خاتم كدام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دين كامل و جامعى كه ما آن را اسلام مى ناميم از همان اول بر انسان عرضه نشد؟ آيا انسان هاى اوليه حق به كمال رسيدن و سعادتمند شدن را نداشتند؟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صالحی امیری </w:t>
      </w:r>
      <w:bookmarkStart w:id="44" w:name="pg10696_94795"/>
    </w:p>
    <w:p>
      <w:pPr>
        <w:pStyle w:val="Heading3"/>
        <w:numPr>
          <w:ilvl w:val="2"/>
          <w:numId w:val="1"/>
        </w:numPr>
        <w:rPr/>
      </w:pPr>
      <w:bookmarkStart w:id="45" w:name="__RefHeading___Toc2367102_1051229030"/>
      <w:bookmarkStart w:id="46" w:name="_Toc15"/>
      <w:bookmarkEnd w:id="44"/>
      <w:bookmarkEnd w:id="45"/>
      <w:r>
        <w:rPr>
          <w:rtl w:val="true"/>
        </w:rPr>
        <w:t>«</w:t>
      </w:r>
      <w:r>
        <w:rPr>
          <w:rtl w:val="true"/>
        </w:rPr>
        <w:t>جامعيت دين</w:t>
      </w:r>
      <w:r>
        <w:rPr>
          <w:rtl w:val="true"/>
        </w:rPr>
        <w:t>»</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مهم كلامى و از ويژگى هاى دين خاتم است، اما اخيراً به خاطر بعضى مباحث كلام جديد مانند سكولاريزم، قلمرو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رويكردى نو به آن پرداخته شده و نظريه هايى مانند دين اقلّى و اكثرى به خاطر برداشت هاى خاص از بحث جامعيت دين در ضمن آن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درا ين شماره محقق محترم آقاى سيد مهدى صالحى اميرى به برخى از سؤالات درباره ى جامعيت دين پاسخ گفته اند</w:t>
      </w:r>
      <w:r>
        <w:rPr>
          <w:rFonts w:eastAsia="IRNazanin" w:cs="IRNazanin"/>
          <w:color w:val="111111"/>
          <w:sz w:val="28"/>
          <w:szCs w:val="28"/>
          <w:rtl w:val="true"/>
          <w:lang w:bidi="fa-IR"/>
        </w:rPr>
        <w:t xml:space="preserve">. </w:t>
      </w:r>
      <w:bookmarkStart w:id="47" w:name="pg10696_94796"/>
    </w:p>
    <w:p>
      <w:pPr>
        <w:pStyle w:val="Heading3"/>
        <w:numPr>
          <w:ilvl w:val="2"/>
          <w:numId w:val="1"/>
        </w:numPr>
        <w:rPr/>
      </w:pPr>
      <w:bookmarkStart w:id="48" w:name="__RefHeading___Toc2367104_1051229030"/>
      <w:bookmarkStart w:id="49" w:name="_Toc16"/>
      <w:bookmarkEnd w:id="47"/>
      <w:bookmarkEnd w:id="48"/>
      <w:r>
        <w:rPr>
          <w:rtl w:val="true"/>
        </w:rPr>
        <w:t>مقصود از جامعيت دين چيست؟ نظريه هاى مطرح در اين باره كدام اند؟</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فوق، لازم است ابتدا مفهوم دين تبيين شود تا مشخص گردد مقصود از دين جامع كدام دين است</w:t>
      </w:r>
      <w:r>
        <w:rPr>
          <w:rFonts w:eastAsia="IRNazanin" w:cs="IRNazanin"/>
          <w:color w:val="111111"/>
          <w:sz w:val="28"/>
          <w:szCs w:val="28"/>
          <w:rtl w:val="true"/>
          <w:lang w:bidi="fa-IR"/>
        </w:rPr>
        <w:t>.</w:t>
      </w:r>
    </w:p>
    <w:p>
      <w:pPr>
        <w:pStyle w:val="Heading3"/>
        <w:numPr>
          <w:ilvl w:val="2"/>
          <w:numId w:val="1"/>
        </w:numPr>
        <w:rPr/>
      </w:pPr>
      <w:bookmarkStart w:id="50" w:name="__RefHeading___Toc2367106_1051229030"/>
      <w:bookmarkStart w:id="51" w:name="_Toc17"/>
      <w:bookmarkEnd w:id="50"/>
      <w:r>
        <w:rPr>
          <w:rtl w:val="true"/>
        </w:rPr>
        <w:t>مفهوم دين</w:t>
      </w:r>
      <w:bookmarkEnd w:id="51"/>
    </w:p>
    <w:p>
      <w:pPr>
        <w:pStyle w:val="BookText"/>
        <w:rPr/>
      </w:pPr>
      <w:r>
        <w:rPr>
          <w:rFonts w:ascii="IRNazanin" w:hAnsi="IRNazanin" w:eastAsia="IRNazanin"/>
          <w:color w:val="111111"/>
          <w:sz w:val="28"/>
          <w:sz w:val="28"/>
          <w:szCs w:val="28"/>
          <w:rtl w:val="true"/>
          <w:lang w:bidi="fa-IR"/>
        </w:rPr>
        <w:t>براى دين، تعاريف بسيار متفاوت و حتى متعارض و چندپهلو ذكر شده كه گاه حتى مرام هاى ماده گرا و آيين هاى انسان پرستانه و غيرمعتقد به خدا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دين، همان پيام هدايت خداوند است كه در قالب شريعت هاى گوناگون بر پيامبران الهى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كلى اين پيام مشتمل بر عقايد صحيح و دستورهاى اخلاقى و حقوقى برخاسته از مصالح و مفاسد واقعى حيات بشرى است كه پيروى از آنها موجب كمال حقيقى و توسعه ى وجودى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دلايل قطعى و خدشه ناپذير، امروز مصداق واقعى دين الهى و شريعت حق، همان آيين نازل شده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قرآنى است كه از هر گونه دستبرد بشرى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هر يك از شريعت هاى پيشين، كه مورد تصديق قرآن نيز هست، مربوط به ظرف زمانى آنهاست و با آمدن شريعت بعدى، تديّن به شريعت پيشين نامقبول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2" w:name="__RefHeading___Toc2367108_1051229030"/>
      <w:bookmarkStart w:id="53" w:name="_Toc18"/>
      <w:bookmarkEnd w:id="52"/>
      <w:r>
        <w:rPr>
          <w:rtl w:val="true"/>
        </w:rPr>
        <w:t>مفهوم جامعيت دين</w:t>
      </w:r>
      <w:bookmarkEnd w:id="53"/>
    </w:p>
    <w:p>
      <w:pPr>
        <w:pStyle w:val="BookText"/>
        <w:rPr/>
      </w:pPr>
      <w:r>
        <w:rPr>
          <w:rFonts w:ascii="IRNazanin" w:hAnsi="IRNazanin" w:eastAsia="IRNazanin"/>
          <w:color w:val="111111"/>
          <w:sz w:val="28"/>
          <w:sz w:val="28"/>
          <w:szCs w:val="28"/>
          <w:rtl w:val="true"/>
          <w:lang w:bidi="fa-IR"/>
        </w:rPr>
        <w:t>انديشمندان و صاحب نظران در مورد جامعيت و گستردگى دين، نظريات و تفسيرهاى مختلفى ارائه داده اند كه مى توان آنها را در سه نظريه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جامع همه ى علوم و معارف بشرى و بيان كننده ى همه ى مسائل نظرى و عملى در سطح كلان و جزئى در عرصه هاى مختلف زندگى مادى و معنوى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 تعاليم آن انسان </w:t>
      </w:r>
    </w:p>
    <w:p>
      <w:pPr>
        <w:pStyle w:val="BookText"/>
        <w:rPr/>
      </w:pPr>
      <w:r>
        <w:rPr>
          <w:rFonts w:ascii="IRNazanin" w:hAnsi="IRNazanin" w:eastAsia="IRNazanin"/>
          <w:color w:val="111111"/>
          <w:sz w:val="28"/>
          <w:sz w:val="28"/>
          <w:szCs w:val="28"/>
          <w:rtl w:val="true"/>
          <w:lang w:bidi="fa-IR"/>
        </w:rPr>
        <w:t>را از هر گونه تلاش فكرى در شناخت خود، جهان و ابعاد مختلف زندگى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دين داراى نظام هاى لازم براى اداره ى جامعه است و مى توان علوم مختلف نظير جامعه شناسى، روان شناسى، اقتصاد، سياست، فيزيك، شيمى و حتى كامپيوترى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استخراج كرد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ى دين، ارائه ى رهنمود براى رسيدن انسان به سعادت و كمال اخروى است، نه براى اداره ى جامعه و مسائل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جامعيت دين در اين است كه آنچه در هدايت به كمال وسعادت اخروى انسان نقش دارد در اختيار بشر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چگونگى شناخت علوم انسانى و تجربى، تشكيل حكومت، روش اداره ى حكومت، چگونگى مبارزه با مشكلات و مفاسد اجتماعى، مهار قدرت سياسى در جامعه ى دينى، چگونگى ايجاد عدالت اجتماعى و ده ها پرسش ديگر از قلمرو دين خارج است و اين آدمى است كه بايد بدون استمداد از آموزه هاى دينى، خود به سامان دهى مناسبات اقتصادى و سياسى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اين زمينه ها تنها به كليات بسنده كرده و از ارائه ى راهكار معين پرهيز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تدبير امور دنيوى و تنظيم معيشت و تعيين نظام بپردازد خود نيز دنيوى و ايدئولوژيك مى شود كه اين با جاودانگى آن در تضاد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دين را بايد در راستاى هدف و رسالت آن ملحوظ داشت و از هر گونه افراط و تفريط در اين زمينه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اجمالى به قرآن و روايات درمى يابيم كه هدف دين، تأمين سعادت دنيا و آخرت انسان است و چون امور دنيوى و مناسبات اجتماعى تأثير شگرفى در روحيات و كمال انسان و تأمين سعادت واقعى وى دارند، دين خاتم هرگز </w:t>
      </w:r>
    </w:p>
    <w:p>
      <w:pPr>
        <w:pStyle w:val="BookText"/>
        <w:rPr/>
      </w:pPr>
      <w:r>
        <w:rPr>
          <w:rFonts w:ascii="IRNazanin" w:hAnsi="IRNazanin" w:eastAsia="IRNazanin"/>
          <w:color w:val="111111"/>
          <w:sz w:val="28"/>
          <w:sz w:val="28"/>
          <w:szCs w:val="28"/>
          <w:rtl w:val="true"/>
          <w:lang w:bidi="fa-IR"/>
        </w:rPr>
        <w:t>نمى تواند از دخالت در اين امور چشم پوشى كند و بايد براى آنها برنامه اى جامع ارائه نمايد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ديدگاه اسلام، انسان يك موجود مادى محدود به اين دنيا نيست، بلكه موجودى است فراتر از ماده و داراى زندگى جاويد كه همه ى شئون و اعمال او با سرنوشت نهايى اش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هرگونه تلاشى براى اين زندگى، در سعادت و يا شقاوت ابدى او تأثير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الاخرة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اين رو نوع رفتار اجتماعى و سياسى اى كه انسان برمى گزيند، به مانند رفتارهاى فردى اش، تأثير قطعى در سعادت و خوشبختى و يا شقاوت و بدفرجامى اخروى او 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لذا دينى كه علاوه بر مسائل فردى به مسائل اجتماعى انسان و سعادت و هدايت جامعه مى انديشد نمى تواند نسبت به اجراى احكام و چگونگى اداره ى جامعه، تعيين ساختار حكومت، اصل عدالت و قيام به قسط، ايجاد تعاون و امنيت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نظرى نداشته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مقصود از جامعيت دين آن است كه در راستاى هدف و رسالت خود، رئوس كلى همه ى معارف لازم را براى تحقق اين هدف در اختيار بشر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بشر با تطبيق آن اصول كلى بتواند به صورت نظام مند همه ى معارف و رهنمون هاى مورد نياز </w:t>
      </w:r>
      <w:bookmarkStart w:id="54" w:name="pg10696_94799"/>
    </w:p>
    <w:p>
      <w:pPr>
        <w:pStyle w:val="BookText"/>
        <w:rPr/>
      </w:pPr>
      <w:bookmarkEnd w:id="54"/>
      <w:r>
        <w:rPr>
          <w:rFonts w:ascii="Amiri" w:hAnsi="Amiri" w:eastAsia="Amiri" w:cs="Amiri"/>
          <w:color w:val="111111"/>
          <w:sz w:val="28"/>
          <w:sz w:val="28"/>
          <w:szCs w:val="28"/>
          <w:rtl w:val="true"/>
          <w:lang w:bidi="ar-SA"/>
        </w:rPr>
        <w:t>براى رسيدن به سعادت خويش را به دست آورد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اين جا روشن مى شود كه اگر منظور از جامعيت دين اين باشد كه بتوان با آن، نظريه ها، قوانين و فرمول هاى پذيرفته يا مطرح شده در علوم مختلف بشرى را از متون و 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آسمانى و احاديث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تفسيرى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منحصر كردن احكام و تعاليم دينى به مسائل مربوط به عبادت و نيايش خداوند نيز تفسيرى ناقص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رسالت هدايتى دين با هيچ يك از دو تفسير ياد شده از جامعيت دين، سازگارى ندارد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5" w:name="__RefHeading___Toc2367110_1051229030"/>
      <w:bookmarkStart w:id="56" w:name="_Toc19"/>
      <w:bookmarkEnd w:id="55"/>
      <w:r>
        <w:rPr>
          <w:rtl w:val="true"/>
        </w:rPr>
        <w:t>راه هاى اثبات جامعيت دين خاتم كدام اند؟</w:t>
      </w:r>
      <w:bookmarkEnd w:id="56"/>
    </w:p>
    <w:p>
      <w:pPr>
        <w:pStyle w:val="Heading4"/>
        <w:numPr>
          <w:ilvl w:val="3"/>
          <w:numId w:val="1"/>
        </w:numPr>
        <w:rPr/>
      </w:pPr>
      <w:bookmarkStart w:id="57" w:name="__RefHeading___Toc2367112_1051229030"/>
      <w:bookmarkStart w:id="58" w:name="_Toc20"/>
      <w:bookmarkEnd w:id="57"/>
      <w:r>
        <w:rPr>
          <w:rtl w:val="true"/>
        </w:rPr>
        <w:t>اشاره</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جامعيت دين خاتم را از دو راه مى توان اثبات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عقلى</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كه آن را با بيان چند مقدمه توضيح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حكيم، آدمى را براى رسيدن به كمال نهايى و سعادت جاودانه آفريده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دنيا مقدمه ى زندگى آخرت، و سعادت و شقاوت ابدى در گرو چگونه زيستن در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و رفتار ما در رسيدن به سعادت يا محروم شدن از آن دخيل و مؤثّرند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سعادتمندى در جهان آخرت، منوط به شناخت چگونگى رابطه ى اعمال با نتايج </w:t>
      </w:r>
    </w:p>
    <w:p>
      <w:pPr>
        <w:pStyle w:val="BookText"/>
        <w:rPr/>
      </w:pPr>
      <w:r>
        <w:rPr>
          <w:rFonts w:ascii="Amiri" w:hAnsi="Amiri" w:eastAsia="Amiri" w:cs="Amiri"/>
          <w:color w:val="111111"/>
          <w:sz w:val="28"/>
          <w:sz w:val="28"/>
          <w:szCs w:val="28"/>
          <w:rtl w:val="true"/>
          <w:lang w:bidi="ar-SA"/>
        </w:rPr>
        <w:t>اخروى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تا رابطه ى اعمال با نتايج اخروى آن ها و</w:t>
      </w:r>
    </w:p>
    <w:p>
      <w:pPr>
        <w:pStyle w:val="BookText"/>
        <w:rPr/>
      </w:pPr>
      <w:r>
        <w:rPr>
          <w:rFonts w:ascii="IRNazanin" w:hAnsi="IRNazanin" w:eastAsia="IRNazanin"/>
          <w:color w:val="111111"/>
          <w:sz w:val="28"/>
          <w:sz w:val="28"/>
          <w:szCs w:val="28"/>
          <w:rtl w:val="true"/>
          <w:lang w:bidi="fa-IR"/>
        </w:rPr>
        <w:t>سعادت و شقاوت آدمى روشن نباشد، چگونه مى توان برنامه ى صحيح و همه جانبه اى براى زندگى اين جهان پى ريزى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عمومى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درك چگونگى روابط اعمال و رفتار دنيوى با نتايج اخروى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و قلمرو ادراك حسى، كه از راه حواس ظاهرى و در اثر ارتباط با جهان مادى حاصل مى شود، بسيار محدود است و تنها چيزهايى كه با ما ارتباط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زمانى كه اين ارتباط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ادراك حسى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مسير صحيح زندگى در تمام ابعادش، و جنبه ى ارزشى اعمال و رفتارمان، به ويژه رابطه ى انسان با نتايج اخروى آن، از حيطه ى ادراك حسى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ادراكات عقلى، يعنى آن چه عقل به تنهايى و صرف نظر از تجربه ى خارجى درك مى كند يك سلسله مفاهيم كلى خاصى است كه اصطلاحاً به آنها بديهيات اوليه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محال بودن 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مفاهيم نيز براى بازشناسى روابط پيش گفته كارايى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بديهيات اوليه ى عقل بسيار محدود است و هرگز نمى تواند حكم روابط ما با خدا، با ديگران و محيط زندگى را تعيين و جنبه ى ارزشى آنها را بيان نمايد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ادراكات تجربى نيز كه از همكارى حس وعقل حاصل مى شود، در حدى است كه در دايره ى تجربه ى انسان قرار مى گيرد، ولى آن چه جنبه ى ماوراى مادى دارد در دام تجربه و آزمايش نمى افتد تا بتوانيم رابطه ى ماده و غيرماده را هم از راه تجربه اثبات كنيم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بنابراين، شناخت پديده هاى اخروى و كشف و درك رابطه ى اعمال و رفتار آدمى با نتايج اخروى آن و آگاهى از تأثير اعمال آدمى در نيك بختى يا تيره روزى، نه توسط حس و نه عقل و نه </w:t>
      </w:r>
      <w:bookmarkStart w:id="59" w:name="pg10696_94801"/>
    </w:p>
    <w:p>
      <w:pPr>
        <w:pStyle w:val="BookText"/>
        <w:rPr/>
      </w:pPr>
      <w:bookmarkEnd w:id="59"/>
      <w:r>
        <w:rPr>
          <w:rFonts w:ascii="Amiri" w:hAnsi="Amiri" w:eastAsia="Amiri" w:cs="Amiri"/>
          <w:color w:val="111111"/>
          <w:sz w:val="28"/>
          <w:sz w:val="28"/>
          <w:szCs w:val="28"/>
          <w:rtl w:val="true"/>
          <w:lang w:bidi="ar-SA"/>
        </w:rPr>
        <w:t>حتى از همكارى آن دو حاصل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توانايى طراحى برنامه اى صحيح و جامع براى زندگى، منوط به آگاهى و شناخت اين تأثير و تأثّرهاست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نارسا و ناكافى بودن شناخت هاى عمومى و همگانى براى رسيدن به هدف و غايت خلقت، و بنابر مقتضاى حكمت، خداوند با ارسال رسل و انزال كتب، برنامه اى جامع و كامل فراروى انسان قرار داده تا آدمى بر اساس آن، راه صحيح زندگى و برنامه ى سعادت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بر جاودانگى و جهانى بودن قرآن دلالت دارند كه با كمك آنها مى توان جامعيت دين اسلام را ثابت كرد</w:t>
      </w:r>
      <w:r>
        <w:rPr>
          <w:rFonts w:eastAsia="IRNazanin" w:cs="IRNazanin"/>
          <w:color w:val="111111"/>
          <w:sz w:val="28"/>
          <w:szCs w:val="28"/>
          <w:rtl w:val="true"/>
          <w:lang w:bidi="fa-IR"/>
        </w:rPr>
        <w:t>:</w:t>
      </w:r>
    </w:p>
    <w:p>
      <w:pPr>
        <w:pStyle w:val="Heading4"/>
        <w:numPr>
          <w:ilvl w:val="3"/>
          <w:numId w:val="1"/>
        </w:numPr>
        <w:rPr/>
      </w:pPr>
      <w:bookmarkStart w:id="60" w:name="__RefHeading___Toc2367114_1051229030"/>
      <w:bookmarkStart w:id="61" w:name="_Toc21"/>
      <w:bookmarkEnd w:id="60"/>
      <w:r>
        <w:rPr/>
        <w:t>1</w:t>
      </w:r>
      <w:r>
        <w:rPr>
          <w:rtl w:val="true"/>
        </w:rPr>
        <w:t xml:space="preserve">. </w:t>
      </w:r>
      <w:r>
        <w:rPr>
          <w:rtl w:val="true"/>
        </w:rPr>
        <w:t>جهانى بودن دين خاتم و جامعيت آن</w:t>
      </w:r>
      <w:bookmarkEnd w:id="61"/>
    </w:p>
    <w:p>
      <w:pPr>
        <w:pStyle w:val="BookText"/>
        <w:rPr/>
      </w:pPr>
      <w:r>
        <w:rPr>
          <w:rFonts w:ascii="IRNazanin" w:hAnsi="IRNazanin" w:eastAsia="IRNazanin"/>
          <w:color w:val="111111"/>
          <w:sz w:val="28"/>
          <w:sz w:val="28"/>
          <w:szCs w:val="28"/>
          <w:rtl w:val="true"/>
          <w:lang w:bidi="fa-IR"/>
        </w:rPr>
        <w:t xml:space="preserve">برخى آيات قرآن، اسلام را دين جهانى، و هديه اى از جانب خداوند براى تمام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گروه و منطقه 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بگو اى مردم، من پيامبر خدا به سوى همه ى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تو را جز رحمتى براى جهانيان نفرستاده ايم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ى جهانى بودن دين خاتم آن است كه توانايى هدايت و راهنمايى تمام جوامع بشرى، حتى جوامع مترقى را كه معارف در سطح بالاترى را مى طلبند،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اين گونه است</w:t>
      </w:r>
      <w:r>
        <w:rPr>
          <w:rFonts w:eastAsia="IRNazanin" w:cs="IRNazanin"/>
          <w:color w:val="111111"/>
          <w:sz w:val="28"/>
          <w:szCs w:val="28"/>
          <w:rtl w:val="true"/>
          <w:lang w:bidi="fa-IR"/>
        </w:rPr>
        <w:t xml:space="preserve">. </w:t>
      </w:r>
      <w:bookmarkStart w:id="62" w:name="pg10696_94802"/>
    </w:p>
    <w:p>
      <w:pPr>
        <w:pStyle w:val="Heading4"/>
        <w:numPr>
          <w:ilvl w:val="3"/>
          <w:numId w:val="1"/>
        </w:numPr>
        <w:rPr/>
      </w:pPr>
      <w:bookmarkStart w:id="63" w:name="__RefHeading___Toc2367116_1051229030"/>
      <w:bookmarkStart w:id="64" w:name="_Toc22"/>
      <w:bookmarkEnd w:id="62"/>
      <w:bookmarkEnd w:id="63"/>
      <w:r>
        <w:rPr/>
        <w:t>2</w:t>
      </w:r>
      <w:r>
        <w:rPr>
          <w:rtl w:val="true"/>
        </w:rPr>
        <w:t xml:space="preserve">. </w:t>
      </w:r>
      <w:r>
        <w:rPr>
          <w:rtl w:val="true"/>
        </w:rPr>
        <w:t>جاودانگى دين خاتم و جامعيت آن</w:t>
      </w:r>
      <w:bookmarkEnd w:id="64"/>
    </w:p>
    <w:p>
      <w:pPr>
        <w:pStyle w:val="BookText"/>
        <w:rPr/>
      </w:pPr>
      <w:r>
        <w:rPr>
          <w:rFonts w:ascii="IRNazanin" w:hAnsi="IRNazanin" w:eastAsia="IRNazanin"/>
          <w:color w:val="111111"/>
          <w:sz w:val="28"/>
          <w:sz w:val="28"/>
          <w:szCs w:val="28"/>
          <w:rtl w:val="true"/>
          <w:lang w:bidi="fa-IR"/>
        </w:rPr>
        <w:t xml:space="preserve">از ديگر ويژگى ها و امتيازات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ظهورش توأم با پايان يافتن و خاتمه يافتن نبوت بوده است و احكام و تعاليم آن برنامه ى حيات بخش را براى تمام انسان ها در همه ى زمان ها ارائه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محمد پدر هيچ يك از مردان شما نيست، ولى فرستاده ى خدا و خاتم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بزرگ و خجسته است كسى كه بر بنده ى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جداسازنده 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فرموده، تا براى جهانيان هشدار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كه قرآن آخرين دين الهى و آورنده ى آن خاتم پيامبران و تعاليم و احكام آن سند هدايت براى كل آدمى است، انتظار مى رود كه اسلام براى تمام انسان ها در اعصار مختلف سخن داشته باشد و زمينه ى هدايت و سعادت دنيوى و اخروى همه ى جوامع، حتى پيچيده ترين آنها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آيات ديگرى نيز براى جامعيت دين خاتم مورد استناد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آياتى كه قرآن را تبيان هر چيزى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اين كتاب را كه روشنگر هر چيز و رهنمود و رحمت و بشارتگر مسلمانان است، بر تو نازل كرديم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صفات عمومى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قرآن، كتاب تربيت و انسان سازى است، و براى تكامل فرد و جامعه، در همه ى ابعاد معنوى و مادى نازل گشته </w:t>
      </w:r>
    </w:p>
    <w:p>
      <w:pPr>
        <w:pStyle w:val="BookText"/>
        <w:rPr/>
      </w:pPr>
      <w:r>
        <w:rPr>
          <w:rFonts w:ascii="IRNazanin" w:hAnsi="IRNazanin" w:eastAsia="IRNazanin"/>
          <w:color w:val="111111"/>
          <w:sz w:val="28"/>
          <w:sz w:val="28"/>
          <w:szCs w:val="28"/>
          <w:rtl w:val="true"/>
          <w:lang w:bidi="fa-IR"/>
        </w:rPr>
        <w:t xml:space="preserve">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امورى است كه براى پيمودن اين راه هدايت لازم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به بيان ديگر، آنچه در سعادت و هدايت انسان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مسائل ارزشى و اخلاقى، معارف حقيقى مربوط به جهان بينى، حقوقى، اقتصادى، سياسى و مسائل مربوط به جهان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روايات فراوانى نيز از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جامعيت دين خاتم نقل شده كه به ذكر برخى از آنها اكتفا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سفر حجة الوداع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هيچ چيزى نيست كه شما را به بهشت نزديك و از آتش جهنم دور كند، مگر آن كه شما را به آن امر نموده ام، و هيچ چيزى نيست كه شما را به آتش جهنم نزديك و از بهشت دور كند، مگر آن كه شما را از آن نهى كرده 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كه فرمود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تبارك وتعالى قرآن را بيانگر هر چيزى قرار داده است، حتى به خدا سوگند كه چيزى را كه بندگان خدا به آن احتياج دارند رها نكرده، تا آن جا كه كسى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خداوند آن را در قرآن بيان مى كرد، ولى نكرده است</w:t>
      </w:r>
      <w:r>
        <w:rPr>
          <w:rFonts w:eastAsia="IRNazanin" w:cs="IRNazanin"/>
          <w:color w:val="111111"/>
          <w:sz w:val="28"/>
          <w:szCs w:val="28"/>
          <w:rtl w:val="true"/>
          <w:lang w:bidi="fa-IR"/>
        </w:rPr>
        <w:t>.</w:t>
      </w:r>
      <w:r>
        <w:rPr>
          <w:rStyle w:val="FootnoteAnchor"/>
          <w:rtl w:val="true"/>
        </w:rPr>
        <w:footnoteReference w:id="48"/>
      </w:r>
      <w:bookmarkStart w:id="65" w:name="pg10696_94804"/>
    </w:p>
    <w:p>
      <w:pPr>
        <w:pStyle w:val="Heading3"/>
        <w:numPr>
          <w:ilvl w:val="2"/>
          <w:numId w:val="1"/>
        </w:numPr>
        <w:rPr/>
      </w:pPr>
      <w:bookmarkStart w:id="66" w:name="__RefHeading___Toc2367118_1051229030"/>
      <w:bookmarkStart w:id="67" w:name="_Toc23"/>
      <w:bookmarkEnd w:id="65"/>
      <w:bookmarkEnd w:id="66"/>
      <w:r>
        <w:rPr>
          <w:rtl w:val="true"/>
        </w:rPr>
        <w:t>چرا دين كامل و جامعى كه ما آن را اسلام مى ناميم از همان اول بر انسان عرضه نشد؟</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دين كامل و جامعى كه ما آن را اسلام مى ناميم از همان اول بر انسان عرضه نشد؟ آيا انسان هاى اوليه حق به كمال رسيدن و سعادتمند شدن را نداشتند؟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پاسخ به سؤال مذكور لازم است ابتدا مقدمه اى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اديان توحيدى كه همان اديان آسمانى و حقيقى اند، سه اصل كلى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خداى يگانه، اعتقاد به زندگى ابدى براى هر فردى از انسان در عالم آخرت و دريافت پاداش و كيفر اعمالى كه در اين جهان انجام داده است و اعتقاد به بعثت پيامبران از طرف خداوند متعال براى هدايت بشر به سوى كمال نهايى و سعادت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 حقيقت دين كه همان تسليم شدن در برابر خدا و اطاعت او، در آنچه از طريق پيامبرانش خواسته است براى همه ى اقوام و ملل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تعبير قرآن كريم روح اديان آسمانى يك چيز است و قرآن هيچ گاه كلمه ى دين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نبرده است و مقصود قرآن از اين كه نام اسلام را بر اين دين مى نهد آن نيست كه در همه ى دوره هاى تاريخ، دين خدا به اين نام معروف بوده است، بلكه مقصود آن است كه دين حقيقتى دارد كه بهترين تعبير از آن، لفظ اسلام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انسان ها در همه ى شرايط داراى فطرت ثابت و حقيقت واحدى هستند و از آن جا كه دين براى تربيت انسان و تأمين سعادت واقعى بشر آمده است، تنوع و تعدد اديان ممكن نيست</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از اين رو همه ى شريعت ها در زمان خود بهترين و كامل ترين طريق براى تضمين تكامل و سعادت انسان ها بوده اند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اديان الهى هيچ گونه تفاوتى در اصول با هم ندارند و اختلاف آنها اولا، تنها در برخى مسائل فرعى است كه بر اساس مقتضيات زمان و ويژگى هاى محيط و مخاطبان، متفاوت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در سطح تعاليمى است كه به موازات تكامل بشر به تدريج و </w:t>
      </w:r>
    </w:p>
    <w:p>
      <w:pPr>
        <w:pStyle w:val="BookText"/>
        <w:rPr/>
      </w:pPr>
      <w:r>
        <w:rPr>
          <w:rFonts w:ascii="Amiri" w:hAnsi="Amiri" w:eastAsia="Amiri" w:cs="Amiri"/>
          <w:color w:val="111111"/>
          <w:sz w:val="28"/>
          <w:sz w:val="28"/>
          <w:szCs w:val="28"/>
          <w:rtl w:val="true"/>
          <w:lang w:bidi="ar-SA"/>
        </w:rPr>
        <w:t>مرحله به مرحله ارتقا يافته است و اين البتّه تكامل دين است، نه اختلاف اديان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بدين ترتيب، علت عدم نزول شريعت جامع و كامل اسلام براى انسان هاى نخستين را مى توان در سه امر جستوجو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آمادگى بشر اوليه براى دريافت طرحى جامع در دوره هاى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دليل عدم بلوغ فكرى، قادر به دريافت يك طرح جامع براى زندگى خود نبود، از اين رو، لازم بود با تجديد نبوت ها به تدريج و منزل به منزل راه نمايانى براى او فرستاده شوند، تا وى را در رسيدن به سعادت خويش و دريافت برنامه ى نهايى مهيا سازند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زندگى انسان در دوره ها و سرزمين هاى گوناگون، در حال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گوناگونى وضعيت ها به ويژه پيچيده تر شدن زندگى و ارتباطات اجتماعى مى تواند در كم و كيف احكام و قوانين اجتماعى دين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اگر پيامبران قوانين پيچيده ى امروز را هزاران سال قبل براى مردم تبيين مى كردند، مرتكب كار بيهوده و لغوى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حفظ و تطبيق آنها بر موارد خاص در زمان هاى بعد، بسيار دشوار مى 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دوره ى ظهور اسلام، رشد و بلوغ فكرى بشر او را قادر ساخت كه اوّلاً، برنامه ى تكاملى جامع خود را يك جا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پس از پيامبر اسلام در پرتو راه نمايى ها و دستورهاى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ايشان در زمان غيبت كبرى در پرتو اجتهاد علماى </w:t>
      </w:r>
    </w:p>
    <w:p>
      <w:pPr>
        <w:pStyle w:val="BookText"/>
        <w:rPr/>
      </w:pPr>
      <w:r>
        <w:rPr>
          <w:rFonts w:ascii="Amiri" w:hAnsi="Amiri" w:eastAsia="Amiri" w:cs="Amiri"/>
          <w:color w:val="111111"/>
          <w:sz w:val="28"/>
          <w:sz w:val="28"/>
          <w:szCs w:val="28"/>
          <w:rtl w:val="true"/>
          <w:lang w:bidi="ar-SA"/>
        </w:rPr>
        <w:t>اسلام شناس و متخصص در دين مى توانند كليات وحى را با اوضاع متغير زمانى و مكانى منطبق سازند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ويژگى هاى منحصر به فرد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معنوى ايشان به چنان قوامى رسيده بود كه به آن حضرت امكان مى داد تا همه ى مراتب ممكن و لازم را براى دريافت وحى الهى طى كند، به گونه اى كه هيچ مرتبه و مرحله ى كشف ناشده اى باقى نماند كه پيامبر ديگرى پس از ايشان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من خَتَم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كسى است كه همه ى مراتب را طى كرده و مرتبه ى طى نشده اى باقى نگذارده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8" w:name="pg10696_94807"/>
    </w:p>
    <w:p>
      <w:pPr>
        <w:pStyle w:val="Heading2"/>
        <w:numPr>
          <w:ilvl w:val="1"/>
          <w:numId w:val="1"/>
        </w:numPr>
        <w:rPr/>
      </w:pPr>
      <w:bookmarkStart w:id="69" w:name="__RefHeading___Toc2367120_1051229030"/>
      <w:bookmarkStart w:id="70" w:name="_Toc24"/>
      <w:bookmarkEnd w:id="68"/>
      <w:bookmarkEnd w:id="69"/>
      <w:r>
        <w:rPr>
          <w:rtl w:val="true"/>
        </w:rPr>
        <w:t>حقوق</w:t>
      </w:r>
      <w:bookmarkEnd w:id="70"/>
    </w:p>
    <w:p>
      <w:pPr>
        <w:pStyle w:val="Heading3"/>
        <w:numPr>
          <w:ilvl w:val="2"/>
          <w:numId w:val="1"/>
        </w:numPr>
        <w:rPr/>
      </w:pPr>
      <w:bookmarkStart w:id="71" w:name="__RefHeading___Toc2367122_1051229030"/>
      <w:bookmarkStart w:id="72" w:name="_Toc25"/>
      <w:bookmarkEnd w:id="71"/>
      <w:r>
        <w:rPr>
          <w:rtl w:val="true"/>
        </w:rPr>
        <w:t>اشاره</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مصلحت در فقه شيعه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در فقه شيعه چه تفاوتى با مصالح مرسله ى در فقه عامّه دارد؟</w:t>
      </w:r>
    </w:p>
    <w:p>
      <w:pPr>
        <w:pStyle w:val="BookText"/>
        <w:rPr/>
      </w:pPr>
      <w:r>
        <w:rPr>
          <w:rFonts w:ascii="IRNazanin" w:hAnsi="IRNazanin" w:eastAsia="IRNazanin"/>
          <w:color w:val="111111"/>
          <w:sz w:val="28"/>
          <w:sz w:val="28"/>
          <w:szCs w:val="28"/>
          <w:rtl w:val="true"/>
          <w:lang w:bidi="fa-IR"/>
        </w:rPr>
        <w:t>سید حسین هاشمی</w:t>
      </w:r>
    </w:p>
    <w:p>
      <w:pPr>
        <w:pStyle w:val="BookText"/>
        <w:rPr/>
      </w:pPr>
      <w:r>
        <w:rPr>
          <w:rFonts w:ascii="Amiri" w:hAnsi="Amiri" w:eastAsia="Amiri" w:cs="Amiri"/>
          <w:color w:val="111111"/>
          <w:sz w:val="28"/>
          <w:sz w:val="28"/>
          <w:szCs w:val="28"/>
          <w:rtl w:val="true"/>
          <w:lang w:bidi="ar-SA"/>
        </w:rPr>
        <w:t>آيا ولى فقيه مى تواند در احكام شرعى دخالت و آنها را به عنوان مصلحت نظام تعطيل كند؟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ملک زاده </w:t>
      </w:r>
      <w:bookmarkStart w:id="73" w:name="pg10696_94809"/>
    </w:p>
    <w:p>
      <w:pPr>
        <w:pStyle w:val="Heading3"/>
        <w:numPr>
          <w:ilvl w:val="2"/>
          <w:numId w:val="1"/>
        </w:numPr>
        <w:rPr/>
      </w:pPr>
      <w:bookmarkStart w:id="74" w:name="__RefHeading___Toc2367124_1051229030"/>
      <w:bookmarkStart w:id="75" w:name="_Toc26"/>
      <w:bookmarkEnd w:id="73"/>
      <w:bookmarkEnd w:id="74"/>
      <w:r>
        <w:rPr>
          <w:rtl w:val="true"/>
        </w:rPr>
        <w:t>مصلحت در فقه شيعه</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امت كه حكومت اسلامى مأمور به حفظ آن است، از مبانى مهم نظام اسلامى است و چون اين مصلحت مقدم بر مصلحت فرد است، حاكم اسلامى بايد اين اختيار را داشته باشد كه بتواند در موارد ضرورى هر نوع دخالتى را در راه تأمين مصالح دين و جامعه ى اسلامى و حفظ حقوق الهى، اجتماعى و فردى صورت دهد وگرنه، به فرموده ى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مصلحت نظام موجب شكست اسلام عزيز و زير سؤال رفتن اسلام خواهد شد</w:t>
      </w:r>
      <w:r>
        <w:rPr>
          <w:rFonts w:eastAsia="IRNazanin" w:cs="IRNazanin"/>
          <w:color w:val="111111"/>
          <w:sz w:val="28"/>
          <w:szCs w:val="28"/>
          <w:rtl w:val="true"/>
          <w:lang w:bidi="fa-IR"/>
        </w:rPr>
        <w:t xml:space="preserve">. </w:t>
      </w:r>
      <w:bookmarkStart w:id="76" w:name="pg10696_94810"/>
    </w:p>
    <w:p>
      <w:pPr>
        <w:pStyle w:val="Heading3"/>
        <w:numPr>
          <w:ilvl w:val="2"/>
          <w:numId w:val="1"/>
        </w:numPr>
        <w:rPr/>
      </w:pPr>
      <w:bookmarkStart w:id="77" w:name="__RefHeading___Toc2367126_1051229030"/>
      <w:bookmarkStart w:id="78" w:name="_Toc27"/>
      <w:bookmarkEnd w:id="76"/>
      <w:bookmarkEnd w:id="77"/>
      <w:r>
        <w:rPr>
          <w:rtl w:val="true"/>
        </w:rPr>
        <w:t>مصلحت در فقه شيعه چه تفاوتى با مصالح مرسله ى در فقه عامّه دارد؟</w:t>
      </w:r>
      <w:bookmarkEnd w:id="78"/>
    </w:p>
    <w:p>
      <w:pPr>
        <w:pStyle w:val="BookText"/>
        <w:rPr/>
      </w:pPr>
      <w:r>
        <w:rPr>
          <w:rFonts w:ascii="Amiri" w:hAnsi="Amiri" w:eastAsia="Amiri" w:cs="Amiri"/>
          <w:color w:val="111111"/>
          <w:sz w:val="28"/>
          <w:sz w:val="28"/>
          <w:szCs w:val="28"/>
          <w:rtl w:val="true"/>
          <w:lang w:bidi="ar-SA"/>
        </w:rPr>
        <w:t>سيد حسين هاشمى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برخى مذاهب اهل سنّت و در رأس آن ها مذهب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استنباط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نهاد مجمع تشخيص مصلحت در قانون اساسى جمهورى اسلامى ايران، اين سؤال را برانگيخته است كه اين نهاد با توجه به مبانى آن در فقه شيعه، با مصالح مرسله چه تفاوتى دارد؟</w:t>
      </w:r>
    </w:p>
    <w:p>
      <w:pPr>
        <w:pStyle w:val="BookText"/>
        <w:rPr/>
      </w:pPr>
      <w:r>
        <w:rPr>
          <w:rFonts w:ascii="IRNazanin" w:hAnsi="IRNazanin" w:eastAsia="IRNazanin"/>
          <w:color w:val="111111"/>
          <w:sz w:val="28"/>
          <w:sz w:val="28"/>
          <w:szCs w:val="28"/>
          <w:rtl w:val="true"/>
          <w:lang w:bidi="fa-IR"/>
        </w:rPr>
        <w:t>قبل از پاسخ به اين پرسش، لازم است معناى مصالح مرسله از ديدگاه فقه اهل سنت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نظريه ى برخى علماى اهل سنّت، مصالح، به سه دسته تقسيم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مصالحى كه شارع به معتبر بودن آن ها تصريح نموده است، مانند قصاص براى مصلحت حفظ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مصالحى كه شارع به غيرمعتبر بودن آن ها تصريح نموده است، مانند تصريح شارع به عدم اعتبار معاملات ناشى از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مرسله، يعنى مصالحى كه شارع نه به اعتبار آن تصريح كرده و نه به الغاى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در تعريف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مرسله عبارت است از اوصافى كه با تصرفات و اهداف شرع هماهنگى دارد، ولى دليل معين شرعى نسبت به اعتبار يا عدم اعتبار آن وجود ندارد و ارتباط حكم با آن ها، موجب جلب مصلحت يا دفع مفسده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آنها ذاتى نيست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مصالح مرسله از نظر درجه ى اهميت بر سه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ضروريّه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مصالحى كه حيات انسان ها و قوام و بقاى جامعه ى اسلامى</w:t>
      </w:r>
    </w:p>
    <w:p>
      <w:pPr>
        <w:pStyle w:val="BookText"/>
        <w:rPr/>
      </w:pPr>
      <w:r>
        <w:rPr>
          <w:rFonts w:ascii="IRNazanin" w:hAnsi="IRNazanin" w:eastAsia="IRNazanin"/>
          <w:color w:val="111111"/>
          <w:sz w:val="28"/>
          <w:sz w:val="28"/>
          <w:szCs w:val="28"/>
          <w:rtl w:val="true"/>
          <w:lang w:bidi="fa-IR"/>
        </w:rPr>
        <w:t>بر آن ها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توجه نكردن به اين مصالح،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حاجيّه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مصالح مربوط به آن دسته از نيازهايى كه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مشقّت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مراعات نكردن آن ها باعث اختلال نظام نشود و بتوان با تحمّل نوعى مشقّت، از آن ها چشم پوشيد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تحسينيّه ياكماليّه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مصالحى كه عدم مراعات آن ها نه باعث اختلال نظام اسلامى است و نه موجب مشقّت و حرج، بلكه صرفاً به منظور</w:t>
      </w:r>
    </w:p>
    <w:p>
      <w:pPr>
        <w:pStyle w:val="BookText"/>
        <w:rPr/>
      </w:pPr>
      <w:r>
        <w:rPr>
          <w:rFonts w:ascii="IRNazanin" w:hAnsi="IRNazanin" w:eastAsia="IRNazanin"/>
          <w:color w:val="111111"/>
          <w:sz w:val="28"/>
          <w:sz w:val="28"/>
          <w:szCs w:val="28"/>
          <w:rtl w:val="true"/>
          <w:lang w:bidi="fa-IR"/>
        </w:rPr>
        <w:t>حفظ مكارم اخلاق و آداب پسنديده مقرر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ميانه روى و اعتدال در امور زندگى و قناعت در امر معاش</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برخى مذاهب اسلامى، از جمله مذهب شافعيه، مصالح مرسله را، به معنايى كه گذشت، مطلقاً نفى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آمدى، از فقهاى اهل سنت، معتقد است كه حنفيه نيز مانند شافعيه، بر عدم اعتبار مصالح مرسله اتفاق نظر دارند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اما با وجود انتساب عدم اعتقاد حنفيه به مصالح مرسله، بعضى بر اين عقيده اند كه حنفيه نيز آن را معتبر مى دانند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مذاهب اسلامى، مثل مالكيه و حنابله، مصالح مرسله را مطلقاً حجت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اختصاص و عدم اختصاص مصالح مرسله به امور ضرورى اختلاف نظر </w:t>
      </w:r>
      <w:bookmarkStart w:id="79" w:name="pg10696_94812"/>
    </w:p>
    <w:p>
      <w:pPr>
        <w:pStyle w:val="BookText"/>
        <w:rPr/>
      </w:pPr>
      <w:bookmarkEnd w:id="79"/>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بيضاوى و غزالى، از علماى معروف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را با سه شرط، معتبر و حجت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براى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براى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احتمالى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و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نفع جمعى خاص</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0" w:name="__RefHeading___Toc2367128_1051229030"/>
      <w:bookmarkStart w:id="81" w:name="_Toc28"/>
      <w:bookmarkEnd w:id="80"/>
      <w:r>
        <w:rPr>
          <w:rtl w:val="true"/>
        </w:rPr>
        <w:t>مقايسه ى مصالح مرسله با مصلحت در فقه شيعه</w:t>
      </w:r>
      <w:bookmarkEnd w:id="81"/>
    </w:p>
    <w:p>
      <w:pPr>
        <w:pStyle w:val="BookText"/>
        <w:rPr/>
      </w:pPr>
      <w:r>
        <w:rPr>
          <w:rFonts w:ascii="IRNazanin" w:hAnsi="IRNazanin" w:eastAsia="IRNazanin"/>
          <w:color w:val="111111"/>
          <w:sz w:val="28"/>
          <w:sz w:val="28"/>
          <w:szCs w:val="28"/>
          <w:rtl w:val="true"/>
          <w:lang w:bidi="fa-IR"/>
        </w:rPr>
        <w:t>برخى معتقدند با دقت نظر در معناى مصالح مرسله از ديدگاه اهل سنّت، مى توان تصديق نمود كه نظريه ى مصالح مرسله با اصول و مبانى شيعه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وجود دليل خاص بر اعتبار و عدم اعتبار آن است، نه اين كه تحت عموماتى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اضطرار و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 گيرند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بنابراين، مصالح ضروريّه و مصالح حاجيّه، كه از اهم مصالح مرسله اند، در عمومات و اطلاقات ادله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فقهاى شيعه نيز در حجّيت و اعتبار عناوين ثانويه ترديدى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بناى عُقلا و عمل آنان به مصالح مرسله، دليل اعتبار شرعى آنهاست و از جانب شارع منعى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به مصالح مرسله، عمل به ظنّ غيرمعتبر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عمل به مصالح مرسله جايز نباشد، دليلى بر اعتبار تشكيل حكومت و تعيين رهبرى و قواى سه گانه و ساير امور مرتبط با دولت كه نص خاصى ندارد، نخواهد بود و موجب تزلزل پايه هاى حكومت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طرف داران مصالح مرسله، لزوم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كلى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اين نظريّه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طرف داران مصالح مرسله، آن را به مواردى </w:t>
      </w:r>
    </w:p>
    <w:p>
      <w:pPr>
        <w:pStyle w:val="BookText"/>
        <w:rPr/>
      </w:pPr>
      <w:r>
        <w:rPr>
          <w:rFonts w:ascii="IRNazanin" w:hAnsi="IRNazanin" w:eastAsia="IRNazanin"/>
          <w:color w:val="111111"/>
          <w:sz w:val="28"/>
          <w:sz w:val="28"/>
          <w:szCs w:val="28"/>
          <w:rtl w:val="true"/>
          <w:lang w:bidi="fa-IR"/>
        </w:rPr>
        <w:t>محدود كرده اند كه مقصود شارع با توجه به كتاب، سنت و اجماع، مراعات گردد و اين گونه مصالح دليل خاص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مجموع قراين و امارات استفاده مى شود كه اين مورد خواست شرع است، به اين شرط كه به كارگيرى اين مصالح، موجب دفع مشقّت و حرجى گردد و از جنس مصالح معتبر در اسلام باشد و مخالف اصول شرع نباشد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 گونه كه ملاحظه گرديد، مصالح مرسله از ديدگاه برخى از اهل سنّت، در صورت التزام به شرايط آن، با اصول مختلف پذيرفته شده در فقه شيعه، از قبيل احكام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قاعده ى نفى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با اندك تسامحى قابل انطباق است، و در واقع مصالح مرسله با شرايط ياد شده، چيزى جز همان سبك اجتهادى پذيرفته شده در فقه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و مسائل مستحدثه بر اصول ثابت اسلامى</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مقابل، برخى ديگر از فقهاى اهل سنّت از شرايط مطرح شده درباره ى مصالح مرسله عدول كرده اند و بعضى از حنابله،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مالكيه كه عمده ترين طرفداران مصلحت مرسله هستند، بر اين باورند كه در باب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تخصيص </w:t>
      </w:r>
    </w:p>
    <w:p>
      <w:pPr>
        <w:pStyle w:val="BookText"/>
        <w:rPr/>
      </w:pPr>
      <w:r>
        <w:rPr>
          <w:rFonts w:ascii="IRNazanin" w:hAnsi="IRNazanin" w:eastAsia="IRNazanin"/>
          <w:color w:val="111111"/>
          <w:sz w:val="28"/>
          <w:sz w:val="28"/>
          <w:szCs w:val="28"/>
          <w:rtl w:val="true"/>
          <w:lang w:bidi="fa-IR"/>
        </w:rPr>
        <w:t>نصوص قرآن و سنت نبوى خواهد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بعضى از فقهاى اهل سنّت نيز تا به آن جا پيش رفته اند كه حاكم اسلامى را مخيّر كرده اند كه حتّى يك سوّم امّت را براى اصلاح دو سوّم ديگر به قتل برساند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برخى از دانشمندان معروف آنها نيز بر اين عقيده اند كه خليفه ى دوّم، بر مبناى اعتقاد به مصالح مرسله، قياس و استحسان، عموم نصوص شرعى را با رأى و استنباط شخصى خود تخصيص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اجتهاد شخصى خوددارى مى نمود و مغاير با كتاب، سنّت و نصوص شرعى رفتار نمى كرد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بنابراين، اهل سنّت قلمرو مصالح مرسله را به خوبى مشخص نكرده اند و هر يك تعريفى متفاوت با ديگر تعريف ها ارائه كرده اند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از اين رو به خوبى مى توان علت مخالفت بسيارى از فقهاى شيعه را با مصلحت مرسله دريافت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سيد محمد تقى حكيم، در يك بررسى علمى و تحقيقى درباره ى اعتبار مصالح مرسله، نظريّه اى معتدل و سازگار با مبانى فقه شيعه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خصوص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مصالح مرسله تعاريف گوناگونى ارائه گرديده كه در برخى از آنها بدين موضوع تصريح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بايد از نصوص و قواعد عمومى اسلام استنباط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طوفى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تعريفى را از مصلحت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اين تعريف آن است كه بايد مصالح مرسله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نمود و اجتهاد در اين گونه موارد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تطبيق كبراى قضيه بر صغراى آن پس از اين كه صغراى قضيه از راه هاى معين شده از طرف شارع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لازم نيست كه چنين مصلحتى، در شرع، ذاتاً و بخصوصه مورد تصريح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الحاق آن به سنّت همين مقدار كافى است كه داخل در مفاهيم كلى سنّت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ديگر تعاريف، مصلحت مرسله فقط در صورتى از ديدگاه شيعه داراى اعتبار است كه منشأ مصلحت انديشى،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گونه موارد ممكن است به اعتبار ميزان دخالت عقل، از نظر درجه ى حجّيت نيز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فهم مصلحت كاملاً از طريق عقل باشد، از نظر شيعه، داراى حجّيت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مقابل حكم عقل، ديگر زمينه اى براى سؤال و استفهام وجود ندارد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مى توان دريافت كه از ديدگاه ايشان، مصالح مرسله در صورتى معتبر است كه خود، منبع مستقل استنباط احكام نباشد، بلكه به سنّت و يا به حكم عقل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اختلاف تعريف ها</w:t>
      </w:r>
      <w:r>
        <w:rPr>
          <w:rFonts w:eastAsia="IRNazanin" w:cs="IRNazanin"/>
          <w:color w:val="111111"/>
          <w:sz w:val="28"/>
          <w:szCs w:val="28"/>
          <w:rtl w:val="true"/>
          <w:lang w:bidi="fa-IR"/>
        </w:rPr>
        <w:t xml:space="preserve">). </w:t>
      </w:r>
      <w:bookmarkStart w:id="82" w:name="pg10696_94816"/>
    </w:p>
    <w:p>
      <w:pPr>
        <w:pStyle w:val="BookText"/>
        <w:rPr/>
      </w:pPr>
      <w:bookmarkEnd w:id="82"/>
      <w:r>
        <w:rPr>
          <w:rFonts w:ascii="IRNazanin" w:hAnsi="IRNazanin" w:eastAsia="IRNazanin"/>
          <w:color w:val="111111"/>
          <w:sz w:val="28"/>
          <w:sz w:val="28"/>
          <w:szCs w:val="28"/>
          <w:rtl w:val="true"/>
          <w:lang w:bidi="fa-IR"/>
        </w:rPr>
        <w:t>بنابراين، همان طور كه برخى نويسندگان اذعان داشته اند، تفاوت اساسى ميان مصلحت در فقه شيعه و مصالح مرسله، در اين است كه مصالح مرسله از منابع استنباط احكام شريعت به شمار مى رود، هر چند در احكام حكومتى نيز كاربرد داشته باشد، ولى در فقه شيعه، مصلحت از منابع مستقل استنباط شرعى به حساب نمى آيد و فقط در احكام حكومتى به كار مى رود و در صورتى معتبر است كه به نوعى با حكم عقل يا سنّت منطبق باشد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نتيجه، تفاوت اساسى اين دو آن است كه حكم مبتنى بر مصالح مرسله، نوعى تشريع و قانون گذارى توسط همه ى فقهاست كه از احكام اوليه و ثابت به شمار مى رود، ولى حكم مبتنى بر مصلحت، در فقه شيعه، از احكام حكومتى و متغيّر است كه با انتفاى موضوع مصلحت، حكم آن نيز از اعتبار ساقط خواهد شد، و تنها از اختيارات حاكم اسلامى است، نه هر فقيهى</w:t>
      </w:r>
      <w:r>
        <w:rPr>
          <w:rFonts w:eastAsia="IRNazanin" w:cs="IRNazanin"/>
          <w:color w:val="111111"/>
          <w:sz w:val="28"/>
          <w:szCs w:val="28"/>
          <w:rtl w:val="true"/>
          <w:lang w:bidi="fa-IR"/>
        </w:rPr>
        <w:t>.</w:t>
      </w:r>
    </w:p>
    <w:p>
      <w:pPr>
        <w:pStyle w:val="Heading3"/>
        <w:numPr>
          <w:ilvl w:val="2"/>
          <w:numId w:val="1"/>
        </w:numPr>
        <w:rPr/>
      </w:pPr>
      <w:bookmarkStart w:id="83" w:name="__RefHeading___Toc2367130_1051229030"/>
      <w:bookmarkStart w:id="84" w:name="_Toc29"/>
      <w:bookmarkEnd w:id="83"/>
      <w:r>
        <w:rPr>
          <w:rtl w:val="true"/>
        </w:rPr>
        <w:t>آيا ولى فقيه مى تواند در احكام شرعى دخالت و آنها را به عنوان مصلحت نظام تعطيل كند؟</w:t>
      </w:r>
      <w:bookmarkEnd w:id="84"/>
    </w:p>
    <w:p>
      <w:pPr>
        <w:pStyle w:val="BookText"/>
        <w:rPr/>
      </w:pPr>
      <w:r>
        <w:rPr>
          <w:rFonts w:ascii="Amiri" w:hAnsi="Amiri" w:eastAsia="Amiri" w:cs="Amiri"/>
          <w:color w:val="111111"/>
          <w:sz w:val="28"/>
          <w:sz w:val="28"/>
          <w:szCs w:val="28"/>
          <w:rtl w:val="true"/>
          <w:lang w:bidi="ar-SA"/>
        </w:rPr>
        <w:t>محمد ملك زاده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توجه به دو نكته لازم و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ولى فقيه در حيطه ى شريعت و قانون الهى است، نه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ولى فقيه تنها مبين و مجرى احكام و قوانين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شيعه آن است كه احكام شرعى، تابع مصالح و مفاسدند و در واقع زير بنا بودن مصلحت، پايه ى مكتب عدل و اساس مذهب تشيع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شيعه معتقد است كه در هر حكم شرعى، اعم از واجب يا حرام، مصلحت يا مفسده اى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گاهى ممكن است در مقام اجراى مصالح، دو حكم به نوعى با يكديگر تزاحم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در چنين وضعيتى بر ولى فقيه لازم است كه با توجه به مصلحت موجود در هر دو حكم، يكى را انتخاب و ديگرى را به طور موقت تعطيل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بايد توجه داشت كه تعطيل نمودن برخى احكام، به معناى تغيير اصل احكام با تقييد و تخصيص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احاديث، حلال و حرامى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معين نموده است، تا روز قيامت تغيير نمى پذيرد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بلكه منظور در حيطه ى اجراى احكام الهى است كه در مقام تزاحم و نيز طبق قاعده ى عقلىِ تقديم اهمّ بر مهمّ، اجراى حكم مهمّ تعطيل مى گردد و اين</w:t>
      </w:r>
    </w:p>
    <w:p>
      <w:pPr>
        <w:pStyle w:val="BookText"/>
        <w:rPr/>
      </w:pPr>
      <w:r>
        <w:rPr>
          <w:rFonts w:ascii="Amiri" w:hAnsi="Amiri" w:eastAsia="Amiri" w:cs="Amiri"/>
          <w:color w:val="111111"/>
          <w:sz w:val="28"/>
          <w:sz w:val="28"/>
          <w:szCs w:val="28"/>
          <w:rtl w:val="true"/>
          <w:lang w:bidi="ar-SA"/>
        </w:rPr>
        <w:t>دقيقاً در راستاى انجام وظيفه ى ولى فقيه در تشكيل نظام اسلامى براى اجراى احكام شريعت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براين اساس، چنانچه ولى فقيه اجراى حكمى از احكام الهى را مانع اصل نظام اسلامى و مضرّ به حال مسلمانان تشخيص دهد، به ناچار، به طور موقت آن را تعطيل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مى فرمايند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كه شعبه اى از ولايت مطلقه 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يكى از احكام اوليه ى اسلام و مقدّم بر تمام احكام فرعيه، حتى نماز،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 تواند در موقع لزوم مساجد را تعطيل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هر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عبادى و چه غيرعبادى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جريان آن مخالف مصالح اسلام است، مادامى كه چنين است،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تواند از حج، كه از فرايض مهمّ الهى است، در مواقعى كه مخالف صلاح كشور اسلامى دانست، موقتاً جلوگيرى كند</w:t>
      </w:r>
      <w:r>
        <w:rPr>
          <w:rFonts w:eastAsia="IRNazanin" w:cs="IRNazanin"/>
          <w:color w:val="111111"/>
          <w:sz w:val="28"/>
          <w:szCs w:val="28"/>
          <w:rtl w:val="true"/>
          <w:lang w:bidi="fa-IR"/>
        </w:rPr>
        <w:t>... .</w:t>
      </w:r>
      <w:r>
        <w:rPr>
          <w:rStyle w:val="FootnoteAnchor"/>
          <w:rtl w:val="true"/>
        </w:rPr>
        <w:footnoteReference w:id="72"/>
      </w:r>
      <w:bookmarkStart w:id="85" w:name="pg10696_94818"/>
    </w:p>
    <w:p>
      <w:pPr>
        <w:pStyle w:val="BookText"/>
        <w:rPr/>
      </w:pPr>
      <w:bookmarkEnd w:id="85"/>
      <w:r>
        <w:rPr>
          <w:rFonts w:ascii="IRNazanin" w:hAnsi="IRNazanin" w:eastAsia="IRNazanin"/>
          <w:color w:val="111111"/>
          <w:sz w:val="28"/>
          <w:sz w:val="28"/>
          <w:szCs w:val="28"/>
          <w:rtl w:val="true"/>
          <w:lang w:bidi="fa-IR"/>
        </w:rPr>
        <w:t>آيت الله جوادى آملى نيز در اين زمينه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اجراى دستورهاى الهى، گاه مواردى پيش مى آيد كه احكام الهى با يكديگر تزاحم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ولى فقيه براى رعايت مصلحت مردم و نظام اسلامى، اجراى برخى از احكام دينى را براى اجراى احكام دينيِ مهم تر موقتاً تعطيل مى كند و اختيار او در اجراى احكام و تعطيل موقت اجراى برخى از احكام، مطلق است و شامل همه ى احكام گوناگون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تمام موارد تزاحم، اهم بر مهم مقدم مى باشد و اين تشخيص علمى و تقديم عملى، به عهده ى فقيه جامع الشرايط رهبرى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آيت الله مصباح يزدى نيز در توضيح اين مطلب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فقيه از آن رو كه به احكام اسلامى آگاهى كامل دارد و مصالح جامعه را بهتر از ديگران مى داند، مى تواند اجراى برخى از احكام را براى حفظ مصالح مهم تر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فقيه، حكمِ اسلامى ديگرى را اجرا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احكام اسلام عوض نشده است بلكه حكمى مهم تر بر مهم پيشى گرفته و اين خود از احكام قطعى اسلام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6" w:name="__RefHeading___Toc2367132_1051229030"/>
      <w:bookmarkStart w:id="87" w:name="_Toc30"/>
      <w:bookmarkEnd w:id="86"/>
      <w:r>
        <w:rPr>
          <w:rtl w:val="true"/>
        </w:rPr>
        <w:t>برخى احكام حكومتى در دوران معصومين</w:t>
      </w:r>
      <w:r>
        <w:rPr>
          <w:rtl w:val="true"/>
        </w:rPr>
        <w:t>(</w:t>
      </w:r>
      <w:r>
        <w:rPr>
          <w:rtl w:val="true"/>
        </w:rPr>
        <w:t>عليهم السلام</w:t>
      </w:r>
      <w:r>
        <w:rPr>
          <w:rtl w:val="true"/>
        </w:rPr>
        <w:t>)</w:t>
      </w:r>
      <w:bookmarkEnd w:id="87"/>
    </w:p>
    <w:p>
      <w:pPr>
        <w:pStyle w:val="BookText"/>
        <w:rPr/>
      </w:pPr>
      <w:r>
        <w:rPr>
          <w:rFonts w:ascii="IRNazanin" w:hAnsi="IRNazanin" w:eastAsia="IRNazanin"/>
          <w:color w:val="111111"/>
          <w:sz w:val="28"/>
          <w:sz w:val="28"/>
          <w:szCs w:val="28"/>
          <w:rtl w:val="true"/>
          <w:lang w:bidi="fa-IR"/>
        </w:rPr>
        <w:t>در دوره ى رسالت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بسيارى از تغيير احكام يافت مى شود كه نه از قبيل مصاديق نسخ احكام است و نه از قبيل احكام ثانويه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مى تواند در محدوده ى شرايط پيش آمده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اكل ميته در صورت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محدوده ى اختيارات امامت و ولايت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خيبر از امورى نهى فرمودند كه در حكم اولى شرع</w:t>
      </w:r>
    </w:p>
    <w:p>
      <w:pPr>
        <w:pStyle w:val="BookText"/>
        <w:rPr/>
      </w:pPr>
      <w:r>
        <w:rPr>
          <w:rFonts w:ascii="IRNazanin" w:hAnsi="IRNazanin" w:eastAsia="IRNazanin"/>
          <w:color w:val="111111"/>
          <w:sz w:val="28"/>
          <w:sz w:val="28"/>
          <w:szCs w:val="28"/>
          <w:rtl w:val="true"/>
          <w:lang w:bidi="fa-IR"/>
        </w:rPr>
        <w:t>حرمتى نداشتند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زكات را تنها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وضع نمودند و حتى با صراحت فرمودند كه زكات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Style w:val="FootnoteAnchor"/>
          <w:rtl w:val="true"/>
        </w:rPr>
        <w:footnoteReference w:id="76"/>
      </w:r>
      <w:r>
        <w:rPr>
          <w:rFonts w:ascii="Amiri" w:hAnsi="Amiri" w:eastAsia="Amiri" w:cs="Amiri"/>
          <w:color w:val="111111"/>
          <w:sz w:val="28"/>
          <w:sz w:val="28"/>
          <w:szCs w:val="28"/>
          <w:rtl w:val="true"/>
          <w:lang w:bidi="ar-SA"/>
        </w:rPr>
        <w:t>امّا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حكومت خويش بنا به مصالحى،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زكات وضع نمودند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اصحاب خمس و فىء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پرداخت خمس را بر همه ى مردم، جز شيعيان واجب نموديم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 همين حكم در شرايط ديگر لغو شده و رواياتى بر وجوب ردّ خمس 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طرف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روايات اشاره بر اين دارند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ميوه ى درخت را، پيش از آشكار شدن باردهى آن، بنا به مصالحى، نهى فرمود، در حالى كه از نظر احكام عامه ى اسلامى، حرمتى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مواردى حاكى از آن است كه گاه به دليل وجود مصالح حكومتى، حاكم اسلامى مى تواند براى رفع تزاحم مصالح، احكام حكومتى مخالف با احكام شرعيه ى فرعيه وضع نمايد</w:t>
      </w:r>
      <w:r>
        <w:rPr>
          <w:rFonts w:eastAsia="IRNazanin" w:cs="IRNazanin"/>
          <w:color w:val="111111"/>
          <w:sz w:val="28"/>
          <w:szCs w:val="28"/>
          <w:rtl w:val="true"/>
          <w:lang w:bidi="fa-IR"/>
        </w:rPr>
        <w:t xml:space="preserve">. </w:t>
      </w:r>
      <w:bookmarkStart w:id="88" w:name="pg10696_94820"/>
    </w:p>
    <w:p>
      <w:pPr>
        <w:pStyle w:val="Heading3"/>
        <w:numPr>
          <w:ilvl w:val="2"/>
          <w:numId w:val="1"/>
        </w:numPr>
        <w:rPr/>
      </w:pPr>
      <w:bookmarkStart w:id="89" w:name="__RefHeading___Toc2367134_1051229030"/>
      <w:bookmarkStart w:id="90" w:name="_Toc31"/>
      <w:bookmarkEnd w:id="88"/>
      <w:bookmarkEnd w:id="89"/>
      <w:r>
        <w:rPr>
          <w:rtl w:val="true"/>
        </w:rPr>
        <w:t>نتيجه</w:t>
      </w:r>
      <w:r>
        <w:rPr>
          <w:rtl w:val="true"/>
        </w:rPr>
        <w:t>:</w:t>
      </w:r>
      <w:bookmarkEnd w:id="90"/>
    </w:p>
    <w:p>
      <w:pPr>
        <w:pStyle w:val="BookText"/>
        <w:rPr/>
      </w:pPr>
      <w:r>
        <w:rPr>
          <w:rFonts w:ascii="IRNazanin" w:hAnsi="IRNazanin" w:eastAsia="IRNazanin"/>
          <w:color w:val="111111"/>
          <w:sz w:val="28"/>
          <w:sz w:val="28"/>
          <w:szCs w:val="28"/>
          <w:rtl w:val="true"/>
          <w:lang w:bidi="fa-IR"/>
        </w:rPr>
        <w:t>پس ولى فقيه، مجرى قوانين الهى است و هيچ دخالتى در محدوده ى قانون گذارى و يا جعل احكام دينى ندارد و نمى تواند به مصلحتِ خود، آنها را كم يا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اجراى يك قانون يا حكم شرعى موجب تزاحم آن با احكام ديگر شود، ولى فقيه مى تواند بر اساس اهميت هر حكم و مصلحتِ نظام اسلامى حكم برتر و مهم تر را مقدم بدارد و آن را اجرا كند و حكم مزاحم را به طور موقت و تا زمانى كه تزاحم وجود دارد تعطيل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پس از رفع تزاحم بلافاصله حكمِ تعطيل شده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اگر ولى فقيه در موارد تزاحم يكى از احكام الهى را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اساس قاعده ى عقلى تقديم اهم 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تعطيل حكم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معناى اجرا نشدن آن به طور موقت است و نه تغيير در اصلِ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اين تعطيلى در مقام اجرا نيز به آن معنا نيست كه ولى فقيه به ميل خود احكام را اجرا كند، بلكه نوع اجرا نيز بايد توسط راه كارهايى كه حكم عقل و شرع آن را تأييد كند صورت پذيرد</w:t>
      </w:r>
      <w:r>
        <w:rPr>
          <w:rFonts w:eastAsia="IRNazanin" w:cs="IRNazanin"/>
          <w:color w:val="111111"/>
          <w:sz w:val="28"/>
          <w:szCs w:val="28"/>
          <w:rtl w:val="true"/>
          <w:lang w:bidi="fa-IR"/>
        </w:rPr>
        <w:t xml:space="preserve">. </w:t>
      </w:r>
      <w:bookmarkStart w:id="91" w:name="pg10696_94821"/>
    </w:p>
    <w:p>
      <w:pPr>
        <w:pStyle w:val="Heading2"/>
        <w:numPr>
          <w:ilvl w:val="1"/>
          <w:numId w:val="1"/>
        </w:numPr>
        <w:rPr/>
      </w:pPr>
      <w:bookmarkStart w:id="92" w:name="__RefHeading___Toc2367136_1051229030"/>
      <w:bookmarkStart w:id="93" w:name="_Toc32"/>
      <w:bookmarkEnd w:id="91"/>
      <w:bookmarkEnd w:id="92"/>
      <w:r>
        <w:rPr>
          <w:rtl w:val="true"/>
        </w:rPr>
        <w:t>سياست</w:t>
      </w:r>
      <w:bookmarkEnd w:id="93"/>
    </w:p>
    <w:p>
      <w:pPr>
        <w:pStyle w:val="Heading3"/>
        <w:numPr>
          <w:ilvl w:val="2"/>
          <w:numId w:val="1"/>
        </w:numPr>
        <w:rPr/>
      </w:pPr>
      <w:bookmarkStart w:id="94" w:name="__RefHeading___Toc2367138_1051229030"/>
      <w:bookmarkStart w:id="95" w:name="_Toc33"/>
      <w:bookmarkEnd w:id="94"/>
      <w:r>
        <w:rPr>
          <w:rtl w:val="true"/>
        </w:rPr>
        <w:t>اشاره</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 فقيه </w:t>
      </w:r>
    </w:p>
    <w:p>
      <w:pPr>
        <w:pStyle w:val="BookText"/>
        <w:rPr/>
      </w:pPr>
      <w:r>
        <w:rPr>
          <w:rFonts w:ascii="IRNazanin" w:hAnsi="IRNazanin" w:eastAsia="IRNazanin"/>
          <w:color w:val="111111"/>
          <w:sz w:val="28"/>
          <w:sz w:val="28"/>
          <w:szCs w:val="28"/>
          <w:rtl w:val="true"/>
          <w:lang w:bidi="fa-IR"/>
        </w:rPr>
        <w:t>ساده ترين و متقن ترين دليل بر اثبات ولايت فقيه چيست؟</w:t>
      </w:r>
    </w:p>
    <w:p>
      <w:pPr>
        <w:pStyle w:val="BookText"/>
        <w:rPr/>
      </w:pPr>
      <w:r>
        <w:rPr>
          <w:rFonts w:ascii="IRNazanin" w:hAnsi="IRNazanin" w:eastAsia="IRNazanin"/>
          <w:color w:val="111111"/>
          <w:sz w:val="28"/>
          <w:sz w:val="28"/>
          <w:szCs w:val="28"/>
          <w:rtl w:val="true"/>
          <w:lang w:bidi="fa-IR"/>
        </w:rPr>
        <w:t>مصطفی جعفر پیشه</w:t>
      </w:r>
    </w:p>
    <w:p>
      <w:pPr>
        <w:pStyle w:val="BookText"/>
        <w:rPr/>
      </w:pPr>
      <w:r>
        <w:rPr>
          <w:rFonts w:ascii="IRNazanin" w:hAnsi="IRNazanin" w:eastAsia="IRNazanin"/>
          <w:color w:val="111111"/>
          <w:sz w:val="28"/>
          <w:sz w:val="28"/>
          <w:szCs w:val="28"/>
          <w:rtl w:val="true"/>
          <w:lang w:bidi="fa-IR"/>
        </w:rPr>
        <w:t>ولى فقيه چه وظايف و مسئوليت هايى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باقر زاده </w:t>
      </w:r>
      <w:bookmarkStart w:id="96" w:name="pg10696_94823"/>
    </w:p>
    <w:p>
      <w:pPr>
        <w:pStyle w:val="BookText"/>
        <w:rPr/>
      </w:pPr>
      <w:bookmarkEnd w:id="96"/>
      <w:r>
        <w:rPr>
          <w:rFonts w:ascii="Amiri" w:hAnsi="Amiri" w:eastAsia="Amiri" w:cs="Amiri"/>
          <w:color w:val="111111"/>
          <w:sz w:val="28"/>
          <w:sz w:val="28"/>
          <w:szCs w:val="28"/>
          <w:rtl w:val="true"/>
          <w:lang w:bidi="ar-SA"/>
        </w:rPr>
        <w:t>سياست</w:t>
      </w:r>
    </w:p>
    <w:p>
      <w:pPr>
        <w:pStyle w:val="Heading3"/>
        <w:numPr>
          <w:ilvl w:val="2"/>
          <w:numId w:val="1"/>
        </w:numPr>
        <w:rPr/>
      </w:pPr>
      <w:bookmarkStart w:id="97" w:name="__RefHeading___Toc2367140_1051229030"/>
      <w:bookmarkStart w:id="98" w:name="_Toc34"/>
      <w:bookmarkEnd w:id="97"/>
      <w:r>
        <w:rPr>
          <w:rtl w:val="true"/>
        </w:rPr>
        <w:t>ولايت فقيه</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سياسى فقهاى شيعى و خصوصاً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توسط كسى كه عالِم به دين و عادل باشد موجب انتقال ولايت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ى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جامعه به وى خواهد شد و چنين كسى همان اختيارات را نيز در اداره ى جامعه ى اسلامى داراست</w:t>
      </w:r>
      <w:r>
        <w:rPr>
          <w:rFonts w:eastAsia="IRNazanin" w:cs="IRNazanin"/>
          <w:color w:val="111111"/>
          <w:sz w:val="28"/>
          <w:szCs w:val="28"/>
          <w:rtl w:val="true"/>
          <w:lang w:bidi="fa-IR"/>
        </w:rPr>
        <w:t xml:space="preserve">. </w:t>
      </w:r>
      <w:bookmarkStart w:id="99" w:name="pg10696_94824"/>
    </w:p>
    <w:p>
      <w:pPr>
        <w:pStyle w:val="Heading3"/>
        <w:numPr>
          <w:ilvl w:val="2"/>
          <w:numId w:val="1"/>
        </w:numPr>
        <w:rPr/>
      </w:pPr>
      <w:bookmarkStart w:id="100" w:name="__RefHeading___Toc2367142_1051229030"/>
      <w:bookmarkStart w:id="101" w:name="_Toc35"/>
      <w:bookmarkEnd w:id="99"/>
      <w:bookmarkEnd w:id="100"/>
      <w:r>
        <w:rPr>
          <w:rtl w:val="true"/>
        </w:rPr>
        <w:t>ساده ترين و متقن ترين دليل بر اثبات ولايت فقيه چيست؟</w:t>
      </w:r>
      <w:bookmarkEnd w:id="101"/>
    </w:p>
    <w:p>
      <w:pPr>
        <w:pStyle w:val="BookText"/>
        <w:rPr/>
      </w:pPr>
      <w:r>
        <w:rPr>
          <w:rFonts w:ascii="IRNazanin" w:hAnsi="IRNazanin" w:eastAsia="IRNazanin"/>
          <w:color w:val="111111"/>
          <w:sz w:val="28"/>
          <w:sz w:val="28"/>
          <w:szCs w:val="28"/>
          <w:rtl w:val="true"/>
          <w:lang w:bidi="fa-IR"/>
        </w:rPr>
        <w:t>مصطفى جعفرپيشه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دلايل متقن و قابل درك براى اقشار مختلف جامعه، دليلى است كه از دو مقدمه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دو مقدمه از امورى هستند كه همه ى انسان ها همواره با آنها سروكار داشته، طبق آن، روش زندگى خود را در تمامى ابعاد فردى و اجتماعى و در همه ى موضوعات و زمينه ها تنظيم مى نمايند</w:t>
      </w:r>
      <w:r>
        <w:rPr>
          <w:rFonts w:eastAsia="IRNazanin" w:cs="IRNazanin"/>
          <w:color w:val="111111"/>
          <w:sz w:val="28"/>
          <w:szCs w:val="28"/>
          <w:rtl w:val="true"/>
          <w:lang w:bidi="fa-IR"/>
        </w:rPr>
        <w:t>.</w:t>
      </w:r>
    </w:p>
    <w:p>
      <w:pPr>
        <w:pStyle w:val="Heading3"/>
        <w:numPr>
          <w:ilvl w:val="2"/>
          <w:numId w:val="1"/>
        </w:numPr>
        <w:rPr/>
      </w:pPr>
      <w:bookmarkStart w:id="102" w:name="__RefHeading___Toc2367144_1051229030"/>
      <w:bookmarkStart w:id="103" w:name="_Toc36"/>
      <w:bookmarkEnd w:id="102"/>
      <w:r>
        <w:rPr>
          <w:rtl w:val="true"/>
        </w:rPr>
        <w:t>مقدمه ى اول</w:t>
      </w:r>
      <w:r>
        <w:rPr>
          <w:rtl w:val="true"/>
        </w:rPr>
        <w:t xml:space="preserve">: </w:t>
      </w:r>
      <w:r>
        <w:rPr>
          <w:rtl w:val="true"/>
        </w:rPr>
        <w:t>رجوع به كارشناس امين</w:t>
      </w:r>
      <w:bookmarkEnd w:id="103"/>
    </w:p>
    <w:p>
      <w:pPr>
        <w:pStyle w:val="BookText"/>
        <w:rPr/>
      </w:pPr>
      <w:r>
        <w:rPr>
          <w:rFonts w:ascii="IRNazanin" w:hAnsi="IRNazanin" w:eastAsia="IRNazanin"/>
          <w:color w:val="111111"/>
          <w:sz w:val="28"/>
          <w:sz w:val="28"/>
          <w:szCs w:val="28"/>
          <w:rtl w:val="true"/>
          <w:lang w:bidi="fa-IR"/>
        </w:rPr>
        <w:t>بر اساس يك درك مشترك عقلايى، كه تمامى خردمندان آن را سيره و روش زندگى خود قرار داده اند، انسان ها در بسيارى از كارهاى خود حتى گاه در كوچك ترين آنها، با فردى خبره، كاردان و مورد اعتماد و امين مشاوره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براى رسيدن به توسعه و تمدن به اين سيره ى عقلايى پاى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عقلايى مورد توجه آموزه هاى دينى نيز قرار گرفته است، چنان كه قرآن كريم از قول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اجْعَلْنِى عَلى خَزائِنِ الْأَرْضِ إِنِّى حَفِيظٌ عَلِيمٌ</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 دارنده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داراى دو ويژگى تعهد و امانت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كاردانى و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دانست، چنين پيش نهادى را به عزيز مصر داد</w:t>
      </w:r>
      <w:r>
        <w:rPr>
          <w:rFonts w:eastAsia="IRNazanin" w:cs="IRNazanin"/>
          <w:color w:val="111111"/>
          <w:sz w:val="28"/>
          <w:szCs w:val="28"/>
          <w:rtl w:val="true"/>
          <w:lang w:bidi="fa-IR"/>
        </w:rPr>
        <w:t>.</w:t>
      </w:r>
    </w:p>
    <w:p>
      <w:pPr>
        <w:pStyle w:val="Heading3"/>
        <w:numPr>
          <w:ilvl w:val="2"/>
          <w:numId w:val="1"/>
        </w:numPr>
        <w:rPr/>
      </w:pPr>
      <w:bookmarkStart w:id="104" w:name="__RefHeading___Toc2367146_1051229030"/>
      <w:bookmarkStart w:id="105" w:name="_Toc37"/>
      <w:bookmarkEnd w:id="104"/>
      <w:r>
        <w:rPr>
          <w:rtl w:val="true"/>
        </w:rPr>
        <w:t>مقدمه ى دوم</w:t>
      </w:r>
      <w:r>
        <w:rPr>
          <w:rtl w:val="true"/>
        </w:rPr>
        <w:t xml:space="preserve">: </w:t>
      </w:r>
      <w:r>
        <w:rPr>
          <w:rtl w:val="true"/>
        </w:rPr>
        <w:t>اصل تنزّل تدريجى</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عقلا، بر اساس راه نمايى نيروى انديشه و خرد خويش، همواره در زندگى فردى و اجتماعى خود شيوه و روشى را برمى گزينند كه از آن مى توان با نام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تدريجى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 نمود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بر اساس اين اصل، هرگاه شرايط به گونه اى تحميل شود كه آدمى را از دست يافتن به هدف نخست، مطلوب و ايده آل خود محروم سازد، چنانچه آن مطلوب از امور حياتى و ضرورى فرد يا جامعه باشد، به ناچار، اندكى در شرايط مطلوب و خواسته ى خويش تعديل نموده، به مطلوب درجه ى دو و سه و پايين تر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زندگى فردى، بيمارى كه درمان خويش را موقوف بر مراجعه به پزشك متخصص ماهر و باتجربه مى بيند، اگر در شرايط يا محيطى قرار گيرد كه دست رسى به چنين پزشكى ممكن نباشد، هرگز دست روى دست نمى گذارد، بلكه به حكم عقل و فطرت و بر اساس سيره ى عقلا، تن به شرايط تحميلى داده، به پزشك عمومى و غيرمتخصص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حفظ حيات خويش را در درجه ى اول ضرورت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تمام زمينه ها و حتى در امور اجتماعى نيز اين گونه اند و در صورت ضرورت، از شرايط درجه ى اول عدول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مدير لايق و شايسته، ميان مطلوب واقعى و مطلوب در دست رس شكافى مشاهده نمود و رسيدن به ايده آل را ممكن ندانست، براى رسيدن به هدف، به راه هاى ديگر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را اگر نتوان كشيد، هم به قدر تشنگى بايد چشيد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با اين سيره و روش عقلايى مخالفت ننموده و مردم را از پيروى آن نهى نكرده بلكه در بسيارى از مقررات دينى، از اين روش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احكام نماز آمده است كه نمازگزار بايد نماز را به حالت ايستاده بخواند، اما اگر فردى توان ايستادن را ندارد، بايد نشسته و يا حتى خوابيده نماز بخواند، ولى تكليف از او برداشته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bookmarkStart w:id="106" w:name="pg10696_94826"/>
    </w:p>
    <w:p>
      <w:pPr>
        <w:pStyle w:val="BookText"/>
        <w:rPr/>
      </w:pPr>
      <w:bookmarkEnd w:id="106"/>
      <w:r>
        <w:rPr>
          <w:rFonts w:ascii="IRNazanin" w:hAnsi="IRNazanin" w:eastAsia="IRNazanin"/>
          <w:color w:val="111111"/>
          <w:sz w:val="28"/>
          <w:sz w:val="28"/>
          <w:szCs w:val="28"/>
          <w:rtl w:val="true"/>
          <w:lang w:bidi="fa-IR"/>
        </w:rPr>
        <w:t>فردى كه در اثر جراحت و زخم، نمى تواند وضو بگيرد، وظيفه اش وضوى جبيره و يا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احكام وقف نيز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به وقف ممكن نباشد، بايستى موقوفه را در راهى كه به هدف واقف نزديك تر است مصرف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منافع و درآمد باغى، وقف خريد شمع براى مسجد باشد، اما اكنون كه نياز به شمع منتفى شده، درآمد را بايد صرف روشنايى و هزينه ى برق مسجد كرد، تا حتى الامكان، هدف واقف تأمين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نيز به اين اصل عقلايى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از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سخت و مشكل موجب انصراف انسان از انجام كار ميسور و در حد توان،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مطلوب و هدفى كه به صورت كامل و صددرصد، دست يافتنى نيست، نبايد به طور كامل رها شود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367148_1051229030"/>
      <w:bookmarkStart w:id="108" w:name="_Toc38"/>
      <w:bookmarkEnd w:id="107"/>
      <w:r>
        <w:rPr>
          <w:rtl w:val="true"/>
        </w:rPr>
        <w:t>تبيين دليل</w:t>
      </w:r>
      <w:bookmarkEnd w:id="108"/>
    </w:p>
    <w:p>
      <w:pPr>
        <w:pStyle w:val="BookText"/>
        <w:rPr/>
      </w:pPr>
      <w:r>
        <w:rPr>
          <w:rFonts w:ascii="IRNazanin" w:hAnsi="IRNazanin" w:eastAsia="IRNazanin"/>
          <w:color w:val="111111"/>
          <w:sz w:val="28"/>
          <w:sz w:val="28"/>
          <w:szCs w:val="28"/>
          <w:rtl w:val="true"/>
          <w:lang w:bidi="fa-IR"/>
        </w:rPr>
        <w:t>اكنون بايد ديد، با توجه به اين دو اصل عقلايى، در مسئله ى حكومت و نظام سياسى، كه از حياتى ترين امور اجتماعى اند، چه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ضرورت وجود دولت و حاكميّت سياسى و اهميّت آن در تأمين معاش و معاد انسان، به حكم سيره ى عقلايى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مقدمه ى نخست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نظام سياسى و رهبرى جامعه، به كسى سپرده شود كه، داراى ويژگى هاى ذيل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هر جهت دانا و توانا بوده، قانون و مقررات را بشناسد و داراى كفايت و لياقت لازم</w:t>
      </w:r>
    </w:p>
    <w:p>
      <w:pPr>
        <w:pStyle w:val="BookText"/>
        <w:rPr/>
      </w:pPr>
      <w:r>
        <w:rPr>
          <w:rFonts w:ascii="IRNazanin" w:hAnsi="IRNazanin" w:eastAsia="IRNazanin"/>
          <w:color w:val="111111"/>
          <w:sz w:val="28"/>
          <w:sz w:val="28"/>
          <w:szCs w:val="28"/>
          <w:rtl w:val="true"/>
          <w:lang w:bidi="fa-IR"/>
        </w:rPr>
        <w:t>براى مديريت و امامت جامعه و اجراى قوانين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انّ احقّ الناس بهذا الامر اقواهم عليه و اعلمهم بأمر الله فيه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اى مردم سزاوارترين فرد براى امامت و رهبرى جامعه، تواناترين و داناترين مردم به امر خداوند،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روايتى، با وادار كردن مردم به تأمّل و انديشه، به خداوند سوگند ياد مى كند كه، هرگاه كسى گوسفندانى داشته و آنها را در اختيار چوپانى قرار داده و سپس چوپان آگاه ترى يافت آنها را به او مى سپرد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امانت و تعهد كافى برخوردار باشد، يعنى نه تنها از قدرت سوء استفاده نمى كند و مرتكب تقصير و عصيان عمدى نمى شود، بلكه از خطا و اشتباه سهوى و ناخواسته نيز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امانت، كشتى جامعه را در دست گرفته، آن را به سرمنزل نجات و فلاح رهنمون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مهم و اساسى در تطبيق اين صفات بر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شخصى مى توان يافت كه هم قانون را بشناسد و در اجراى آن توانا و هم مورد وثوق و اطمينان كامل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اى، بايد بر اساس باورها و اعتقادى كه در آن حاكم است اين افراد را شناسايى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ى اسلامى و طبق انديشه ى امامت در مكتب تشيع، كسى كه آگاه تر به احكام و آموزه هاى دينى و واقف تر به باطن علوم وحيانى و آموزه هاى قرآنى، باشد، جز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ى نخست،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مرتبه ى بعدى نمى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روش تنها در زمان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شرايط كنونى كه عصر غيبت است و سپردن امر امامت و سياست به امام حاضر امكان ندارد چه بايد كرد؟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اصل عقلايى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تدريجى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مقدمه ى دوم تبيين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حيات جمعى بشر موقوف بر تشكيل حكومت است و جامعه نبايد بدون حاكميت سياسى به حال خود رها شود، در عصر غيبت نيز بايد جامعه به فردى سپرده شود كه حتى الامكان با شرايط امامت سياسى و پيشوايى ظاهرى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ابعاد باطنى و ولايت تكوينى ايشان، كه از موضوع بحث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 و در بعد ظاهرى نيز بايد از نظر دانايى در دين و توانايى در مديريت و امانت و صداقت در سياست، در درجه ى دوم پس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 و تالى تلو او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جامعه ى اسلامى، جز فقيه جامع الشرايط نخواهد بود كه در زمينه ى علم و دانش، فقاهت او جاى گزين مقام علم الهى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و در زمينه ى مديريت، كفايت و مديريت و مدبريت و قدرت اجتماعى او جاى گزين امامت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زمينه ى امانت دارى و صداقت، عدالت او جاى گزين عصمت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فقيه، معنايى جز رجوع به اسلام شناسى مدير، مدبر و عادل كه از ديگران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است، ندارد</w:t>
      </w:r>
      <w:r>
        <w:rPr>
          <w:rFonts w:eastAsia="IRNazanin" w:cs="IRNazanin"/>
          <w:color w:val="111111"/>
          <w:sz w:val="28"/>
          <w:szCs w:val="28"/>
          <w:rtl w:val="true"/>
          <w:lang w:bidi="fa-IR"/>
        </w:rPr>
        <w:t>.</w:t>
      </w:r>
      <w:r>
        <w:rPr>
          <w:rStyle w:val="FootnoteAnchor"/>
          <w:rtl w:val="true"/>
        </w:rPr>
        <w:footnoteReference w:id="87"/>
      </w:r>
      <w:bookmarkStart w:id="109" w:name="pg10696_94829"/>
    </w:p>
    <w:p>
      <w:pPr>
        <w:pStyle w:val="Heading3"/>
        <w:numPr>
          <w:ilvl w:val="2"/>
          <w:numId w:val="1"/>
        </w:numPr>
        <w:rPr/>
      </w:pPr>
      <w:bookmarkStart w:id="110" w:name="__RefHeading___Toc2367150_1051229030"/>
      <w:bookmarkStart w:id="111" w:name="_Toc39"/>
      <w:bookmarkEnd w:id="109"/>
      <w:bookmarkEnd w:id="110"/>
      <w:r>
        <w:rPr>
          <w:rtl w:val="true"/>
        </w:rPr>
        <w:t>ولى فقيه چه وظايف و مسئوليت هايى دارد؟</w:t>
      </w:r>
      <w:bookmarkEnd w:id="111"/>
    </w:p>
    <w:p>
      <w:pPr>
        <w:pStyle w:val="Heading4"/>
        <w:numPr>
          <w:ilvl w:val="3"/>
          <w:numId w:val="1"/>
        </w:numPr>
        <w:rPr/>
      </w:pPr>
      <w:bookmarkStart w:id="112" w:name="__RefHeading___Toc2367152_1051229030"/>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محمد رضا باقرزاده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كه در جمهورى اسلامى ايران، حاكميت، الهى است طبق قانون اساسى اين حاكميت از طريق قوانين الهى و رهبرى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 شود به همين جهت در حقوق اساسى جمهورى اسلامى ايران، كليه ى امور زير نظر ولايت مطلقه امر و امامت امت اداره مى شود و در جمهورى اسلامى رياست كشور با ولى فقيه است و مقام رهبرى به لحاظ امامت و هدايت نظام داراى وظايف و اختياراتى است كه مطابق قانون اساسى جمهورى اسلامى ايران، قواى حاكم در جمهورى اسلامى ايران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مقننه، قوه ى مجريه و قوه ى قضائيه كه زير نظر ولايت مطلقه ى امر و امامت امت، طبق اصول آينده ى اين قانون، اعمال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براى تحقق ولايت امر و به منظور حضور و نظارت فعال رهبرى بر كليه ى اركان نظام، اصل پنجاه و هفتم قانون اساسى، قواى حاكم در جمهورى اسلامى ايران را زير نظر ولايت مطلقه ى امر و امامت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اصل، ولايت به قيد اطلاق متصف شده كه تأكيدى است بر آن چيزى كه امام امت تحت عنوان ولايت مطلقه ى فقيه در طول سال ها در تبيين آن كوشيد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نسبت به هر چه مصلحت جامعه ى اسلامى اقتضا كند كه خود او مستقيماً وارد عمل شود، مسئوليت و اختيار دارد، اما در عين حال به عنوان رييس </w:t>
      </w:r>
      <w:bookmarkStart w:id="114" w:name="pg10696_94830"/>
    </w:p>
    <w:p>
      <w:pPr>
        <w:pStyle w:val="BookText"/>
        <w:rPr/>
      </w:pPr>
      <w:bookmarkEnd w:id="114"/>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كشور،اختيارات و وظايفى هم به طور مشخص و مصرح و از پيش تعيين شده دارد كه اصل يكصدودهم قانون اساسى، حداقل به يازده مورد از مصاديق اين اختيارات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جا كه قانون اساسى، ولايت مطلقه ى فقيه را پذيرفته و در چهارچوب مقررات اسلامى، اختيارات مطلق براى ايشان قايل شده، نمى توان پذيرفت كه اختياراتش منحصر به مواردى باشدكه در اين اصل ذكر شده است، بلكه آنچه در اين اصل آمده نمونه هايى از اختيارات ولى فقيه است و مسلماً بيان اين موارد از باب حصر نيست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قانون گذار با حاكم قرار دادن اصول پنجم و پنجاهوهفتم قانون اساسى بر اصل يكصدودهم از احصاى همه ى موارد اختيارات رهبرى پرهيز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در تفسير قانون اساسى در مورد حدود اختيارات ولايت فقيه نمى توان به گونه اى از اصل يكصدودهم تفسير كرد كه اصل پنجاه و هفتم لغو و بيهوده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گستره ى ولايت در قانون اساسى فراتر از وظايف و اختياراتى است كه در آن احصا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وظايف و اختياراتى را در رابطه با مجموعه ى نظام جمهورى اسلامى و قواى سه گانه و نهادهاى قانونىِ مندرج در قانون اساسى بر عهده دارد كه اصول يكصد و دهم،يكصد و دوازدهم، يكصد و سى ام، يكصد و سى و يكم، يكصد و هفتاد و ششم و يكصد و هفتاد و هفتم قانون اساسى بيانگر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اختيارات و وظايف مندرج در اصل يك صد و دهم مى پردازيم</w:t>
      </w:r>
      <w:r>
        <w:rPr>
          <w:rFonts w:eastAsia="IRNazanin" w:cs="IRNazanin"/>
          <w:color w:val="111111"/>
          <w:sz w:val="28"/>
          <w:szCs w:val="28"/>
          <w:rtl w:val="true"/>
          <w:lang w:bidi="fa-IR"/>
        </w:rPr>
        <w:t>:</w:t>
      </w:r>
    </w:p>
    <w:p>
      <w:pPr>
        <w:pStyle w:val="Heading4"/>
        <w:numPr>
          <w:ilvl w:val="3"/>
          <w:numId w:val="1"/>
        </w:numPr>
        <w:rPr/>
      </w:pPr>
      <w:bookmarkStart w:id="115" w:name="__RefHeading___Toc2367154_1051229030"/>
      <w:bookmarkStart w:id="116" w:name="_Toc41"/>
      <w:bookmarkEnd w:id="115"/>
      <w:r>
        <w:rPr/>
        <w:t>1</w:t>
      </w:r>
      <w:r>
        <w:rPr>
          <w:rtl w:val="true"/>
        </w:rPr>
        <w:t xml:space="preserve">. </w:t>
      </w:r>
      <w:r>
        <w:rPr>
          <w:rtl w:val="true"/>
        </w:rPr>
        <w:t>تعيين سياست هاى كلى نظام</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بند يكم اين اصل سياست هاى كلى نظام جمهورى اسلامى در زمينه هاى داخلى و </w:t>
      </w:r>
      <w:bookmarkStart w:id="117" w:name="pg10696_94831"/>
    </w:p>
    <w:p>
      <w:pPr>
        <w:pStyle w:val="BookText"/>
        <w:rPr/>
      </w:pPr>
      <w:bookmarkEnd w:id="117"/>
      <w:r>
        <w:rPr>
          <w:rFonts w:ascii="IRNazanin" w:hAnsi="IRNazanin" w:eastAsia="IRNazanin"/>
          <w:color w:val="111111"/>
          <w:sz w:val="28"/>
          <w:sz w:val="28"/>
          <w:szCs w:val="28"/>
          <w:rtl w:val="true"/>
          <w:lang w:bidi="fa-IR"/>
        </w:rPr>
        <w:t>خارجى، سياسى، اقتصادى، نظامى، اجتماعى و فرهنگى توسط رهبرى تعيين و ترسيم مى شود و مجلس شوراى اسلامى و شوراى عالى انقلاب فرهنگى نيز در چهارچوب قانون اساسى و موازين شرع، آنها را به شكل قانونى و قابل اجرا در آورده، براى اجرا به قوه ى مجريه ارسال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رهبرى براى اعمال اين اختيار مهم و كليدى، از مشاوران و كارشناسان خبره بهره مى برد و مهم ترين ارگان مشورتى ايشان، مجمع تشخيص مصلحت نظام است كه همه ى اعضاى آن از طرف رهبرى منصوب مى شوند و معمولاً از مسئولين رده بالا و از شخصيت هاى مهم سياسى، اقتصادى و فرهنگى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آخرين حكم خود، تعيين سياست هاى كلى نظام را به مجمع تشخيص مصلحت نظام تفويض كردند</w:t>
      </w:r>
      <w:r>
        <w:rPr>
          <w:rFonts w:eastAsia="IRNazanin" w:cs="IRNazanin"/>
          <w:color w:val="111111"/>
          <w:sz w:val="28"/>
          <w:szCs w:val="28"/>
          <w:rtl w:val="true"/>
          <w:lang w:bidi="fa-IR"/>
        </w:rPr>
        <w:t>.</w:t>
      </w:r>
    </w:p>
    <w:p>
      <w:pPr>
        <w:pStyle w:val="Heading4"/>
        <w:numPr>
          <w:ilvl w:val="3"/>
          <w:numId w:val="1"/>
        </w:numPr>
        <w:rPr/>
      </w:pPr>
      <w:bookmarkStart w:id="118" w:name="__RefHeading___Toc2367156_1051229030"/>
      <w:bookmarkStart w:id="119" w:name="_Toc42"/>
      <w:bookmarkEnd w:id="118"/>
      <w:r>
        <w:rPr/>
        <w:t>2</w:t>
      </w:r>
      <w:r>
        <w:rPr>
          <w:rtl w:val="true"/>
        </w:rPr>
        <w:t xml:space="preserve">. </w:t>
      </w:r>
      <w:r>
        <w:rPr>
          <w:rtl w:val="true"/>
        </w:rPr>
        <w:t>نظارت بر حسن اجراى سياست هاى كلى نظام</w:t>
      </w:r>
      <w:bookmarkEnd w:id="119"/>
    </w:p>
    <w:p>
      <w:pPr>
        <w:pStyle w:val="BookText"/>
        <w:rPr/>
      </w:pPr>
      <w:r>
        <w:rPr>
          <w:rFonts w:ascii="IRNazanin" w:hAnsi="IRNazanin" w:eastAsia="IRNazanin"/>
          <w:color w:val="111111"/>
          <w:sz w:val="28"/>
          <w:sz w:val="28"/>
          <w:szCs w:val="28"/>
          <w:rtl w:val="true"/>
          <w:lang w:bidi="fa-IR"/>
        </w:rPr>
        <w:t>رهبرى همان طور كه مسئوليت تعيين سياست هاى كلى نظام را بر عهده دارد، با دقت تمام بر حسن اجراى اين سياست ها نيز نظارت دارد تا سياست هاى تعيين شده به هنگام اجرا،از اهداف و آرمان هاى اصلى منحرف نشوند و به خوبى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رهبرى اخيراً اين مسئوليت را نيز به مجمع تشخيص مصلحت نظام تفويض نموده است</w:t>
      </w:r>
      <w:r>
        <w:rPr>
          <w:rFonts w:eastAsia="IRNazanin" w:cs="IRNazanin"/>
          <w:color w:val="111111"/>
          <w:sz w:val="28"/>
          <w:szCs w:val="28"/>
          <w:rtl w:val="true"/>
          <w:lang w:bidi="fa-IR"/>
        </w:rPr>
        <w:t>.</w:t>
      </w:r>
    </w:p>
    <w:p>
      <w:pPr>
        <w:pStyle w:val="Heading4"/>
        <w:numPr>
          <w:ilvl w:val="3"/>
          <w:numId w:val="1"/>
        </w:numPr>
        <w:rPr/>
      </w:pPr>
      <w:bookmarkStart w:id="120" w:name="__RefHeading___Toc2367158_1051229030"/>
      <w:bookmarkStart w:id="121" w:name="_Toc43"/>
      <w:bookmarkEnd w:id="120"/>
      <w:r>
        <w:rPr/>
        <w:t>3</w:t>
      </w:r>
      <w:r>
        <w:rPr>
          <w:rtl w:val="true"/>
        </w:rPr>
        <w:t xml:space="preserve">. </w:t>
      </w:r>
      <w:r>
        <w:rPr>
          <w:rtl w:val="true"/>
        </w:rPr>
        <w:t>فرمان همه پرسى</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اساسى جمهورى اسلامى ايران يكى از راه هاى قانون گذارى مراجعه ى مستقيم به آراى عمومى و همه پرسى است و در مسائل بسيار مهم اقتصادى،سياسى، اجتماعى و </w:t>
      </w:r>
      <w:bookmarkStart w:id="122" w:name="pg10696_94832"/>
    </w:p>
    <w:p>
      <w:pPr>
        <w:pStyle w:val="BookText"/>
        <w:rPr/>
      </w:pPr>
      <w:bookmarkEnd w:id="122"/>
      <w:r>
        <w:rPr>
          <w:rFonts w:ascii="IRNazanin" w:hAnsi="IRNazanin" w:eastAsia="IRNazanin"/>
          <w:color w:val="111111"/>
          <w:sz w:val="28"/>
          <w:sz w:val="28"/>
          <w:szCs w:val="28"/>
          <w:rtl w:val="true"/>
          <w:lang w:bidi="fa-IR"/>
        </w:rPr>
        <w:t>فرهنگى مى توان همه پرسى صورت داد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هر چند نمايندگان مجلس شوراى اسلامى مى توانند در اين مورد ابتكار عمل داشته باشند،</w:t>
      </w:r>
      <w:r>
        <w:rPr>
          <w:rStyle w:val="FootnoteAnchor"/>
          <w:rtl w:val="true"/>
        </w:rPr>
        <w:footnoteReference w:id="90"/>
      </w:r>
      <w:r>
        <w:rPr>
          <w:rFonts w:ascii="IRNazanin" w:hAnsi="IRNazanin" w:eastAsia="IRNazanin"/>
          <w:color w:val="111111"/>
          <w:sz w:val="28"/>
          <w:sz w:val="28"/>
          <w:szCs w:val="28"/>
          <w:rtl w:val="true"/>
          <w:lang w:bidi="fa-IR"/>
        </w:rPr>
        <w:t>اما تصميم نهايى با رهبرى است كه قاعدتاً با مشورت مجمع تشخيص مصلحت نظام، ضرورت و اهميت همه پرسى را تشخيص خواهد داد</w:t>
      </w:r>
      <w:r>
        <w:rPr>
          <w:rFonts w:eastAsia="IRNazanin" w:cs="IRNazanin"/>
          <w:color w:val="111111"/>
          <w:sz w:val="28"/>
          <w:szCs w:val="28"/>
          <w:rtl w:val="true"/>
          <w:lang w:bidi="fa-IR"/>
        </w:rPr>
        <w:t>.</w:t>
      </w:r>
    </w:p>
    <w:p>
      <w:pPr>
        <w:pStyle w:val="Heading4"/>
        <w:numPr>
          <w:ilvl w:val="3"/>
          <w:numId w:val="1"/>
        </w:numPr>
        <w:rPr/>
      </w:pPr>
      <w:bookmarkStart w:id="123" w:name="__RefHeading___Toc2367160_1051229030"/>
      <w:bookmarkStart w:id="124" w:name="_Toc44"/>
      <w:bookmarkEnd w:id="123"/>
      <w:r>
        <w:rPr/>
        <w:t>4</w:t>
      </w:r>
      <w:r>
        <w:rPr>
          <w:rtl w:val="true"/>
        </w:rPr>
        <w:t xml:space="preserve">. </w:t>
      </w:r>
      <w:r>
        <w:rPr>
          <w:rtl w:val="true"/>
        </w:rPr>
        <w:t>فرماندهى كل نيروهاى مسلح</w:t>
      </w:r>
      <w:bookmarkEnd w:id="124"/>
    </w:p>
    <w:p>
      <w:pPr>
        <w:pStyle w:val="BookText"/>
        <w:rPr/>
      </w:pPr>
      <w:r>
        <w:rPr>
          <w:rFonts w:ascii="IRNazanin" w:hAnsi="IRNazanin" w:eastAsia="IRNazanin"/>
          <w:color w:val="111111"/>
          <w:sz w:val="28"/>
          <w:sz w:val="28"/>
          <w:szCs w:val="28"/>
          <w:rtl w:val="true"/>
          <w:lang w:bidi="fa-IR"/>
        </w:rPr>
        <w:t>نيروهاى مسلح، هر چند از نظر تشكيلاتى و سازمانى جزء قوّه ى مجريه اند، اما از لحاظ فرماندهى و سياست گذارى هاى كلى، تابع مقام رهبرى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نيروهاى مسلح از جمله موارد مشخصى است كه طبق اصل شصتم و اصل يك صد و سيزدهم قانون اساسى از قوه مجريه استثنا شده و به رهبرى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ى نظام هاى سياسى، نيروهاى مسلح به خاطر نقششان در داخل كشور و خطر جدى براى دولت و موازنه ى قدرت داراى اهميت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سپردن مسئوليت آن به شخص يا نهادى،دقت بسيار مبذول مى شود تا كمتر خطرآفرين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ايران اين اختيار به كسى داده شده كه از حدّ اعلاى مشروعيت الهى و مردمى برخوردار است و توازن قوا را به هم نمى زند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5" w:name="__RefHeading___Toc2367162_1051229030"/>
      <w:bookmarkStart w:id="126" w:name="_Toc45"/>
      <w:bookmarkEnd w:id="125"/>
      <w:r>
        <w:rPr/>
        <w:t>5</w:t>
      </w:r>
      <w:r>
        <w:rPr>
          <w:rtl w:val="true"/>
        </w:rPr>
        <w:t xml:space="preserve">. </w:t>
      </w:r>
      <w:r>
        <w:rPr>
          <w:rtl w:val="true"/>
        </w:rPr>
        <w:t>اعلان جنگ و صلح و بسيج نيروها</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شرايطى كه ضرورت و مصلحت ايجاب كند، اين امر از وظايف رهبرى خواهد بود</w:t>
      </w:r>
      <w:r>
        <w:rPr>
          <w:rFonts w:eastAsia="Amiri" w:cs="Amiri" w:ascii="Amiri" w:hAnsi="Amiri"/>
          <w:color w:val="111111"/>
          <w:sz w:val="28"/>
          <w:szCs w:val="28"/>
          <w:rtl w:val="true"/>
          <w:lang w:bidi="ar-SA"/>
        </w:rPr>
        <w:t xml:space="preserve">. </w:t>
      </w:r>
      <w:bookmarkStart w:id="127" w:name="pg10696_94833"/>
    </w:p>
    <w:p>
      <w:pPr>
        <w:pStyle w:val="BookText"/>
        <w:rPr/>
      </w:pPr>
      <w:bookmarkEnd w:id="127"/>
      <w:r>
        <w:rPr>
          <w:rFonts w:ascii="IRNazanin" w:hAnsi="IRNazanin" w:eastAsia="IRNazanin"/>
          <w:color w:val="111111"/>
          <w:sz w:val="28"/>
          <w:sz w:val="28"/>
          <w:szCs w:val="28"/>
          <w:rtl w:val="true"/>
          <w:lang w:bidi="fa-IR"/>
        </w:rPr>
        <w:t>به همين منظور و به دليل اين كه فرماندهى نيروهاى مسلح با ايشان است، بسيج نيروهاى نظامى و مردمى براى دفاع از نظام و ميهن و مقابله با تهاجمات و توطئه ها نيز توسط ايشان انجام مى گيرد</w:t>
      </w:r>
      <w:r>
        <w:rPr>
          <w:rFonts w:eastAsia="IRNazanin" w:cs="IRNazanin"/>
          <w:color w:val="111111"/>
          <w:sz w:val="28"/>
          <w:szCs w:val="28"/>
          <w:rtl w:val="true"/>
          <w:lang w:bidi="fa-IR"/>
        </w:rPr>
        <w:t>.</w:t>
      </w:r>
    </w:p>
    <w:p>
      <w:pPr>
        <w:pStyle w:val="Heading4"/>
        <w:numPr>
          <w:ilvl w:val="3"/>
          <w:numId w:val="1"/>
        </w:numPr>
        <w:rPr/>
      </w:pPr>
      <w:bookmarkStart w:id="128" w:name="__RefHeading___Toc2367164_1051229030"/>
      <w:bookmarkStart w:id="129" w:name="_Toc46"/>
      <w:bookmarkEnd w:id="128"/>
      <w:r>
        <w:rPr/>
        <w:t>6</w:t>
      </w:r>
      <w:r>
        <w:rPr>
          <w:rtl w:val="true"/>
        </w:rPr>
        <w:t xml:space="preserve">. </w:t>
      </w:r>
      <w:r>
        <w:rPr>
          <w:rtl w:val="true"/>
        </w:rPr>
        <w:t>نصب و عزل و قبول استعفاى</w:t>
      </w:r>
      <w:bookmarkEnd w:id="1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شوراى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از طريق نصب و عزل فقهاى شوراى نگهبان، بر تمام قوانين و مقررات كشور نظارت مى كند تا اسلاميت نظام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قوه ى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اختيارات بسيار مهم قوه ى قضائيه و در رأس آن، رياست آن و نيز استقلال اين قوه از قواى ديگر، مى تواند اهميت آن را در موضعى برتر و بالاتر از ساير قوا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سازمان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يكصد و هفتاد و پنجم قانون اساسى به اين مورد تصريح شده است</w:t>
      </w:r>
      <w:r>
        <w:rPr>
          <w:rFonts w:eastAsia="IRNazanin" w:cs="IRNazanin"/>
          <w:color w:val="111111"/>
          <w:sz w:val="28"/>
          <w:szCs w:val="28"/>
          <w:rtl w:val="true"/>
          <w:lang w:bidi="fa-IR"/>
        </w:rPr>
        <w:t>.</w:t>
      </w:r>
    </w:p>
    <w:p>
      <w:pPr>
        <w:pStyle w:val="Heading4"/>
        <w:numPr>
          <w:ilvl w:val="3"/>
          <w:numId w:val="1"/>
        </w:numPr>
        <w:rPr/>
      </w:pPr>
      <w:bookmarkStart w:id="130" w:name="__RefHeading___Toc2367166_1051229030"/>
      <w:bookmarkStart w:id="131" w:name="_Toc47"/>
      <w:bookmarkEnd w:id="130"/>
      <w:r>
        <w:rPr/>
        <w:t>7</w:t>
      </w:r>
      <w:r>
        <w:rPr>
          <w:rtl w:val="true"/>
        </w:rPr>
        <w:t xml:space="preserve">. </w:t>
      </w:r>
      <w:r>
        <w:rPr>
          <w:rtl w:val="true"/>
        </w:rPr>
        <w:t>حل اختلاف و تنظيم روابط قواى سه گانه</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بازنگرى قانون اساسى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اين وظيفه به رهبرى سپرده شده است كه اين كار، هم نظارت بر سه قوه را تأمين و توجيه و هم از تمركز بيش از حد قدرت در يك قوه جلوگيرى مى كند و هم رهبرى، به دليل نفوذ و دارا بودن منصب ولايت،توان تأثيرگذارى بر سه قوه را خواهد داشت، به طورى كه اجماع نظر بين سران قواى سه گانه را تسهيل مى كند</w:t>
      </w:r>
      <w:r>
        <w:rPr>
          <w:rFonts w:eastAsia="IRNazanin" w:cs="IRNazanin"/>
          <w:color w:val="111111"/>
          <w:sz w:val="28"/>
          <w:szCs w:val="28"/>
          <w:rtl w:val="true"/>
          <w:lang w:bidi="fa-IR"/>
        </w:rPr>
        <w:t xml:space="preserve">. </w:t>
      </w:r>
      <w:bookmarkStart w:id="132" w:name="pg10696_94834"/>
    </w:p>
    <w:p>
      <w:pPr>
        <w:pStyle w:val="Heading4"/>
        <w:numPr>
          <w:ilvl w:val="3"/>
          <w:numId w:val="1"/>
        </w:numPr>
        <w:rPr/>
      </w:pPr>
      <w:bookmarkStart w:id="133" w:name="__RefHeading___Toc2367168_1051229030"/>
      <w:bookmarkStart w:id="134" w:name="_Toc48"/>
      <w:bookmarkEnd w:id="132"/>
      <w:bookmarkEnd w:id="133"/>
      <w:r>
        <w:rPr/>
        <w:t>8</w:t>
      </w:r>
      <w:r>
        <w:rPr>
          <w:rtl w:val="true"/>
        </w:rPr>
        <w:t xml:space="preserve">. </w:t>
      </w:r>
      <w:r>
        <w:rPr>
          <w:rtl w:val="true"/>
        </w:rPr>
        <w:t>حل معضلات نظام</w:t>
      </w:r>
      <w:bookmarkEnd w:id="134"/>
    </w:p>
    <w:p>
      <w:pPr>
        <w:pStyle w:val="BookText"/>
        <w:rPr/>
      </w:pPr>
      <w:r>
        <w:rPr>
          <w:rFonts w:ascii="IRNazanin" w:hAnsi="IRNazanin" w:eastAsia="IRNazanin"/>
          <w:color w:val="111111"/>
          <w:sz w:val="28"/>
          <w:sz w:val="28"/>
          <w:szCs w:val="28"/>
          <w:rtl w:val="true"/>
          <w:lang w:bidi="fa-IR"/>
        </w:rPr>
        <w:t>گاه مسائل و معضلاتى دامن گير نظام مى شود كه از طريق عادى و قانون موجود حل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در مورد چنين مسائلى در قانون اساسى و قوانين عادى پيش بينى خاصى صورت نگرفته و يا اگر هم پيش بينى شده، مصلحت نظام اسلامى اقتضا مى كند كه در مورد آن معضل خاص، با سرعت ويژه و روش خاص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فقط جايگاه و مقام رهبرى نظام است كه بهتر از هر شخص و مقام ديگرى مى تواند مشكل را حل و فصل نمايد</w:t>
      </w:r>
      <w:r>
        <w:rPr>
          <w:rFonts w:eastAsia="IRNazanin" w:cs="IRNazanin"/>
          <w:color w:val="111111"/>
          <w:sz w:val="28"/>
          <w:szCs w:val="28"/>
          <w:rtl w:val="true"/>
          <w:lang w:bidi="fa-IR"/>
        </w:rPr>
        <w:t>.</w:t>
      </w:r>
    </w:p>
    <w:p>
      <w:pPr>
        <w:pStyle w:val="Heading4"/>
        <w:numPr>
          <w:ilvl w:val="3"/>
          <w:numId w:val="1"/>
        </w:numPr>
        <w:rPr/>
      </w:pPr>
      <w:bookmarkStart w:id="135" w:name="__RefHeading___Toc2367170_1051229030"/>
      <w:bookmarkStart w:id="136" w:name="_Toc49"/>
      <w:bookmarkEnd w:id="135"/>
      <w:r>
        <w:rPr/>
        <w:t>9</w:t>
      </w:r>
      <w:r>
        <w:rPr>
          <w:rtl w:val="true"/>
        </w:rPr>
        <w:t xml:space="preserve">. </w:t>
      </w:r>
      <w:r>
        <w:rPr>
          <w:rtl w:val="true"/>
        </w:rPr>
        <w:t>امضاى حكم رياست جمهورى</w:t>
      </w:r>
      <w:bookmarkEnd w:id="136"/>
    </w:p>
    <w:p>
      <w:pPr>
        <w:pStyle w:val="BookText"/>
        <w:rPr/>
      </w:pPr>
      <w:r>
        <w:rPr>
          <w:rFonts w:ascii="IRNazanin" w:hAnsi="IRNazanin" w:eastAsia="IRNazanin"/>
          <w:color w:val="111111"/>
          <w:sz w:val="28"/>
          <w:sz w:val="28"/>
          <w:szCs w:val="28"/>
          <w:rtl w:val="true"/>
          <w:lang w:bidi="fa-IR"/>
        </w:rPr>
        <w:t>علاوه بر اين كه صلاحيت داوطلبان رياست جمهورى بايد قبل از انتخابات به تأييد شوراى نگهبان برسد، پس از كسب آراى مردم، تنفيذ حكم رييس جمهور از سوى رهبرى، يك شرط لازم و كافى براى احراز مقام رياست جمهورى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امضاى حكم رياست جمهورى، در واقع انفاذ مقام ولايت براى مشروعيت الهى رييس جمهور است</w:t>
      </w:r>
      <w:r>
        <w:rPr>
          <w:rFonts w:eastAsia="IRNazanin" w:cs="IRNazanin"/>
          <w:color w:val="111111"/>
          <w:sz w:val="28"/>
          <w:szCs w:val="28"/>
          <w:rtl w:val="true"/>
          <w:lang w:bidi="fa-IR"/>
        </w:rPr>
        <w:t>.</w:t>
      </w:r>
    </w:p>
    <w:p>
      <w:pPr>
        <w:pStyle w:val="Heading4"/>
        <w:numPr>
          <w:ilvl w:val="3"/>
          <w:numId w:val="1"/>
        </w:numPr>
        <w:rPr/>
      </w:pPr>
      <w:bookmarkStart w:id="137" w:name="__RefHeading___Toc2367172_1051229030"/>
      <w:bookmarkStart w:id="138" w:name="_Toc50"/>
      <w:bookmarkEnd w:id="137"/>
      <w:r>
        <w:rPr/>
        <w:t>10</w:t>
      </w:r>
      <w:r>
        <w:rPr>
          <w:rtl w:val="true"/>
        </w:rPr>
        <w:t xml:space="preserve">. </w:t>
      </w:r>
      <w:r>
        <w:rPr>
          <w:rtl w:val="true"/>
        </w:rPr>
        <w:t>عزل رييس جمهور</w:t>
      </w:r>
      <w:bookmarkEnd w:id="138"/>
    </w:p>
    <w:p>
      <w:pPr>
        <w:pStyle w:val="BookText"/>
        <w:rPr/>
      </w:pPr>
      <w:r>
        <w:rPr>
          <w:rFonts w:ascii="IRNazanin" w:hAnsi="IRNazanin" w:eastAsia="IRNazanin"/>
          <w:color w:val="111111"/>
          <w:sz w:val="28"/>
          <w:sz w:val="28"/>
          <w:szCs w:val="28"/>
          <w:rtl w:val="true"/>
          <w:lang w:bidi="fa-IR"/>
        </w:rPr>
        <w:t>چنانچه ديوان عالى كشور به تخلف رييس جمهور از وظايف قانونى اش حكم دهد، يا مجلس شوراى اسلامى طبق اصل هشتاد و نهم با دو سوم آرا به استيضاح و عدم كفايت سياسى او رأى دهد، رهبرى با در نظر گرفتن مصالح كشور رييس جمهور را عزل مى نمايد</w:t>
      </w:r>
      <w:r>
        <w:rPr>
          <w:rFonts w:eastAsia="IRNazanin" w:cs="IRNazanin"/>
          <w:color w:val="111111"/>
          <w:sz w:val="28"/>
          <w:szCs w:val="28"/>
          <w:rtl w:val="true"/>
          <w:lang w:bidi="fa-IR"/>
        </w:rPr>
        <w:t>.</w:t>
      </w:r>
    </w:p>
    <w:p>
      <w:pPr>
        <w:pStyle w:val="Heading4"/>
        <w:numPr>
          <w:ilvl w:val="3"/>
          <w:numId w:val="1"/>
        </w:numPr>
        <w:rPr/>
      </w:pPr>
      <w:bookmarkStart w:id="139" w:name="__RefHeading___Toc2367174_1051229030"/>
      <w:bookmarkStart w:id="140" w:name="_Toc51"/>
      <w:bookmarkEnd w:id="139"/>
      <w:r>
        <w:rPr/>
        <w:t>11</w:t>
      </w:r>
      <w:r>
        <w:rPr>
          <w:rtl w:val="true"/>
        </w:rPr>
        <w:t xml:space="preserve">. </w:t>
      </w:r>
      <w:r>
        <w:rPr>
          <w:rtl w:val="true"/>
        </w:rPr>
        <w:t>عفو يا تخفيف مجازات محكومين</w:t>
      </w:r>
      <w:bookmarkEnd w:id="1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همه ى رؤساى كشورها اختيار عفو يا تخفيف مجازات محكومين را دارند و در اين مورد تصميم نهايى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ايران، اين امر پس از پيشنهاد رييس قوه ى قضائيه و در حدود موازين اسلامى، توسط رهبرى صورت مى پذيرد</w:t>
      </w:r>
      <w:r>
        <w:rPr>
          <w:rFonts w:eastAsia="IRNazanin" w:cs="IRNazanin"/>
          <w:color w:val="111111"/>
          <w:sz w:val="28"/>
          <w:szCs w:val="28"/>
          <w:rtl w:val="true"/>
          <w:lang w:bidi="fa-IR"/>
        </w:rPr>
        <w:t xml:space="preserve">. </w:t>
      </w:r>
      <w:bookmarkStart w:id="141" w:name="pg10696_94835"/>
    </w:p>
    <w:p>
      <w:pPr>
        <w:pStyle w:val="BookText"/>
        <w:rPr/>
      </w:pPr>
      <w:bookmarkEnd w:id="141"/>
      <w:r>
        <w:rPr>
          <w:rFonts w:ascii="IRNazanin" w:hAnsi="IRNazanin" w:eastAsia="IRNazanin"/>
          <w:color w:val="111111"/>
          <w:sz w:val="28"/>
          <w:sz w:val="28"/>
          <w:szCs w:val="28"/>
          <w:rtl w:val="true"/>
          <w:lang w:bidi="fa-IR"/>
        </w:rPr>
        <w:t>در ذيل اصل يكصد و دهم آمده است كه رهبرى مى تواند بعضى از وظايف خود را به شخص ديگرى تفويض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موقت فرماندهى كل قوا به بنى صدر در زمان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واگذارى مسئوليت ترسيم سياست هاى كلى نظام، پيگيرى و نظارت بر حسن اجراى اين سياست ها و حلّ معضلات نظام به مجمع تشخيص مصلحت نظام، نمونه هاى اعمال اين اختيار است</w:t>
      </w:r>
      <w:r>
        <w:rPr>
          <w:rFonts w:eastAsia="IRNazanin" w:cs="IRNazanin"/>
          <w:color w:val="111111"/>
          <w:sz w:val="28"/>
          <w:szCs w:val="28"/>
          <w:rtl w:val="true"/>
          <w:lang w:bidi="fa-IR"/>
        </w:rPr>
        <w:t>.</w:t>
      </w:r>
    </w:p>
    <w:p>
      <w:pPr>
        <w:pStyle w:val="Heading4"/>
        <w:numPr>
          <w:ilvl w:val="3"/>
          <w:numId w:val="1"/>
        </w:numPr>
        <w:rPr/>
      </w:pPr>
      <w:bookmarkStart w:id="142" w:name="__RefHeading___Toc2367176_1051229030"/>
      <w:bookmarkStart w:id="143" w:name="_Toc52"/>
      <w:bookmarkEnd w:id="142"/>
      <w:r>
        <w:rPr/>
        <w:t>12</w:t>
      </w:r>
      <w:r>
        <w:rPr>
          <w:rtl w:val="true"/>
        </w:rPr>
        <w:t xml:space="preserve">. </w:t>
      </w:r>
      <w:r>
        <w:rPr>
          <w:rtl w:val="true"/>
        </w:rPr>
        <w:t>حكم به اقدام تجديد نظر در قانون اساسى</w:t>
      </w:r>
      <w:bookmarkEnd w:id="143"/>
    </w:p>
    <w:p>
      <w:pPr>
        <w:pStyle w:val="BookText"/>
        <w:rPr/>
      </w:pPr>
      <w:r>
        <w:rPr>
          <w:rFonts w:ascii="Amiri" w:hAnsi="Amiri" w:eastAsia="Amiri" w:cs="Amiri"/>
          <w:color w:val="111111"/>
          <w:sz w:val="28"/>
          <w:sz w:val="28"/>
          <w:szCs w:val="28"/>
          <w:rtl w:val="true"/>
          <w:lang w:bidi="ar-SA"/>
        </w:rPr>
        <w:t>بر اساس اصل يكصد و هفتاد و هفتم قانون اساسى،</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مقام رهبرى پس از مشورت با مجمع تشخيص مصلحت نظام، طى حكمى خطاب به رييس جمهور، موارد اصلاح يا تتميم قانون اساسى را به شوراى بازنگرى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مصوبات شورا پس از تأييد و امضاى مقام رهبرى بايد از طريق مراجعه به آراى عمومى به تصويب اكثريت مطلق شركت كنندگان در همه پرسى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ذيل اصل پنجاه و نهم در مورد همه 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در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بازنگرى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اساسى افزوده شد، ابتكار تجديدنظر در قانون اساسى با مقام رهبرى و تحت نظارت 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اين روش بر اساس سيره 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بازنگرى قانون اساسى، به صورت يك اصل قانون اساسى در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به گونه اى است كه حل جريان بازنگرى و تجديد نظر، در اختيار رهبرى كه رأس هرم نقطه ى اعتماد ملى است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ابتكار آن با رهبرى است، هم تشخيص </w:t>
      </w:r>
    </w:p>
    <w:p>
      <w:pPr>
        <w:pStyle w:val="BookText"/>
        <w:rPr/>
      </w:pPr>
      <w:r>
        <w:rPr>
          <w:rFonts w:ascii="IRNazanin" w:hAnsi="IRNazanin" w:eastAsia="IRNazanin"/>
          <w:color w:val="111111"/>
          <w:sz w:val="28"/>
          <w:sz w:val="28"/>
          <w:szCs w:val="28"/>
          <w:rtl w:val="true"/>
          <w:lang w:bidi="fa-IR"/>
        </w:rPr>
        <w:t>موارد اصلاح و تتميم و هم مصوبات شوراى بازنگرى بايد به تصويب و امضاى ايشان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نصف اعضاى شوراى بازنگرى مستقيم و برخى نيز غيرمستقيم توسط رهبرى منصوب مى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تأييد رهبرى، مصوبات شوراى بازنگرى بايد از طريق همه پرسى به تأييد نهايى مردم نيز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مى توان گفت قوه ى تأسيسى در جمهورى اسلامى آميزه اى از مظاهر ولايت فقيه و اراده ى عمومى است</w:t>
      </w:r>
      <w:r>
        <w:rPr>
          <w:rFonts w:eastAsia="IRNazanin" w:cs="IRNazanin"/>
          <w:color w:val="111111"/>
          <w:sz w:val="28"/>
          <w:szCs w:val="28"/>
          <w:rtl w:val="true"/>
          <w:lang w:bidi="fa-IR"/>
        </w:rPr>
        <w:t>.</w:t>
      </w:r>
      <w:r>
        <w:rPr>
          <w:rStyle w:val="FootnoteAnchor"/>
          <w:rtl w:val="true"/>
        </w:rPr>
        <w:footnoteReference w:id="93"/>
      </w:r>
      <w:bookmarkStart w:id="144" w:name="pg10696_94837"/>
    </w:p>
    <w:p>
      <w:pPr>
        <w:pStyle w:val="Heading2"/>
        <w:numPr>
          <w:ilvl w:val="1"/>
          <w:numId w:val="1"/>
        </w:numPr>
        <w:rPr/>
      </w:pPr>
      <w:bookmarkStart w:id="145" w:name="__RefHeading___Toc2367178_1051229030"/>
      <w:bookmarkStart w:id="146" w:name="_Toc53"/>
      <w:bookmarkEnd w:id="144"/>
      <w:bookmarkEnd w:id="145"/>
      <w:r>
        <w:rPr>
          <w:rtl w:val="true"/>
        </w:rPr>
        <w:t>تاريخ اسلام</w:t>
      </w:r>
      <w:bookmarkEnd w:id="146"/>
    </w:p>
    <w:p>
      <w:pPr>
        <w:pStyle w:val="Heading3"/>
        <w:numPr>
          <w:ilvl w:val="2"/>
          <w:numId w:val="1"/>
        </w:numPr>
        <w:rPr/>
      </w:pPr>
      <w:bookmarkStart w:id="147" w:name="__RefHeading___Toc2367180_1051229030"/>
      <w:bookmarkStart w:id="148" w:name="_Toc54"/>
      <w:bookmarkEnd w:id="147"/>
      <w:r>
        <w:rPr>
          <w:rtl w:val="true"/>
        </w:rPr>
        <w:t>اشاره</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خدمات علماى شيعه به مذهب تشيع </w:t>
      </w:r>
    </w:p>
    <w:p>
      <w:pPr>
        <w:pStyle w:val="BookText"/>
        <w:rPr/>
      </w:pPr>
      <w:r>
        <w:rPr>
          <w:rFonts w:ascii="IRNazanin" w:hAnsi="IRNazanin" w:eastAsia="IRNazanin"/>
          <w:color w:val="111111"/>
          <w:sz w:val="28"/>
          <w:sz w:val="28"/>
          <w:szCs w:val="28"/>
          <w:rtl w:val="true"/>
          <w:lang w:bidi="fa-IR"/>
        </w:rPr>
        <w:t>خدمات علمى و فرهنگى خواجه نصيرالدين طوسى به تشيع چه بوده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فيض كاشانى در گسترش فرهنگ تشيع چه بود؟ </w:t>
      </w:r>
      <w:bookmarkStart w:id="149" w:name="pg10696_94839"/>
    </w:p>
    <w:p>
      <w:pPr>
        <w:pStyle w:val="BookText"/>
        <w:rPr/>
      </w:pPr>
      <w:bookmarkEnd w:id="149"/>
      <w:r>
        <w:rPr>
          <w:rFonts w:ascii="IRNazanin" w:hAnsi="IRNazanin" w:eastAsia="IRNazanin"/>
          <w:color w:val="111111"/>
          <w:sz w:val="28"/>
          <w:sz w:val="28"/>
          <w:szCs w:val="28"/>
          <w:rtl w:val="true"/>
          <w:lang w:bidi="fa-IR"/>
        </w:rPr>
        <w:t>تاریخ</w:t>
      </w:r>
    </w:p>
    <w:p>
      <w:pPr>
        <w:pStyle w:val="Heading3"/>
        <w:numPr>
          <w:ilvl w:val="2"/>
          <w:numId w:val="1"/>
        </w:numPr>
        <w:rPr/>
      </w:pPr>
      <w:bookmarkStart w:id="150" w:name="__RefHeading___Toc2367182_1051229030"/>
      <w:bookmarkStart w:id="151" w:name="_Toc55"/>
      <w:bookmarkEnd w:id="150"/>
      <w:r>
        <w:rPr>
          <w:rtl w:val="true"/>
        </w:rPr>
        <w:t>خدمات علمای شیعه به مذهب تشیع</w:t>
      </w:r>
      <w:bookmarkEnd w:id="1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فرآيند پيدايش فرهنگ، بسيار پيچيده و زمان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 فرهنگى نيز از جمله تحولات اجتماعى مهم و نيازمند زمانى طولانى است كه بدون برنامه ريزى دقيق و كوشش مداوم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فرهنگ يك پديده ى بسيار مهم اجتماعى و تأثيرگذار در همبستگى و اقتدار سياسى، نظامى و اقتصادى است بايد توجه ويژه به آن معطوف داشت و بر اين اساس، علماى شيعه در راه نشر فرهنگ تشيع در دوره هاى مختلف تاريخى با جديت تمام كوشيده اند</w:t>
      </w:r>
      <w:r>
        <w:rPr>
          <w:rFonts w:eastAsia="IRNazanin" w:cs="IRNazanin"/>
          <w:color w:val="111111"/>
          <w:sz w:val="28"/>
          <w:szCs w:val="28"/>
          <w:rtl w:val="true"/>
          <w:lang w:bidi="fa-IR"/>
        </w:rPr>
        <w:t xml:space="preserve">. </w:t>
      </w:r>
      <w:bookmarkStart w:id="152" w:name="pg10696_94840"/>
    </w:p>
    <w:p>
      <w:pPr>
        <w:pStyle w:val="Heading3"/>
        <w:numPr>
          <w:ilvl w:val="2"/>
          <w:numId w:val="1"/>
        </w:numPr>
        <w:rPr/>
      </w:pPr>
      <w:bookmarkStart w:id="153" w:name="__RefHeading___Toc2367184_1051229030"/>
      <w:bookmarkStart w:id="154" w:name="_Toc56"/>
      <w:bookmarkEnd w:id="152"/>
      <w:bookmarkEnd w:id="153"/>
      <w:r>
        <w:rPr>
          <w:rtl w:val="true"/>
        </w:rPr>
        <w:t>خدمات علمى و فرهنگى خواجه نصيرالدين طوسى به تشيع چه بوده است؟</w:t>
      </w:r>
      <w:bookmarkEnd w:id="154"/>
    </w:p>
    <w:p>
      <w:pPr>
        <w:pStyle w:val="BookText"/>
        <w:rPr/>
      </w:pPr>
      <w:r>
        <w:rPr>
          <w:rFonts w:ascii="Amiri" w:hAnsi="Amiri" w:eastAsia="Amiri" w:cs="Amiri"/>
          <w:color w:val="111111"/>
          <w:sz w:val="28"/>
          <w:sz w:val="28"/>
          <w:szCs w:val="28"/>
          <w:rtl w:val="true"/>
          <w:lang w:bidi="ar-SA"/>
        </w:rPr>
        <w:t>مهدى زيركى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حسن، مكنّى به ابوجعفر، مشهور به خواجه نصيرالدين از اعاظم رجال قرن هفتم هجرى، به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ديده به جهان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ابتدا در خدمت پدر و سپس در نظاميه ى نيشابور به تحصيل علوم نقلى و عقلى از محضر بزرگانى چون فريدالدين داماد نيشابورى و قطب الدين مصرى پرداخت و رياضى را نزد كمال الدين بن يونس موصلى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زمان حمله ى مغولان به خراسان، او به قلعه ى قهستان نزد ناصرالدين، حكمران اسماعيلى آن جا رفت و مدتى در عزّ و احترام در آن ديار بود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 چون خبردار شد كه ابن علقمى شيعى به وزارت خليفه ى عباسى دست يافته است، به اميد اين كه به بغداد رود و در سايه ى او بتواند در ترويج تشيع بكوشد، نامه اى در مدح خليفه نوشت و بدو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 اين مكاتبه فاش شد و حاكم قهستان او را به صورت زندانى روانه ى قلعه ى الموت نمود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خواجه تا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هلاكو قلاع اسماعيلى را فتح كرد در آن جا بود تا اين كه با فتح اين قلعه، هلاكو، كه از شهرت علمى خواجه بى خبر نبود، او را نزد خود نگه داشت و اكرامش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بعد از مرگ هولاكو، در دربار اباقاخان هم چنان حضور داشت تا اين كه به سال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سال ها فعاليت علمى، ديده از جهان فروبست و در مشهد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نصير در عظمت علمى چنان بود كه ملقب به استاد البشر و عقل </w:t>
      </w:r>
    </w:p>
    <w:p>
      <w:pPr>
        <w:pStyle w:val="BookText"/>
        <w:rPr/>
      </w:pPr>
      <w:r>
        <w:rPr>
          <w:rFonts w:ascii="IRNazanin" w:hAnsi="IRNazanin" w:eastAsia="IRNazanin"/>
          <w:color w:val="111111"/>
          <w:sz w:val="28"/>
          <w:sz w:val="28"/>
          <w:szCs w:val="28"/>
          <w:rtl w:val="true"/>
          <w:lang w:bidi="fa-IR"/>
        </w:rPr>
        <w:t>حادى عشر گرديد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چنان كه حاج شيخ عباس قمى در معرفى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العلماء والمحققين، افضل الحكماء والمتكلمين، ممدوح اكابر الآفاق و مجمع مكارم الاخلاق الذى لا يحتاج الى التعريف لغاية شهرته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هر حال، خواجه در طول زندگى خود و با استفاده از موقعيتى كه در دربار مغول به دست آورده بود، موفق شد خدماتى گسترده را به جهان اسلام عرضه بدارد كه در اين مقال به آنها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جان بسيارى از علما از كشتار وسيع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عطا ملك جوينى، دانشمند و مورخ شهير، مورد غضب هلاكو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ملك كه از شمشير هلاكو جان سالم به در نمى بُرد، از خواجه استمداد نمود تا او را شفاعت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درخواست خواجه هلاكو از جان او گذشت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 چنين در فتح بغداد، ابن ابى الحديد شارح نهج البلاغه و برادرش الموفق، اسير سپاه مغول گرديدند، او از خواجه خواست تا آزادى اش را از بند اسارت مغولان فراهم آورد كه چنين هم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مشاهد مشرفه و شهرهاى شيعه، به خصوص نجف اشرف از دستبرد مغولان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علما و به كارگيرى آنها در فعاليت هاى علمى و اداره 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حملات مغولان، مردم و علما به مناطق دوردست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خواجه، هلاكو </w:t>
      </w:r>
    </w:p>
    <w:p>
      <w:pPr>
        <w:pStyle w:val="BookText"/>
        <w:rPr/>
      </w:pPr>
      <w:r>
        <w:rPr>
          <w:rFonts w:ascii="IRNazanin" w:hAnsi="IRNazanin" w:eastAsia="IRNazanin"/>
          <w:color w:val="111111"/>
          <w:sz w:val="28"/>
          <w:sz w:val="28"/>
          <w:szCs w:val="28"/>
          <w:rtl w:val="true"/>
          <w:lang w:bidi="fa-IR"/>
        </w:rPr>
        <w:t>افرادى، از جمله فخرالدين مراغى را فرستاد تا در همه جا علما را جستوجو و به بازگشت دعوتشان كنند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اين قضيه، ابن ميثم بحرانى به بغداد بازگشت، بهاء الدين اربلى مؤلف كشف الغمه در امور ديوانى بغداد به كار دعوت شد، عماد الدين طبرى مؤلف كامل بهايى به اصفهان آمد، و هلاكو مقام نقابت را به سيد بن طاوس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زمانى اهميت و حساسيت خود را نشان مى دهد كه بدانيم دوقوزخاتون، زن هلاكو، كه مسيحى بود، در دربار خود تعداد زيادى از مشاوران و نديمان مسيحى را جمع كرده و در پيشبرد كار نصارى و ساخت كليسا تلاش فراوان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زمانى چنان كارشان بالا گرفت كه مسيحيان</w:t>
      </w:r>
    </w:p>
    <w:p>
      <w:pPr>
        <w:pStyle w:val="BookText"/>
        <w:rPr/>
      </w:pPr>
      <w:r>
        <w:rPr>
          <w:rFonts w:ascii="IRNazanin" w:hAnsi="IRNazanin" w:eastAsia="IRNazanin"/>
          <w:color w:val="111111"/>
          <w:sz w:val="28"/>
          <w:sz w:val="28"/>
          <w:szCs w:val="28"/>
          <w:rtl w:val="true"/>
          <w:lang w:bidi="fa-IR"/>
        </w:rPr>
        <w:t>مواجب مى گرفتند و در ماه رمضان شراب مى نوشيدند و بر روى مسلمانان مى پاشيدند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مبانى اعتقادى، فلسفى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با تحرير كتاب ارزشمند خود، تجريد الاعتقاد، نخستين كس از ميان دوازده اماميان است كه با ادله ى عقلى و كلامى به اثبات مبانى اعتقادات شيعه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الفصول وى، به گفته ى خوانسارى، بهترين كتابى است كه در علم كلام نوشته شده كه در آن با متقن ترين براهين و بهترين نظم به اثبات اصول خمسه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گفتنى است خواجه در كنار رصدخانه ى عظيم خود ساختمانى را براى تدريس فلسفه و نيز مدرسه اى براى فقه و مدرسه اى براى علم حديث ايجاد كرد و براى طلاب آنها مستمرى تعيين نمود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شرح اشارات خواجه نيز از آن جهت قابل توصيف است كه در آن وارد مباحثه اى </w:t>
      </w:r>
    </w:p>
    <w:p>
      <w:pPr>
        <w:pStyle w:val="BookText"/>
        <w:rPr/>
      </w:pPr>
      <w:r>
        <w:rPr>
          <w:rFonts w:ascii="IRNazanin" w:hAnsi="IRNazanin" w:eastAsia="IRNazanin"/>
          <w:color w:val="111111"/>
          <w:sz w:val="28"/>
          <w:sz w:val="28"/>
          <w:szCs w:val="28"/>
          <w:rtl w:val="true"/>
          <w:lang w:bidi="fa-IR"/>
        </w:rPr>
        <w:t>شديد با فخر رازى مى شود و او را كه به بهانه ى شرح اشارات، كتابى در ردّ حكمت شيعى نگاشته بود، به طور منطقى خرد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تلاش كرد تا منافع مسلمانان خصوصاً شيعيان و سادات را حفظ نمايد و اوقاف را از دست اندازى امراى مغول نگاه دارد تا وجوه آن در محل هاى مقرر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هلاكو خواست تا اداره ى اوقاف را بدو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هولاكو رياست اوقاف سراسر كشور را به او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خواجه درآمدهاى آن را ضبط و ثبت مى كرد و در احداث و اداره ى مدارس و ايجاد لجنه هاى علمى و نيز اداره ى رصدخانه ى مراغه به مصرف مى رسانيد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اخلاقى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اخلاقى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بررسى كتاب 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دانش اجتماعى امروز مجموعه اى است مختلط از نظريات مربوط به جامعه شناسى، روان شناسى و متااتيك، كه از نظريه ى عمومى احكام و ارزش هاى اخلاقى بحث مى كند، كه سرانجام منجر به تنظيم مقرراتى اخلاقى براى تعيين موازين حسن رفتار يا سوء 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مفاهيم او داراى تعاريف جامع و مانع دقيقى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مباحث خود سنت محكمى دارد و بحث ها كاملا پخته و سايه روشن ها از هم تميز داده شده اند، به حدى كه گاه مايه ى اعجاب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نظريات خويش در باب علم زيباشناسى، عقايد خود را درباره ى آموزش و پرورش جوانان و شيوه ى تدريس و تعليم نيز شرح داده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كردن ويرانگرى هاى قوم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چنان تحت تأثير دانش و منطق قاطع خواجه و مجذوب او بود كه حتى از اطاعت فرمان خان مغول، منگوقاآن، مبنى بر اعزام خواجه به مغولستان، شانه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او تفهيم كرد كه يك فاتح نبايد فقط به دنبال تخريب و غارت باشد، بلكه اصلاحات هم لازم است</w:t>
      </w:r>
      <w:r>
        <w:rPr>
          <w:rStyle w:val="FootnoteAnchor"/>
          <w:rtl w:val="true"/>
        </w:rPr>
        <w:footnoteReference w:id="108"/>
      </w:r>
      <w:r>
        <w:rPr>
          <w:rFonts w:ascii="IRNazanin" w:hAnsi="IRNazanin" w:eastAsia="IRNazanin"/>
          <w:color w:val="111111"/>
          <w:sz w:val="28"/>
          <w:sz w:val="28"/>
          <w:szCs w:val="28"/>
          <w:rtl w:val="true"/>
          <w:lang w:bidi="fa-IR"/>
        </w:rPr>
        <w:t>و از آن جا بود كه هلاكو امر به ايجاد رصدخانه كرد و دستور داد هر چه خواجه طلب كند براى او فراهم آورند و به مرور زمان ديديم كه مغولان به اسلام روى آوردند و به اصلاحات اجتماعى و مدنى و هنرى دست زدند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آثار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همان ابتدا كه در قضيه ى فتح قلاع اسماعيلى نزد هلاكو رسيد، از او خواست كه كتب بسيارى كه در قلعه ى الموت بود محفوظ نگه داشته 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بعدها هم مأمورانى را به اطراف مى فرستاد تا كتب علمى را در هر كجا كه يافتند خريدارى كنند و براى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خواجه توانست مقدار معتنابهى از كتب نفيس عهد خود را كه در معرض تلف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مورخين مى گويند، در كتابخانه ى مراغه چهارصدهزار جلد كتاب موجود 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رصدخانه ى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ترين كار خواجه، تأسيس رصدخانه ى مراغه بود كه در آن جا لجنه اى قوى از علما و مهندسين را از نقاط مختلفى چون دمشق و موصل و قزوين و تفليس</w:t>
      </w:r>
      <w:r>
        <w:rPr>
          <w:rStyle w:val="FootnoteAnchor"/>
          <w:rtl w:val="true"/>
        </w:rPr>
        <w:footnoteReference w:id="112"/>
      </w:r>
      <w:r>
        <w:rPr>
          <w:rFonts w:ascii="IRNazanin" w:hAnsi="IRNazanin" w:eastAsia="IRNazanin"/>
          <w:color w:val="111111"/>
          <w:sz w:val="28"/>
          <w:sz w:val="28"/>
          <w:szCs w:val="28"/>
          <w:rtl w:val="true"/>
          <w:lang w:bidi="fa-IR"/>
        </w:rPr>
        <w:t>و حتى از دانشمندان چينى گردهم آورد</w:t>
      </w:r>
      <w:r>
        <w:rPr>
          <w:rStyle w:val="FootnoteAnchor"/>
          <w:rtl w:val="true"/>
        </w:rPr>
        <w:footnoteReference w:id="113"/>
      </w:r>
      <w:r>
        <w:rPr>
          <w:rFonts w:ascii="Amiri" w:hAnsi="Amiri" w:eastAsia="Amiri" w:cs="Amiri"/>
          <w:color w:val="111111"/>
          <w:sz w:val="28"/>
          <w:sz w:val="28"/>
          <w:szCs w:val="28"/>
          <w:rtl w:val="true"/>
          <w:lang w:bidi="ar-SA"/>
        </w:rPr>
        <w:t>و كتاب خانه اى عظيم احداث نمود و ابزار و آلات نجومى آن مركز علمى بهترين و مجهزترين آلات آن زمان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سرانجام </w:t>
      </w:r>
    </w:p>
    <w:p>
      <w:pPr>
        <w:pStyle w:val="BookText"/>
        <w:rPr/>
      </w:pPr>
      <w:r>
        <w:rPr>
          <w:rFonts w:ascii="IRNazanin" w:hAnsi="IRNazanin" w:eastAsia="IRNazanin"/>
          <w:color w:val="111111"/>
          <w:sz w:val="28"/>
          <w:sz w:val="28"/>
          <w:szCs w:val="28"/>
          <w:rtl w:val="true"/>
          <w:lang w:bidi="fa-IR"/>
        </w:rPr>
        <w:t>زيجى را استخراج و تأليف نمود كه قرن هاست با اهميت ويژه اش توجه محافل علمى جهان را به خود معطوف داشته است چنانكه شروح متعددى بر آن نگاشته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متأسفانه بعد از خواجه، آن مركز عظيم به مرور به دست فراموشى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تأليفات و آثار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خواجه بسيار بيش از آن است كه بتوان آنها را در اين مقال كوتاه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علم رياضى، از جمله تحرير اقليدس و تحرير مجسطى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در علم اخلاق، چون اخلاق ناصرى و اوصاف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منطق، مثل اساس الاقتباس و تجريد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علم فلسفه از جمله شرح اشارات، و نيز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در علم كلام، چون تجريد الاعتقاد و قواعد العقائد و نيز آثارى در تاريخ، طب، فقه، جغرافيا، تفسير و تعليم و تربيت به عالم اسلام ارائه دهد</w:t>
      </w:r>
      <w:r>
        <w:rPr>
          <w:rStyle w:val="FootnoteAnchor"/>
          <w:rtl w:val="true"/>
        </w:rPr>
        <w:footnoteReference w:id="115"/>
      </w:r>
      <w:r>
        <w:rPr>
          <w:rFonts w:ascii="IRNazanin" w:hAnsi="IRNazanin" w:eastAsia="IRNazanin"/>
          <w:color w:val="111111"/>
          <w:sz w:val="28"/>
          <w:sz w:val="28"/>
          <w:szCs w:val="28"/>
          <w:rtl w:val="true"/>
          <w:lang w:bidi="fa-IR"/>
        </w:rPr>
        <w:t>كه تعداد زيادى از آنها به زبان هاى مختلف جهان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آثار خواجه نگاشته شدن بسيارى از آنها به زبان فارسى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شاگردانى زبده براى نسل هاى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زيادى از اطراف بلاد اسلامى حول خواجه گرد مى آمدند و از خرمن بى پايان دانش او بهره مى بردند كه هر يك خود استادى بزرگ شدند كه از آن جمله مى توان به علامه حلى، قطب الدين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اسلام آوردن احمد تكودار نقش داشت و خبر آن را به بلاد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 الدين منجم بغدادى، ركن الدين استرآبادى و</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bookmarkStart w:id="155" w:name="pg10696_94846"/>
    </w:p>
    <w:p>
      <w:pPr>
        <w:pStyle w:val="Heading3"/>
        <w:numPr>
          <w:ilvl w:val="2"/>
          <w:numId w:val="1"/>
        </w:numPr>
        <w:rPr/>
      </w:pPr>
      <w:bookmarkStart w:id="156" w:name="__RefHeading___Toc2367186_1051229030"/>
      <w:bookmarkStart w:id="157" w:name="_Toc57"/>
      <w:bookmarkEnd w:id="155"/>
      <w:bookmarkEnd w:id="156"/>
      <w:r>
        <w:rPr>
          <w:rtl w:val="true"/>
        </w:rPr>
        <w:t>نقش فيض كاشانى در گسترش فرهنگ تشيع چه بود؟</w:t>
      </w:r>
      <w:bookmarkEnd w:id="157"/>
    </w:p>
    <w:p>
      <w:pPr>
        <w:pStyle w:val="BookText"/>
        <w:rPr/>
      </w:pPr>
      <w:r>
        <w:rPr>
          <w:rFonts w:ascii="Amiri" w:hAnsi="Amiri" w:eastAsia="Amiri" w:cs="Amiri"/>
          <w:color w:val="111111"/>
          <w:sz w:val="28"/>
          <w:sz w:val="28"/>
          <w:szCs w:val="28"/>
          <w:rtl w:val="true"/>
          <w:lang w:bidi="ar-SA"/>
        </w:rPr>
        <w:t>امير على حسنلو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شيعه براى پيشبرد اهداف متعالى خود و گسترش فرهنگ اسلامى در طول تاريخ نقش بسيار برجسته اى را ايفا كرده اند و تلاش آنها در اين راه فرهنگ اسلام اصيل را كه از مكتب اهل بيت مى جوشد بسط و گسترش داده و به احياى ارزش هاى اسلامى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نهضت علمى دانشمندان بزرگ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نتيجه ى مهم و گسترده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متون و معيارهاى اسلام ناب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كمى و كيفى فرهنگ اسلام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ابزارهاى مورد استفاده ى علما در يك نگاه كلى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علمى نقلى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علمى عقلى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عملى، فرهنگى و اجتماعى</w:t>
      </w:r>
      <w:r>
        <w:rPr>
          <w:rFonts w:eastAsia="IRNazanin" w:cs="IRNazanin"/>
          <w:color w:val="111111"/>
          <w:sz w:val="28"/>
          <w:szCs w:val="28"/>
          <w:rtl w:val="true"/>
          <w:lang w:bidi="fa-IR"/>
        </w:rPr>
        <w:t>.</w:t>
      </w:r>
    </w:p>
    <w:p>
      <w:pPr>
        <w:pStyle w:val="Heading3"/>
        <w:numPr>
          <w:ilvl w:val="2"/>
          <w:numId w:val="1"/>
        </w:numPr>
        <w:rPr/>
      </w:pPr>
      <w:bookmarkStart w:id="158" w:name="__RefHeading___Toc2367188_1051229030"/>
      <w:bookmarkStart w:id="159" w:name="_Toc58"/>
      <w:bookmarkEnd w:id="158"/>
      <w:r>
        <w:rPr>
          <w:rtl w:val="true"/>
        </w:rPr>
        <w:t>روش هاى كاربردى علما براى فرهنگ سازى و تغيير ساختار فرهنگى</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و تأسيس مراكز علمى و مدارس و دانشگاه هاى بزرگ در مناطق مختلف</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و ايجاد كتاب خانه 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مساجد و مراكز مذهبى و مؤسسات خيريه در مناطق مختلف</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فعاليت هاى علما براى فرهنگ سازى بدين قرار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تربيت شاگردان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مناظره و تبادل افكار و تضارب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و حضور در مراكز قدرت سياسى</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انحرافات و بدعتها و كجرويها و فرقه هاى انحرافى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دانشمندان بزرگ اسلامى كه چهره اى تابناك در راه حفظ و گسترش فرهنگ اسلامى از خود بر جاى گذاشته، فيض كاشانى است كه از تمام ظرفيت ها و زمينه ها و فرصت ها و ابزارهاى موجود در زمان خود براى حفظ ميراث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فرهنگ اسلام اصيل، بهره برد و تلاش هايى تحسين برانگيز در اين راه از خود نشان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كاشانى از جمله دانشمندان انگشت شمار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فرايند فرهنگ سازى نقش بسيارى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خاندان علم و فضيلت چشم به جهان گشود و در دامن علم و تقوى پرورش يافت و مراحل مقدماتى تحصيلات را به پايان برد و براى تكميل تحصيلات خود در شهرهاى اصفهان، شيراز و قم اقامت نمود و از محضر علماى بزرگى چون، شيخ بهائى، ميرداماد، سيد ماجد بحرانى و شيخ زين الدين جبل عاملى در حجاز و محمد امين استرآبادى در مكه و صدرالمتألهين در قم، در علوم مختلف عقلى و نقلى استفاده نمود</w:t>
      </w:r>
      <w:r>
        <w:rPr>
          <w:rFonts w:eastAsia="IRNazanin" w:cs="IRNazanin"/>
          <w:color w:val="111111"/>
          <w:sz w:val="28"/>
          <w:szCs w:val="28"/>
          <w:rtl w:val="true"/>
          <w:lang w:bidi="fa-IR"/>
        </w:rPr>
        <w:t xml:space="preserve">. </w:t>
      </w:r>
      <w:bookmarkStart w:id="160" w:name="pg10696_94848"/>
    </w:p>
    <w:p>
      <w:pPr>
        <w:pStyle w:val="BookText"/>
        <w:rPr/>
      </w:pPr>
      <w:bookmarkEnd w:id="160"/>
      <w:r>
        <w:rPr>
          <w:rFonts w:ascii="IRNazanin" w:hAnsi="IRNazanin" w:eastAsia="IRNazanin"/>
          <w:color w:val="111111"/>
          <w:sz w:val="28"/>
          <w:sz w:val="28"/>
          <w:szCs w:val="28"/>
          <w:rtl w:val="true"/>
          <w:lang w:bidi="fa-IR"/>
        </w:rPr>
        <w:t>وى بيشتر، از مرحوم استرآبادى و مرحوم ملاصدراى شيرازى تأثير پذيرفت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با توجه به اين كه فيض در برهه اى از زمان واقع شده بود كه رواج فرهنگ شيعه در ايران در مرحله ى حساس و ويژه اى قرار داشت و مستلزم سخت كوشى بود، وى در زمينه هاى مختلف كوشش گسترده اى به كار بست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61" w:name="__RefHeading___Toc2367190_1051229030"/>
      <w:bookmarkStart w:id="162" w:name="_Toc59"/>
      <w:bookmarkEnd w:id="161"/>
      <w:r>
        <w:rPr>
          <w:rtl w:val="true"/>
        </w:rPr>
        <w:t>تلاش هاى فيض در فرآيند تكامل فرهنگى</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تدريس و تعليم و تربيت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هر فرصتى به تربيت شاگردان همت گماشت و در شهر كاشان و حوزه ى بزرگ اصفهان در كنار فعاليت هاى اجتماعى و مذهبى حوزه ى درس با رونق و پربارى تشكيل داد و در علوم مختلف به تدريس پرداخت و شاگردان بزرگى نظير علامه مجلسى صاحب بحارالانوار، سيد نعمت الله جزايرى، قاضى سعيد قمى و محمد علم الهدى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خود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مشغول تدريس حديث اهل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 كتب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مقدور گرديدم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اين ميان شاگرد بزرگ او علامه مجلسى نقش بسيار برجسته اى در گسترش فرهنگ اسلام و اهل بيت داشت كه بركات و نور آن هنوز نيز مى درخشد و فرهنگ تشيع را غنا و عمق مى بخشد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در حوزه هاى مختلف به تدريس و تشكيل كلاس هاى درس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p>
    <w:p>
      <w:pPr>
        <w:pStyle w:val="BookText"/>
        <w:rPr/>
      </w:pPr>
      <w:r>
        <w:rPr>
          <w:rFonts w:ascii="IRNazanin" w:hAnsi="IRNazanin" w:eastAsia="IRNazanin"/>
          <w:color w:val="111111"/>
          <w:sz w:val="28"/>
          <w:sz w:val="28"/>
          <w:szCs w:val="28"/>
          <w:rtl w:val="true"/>
          <w:lang w:bidi="fa-IR"/>
        </w:rPr>
        <w:t>مدرسه ى فيضيه قم را از جمله محل هاى تدريس فيض مى نامند كه به نام آن دانشمند خطير نيز معروف گشته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و تحقيق و تدوين كتب و رسالات در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اين زمينه يكى از پركارترين دانشمندان تاريخ اسلام است كه در انواع علوم و فنون به خلق آثار بديع پرداخته و به فرهنگ اسلام عمق و غنا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دو كار اساسى و مهم انجام داده كه از گستردگى خيره كننده اى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دانشمندى ذوفنون بود، در علوم مختلف و به مقتضاى زمان و با زبان طبقات مختلف اجتماع خود فرهنگ اسلام را بسيار ماهرانه به اقشار و طبقات مختلف جامعه و لايه هاى فرهنگى آن تزريق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كه براى طبقه ى دانشمندان و خواص كتاب هاى گرانسنگى چون وافى در ده ها مجلد با روش نوين مهيا نمود، براى اقشار مختلف با زبان هنرى شعر و ادبيات و به زبان فارسى بسيار ساده و روان احكام اسلامى را بازگو و به شكلى نوين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به زبان روز خود تسلط داشت و مشكل فرهنگى زمان خود را درك مى كرد، در حل اين مشكلات حركتى بسيار گسترده انجام داد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 اخلاقى و خانوادگى جوانان و اقشار مختلف را به زيبايى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ديوان اشعار او حاوى معارف گسترده ى اسلام است و احكام نماز و اذان و اقامه را براى نوسالان به زبان زيباى هنرى شعر ارائه داده است</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در علوم قرآن، حديث و اخلاق و </w:t>
      </w:r>
    </w:p>
    <w:p>
      <w:pPr>
        <w:pStyle w:val="BookText"/>
        <w:rPr/>
      </w:pPr>
      <w:r>
        <w:rPr>
          <w:rFonts w:ascii="IRNazanin" w:hAnsi="IRNazanin" w:eastAsia="IRNazanin"/>
          <w:color w:val="111111"/>
          <w:sz w:val="28"/>
          <w:sz w:val="28"/>
          <w:szCs w:val="28"/>
          <w:rtl w:val="true"/>
          <w:lang w:bidi="fa-IR"/>
        </w:rPr>
        <w:t>عرفان و فلسفه و كلام و رياضيات، نجوم، هيئت، فقه، ادبيات فارسى و عربى و در تمام زمينه هاى رايج در عصر خود آثارى زيبا آفريده و خلأهاى اساسى فرهنگى را اشباع نموده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بازبينى آرا و منابع حديثى بزرگ و بازنويسى آنها بر اساس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مرحوم فيض آثارى مثل محجة البيضاء را از احياء العلوم غزالى تصحيح و بازبينى نموده و بر طبق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اعتبار و جايگاه ويژه اى در بين متون روايى شيعه داده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او وافى را نيز بر اساس نياز روز از كتب اربعه اقتباس و برخى از روايات را شرح داد و به بررسى اسناد روايى و تلخيص آنها اقدام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و برگزارى آيين هاى مذهبى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راه تبليغ كه بزرگ ترين عنصر تأثيرگذار در شكل گيرى فرهنگ است، در كنار فعاليت هاى ديگر تلاش هاى فراوانى نمود و از راه موعظه و خطابه و ارتباط با اقشار و توده هاى مختلف جامعه به بسط فرهنگ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برگزارى مجالس وعظ و نماز جمعه و جماعات در كاشان، و اصفهان كه پايتخت پر رونق دولت صفوى بود، در راه امر به معروف و نهى از منكر سعى كرد، تا در برابر مشكلات و بحران هاى اجتماعى اصلاحاتى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وجوب نماز جمعه در دوره ى غيبت بود آن هم در زمانى كه عده اى از علما به حرمت نماز جمعه فتوا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اين فريضه ى بزرگ را احيا نمود و با آنها درگير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مدتى در اصفهان امامت جمعه را به عهده داشت و با ايراد خطبه ها تمام كارگزاران سياسى و مردم را به اصلاح امور فرامى خواند و علاوه بر اصفهان مدت ها در قمصر كاشان به امر تبليغ و اقامه ى نماز جمعه</w:t>
      </w:r>
    </w:p>
    <w:p>
      <w:pPr>
        <w:pStyle w:val="BookText"/>
        <w:rPr/>
      </w:pPr>
      <w:r>
        <w:rPr>
          <w:rFonts w:ascii="IRNazanin" w:hAnsi="IRNazanin" w:eastAsia="IRNazanin"/>
          <w:color w:val="111111"/>
          <w:sz w:val="28"/>
          <w:sz w:val="28"/>
          <w:szCs w:val="28"/>
          <w:rtl w:val="true"/>
          <w:lang w:bidi="fa-IR"/>
        </w:rPr>
        <w:t>پرداخت و توانست تا حدودى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سامان ترويج نمايد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برگزارى نماز جمعه يكى از فعاليت هاى بسيار مهم فيض كاشانى در اين دوره براى ترويج فرهنگ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ابزارهاى راه بردى فيض در راه انتشار فرهنگ اسلام، مناظرات علمى و مكاتبات و پاسخ به شبهات علمى بود كه از نقاط مختلف به حضورش مى رسيد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مراكز قدرت سياسى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ابزارى كه زمانه ى فيض اقتضا مى كرد و براى ترويج فرهنگ اسلامى مناسب و مساعد بود استفاده از ابزار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صفويان براى رشد و رونق و گسترش و استقرار فرهنگ شيعه در ايران نياز مبرم به علماى شيعه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نيز از اين فرصت استثنايى استفاده كردند و بهره ى كافى بردند و توانستند فرهنگ غالب ايران عصر صفوى را به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دهند و تقريباً اكثريت مردم ايران در عصر صفوى به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گراييدند و اين تغيير فرهنگ به همت علماى بزرگ شيعه، چون فيض كاشانى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علاوه بر اين كه در پيش شاهان معاصر خود از جهت معنوى مقام شامخى داشت و از طرفى در بين عامه ى مردم نيز از جايگاه رفيعى برخوردار بود، در اصلاح امور دولت تلاش گسترده اى كرد و در اين راه رساله 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 ى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شاه صفوى، نوشت و در آن به جايگاه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 سلطان و حقوق حاكم نسبت به رعيت بر اساس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با اين نظريه ى اصلاحى در مقام اصلاح </w:t>
      </w:r>
    </w:p>
    <w:p>
      <w:pPr>
        <w:pStyle w:val="BookText"/>
        <w:rPr/>
      </w:pPr>
      <w:r>
        <w:rPr>
          <w:rFonts w:ascii="Amiri" w:hAnsi="Amiri" w:eastAsia="Amiri" w:cs="Amiri"/>
          <w:color w:val="111111"/>
          <w:sz w:val="28"/>
          <w:sz w:val="28"/>
          <w:szCs w:val="28"/>
          <w:rtl w:val="true"/>
          <w:lang w:bidi="ar-SA"/>
        </w:rPr>
        <w:t>دربار و روش حكومت استبدادى همت نمود</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او براى تعديل قدرت مطلقه ى سلطنتى و كنترل شاه، از راه وعظ و خطابه و نصيحت وارد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انحرافات و بدعت ها و كجروى ها و فرقه هاى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مهم فيض در راه صيانت و گسترش فرهنگ اسلام اصيل، مبارزه با بدعت هاى اجتماعى و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هاى انحرافى در دوره ى صفويه رشد نموده و به نام اسلام، در صدد تخريب چهره ى دين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ها به نوعى از طرف حكومت حمايت مى شدند و بسيارى از اصول اسلام را در جلوه هاى تصوف و عرفان، متأثر از افراط و تفريط مخالف ارزش هاى شيعه، به جامعه القا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با اين انحرافات برخورد عالمانه اى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 شناخت عميق از معارف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ترويج احاديث معتبر</w:t>
      </w:r>
    </w:p>
    <w:p>
      <w:pPr>
        <w:pStyle w:val="BookText"/>
        <w:rPr/>
      </w:pPr>
      <w:r>
        <w:rPr>
          <w:rFonts w:ascii="IRNazanin" w:hAnsi="IRNazanin" w:eastAsia="IRNazanin"/>
          <w:color w:val="111111"/>
          <w:sz w:val="28"/>
          <w:sz w:val="28"/>
          <w:szCs w:val="28"/>
          <w:rtl w:val="true"/>
          <w:lang w:bidi="fa-IR"/>
        </w:rPr>
        <w:t>در جامعه پرداخت و كتاب هاى مهمى در اين مقصد نوشت، مثل كتاب عين اليقين و علم اليقين و كلمات المكنونه</w:t>
      </w:r>
      <w:r>
        <w:rPr>
          <w:rFonts w:eastAsia="IRNazanin" w:cs="IRNazanin"/>
          <w:color w:val="111111"/>
          <w:sz w:val="28"/>
          <w:szCs w:val="28"/>
          <w:rtl w:val="true"/>
          <w:lang w:bidi="fa-IR"/>
        </w:rPr>
        <w:t>.</w:t>
      </w:r>
      <w:r>
        <w:rPr>
          <w:rStyle w:val="FootnoteAnchor"/>
          <w:rtl w:val="true"/>
        </w:rPr>
        <w:footnoteReference w:id="1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توان درباره ى فيض اين گونه قضاوت درست و به حق كرد كه او در شكل گيرى فرهنگ اسلام و تشيع سهم بسزا و از زمان خود و مسائل آن شناخت عميق داشت و در حل مشكلات فرهنگى معاصر خود گامى مهم و موفقيت آميز برداشت و توانست با زمان خود حركت كند و لايه هايى از فرهنگ اصيل اسلام بر مبناى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هاى مدبرانه ى او شكل گرفت كه امروز در سايه ى آثار گران سنگش متبلور است</w:t>
      </w:r>
      <w:r>
        <w:rPr>
          <w:rFonts w:eastAsia="IRNazanin" w:cs="IRNazanin"/>
          <w:color w:val="111111"/>
          <w:sz w:val="28"/>
          <w:szCs w:val="28"/>
          <w:rtl w:val="true"/>
          <w:lang w:bidi="fa-IR"/>
        </w:rPr>
        <w:t xml:space="preserve">. </w:t>
      </w:r>
      <w:bookmarkStart w:id="163" w:name="pg10696_94853"/>
    </w:p>
    <w:p>
      <w:pPr>
        <w:pStyle w:val="Heading2"/>
        <w:numPr>
          <w:ilvl w:val="1"/>
          <w:numId w:val="1"/>
        </w:numPr>
        <w:rPr/>
      </w:pPr>
      <w:bookmarkStart w:id="164" w:name="__RefHeading___Toc2367192_1051229030"/>
      <w:bookmarkStart w:id="165" w:name="_Toc60"/>
      <w:bookmarkEnd w:id="163"/>
      <w:bookmarkEnd w:id="164"/>
      <w:r>
        <w:rPr>
          <w:rtl w:val="true"/>
        </w:rPr>
        <w:t>تاريخ معاصر</w:t>
      </w:r>
      <w:bookmarkEnd w:id="165"/>
    </w:p>
    <w:p>
      <w:pPr>
        <w:pStyle w:val="Heading3"/>
        <w:numPr>
          <w:ilvl w:val="2"/>
          <w:numId w:val="1"/>
        </w:numPr>
        <w:rPr/>
      </w:pPr>
      <w:bookmarkStart w:id="166" w:name="__RefHeading___Toc2367194_1051229030"/>
      <w:bookmarkStart w:id="167" w:name="_Toc61"/>
      <w:bookmarkEnd w:id="166"/>
      <w:r>
        <w:rPr>
          <w:rtl w:val="true"/>
        </w:rPr>
        <w:t>اشاره</w:t>
      </w:r>
      <w:bookmarkEnd w:id="1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جمال الدين اسدآبادى </w:t>
      </w:r>
    </w:p>
    <w:p>
      <w:pPr>
        <w:pStyle w:val="BookText"/>
        <w:rPr/>
      </w:pPr>
      <w:r>
        <w:rPr>
          <w:rFonts w:ascii="IRNazanin" w:hAnsi="IRNazanin" w:eastAsia="IRNazanin"/>
          <w:color w:val="111111"/>
          <w:sz w:val="28"/>
          <w:sz w:val="28"/>
          <w:szCs w:val="28"/>
          <w:rtl w:val="true"/>
          <w:lang w:bidi="fa-IR"/>
        </w:rPr>
        <w:t>انديشه ى سياسى سيد جمال الدين اسدآبادى چه بود؟</w:t>
      </w:r>
    </w:p>
    <w:p>
      <w:pPr>
        <w:pStyle w:val="BookText"/>
        <w:rPr/>
      </w:pPr>
      <w:r>
        <w:rPr>
          <w:rFonts w:ascii="IRNazanin" w:hAnsi="IRNazanin" w:eastAsia="IRNazanin"/>
          <w:color w:val="111111"/>
          <w:sz w:val="28"/>
          <w:sz w:val="28"/>
          <w:szCs w:val="28"/>
          <w:rtl w:val="true"/>
          <w:lang w:bidi="fa-IR"/>
        </w:rPr>
        <w:t>نقش سيد جمال در مبارزه با استبداد حاكم بر ايران چگونه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جمال الدين اسدآبادى در تحريم تنباكو چه نقشى داشت؟ </w:t>
      </w:r>
      <w:bookmarkStart w:id="168" w:name="pg10696_94855"/>
    </w:p>
    <w:p>
      <w:pPr>
        <w:pStyle w:val="BookText"/>
        <w:rPr/>
      </w:pPr>
      <w:bookmarkEnd w:id="168"/>
      <w:r>
        <w:rPr>
          <w:rFonts w:ascii="IRNazanin" w:hAnsi="IRNazanin" w:eastAsia="IRNazanin"/>
          <w:color w:val="111111"/>
          <w:sz w:val="28"/>
          <w:sz w:val="28"/>
          <w:szCs w:val="28"/>
          <w:rtl w:val="true"/>
          <w:lang w:bidi="fa-IR"/>
        </w:rPr>
        <w:t>تاریخ معاصر</w:t>
      </w:r>
    </w:p>
    <w:p>
      <w:pPr>
        <w:pStyle w:val="Heading3"/>
        <w:numPr>
          <w:ilvl w:val="2"/>
          <w:numId w:val="1"/>
        </w:numPr>
        <w:rPr/>
      </w:pPr>
      <w:bookmarkStart w:id="169" w:name="__RefHeading___Toc2367196_1051229030"/>
      <w:bookmarkStart w:id="170" w:name="_Toc62"/>
      <w:bookmarkEnd w:id="169"/>
      <w:r>
        <w:rPr>
          <w:rtl w:val="true"/>
        </w:rPr>
        <w:t>سید جمال الدین اسد ابادی</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علماى شيعه طبق وظيفه ى الهى خود در راه دفاع از استقلال و آرمان هاى فرهنگى و ملى مبارزه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و هشيارى تحسين برانگيز علماى شيعه از مهم ترين عوامل بيدارى ايرانيان در دفاع از آرمان ها و ارزش هاى دينى و ملى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و استبداد به منظور حفظ استقلال سياسى و تماميت ارضى در اولويت مبارزات علما، از جمله عالم مبارز و روشن فكر تاريخ شيعه، سيد جمال الدين اسدآبادى بوده است</w:t>
      </w:r>
      <w:r>
        <w:rPr>
          <w:rFonts w:eastAsia="IRNazanin" w:cs="IRNazanin"/>
          <w:color w:val="111111"/>
          <w:sz w:val="28"/>
          <w:szCs w:val="28"/>
          <w:rtl w:val="true"/>
          <w:lang w:bidi="fa-IR"/>
        </w:rPr>
        <w:t xml:space="preserve">. </w:t>
      </w:r>
      <w:bookmarkStart w:id="171" w:name="pg10696_94856"/>
    </w:p>
    <w:p>
      <w:pPr>
        <w:pStyle w:val="Heading3"/>
        <w:numPr>
          <w:ilvl w:val="2"/>
          <w:numId w:val="1"/>
        </w:numPr>
        <w:rPr/>
      </w:pPr>
      <w:bookmarkStart w:id="172" w:name="__RefHeading___Toc2367198_1051229030"/>
      <w:bookmarkStart w:id="173" w:name="_Toc63"/>
      <w:bookmarkEnd w:id="171"/>
      <w:bookmarkEnd w:id="172"/>
      <w:r>
        <w:rPr>
          <w:rtl w:val="true"/>
        </w:rPr>
        <w:t>انديشه ى سياسى سيد جمال الدين اسدآبادى چه بود؟</w:t>
      </w:r>
      <w:bookmarkEnd w:id="173"/>
    </w:p>
    <w:p>
      <w:pPr>
        <w:pStyle w:val="BookText"/>
        <w:rPr/>
      </w:pPr>
      <w:r>
        <w:rPr>
          <w:rFonts w:ascii="Amiri" w:hAnsi="Amiri" w:eastAsia="Amiri" w:cs="Amiri"/>
          <w:color w:val="111111"/>
          <w:sz w:val="28"/>
          <w:sz w:val="28"/>
          <w:szCs w:val="28"/>
          <w:rtl w:val="true"/>
          <w:lang w:bidi="ar-SA"/>
        </w:rPr>
        <w:t>مهدى زيركى</w:t>
      </w:r>
    </w:p>
    <w:p>
      <w:pPr>
        <w:pStyle w:val="Heading3"/>
        <w:numPr>
          <w:ilvl w:val="2"/>
          <w:numId w:val="1"/>
        </w:numPr>
        <w:rPr/>
      </w:pPr>
      <w:bookmarkStart w:id="174" w:name="__RefHeading___Toc2367200_1051229030"/>
      <w:bookmarkStart w:id="175" w:name="_Toc64"/>
      <w:bookmarkEnd w:id="174"/>
      <w:r>
        <w:rPr>
          <w:rtl w:val="true"/>
        </w:rPr>
        <w:t>الف</w:t>
      </w:r>
      <w:r>
        <w:rPr>
          <w:rtl w:val="true"/>
        </w:rPr>
        <w:t xml:space="preserve">) </w:t>
      </w:r>
      <w:r>
        <w:rPr>
          <w:rtl w:val="true"/>
        </w:rPr>
        <w:t>محورهاى اصلى انديشه ى سياسى سيد جمال</w:t>
      </w:r>
      <w:bookmarkEnd w:id="175"/>
    </w:p>
    <w:p>
      <w:pPr>
        <w:pStyle w:val="Heading4"/>
        <w:numPr>
          <w:ilvl w:val="3"/>
          <w:numId w:val="1"/>
        </w:numPr>
        <w:rPr/>
      </w:pPr>
      <w:bookmarkStart w:id="176" w:name="__RefHeading___Toc2367202_1051229030"/>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سيد ابتدا در پى اين بود كه استعمار از كشورهاى مسلمان زدوده شود، سپس مدينه ى فاضله اى را مطرح مى كند كه مسلمين در ظل آن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توضيح بنيان هاى اين مدينه ى فاضله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عامل پايدارى هيأت اجتماعيه و اساس محكم مدنيت اند و بدون آنها هيأت اجتماعيه بر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اعتقاد به اين كه انسان فرشته اى زمينى و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يقين كند كه امت او اشرف امت هاست و ديگران در گمراهى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آخر اين كه انسان به اين عالم آمده تا تحصيل كمال نمايد و بعد به عالمى افضل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خصال، آثارى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افراد انسانى از اين كه چونان گرگ همديگر را پاره كنند اجتناب خواهند كرد، و در ميدان فضايل از هم سبقت خواهند گرفت و به علوم</w:t>
      </w:r>
    </w:p>
    <w:p>
      <w:pPr>
        <w:pStyle w:val="BookText"/>
        <w:rPr/>
      </w:pPr>
      <w:r>
        <w:rPr>
          <w:rFonts w:ascii="IRNazanin" w:hAnsi="IRNazanin" w:eastAsia="IRNazanin"/>
          <w:color w:val="111111"/>
          <w:sz w:val="28"/>
          <w:sz w:val="28"/>
          <w:szCs w:val="28"/>
          <w:rtl w:val="true"/>
          <w:lang w:bidi="fa-IR"/>
        </w:rPr>
        <w:t>و صنايع روى آورده، سعى خواهند كرد از خيانت و دروغ بپرهيزند و اموالشان را از طريق مشروع به دست آورند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78" w:name="__RefHeading___Toc2367204_1051229030"/>
      <w:bookmarkStart w:id="179" w:name="_Toc66"/>
      <w:bookmarkEnd w:id="178"/>
      <w:r>
        <w:rPr/>
        <w:t>1</w:t>
      </w:r>
      <w:r>
        <w:rPr>
          <w:rtl w:val="true"/>
        </w:rPr>
        <w:t xml:space="preserve">. </w:t>
      </w:r>
      <w:r>
        <w:rPr>
          <w:rtl w:val="true"/>
        </w:rPr>
        <w:t>مبارزه با استعمار</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جمال استعمار را عامل اصلى عقب ماندگى دول اسلامى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هاى مقتدر سقوط نكردند مگر با دخالت بيگانگان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او معتقد بود كه انگلستان نه تنها قدرتى استعمارى، بلكه دشمن صلبى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قصد آنها را نابودى اسلام </w:t>
      </w:r>
      <w:bookmarkStart w:id="180" w:name="pg10696_94857"/>
    </w:p>
    <w:p>
      <w:pPr>
        <w:pStyle w:val="BookText"/>
        <w:rPr/>
      </w:pPr>
      <w:bookmarkEnd w:id="180"/>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وى تمايل داشت اسلام را دين سخت كوشى بداند و به همين دليل به فريضه ى جهاد بسيار تأكيد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برابر حكومتى كه مصمم به نابودى اسلام است، مسلمانان راهى جز توسل به زور ندارند</w:t>
      </w:r>
      <w:r>
        <w:rPr>
          <w:rStyle w:val="FootnoteAnchor"/>
          <w:rtl w:val="true"/>
        </w:rPr>
        <w:footnoteReference w:id="137"/>
      </w:r>
      <w:r>
        <w:rPr>
          <w:rFonts w:ascii="IRNazanin" w:hAnsi="IRNazanin" w:eastAsia="IRNazanin"/>
          <w:color w:val="111111"/>
          <w:sz w:val="28"/>
          <w:sz w:val="28"/>
          <w:szCs w:val="28"/>
          <w:rtl w:val="true"/>
          <w:lang w:bidi="fa-IR"/>
        </w:rPr>
        <w:t>و اين مبارزه احتياج به حكمِ حاكم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واماندگى امروزى مسلمانان را نتيجه ى تبهكارى حكومت هاى استبدادى و قدرت هاى استعمارى مى داند كه آنان را با علم و فلسفه بيگانه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رفتن اين بيگانگى تنها با آزادى سياسى و پيشرفت اجتماعى، فكرى مسلمانان ميسر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81" w:name="__RefHeading___Toc2367206_1051229030"/>
      <w:bookmarkStart w:id="182" w:name="_Toc67"/>
      <w:bookmarkEnd w:id="181"/>
      <w:r>
        <w:rPr/>
        <w:t>2</w:t>
      </w:r>
      <w:r>
        <w:rPr>
          <w:rtl w:val="true"/>
        </w:rPr>
        <w:t xml:space="preserve">. </w:t>
      </w:r>
      <w:r>
        <w:rPr>
          <w:rtl w:val="true"/>
        </w:rPr>
        <w:t>رجوع به اسلام و آموزه هاى آن</w:t>
      </w:r>
      <w:bookmarkEnd w:id="1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جمال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سرشار از آموزش هاى ضد ظلم، آزادى طلبى، برابرى و مساوات خواهى و از همه بالاتر، حاوى انگيزه هاى ضداستعمارى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چون سعادت دو سرا و برقرارى قسط و عدالت اجتماعى جزء برنامه هاى دين است نمى توان آن را از سياست جدا دانست و</w:t>
      </w:r>
      <w:r>
        <w:rPr>
          <w:rStyle w:val="FootnoteAnchor"/>
          <w:rtl w:val="true"/>
        </w:rPr>
        <w:footnoteReference w:id="140"/>
      </w:r>
      <w:r>
        <w:rPr>
          <w:rFonts w:ascii="IRNazanin" w:hAnsi="IRNazanin" w:eastAsia="IRNazanin"/>
          <w:color w:val="111111"/>
          <w:sz w:val="28"/>
          <w:sz w:val="28"/>
          <w:szCs w:val="28"/>
          <w:rtl w:val="true"/>
          <w:lang w:bidi="fa-IR"/>
        </w:rPr>
        <w:t>از اين رو مسلمين بايد دخالت در سرنوشت سياسى خود را يك وظيفه ى دينى بشمارند تا از اين راه سرنوشت سياسى جامعه ى خود را در دست بگيرند و لذا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مطلقاً سلسله ى انتظام هيأت اجتماعيه است و بدون دين هرگز اساس مدنيت محكم نخواهد شد و اگر مردم به عقل تكيه و به امور سياسى اعتنا نكنند، زمينه ى </w:t>
      </w:r>
      <w:bookmarkStart w:id="183" w:name="pg10696_94858"/>
    </w:p>
    <w:p>
      <w:pPr>
        <w:pStyle w:val="BookText"/>
        <w:rPr/>
      </w:pPr>
      <w:bookmarkEnd w:id="183"/>
      <w:r>
        <w:rPr>
          <w:rFonts w:ascii="Amiri" w:hAnsi="Amiri" w:eastAsia="Amiri" w:cs="Amiri"/>
          <w:color w:val="111111"/>
          <w:sz w:val="28"/>
          <w:sz w:val="28"/>
          <w:szCs w:val="28"/>
          <w:rtl w:val="true"/>
          <w:lang w:bidi="ar-SA"/>
        </w:rPr>
        <w:t>انفعال و اغفال آنان و سلطه ى استبداد و استعمار مهيّا خواهد شد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67208_1051229030"/>
      <w:bookmarkStart w:id="185" w:name="_Toc68"/>
      <w:bookmarkEnd w:id="184"/>
      <w:r>
        <w:rPr/>
        <w:t>3</w:t>
      </w:r>
      <w:r>
        <w:rPr>
          <w:rtl w:val="true"/>
        </w:rPr>
        <w:t xml:space="preserve">. </w:t>
      </w:r>
      <w:r>
        <w:rPr>
          <w:rtl w:val="true"/>
        </w:rPr>
        <w:t>انديشه ى وحدت مسلمين</w:t>
      </w:r>
      <w:bookmarkEnd w:id="185"/>
    </w:p>
    <w:p>
      <w:pPr>
        <w:pStyle w:val="BookText"/>
        <w:rPr/>
      </w:pPr>
      <w:r>
        <w:rPr>
          <w:rFonts w:ascii="IRNazanin" w:hAnsi="IRNazanin" w:eastAsia="IRNazanin"/>
          <w:color w:val="111111"/>
          <w:sz w:val="28"/>
          <w:sz w:val="28"/>
          <w:szCs w:val="28"/>
          <w:rtl w:val="true"/>
          <w:lang w:bidi="fa-IR"/>
        </w:rPr>
        <w:t>سيد جمال ريشه و اساس مسائل ملل شرقى را در استبداد داخلى و استعمار خارجى يافته بود و پادزهر اين درد را وحدت ملل مظلوم شرق مى دانست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جامعه ى ايده آل او جامعه اى بود كه وحدت بر سراسر آن حاكم باشد و اختلاف هاى نژادى، زبانى، منطقه اى و فرقه اى بر اخوت اسلامى آنها فايق نگردد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 چون اين ايده ى سيد كه براى ايجاد نيرويى مشترك در مقابل دشمن مشترك دين بود، به زودى مورد سوء استفاده ى حاكمان سياسى وقت چون ناصرالدين شاه و سلطان عبدالحميد دوم عثمانى قرار گرفت،</w:t>
      </w:r>
      <w:r>
        <w:rPr>
          <w:rStyle w:val="FootnoteAnchor"/>
          <w:rtl w:val="true"/>
        </w:rPr>
        <w:footnoteReference w:id="143"/>
      </w:r>
      <w:r>
        <w:rPr>
          <w:rFonts w:ascii="Amiri" w:hAnsi="Amiri" w:eastAsia="Amiri" w:cs="Amiri"/>
          <w:color w:val="111111"/>
          <w:sz w:val="28"/>
          <w:sz w:val="28"/>
          <w:szCs w:val="28"/>
          <w:rtl w:val="true"/>
          <w:lang w:bidi="ar-SA"/>
        </w:rPr>
        <w:t>ظاهراً از تشكيل دولت واحد نااميد شد و خاطرنشان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بايد تابع حكومت هايى باشند كه قرآن بر آن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كه بر همه ى كشورهاى اسلامى يك نفر حكومت كند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سيد با بهره گيرى از اين دست مايه ى سياسى تلاش كرد تا با مرتبط كردن دو جريان بزرگ تاريخ اسلام، يعنى شيعه و سنى، نهضت را جهانى كند و امت اسلامى را در مسير واحد سياسى قرار دهد</w:t>
      </w:r>
      <w:r>
        <w:rPr>
          <w:rFonts w:eastAsia="IRNazanin" w:cs="IRNazanin"/>
          <w:color w:val="111111"/>
          <w:sz w:val="28"/>
          <w:szCs w:val="28"/>
          <w:rtl w:val="true"/>
          <w:lang w:bidi="fa-IR"/>
        </w:rPr>
        <w:t>.</w:t>
      </w:r>
      <w:r>
        <w:rPr>
          <w:rStyle w:val="FootnoteAnchor"/>
          <w:rtl w:val="true"/>
        </w:rPr>
        <w:footnoteReference w:id="145"/>
      </w:r>
      <w:bookmarkStart w:id="186" w:name="pg10696_94859"/>
    </w:p>
    <w:p>
      <w:pPr>
        <w:pStyle w:val="Heading3"/>
        <w:numPr>
          <w:ilvl w:val="2"/>
          <w:numId w:val="1"/>
        </w:numPr>
        <w:rPr/>
      </w:pPr>
      <w:bookmarkStart w:id="187" w:name="__RefHeading___Toc2367210_1051229030"/>
      <w:bookmarkStart w:id="188" w:name="_Toc69"/>
      <w:bookmarkEnd w:id="186"/>
      <w:bookmarkEnd w:id="187"/>
      <w:r>
        <w:rPr>
          <w:rtl w:val="true"/>
        </w:rPr>
        <w:t>ب</w:t>
      </w:r>
      <w:r>
        <w:rPr>
          <w:rtl w:val="true"/>
        </w:rPr>
        <w:t xml:space="preserve">) </w:t>
      </w:r>
      <w:r>
        <w:rPr>
          <w:rtl w:val="true"/>
        </w:rPr>
        <w:t>حكومت و حاكميت در نظر سيد جمال</w:t>
      </w:r>
      <w:bookmarkEnd w:id="188"/>
    </w:p>
    <w:p>
      <w:pPr>
        <w:pStyle w:val="Heading4"/>
        <w:numPr>
          <w:ilvl w:val="3"/>
          <w:numId w:val="1"/>
        </w:numPr>
        <w:rPr/>
      </w:pPr>
      <w:bookmarkStart w:id="189" w:name="__RefHeading___Toc2367212_1051229030"/>
      <w:bookmarkStart w:id="190" w:name="_Toc70"/>
      <w:bookmarkEnd w:id="189"/>
      <w:r>
        <w:rPr/>
        <w:t>1</w:t>
      </w:r>
      <w:r>
        <w:rPr>
          <w:rtl w:val="true"/>
        </w:rPr>
        <w:t xml:space="preserve">. </w:t>
      </w:r>
      <w:r>
        <w:rPr>
          <w:rtl w:val="true"/>
        </w:rPr>
        <w:t>منشأ حكومت</w:t>
      </w:r>
      <w:bookmarkEnd w:id="190"/>
    </w:p>
    <w:p>
      <w:pPr>
        <w:pStyle w:val="BookText"/>
        <w:rPr/>
      </w:pPr>
      <w:r>
        <w:rPr>
          <w:rFonts w:ascii="IRNazanin" w:hAnsi="IRNazanin" w:eastAsia="IRNazanin"/>
          <w:color w:val="111111"/>
          <w:sz w:val="28"/>
          <w:sz w:val="28"/>
          <w:szCs w:val="28"/>
          <w:rtl w:val="true"/>
          <w:lang w:bidi="fa-IR"/>
        </w:rPr>
        <w:t>سيد جمال حكومت را نشأت گرفته از قدرت مطلقه ى خداوند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قدرت واقعى، مبدأ همه ى موجودات و حاكم بر آسمان ها و زمين است و حكومت هاى زمينى كه از سوى آن قدرت تعيين مى شوند، فقط براى اجراى احكام آن قدرت مافوق عمل مى كنند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91" w:name="__RefHeading___Toc2367214_1051229030"/>
      <w:bookmarkStart w:id="192" w:name="_Toc71"/>
      <w:bookmarkEnd w:id="191"/>
      <w:r>
        <w:rPr/>
        <w:t>2</w:t>
      </w:r>
      <w:r>
        <w:rPr>
          <w:rtl w:val="true"/>
        </w:rPr>
        <w:t xml:space="preserve">. </w:t>
      </w:r>
      <w:r>
        <w:rPr>
          <w:rtl w:val="true"/>
        </w:rPr>
        <w:t>پايه هاى حكومت</w:t>
      </w:r>
      <w:bookmarkEnd w:id="192"/>
    </w:p>
    <w:p>
      <w:pPr>
        <w:pStyle w:val="BookText"/>
        <w:rPr/>
      </w:pPr>
      <w:r>
        <w:rPr>
          <w:rFonts w:ascii="IRNazanin" w:hAnsi="IRNazanin" w:eastAsia="IRNazanin"/>
          <w:color w:val="111111"/>
          <w:sz w:val="28"/>
          <w:sz w:val="28"/>
          <w:szCs w:val="28"/>
          <w:rtl w:val="true"/>
          <w:lang w:bidi="fa-IR"/>
        </w:rPr>
        <w:t>سيد جمال دو ركن اساسى را مايه ى پابرجا ماندن حكومت و نيز غايت تشكيل آن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عدالت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 به مستحق و قرار دادن اشيا در محل آنها و سپردن كارهاى مملكت به كسى است كه قدرت اجراى آن را دارد كه موجب مصونيت و تحكيم سلطه و مانع فروپاشيدگى نظم داخلى است و نفوس ملت را از بيمارى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حكمتى است كه آسمان ها و زمين به واسطه ى آن بنا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عدلى است كه شارع به آن امر كرده</w:t>
      </w:r>
    </w:p>
    <w:p>
      <w:pPr>
        <w:pStyle w:val="BookText"/>
        <w:rPr/>
      </w:pP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يأمركم بالعدل</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و در مقابل، سبب همه ى خرابى ها ظلم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دوم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امانت قوام بقاى انسان و مقوّم حكومت است كه بدون </w:t>
      </w:r>
      <w:bookmarkStart w:id="193" w:name="pg10696_94860"/>
    </w:p>
    <w:p>
      <w:pPr>
        <w:pStyle w:val="BookText"/>
        <w:rPr/>
      </w:pPr>
      <w:bookmarkEnd w:id="193"/>
      <w:r>
        <w:rPr>
          <w:rFonts w:ascii="IRNazanin" w:hAnsi="IRNazanin" w:eastAsia="IRNazanin"/>
          <w:color w:val="111111"/>
          <w:sz w:val="28"/>
          <w:sz w:val="28"/>
          <w:szCs w:val="28"/>
          <w:rtl w:val="true"/>
          <w:lang w:bidi="fa-IR"/>
        </w:rPr>
        <w:t>آن راحت و امنيت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نوع انسانى در اين عالم متوقف بر ارتباطات و معاملات، و روح و جان اين معاملات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امانت در ميان نباشد، نظام معاملات پاره پاره مى شود و رفاهيت، آسايش امم و شعوب و انتظام معيشت آنها صورت وقوع نمى پذيرد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حكومت ها بايد حافظ خزانه اى باشند كه با پول مردم پرشده و آن را در راه منافع عمومى جامعه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اگر امانت دارى در بين حكومت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ى حكومت خالى مى ماند و همين سبب سقوط حكومت خواهد بود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94" w:name="__RefHeading___Toc2367216_1051229030"/>
      <w:bookmarkStart w:id="195" w:name="_Toc72"/>
      <w:bookmarkEnd w:id="194"/>
      <w:r>
        <w:rPr/>
        <w:t>3</w:t>
      </w:r>
      <w:r>
        <w:rPr>
          <w:rtl w:val="true"/>
        </w:rPr>
        <w:t xml:space="preserve">. </w:t>
      </w:r>
      <w:r>
        <w:rPr>
          <w:rtl w:val="true"/>
        </w:rPr>
        <w:t>مدل حكومتى</w:t>
      </w:r>
      <w:bookmarkEnd w:id="195"/>
    </w:p>
    <w:p>
      <w:pPr>
        <w:pStyle w:val="BookText"/>
        <w:rPr/>
      </w:pPr>
      <w:r>
        <w:rPr>
          <w:rFonts w:ascii="IRNazanin" w:hAnsi="IRNazanin" w:eastAsia="IRNazanin"/>
          <w:color w:val="111111"/>
          <w:sz w:val="28"/>
          <w:sz w:val="28"/>
          <w:szCs w:val="28"/>
          <w:rtl w:val="true"/>
          <w:lang w:bidi="fa-IR"/>
        </w:rPr>
        <w:t>سيد جمال همواره بر قانون و مجلس براى تحديد قدرت مطلقه تأكيد مى كرد و معتقد بود كه بايد نمايندگان مجلس مستقيماً توسط مردم انتخاب شوند نه اين كه دست نشانده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ى مقننه ى هيچ ملتى نمى تواند حقيقى باشد، مگر اين كه صرفاً از نيروى ملت الهام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 نوابى كه توسط پادشاه يا اميرى يا نيروى بيگانه اى تشكيل شود، چون حيات چنين مجلس موهومى، متكى به نيروى ملت نيست، بلكه ناشى از اراده ى كسى است كه مجلس را به وجود آورده، قطعاً مفيد نخواهد بود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مجلس ها آلت دست و خاموش اند و هيچ وقت دردهاى اجتماع را نخواهند گفت، چون تمام آزادى شان سلب 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سيد حكومت مشروطه را مناسب ترين جاى گزين حكومت مطلقه مى شمارد و مى نويسد</w:t>
      </w:r>
      <w:r>
        <w:rPr>
          <w:rFonts w:eastAsia="IRNazanin" w:cs="IRNazanin"/>
          <w:color w:val="111111"/>
          <w:sz w:val="28"/>
          <w:szCs w:val="28"/>
          <w:rtl w:val="true"/>
          <w:lang w:bidi="fa-IR"/>
        </w:rPr>
        <w:t xml:space="preserve">: </w:t>
      </w:r>
      <w:bookmarkStart w:id="196" w:name="pg10696_94861"/>
    </w:p>
    <w:p>
      <w:pPr>
        <w:pStyle w:val="BookText"/>
        <w:rPr/>
      </w:pPr>
      <w:bookmarkEnd w:id="196"/>
      <w:r>
        <w:rPr>
          <w:rFonts w:ascii="IRNazanin" w:hAnsi="IRNazanin" w:eastAsia="IRNazanin"/>
          <w:color w:val="111111"/>
          <w:sz w:val="28"/>
          <w:sz w:val="28"/>
          <w:szCs w:val="28"/>
          <w:rtl w:val="true"/>
          <w:lang w:bidi="fa-IR"/>
        </w:rPr>
        <w:t>تغيير شكل حكومت مطلقه ى استبدادى به حكومت پارلمانى مشروطه آسان تر و سريع تر به دست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همين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مشروطه، عظمت پادشاهى خود را خواهد داشت و نمايندگان ملت سختى هاى اداره ى مملكت و دفع مفاسد و حفاظت از سلامت آن را با مال و جان به عهده خواهند داشت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او خطر عدم ايجاد چنين حكومتى را به تزار روس اين گونه گوشزد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پادشاه اين بهتر است كه توده ى رعيت، دوستانش باشند تا اين كه دشمنانش و منتظر باشند كه بر او دست يابند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97" w:name="__RefHeading___Toc2367218_1051229030"/>
      <w:bookmarkStart w:id="198" w:name="_Toc73"/>
      <w:bookmarkEnd w:id="197"/>
      <w:r>
        <w:rPr/>
        <w:t>4</w:t>
      </w:r>
      <w:r>
        <w:rPr>
          <w:rtl w:val="true"/>
        </w:rPr>
        <w:t xml:space="preserve">. </w:t>
      </w:r>
      <w:r>
        <w:rPr>
          <w:rtl w:val="true"/>
        </w:rPr>
        <w:t>حكومت ايده آل سيد جمال</w:t>
      </w:r>
      <w:bookmarkEnd w:id="198"/>
    </w:p>
    <w:p>
      <w:pPr>
        <w:pStyle w:val="BookText"/>
        <w:rPr/>
      </w:pPr>
      <w:r>
        <w:rPr>
          <w:rFonts w:ascii="IRNazanin" w:hAnsi="IRNazanin" w:eastAsia="IRNazanin"/>
          <w:color w:val="111111"/>
          <w:sz w:val="28"/>
          <w:sz w:val="28"/>
          <w:szCs w:val="28"/>
          <w:rtl w:val="true"/>
          <w:lang w:bidi="fa-IR"/>
        </w:rPr>
        <w:t>نظام سياسى ايده آل سيد در قالب نوعى جمهورى بر مبناى تفكر دينى بود، چنان كه هاردينك سفير انگليس در ايران متوجه اين جريان شده و در گزارشى به وزير خارجه ى بريتانيا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فكر انقراض رژيم قاجاريه و برقرارى رژيم جمهورى اسلامى و اتحاد نزديك با كشور عثمانى 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99" w:name="__RefHeading___Toc2367220_1051229030"/>
      <w:bookmarkStart w:id="200" w:name="_Toc74"/>
      <w:bookmarkEnd w:id="199"/>
      <w:r>
        <w:rPr/>
        <w:t>5</w:t>
      </w:r>
      <w:r>
        <w:rPr>
          <w:rtl w:val="true"/>
        </w:rPr>
        <w:t xml:space="preserve">. </w:t>
      </w:r>
      <w:r>
        <w:rPr>
          <w:rtl w:val="true"/>
        </w:rPr>
        <w:t>شرايط حاكم</w:t>
      </w:r>
      <w:bookmarkEnd w:id="2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جمال الدين معتقد است فردى متقى كه به حفظ شعاير اسلامى و بسط حكومت ميان مسلمانان بر حسب اطاعت آنان از حكم الهى و به دور از برترى جويى و تفاخر </w:t>
      </w:r>
    </w:p>
    <w:p>
      <w:pPr>
        <w:pStyle w:val="BookText"/>
        <w:rPr/>
      </w:pPr>
      <w:r>
        <w:rPr>
          <w:rFonts w:ascii="Amiri" w:hAnsi="Amiri" w:eastAsia="Amiri" w:cs="Amiri"/>
          <w:color w:val="111111"/>
          <w:sz w:val="28"/>
          <w:sz w:val="28"/>
          <w:szCs w:val="28"/>
          <w:rtl w:val="true"/>
          <w:lang w:bidi="ar-SA"/>
        </w:rPr>
        <w:t>علاقه مند باشد شايسته ى خلافت مسلمين است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حكومت اسلامى بايد در دست افراد كاردان و صاحبان رأى و تدبير باشد، تا امنيت و آرامش را گسترش دهند و حكومت را بر عدل و انصاف مستقر سازند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حاكم بايد به اصل مشورت با ديگران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بايد از دو دسته از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مردمى هم نژاد و هم ملت آنها و مصون از خطا و ضعف و داراى صداقت و امانت و روحيه ى ميهن دوستى و مورد احترام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با آنان دين واحدى داشته باشند تا اين رابطه ى دينى، جانشين رابطه ى قومى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و مزدوران و افراد خارج از دو دسته ى فوق به هيچ وجه نبايد اداره ى امور كشور را در دست بگيرند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نبايد اين واقعيت را از نظر دور داشت كه سيد جمال با تمامى روحيه ى ضد استعمارى اش براى دست يافتن به مقاصد خود گاهى به دولت هاى ديگر به ويژه فرانسه و روسيه اميد مى بست، تا در برابر انگليس، از مسلمانان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فرانسه در آسياى غربى و براى روسيه در آسياى مركزى حقوقى قايل مى شود و انگيزه ى انگلستان را به دليل آز و فزون طلبى محكوم مى كند و هدف فرانسه را تنها آرزو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سخنى در نكوهش سياست هاى استعمارى فرانسه در الجزاير به بنان و بيان او جارى نمى شود</w:t>
      </w:r>
      <w:r>
        <w:rPr>
          <w:rFonts w:eastAsia="IRNazanin" w:cs="IRNazanin"/>
          <w:color w:val="111111"/>
          <w:sz w:val="28"/>
          <w:szCs w:val="28"/>
          <w:rtl w:val="true"/>
          <w:lang w:bidi="fa-IR"/>
        </w:rPr>
        <w:t>.</w:t>
      </w:r>
      <w:r>
        <w:rPr>
          <w:rStyle w:val="FootnoteAnchor"/>
          <w:rtl w:val="true"/>
        </w:rPr>
        <w:footnoteReference w:id="159"/>
      </w:r>
      <w:bookmarkStart w:id="201" w:name="pg10696_94863"/>
    </w:p>
    <w:p>
      <w:pPr>
        <w:pStyle w:val="Heading3"/>
        <w:numPr>
          <w:ilvl w:val="2"/>
          <w:numId w:val="1"/>
        </w:numPr>
        <w:rPr/>
      </w:pPr>
      <w:bookmarkStart w:id="202" w:name="__RefHeading___Toc2367222_1051229030"/>
      <w:bookmarkStart w:id="203" w:name="_Toc75"/>
      <w:bookmarkEnd w:id="201"/>
      <w:bookmarkEnd w:id="202"/>
      <w:r>
        <w:rPr>
          <w:rtl w:val="true"/>
        </w:rPr>
        <w:t>نقش سيد جمال در مبارزه با استبداد حاكم بر ايران چگونه بود؟</w:t>
      </w:r>
      <w:bookmarkEnd w:id="203"/>
    </w:p>
    <w:p>
      <w:pPr>
        <w:pStyle w:val="BookText"/>
        <w:rPr/>
      </w:pPr>
      <w:r>
        <w:rPr>
          <w:rFonts w:ascii="Amiri" w:hAnsi="Amiri" w:eastAsia="Amiri" w:cs="Amiri"/>
          <w:color w:val="111111"/>
          <w:sz w:val="28"/>
          <w:sz w:val="28"/>
          <w:szCs w:val="28"/>
          <w:rtl w:val="true"/>
          <w:lang w:bidi="ar-SA"/>
        </w:rPr>
        <w:t>امير على حسنلو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استبدادى حكومتى است تابع اراده ى شخصى، در اين نوع حكومت قوانين موضوعه ى قبلى وجود ندارد و بر فرض وجود تابع اراده ى حاكم و سلطان است و تنها اوست كه تصميم مى گيرد و به اجرا مى گذارد و يا فسخ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ايران در طول تاريخ گرفتار اين نوع حكومت بود كه به صورت، سلسله هاى سلطنتى بر مردم سيطره داشته و سرنوشت ملت را رقم مى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استبداد نيز همپاى استبداد وجود داشت و علماى اسلامى از پيشگام ترين مبارزان عليه استبداد بوده اند و با الهام گرفتن از كلام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از علما عهد و پيمان گرفته كه در برابر شكم بارگى ستمگران و گرسنگى مظلومان سكوت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 مبارزه با استبداد پرداخته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ى قاجار مصلحان زيادى به سرنوشت قائم مقام و اميركبير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اين مصلحان بزرگ ضد استبداد و طرف دار حكومت مردمى، سيد جمال الدين اسدآبادى بود كه در بيدارى مردم ايران و جوامع اسلامى نقش بسيار برجسته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تمام جهان اسلام گرفتار استبداد و خودكامگى</w:t>
      </w:r>
      <w:r>
        <w:rPr>
          <w:rStyle w:val="FootnoteAnchor"/>
          <w:rtl w:val="true"/>
        </w:rPr>
        <w:footnoteReference w:id="161"/>
      </w:r>
      <w:r>
        <w:rPr>
          <w:rFonts w:ascii="IRNazanin" w:hAnsi="IRNazanin" w:eastAsia="IRNazanin"/>
          <w:color w:val="111111"/>
          <w:sz w:val="28"/>
          <w:sz w:val="28"/>
          <w:szCs w:val="28"/>
          <w:rtl w:val="true"/>
          <w:lang w:bidi="fa-IR"/>
        </w:rPr>
        <w:t xml:space="preserve">پادشاهانى است كه فقط در </w:t>
      </w:r>
    </w:p>
    <w:p>
      <w:pPr>
        <w:pStyle w:val="BookText"/>
        <w:rPr/>
      </w:pPr>
      <w:r>
        <w:rPr>
          <w:rFonts w:ascii="Amiri" w:hAnsi="Amiri" w:eastAsia="Amiri" w:cs="Amiri"/>
          <w:color w:val="111111"/>
          <w:sz w:val="28"/>
          <w:sz w:val="28"/>
          <w:szCs w:val="28"/>
          <w:rtl w:val="true"/>
          <w:lang w:bidi="ar-SA"/>
        </w:rPr>
        <w:t>فكر حفظ قدرت و آسايش خود هستند</w:t>
      </w:r>
      <w:r>
        <w:rPr>
          <w:rStyle w:val="FootnoteAnchor"/>
          <w:rtl w:val="true"/>
        </w:rPr>
        <w:footnoteReference w:id="162"/>
      </w:r>
      <w:r>
        <w:rPr>
          <w:rFonts w:ascii="IRNazanin" w:hAnsi="IRNazanin" w:eastAsia="IRNazanin"/>
          <w:color w:val="111111"/>
          <w:sz w:val="28"/>
          <w:sz w:val="28"/>
          <w:szCs w:val="28"/>
          <w:rtl w:val="true"/>
          <w:lang w:bidi="fa-IR"/>
        </w:rPr>
        <w:t>و بايد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مصلح بسيار روشنگر و روشن بينى بود و از ذكاوتى فوق العاده و ستودنى برخوردار بود</w:t>
      </w:r>
      <w:r>
        <w:rPr>
          <w:rStyle w:val="FootnoteAnchor"/>
          <w:rtl w:val="true"/>
        </w:rPr>
        <w:footnoteReference w:id="163"/>
      </w:r>
      <w:r>
        <w:rPr>
          <w:rFonts w:ascii="IRNazanin" w:hAnsi="IRNazanin" w:eastAsia="IRNazanin"/>
          <w:color w:val="111111"/>
          <w:sz w:val="28"/>
          <w:sz w:val="28"/>
          <w:szCs w:val="28"/>
          <w:rtl w:val="true"/>
          <w:lang w:bidi="fa-IR"/>
        </w:rPr>
        <w:t>و در همان جوانى، همگام با تحصيل در فكر رفع فقر و محروميت از طبقات مختلف جامعه بود و افكار بلندى براى رهايى انسان ها از قيد استبداد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محروميت و فقر و فقدان رفاه و بهداشت براى طبقه ى عامه ى جامعه در رنج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سيد جمال مردى جهان ديده و جهان شناس</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آگاه از سرنوشت مسلمين در جهان غرب و اسلام و در فكر رهايى ايران از استبداد و زمينه سازى برقرارى حكومت مردمى بر محور قانون اسلام بود و عقيده داشت تنها راه رهايى از سلطه ى استبداد در ايران آگاهى بخشيدن به مردم توسط علماست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جمال الدين پس از فراغت تحصيل از نجف عازم ايران و ابتدا با استقبال مقامات مختلف حكومتى روبه رو شد و حتى شاه قاجار كه در اين زمان ناصرالدين ميرزا بود از او دعوت كرد</w:t>
      </w:r>
      <w:r>
        <w:rPr>
          <w:rStyle w:val="FootnoteAnchor"/>
          <w:rtl w:val="true"/>
        </w:rPr>
        <w:footnoteReference w:id="167"/>
      </w:r>
      <w:r>
        <w:rPr>
          <w:rFonts w:ascii="IRNazanin" w:hAnsi="IRNazanin" w:eastAsia="IRNazanin"/>
          <w:color w:val="111111"/>
          <w:sz w:val="28"/>
          <w:sz w:val="28"/>
          <w:szCs w:val="28"/>
          <w:rtl w:val="true"/>
          <w:lang w:bidi="fa-IR"/>
        </w:rPr>
        <w:t>تا در پايتخت حضور يابد و در امور مختلف به حكومت مشورت بدهد و در اصلاح امور، دولت ناصرى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چون مرد انديشه و خرد بود، هرگز علاقه اى به قدرت نداشت و در انديشه ى اصلاح عمومى و پايان دادن ساختار استبدادى و حاكم ساختن مشاركت مردم و افزايش آگاهى آنها و ترقى و پيشرفت كشور و برپايى قوانين </w:t>
      </w:r>
      <w:bookmarkStart w:id="204" w:name="pg10696_94865"/>
    </w:p>
    <w:p>
      <w:pPr>
        <w:pStyle w:val="BookText"/>
        <w:rPr/>
      </w:pPr>
      <w:bookmarkEnd w:id="204"/>
      <w:r>
        <w:rPr>
          <w:rFonts w:ascii="IRNazanin" w:hAnsi="IRNazanin" w:eastAsia="IRNazanin"/>
          <w:color w:val="111111"/>
          <w:sz w:val="28"/>
          <w:sz w:val="28"/>
          <w:szCs w:val="28"/>
          <w:rtl w:val="true"/>
          <w:lang w:bidi="fa-IR"/>
        </w:rPr>
        <w:t>زنده ى قرآن و اسلام در جامعه بود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05" w:name="__RefHeading___Toc2367224_1051229030"/>
      <w:bookmarkStart w:id="206" w:name="_Toc76"/>
      <w:bookmarkEnd w:id="205"/>
      <w:r>
        <w:rPr>
          <w:rtl w:val="true"/>
        </w:rPr>
        <w:t>اقدامات سيد جمال الدين براى مبارزه با استبداد در ايران</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دربار براى مبارزه با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راه كار ارائه ى نظريه ى اصلاح گرايانه به شخص شاه در مورد امور دربار و درباريان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ابتداى كار خويش با نرمى، اما به صراحت از شاه خواست كه اطراف خود و دربارش را از مار و عقرب پاك سازد تا از نفوذ و سلطه ى عوامل استبداد و درباريان كه بزرگ ترين مانع اصلاحات بودند كاسته شود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ابتدا از شاه كمك مى خواست تا با اصلاح و تدوين قانون استبداد تبديل به حكومت قانون گردد</w:t>
      </w:r>
      <w:r>
        <w:rPr>
          <w:rStyle w:val="FootnoteAnchor"/>
          <w:rtl w:val="true"/>
        </w:rPr>
        <w:footnoteReference w:id="170"/>
      </w:r>
      <w:r>
        <w:rPr>
          <w:rFonts w:ascii="IRNazanin" w:hAnsi="IRNazanin" w:eastAsia="IRNazanin"/>
          <w:color w:val="111111"/>
          <w:sz w:val="28"/>
          <w:sz w:val="28"/>
          <w:szCs w:val="28"/>
          <w:rtl w:val="true"/>
          <w:lang w:bidi="fa-IR"/>
        </w:rPr>
        <w:t>تا گامى در راه اصلاح و تعديل استبداد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درست از آن نقطه ى حساسيت زاى حكومت استبدادى آغاز و موضع خويش را به صراحت بيان كرد كه مخالفت بى درنگ و شديد درباريان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واكنش به طور علنى</w:t>
      </w:r>
      <w:r>
        <w:rPr>
          <w:rStyle w:val="FootnoteAnchor"/>
          <w:rtl w:val="true"/>
        </w:rPr>
        <w:footnoteReference w:id="171"/>
      </w:r>
      <w:r>
        <w:rPr>
          <w:rFonts w:ascii="IRNazanin" w:hAnsi="IRNazanin" w:eastAsia="IRNazanin"/>
          <w:color w:val="111111"/>
          <w:sz w:val="28"/>
          <w:sz w:val="28"/>
          <w:szCs w:val="28"/>
          <w:rtl w:val="true"/>
          <w:lang w:bidi="fa-IR"/>
        </w:rPr>
        <w:t xml:space="preserve">و همه جانبه با دربار و استبداد ايران به مبارزه برخاست و اين مبارزه ى فراگير سيد در دوره اى بود كه دولت هاى فزون خواه و استعمارى روس و انگليس و ساير كشورهاى استعمارى با استفاده از نفوذى كه در دربار استبدادى داشتند تمام منابع ملى ايران را به يغما بردند و هر يك با گرفتن امتيازى در فكر غارت منابع اقتصادى و ثروت هاى فرهنگى و ملى ايران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دادن به مردم و مردمى كردن جريان استبدادستيزى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 درك شرايط و با آينده نگرى بسيار زيركانه تمام اين توطئه ها را به اطلاع مردم مى رساند و به نوعى در مقابل استبداد داخلى و استعمار كه شديداً حامى اين نوع استبداد بود جبهه گيرى مردمى ايجاد مى كرد و اين بهترين روشى بود كه عامه ى مردم را از راه استعمارستيزى به محدود كردن استبداد و سيطره ى آن برمى انگيخت و طبقات روشن فكر جامعه را نيز نهيب مى زد و بيدار مى كرد و اساس و پايه هاى حكومت استبدادى را به چالش مى كشاند و به مردم مى آموخت كه در راه رسيدن به حقوق بايد قيام و مبارزه كرد و اين ذهنيت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سايه 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افكار مردم مى زدود و سلاطين را منفعل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روش با آگاه كردن افكار عمومى از آنچه در دربار استبدادى مى گذشت، با تحصن در اماكن مقدس، مثل حرم حضرت عبدالعظيم</w:t>
      </w:r>
      <w:r>
        <w:rPr>
          <w:rStyle w:val="FootnoteAnchor"/>
          <w:rtl w:val="true"/>
        </w:rPr>
        <w:footnoteReference w:id="173"/>
      </w:r>
      <w:r>
        <w:rPr>
          <w:rFonts w:ascii="IRNazanin" w:hAnsi="IRNazanin" w:eastAsia="IRNazanin"/>
          <w:color w:val="111111"/>
          <w:sz w:val="28"/>
          <w:sz w:val="28"/>
          <w:szCs w:val="28"/>
          <w:rtl w:val="true"/>
          <w:lang w:bidi="fa-IR"/>
        </w:rPr>
        <w:t>و برگزارى مجالس سخنرانى و ارتباط مستقيم با مردم و نوشتن مقالات و انتقال انديشه هاى استبدادستيز خود، توده هاى عظيم اجتماعى را با انديشه ى خود همراه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نيروهاى جوان و ايجاد روابط صميمانه با آنها و نهادينه كردن انديشه ى ضداستبدادى خود در نسل هاى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روح مبارزه را به جوانان انتقال مى داد تا جرأت حمله به شخص شاه را داشته باشند</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با تربيت شاگردان بزرگ توانست با نسل هاى آينده ارتباط فكرى برقرار كند و همين شاگردان كه جزء نخبگان ايران شدند در پيروزى مشروطه بر استبداد نقش مهمى ايفا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ساختن علماى بلاد از اوضاع استبدادزده ى ايران و منسجم نمودن آنان براى مقابله</w:t>
      </w:r>
    </w:p>
    <w:p>
      <w:pPr>
        <w:pStyle w:val="BookText"/>
        <w:rPr/>
      </w:pPr>
      <w:r>
        <w:rPr>
          <w:rFonts w:ascii="IRNazanin" w:hAnsi="IRNazanin" w:eastAsia="IRNazanin"/>
          <w:color w:val="111111"/>
          <w:sz w:val="28"/>
          <w:sz w:val="28"/>
          <w:szCs w:val="28"/>
          <w:rtl w:val="true"/>
          <w:lang w:bidi="fa-IR"/>
        </w:rPr>
        <w:t>با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تمام حوادث و رويدادهاى كشور را به علماى نجف و مراجع تقليد گزارش مى داد و آنان را از هتك حرمت شاه نسبت به علما و ارتكاب جرايم و محارم شرعى و ترويج اين گونه رفتارها آگاه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نامه اى بسيار شورانگيز به زعيم شيعه، ميرزاى شيرازى، او را از وضع اجتماعى و مذهبى ايران آگاه مى كرد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همين ارتباط بود كه منجر به صدور فتواى معروف ضداستبدادى و ضداستعمارى گرديد و شاه و حرم او</w:t>
      </w:r>
    </w:p>
    <w:p>
      <w:pPr>
        <w:pStyle w:val="BookText"/>
        <w:rPr/>
      </w:pPr>
      <w:r>
        <w:rPr>
          <w:rFonts w:ascii="IRNazanin" w:hAnsi="IRNazanin" w:eastAsia="IRNazanin"/>
          <w:color w:val="111111"/>
          <w:sz w:val="28"/>
          <w:sz w:val="28"/>
          <w:szCs w:val="28"/>
          <w:rtl w:val="true"/>
          <w:lang w:bidi="fa-IR"/>
        </w:rPr>
        <w:t>را از قدرت مرجعيت و روحانيت هراسان نمود تا ديگر جرأت توهين به ارزش ها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طى نامه اى ديگر به علماى ايران و مجتهدين حوزه هاى علميه ى ايران، علماى بزرگى چون ميرزاى شيرازى، ميرزا حبيب الله رشتى، ميرزا جواد تبريزى، سيد على اكبر شيرازى، ميرزا ابوالقاسم كربلايى، شيخ هادى نجم آبادى، ميرزا حسن آشتيانى، آقا محسن عراقى، شيخ محمدتقى اصفهانى و آقا محمد تقى بجنوردى را مخاطب نمود و اوضاع كشور استبدادزده ى ايران را تشريح و آنها را براى محدود كردن قدرت استبدادى و فراهم نمودن شرايط براى كنترل قانونى قدرت آماده كرد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مشروعيت حكومت استبدادى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هيچ مشروعيتى براى حكومت استبدادى قاجار </w:t>
      </w:r>
    </w:p>
    <w:p>
      <w:pPr>
        <w:pStyle w:val="BookText"/>
        <w:rPr/>
      </w:pPr>
      <w:r>
        <w:rPr>
          <w:rFonts w:ascii="IRNazanin" w:hAnsi="IRNazanin" w:eastAsia="IRNazanin"/>
          <w:color w:val="111111"/>
          <w:sz w:val="28"/>
          <w:sz w:val="28"/>
          <w:szCs w:val="28"/>
          <w:rtl w:val="true"/>
          <w:lang w:bidi="fa-IR"/>
        </w:rPr>
        <w:t xml:space="preserve">قايل نبود و شخص شاه را ملحد و زنديق مى دانست و عقيده داشت كه علماى شيعه و پيشواى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از تخت سلطنت سرنگون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قبل از اين با شاه به نرمى و از ضرورت قانون و مدنيت سخن گفته بود، ولى درباريان، خصوصاً امين السلطان كه از نوكران استعمار انگليس بود، با او مخالفت و شاه را عليه او تحريك كرد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مبارزه ى علنى و رودرروى سيد با استبداد، حكومت شاه را از مقبوليت و مشروعيت عمومى تنزّل و آن را در مقابل مردم و علما قرار مى داد و تمام اقشار اجتماعى را براى مبارزه با استبداد آماده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فكر انقراض دولت قاجار و سلطنت و جاى گزين كردن دولت جمهورى اسلامى و مردم سالارى دينى و اتحاد با كشورهاى اسلامى و جلوگيرى از انقراض خلافت عثمانى بود و به احياى عظمت تمدن اسلامى گذشته مى انديشيد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او در راه مبارزه با استبداد از تمام وجودش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و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 ولى مبارزه ى سرسختانه با استبداد را هرگز فراموش نكرد و اين انگيزه را به صورت يك نهال در دل ملت ايران كاشت كه بعدها مبدل به نهضت مشروطه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رهبرى علماى بزرگ و مراجع تقليد و مصلح و مرجع بزرگ شيعه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استبداد فرو ريخت و آرمان علماى بزرگى چون سيد جمال و مدرس و نخبگانى چون اميركبير و قائم مقام 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عملى شد و نهال آزادى و حاكميت قانون اسلام به بار نشست</w:t>
      </w:r>
      <w:r>
        <w:rPr>
          <w:rFonts w:eastAsia="Amiri" w:cs="Amiri" w:ascii="Amiri" w:hAnsi="Amiri"/>
          <w:color w:val="111111"/>
          <w:sz w:val="28"/>
          <w:szCs w:val="28"/>
          <w:rtl w:val="true"/>
          <w:lang w:bidi="ar-SA"/>
        </w:rPr>
        <w:t xml:space="preserve">. </w:t>
      </w:r>
      <w:bookmarkStart w:id="207" w:name="pg10696_94869"/>
    </w:p>
    <w:p>
      <w:pPr>
        <w:pStyle w:val="Heading3"/>
        <w:numPr>
          <w:ilvl w:val="2"/>
          <w:numId w:val="1"/>
        </w:numPr>
        <w:rPr/>
      </w:pPr>
      <w:bookmarkStart w:id="208" w:name="__RefHeading___Toc2367226_1051229030"/>
      <w:bookmarkStart w:id="209" w:name="_Toc77"/>
      <w:bookmarkEnd w:id="207"/>
      <w:bookmarkEnd w:id="208"/>
      <w:r>
        <w:rPr>
          <w:rtl w:val="true"/>
        </w:rPr>
        <w:t>سيد جمال الدين اسدآبادى در تحريم تنباكو چه نقشى داشت؟</w:t>
      </w:r>
      <w:bookmarkEnd w:id="209"/>
    </w:p>
    <w:p>
      <w:pPr>
        <w:pStyle w:val="BookText"/>
        <w:rPr/>
      </w:pPr>
      <w:r>
        <w:rPr>
          <w:rFonts w:ascii="Amiri" w:hAnsi="Amiri" w:eastAsia="Amiri" w:cs="Amiri"/>
          <w:color w:val="111111"/>
          <w:sz w:val="28"/>
          <w:sz w:val="28"/>
          <w:szCs w:val="28"/>
          <w:rtl w:val="true"/>
          <w:lang w:bidi="ar-SA"/>
        </w:rPr>
        <w:t>يدالله حاجى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حكومت ناصرالدين شاه قاجار امتيازات زيادى به بيگانگان، خصوصاً به دو كشور انگليس و روسيه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امتيازات،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خريد و فروش 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يك شركت انگليسى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شاهنشاهى دخانيات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تالبوف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امتياز پنجاه سال بود و مقرر شده بود كه شركت مزبور سالى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ى انگليسى به علاوه ى يك ربع منافع خالص به دولت ايران بپردازد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سيد جمال الدين اسدآبادى پس از آگاهى از اين امتياز با آن به مخالفت برخاست كه در ادامه به اقدامات ايشان اشاره مى شود</w:t>
      </w:r>
      <w:r>
        <w:rPr>
          <w:rFonts w:eastAsia="IRNazanin" w:cs="IRNazanin"/>
          <w:color w:val="111111"/>
          <w:sz w:val="28"/>
          <w:szCs w:val="28"/>
          <w:rtl w:val="true"/>
          <w:lang w:bidi="fa-IR"/>
        </w:rPr>
        <w:t>.</w:t>
      </w:r>
    </w:p>
    <w:p>
      <w:pPr>
        <w:pStyle w:val="Heading3"/>
        <w:numPr>
          <w:ilvl w:val="2"/>
          <w:numId w:val="1"/>
        </w:numPr>
        <w:rPr/>
      </w:pPr>
      <w:bookmarkStart w:id="210" w:name="__RefHeading___Toc2367228_1051229030"/>
      <w:bookmarkStart w:id="211" w:name="_Toc78"/>
      <w:bookmarkEnd w:id="210"/>
      <w:r>
        <w:rPr>
          <w:rtl w:val="true"/>
        </w:rPr>
        <w:t>الف</w:t>
      </w:r>
      <w:r>
        <w:rPr>
          <w:rtl w:val="true"/>
        </w:rPr>
        <w:t xml:space="preserve">) </w:t>
      </w:r>
      <w:r>
        <w:rPr>
          <w:rtl w:val="true"/>
        </w:rPr>
        <w:t>اقدامات سيد پيش از اخراج از ايران</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اعلاميه عليه امتياز 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كه به ماهيت اين امتياز پى برده بود، با اعلام مخالفت خود، مردم را عليه آن بسيج كرد و به قول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در شهر منتشر كرد در دعوت به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ايامى كه اين امتياز را به انگليسى ها داده بودند، شب نامه ها بر درهاى كاروان سراها و معابر عمومى و سفارت خانه ها چسبانده بودند به اين مضمون كه</w:t>
      </w:r>
    </w:p>
    <w:p>
      <w:pPr>
        <w:pStyle w:val="BookText"/>
        <w:rPr/>
      </w:pPr>
      <w:r>
        <w:rPr>
          <w:rFonts w:ascii="IRNazanin" w:hAnsi="IRNazanin" w:eastAsia="IRNazanin"/>
          <w:color w:val="111111"/>
          <w:sz w:val="28"/>
          <w:sz w:val="28"/>
          <w:szCs w:val="28"/>
          <w:rtl w:val="true"/>
          <w:lang w:bidi="fa-IR"/>
        </w:rPr>
        <w:t>اين كوچه هاى تنگ كه عموم مردم مسلمان حتى سگ ها و گوسفندها حق دارند، چگونه به خارجه بخشيده اند كه فردا اطفال مسلمان زير عرابه و كالسكه ى اجانب خرد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تنباكو مال ايرانى، خريدار ايرانى، استعمال كننده ايرانى، به چه دليل خريد و فروش منحصر به اجانب شده است؟</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بى شك اين اعلاميه توسط سيد جمال و به كمك و همراهى مريدانش منتشر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سياح در خاطراتش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به حضور آقا ميرزا ابوالحسن جلوه رفتم، ديدم خيلى پريشان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سيد را به اين افتضاح بيرون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اعلاميه اى كه نوشته شده بود به او نسبت داده 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به 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اعطاى امتياز تنباكو و قبل از تبعيد سيد به خارج از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ى سرگشاده اى بدون امضا به دست شاه مى رسد در آن نامه سوء تدبير شاه، ناتوانى وى در اداره ى كشور، تسليم كشور به بيگانگان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محرمانه اى كه سفارت انگليس به لندن مخابره مى كند، سيد جمال نويسنده ى نامه معرفى مى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سخنرانى براى آگاهى دادن به مردم و تحريك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تا جايى كه مى توانست به بيدارى افكار خفتگان در ايران پرداخت</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وى در تهران و در حرم حضرت عبدالعظيم با ارتباط با عناصر روشن فكر و ناراضى، مردم را عليه وضع روز تحريك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تبليغات علنى او سبب شد كه عده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حفظ جان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بخواهند كه دست </w:t>
      </w:r>
      <w:bookmarkStart w:id="212" w:name="pg10696_94871"/>
    </w:p>
    <w:p>
      <w:pPr>
        <w:pStyle w:val="BookText"/>
        <w:rPr/>
      </w:pPr>
      <w:bookmarkEnd w:id="212"/>
      <w:r>
        <w:rPr>
          <w:rFonts w:ascii="IRNazanin" w:hAnsi="IRNazanin" w:eastAsia="IRNazanin"/>
          <w:color w:val="111111"/>
          <w:sz w:val="28"/>
          <w:sz w:val="28"/>
          <w:szCs w:val="28"/>
          <w:rtl w:val="true"/>
          <w:lang w:bidi="fa-IR"/>
        </w:rPr>
        <w:t>از تحريكات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درخواست را شديداً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دست گيرى سيد از طرف 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حرم حضرت عبدالعظيم پناه برد و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دوره ى توقف در تهران تكان شديدى به افكار عمومى داد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13" w:name="__RefHeading___Toc2367230_1051229030"/>
      <w:bookmarkStart w:id="214" w:name="_Toc79"/>
      <w:bookmarkEnd w:id="213"/>
      <w:r>
        <w:rPr>
          <w:rtl w:val="true"/>
        </w:rPr>
        <w:t>ب</w:t>
      </w:r>
      <w:r>
        <w:rPr>
          <w:rtl w:val="true"/>
        </w:rPr>
        <w:t xml:space="preserve">) </w:t>
      </w:r>
      <w:r>
        <w:rPr>
          <w:rtl w:val="true"/>
        </w:rPr>
        <w:t>اقدامات سيد بعد از اخراج از ايران</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به ميرازى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سيد جمال در راه مبارزه با استبداد و استعمار و امتيازات گوناگونى كه به استعمارگران داده مى شد، خصوصاً امتياز انحصارى توتون و تنباكو سبب شد كه شاه طبق دستور انگلستان دستور اخراج وى را صادر كرد و با وضعيت اسف بارى او را در فصل زمستان كشان كشان از حرم حضرت عبدالعظيم بيرون كشيدند و به خارج از ايران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به بصره رفت و مدت شش ماه در بصره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سيد على اكبر فال اسيرى، داماد مرحوم ميرزاى شيرازى، به جرم مخالفت علنى با انحصار دخانيات به بصره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ملاقات با فال اسيرى را مغتنم شمرد و از طريق او نامه اى به آيت الله ميرازى شيرازى نوشت و توانست به واسطه ى او ميرزاى شيرازى را به صدور فتوى، عليه انحصار دخانيات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در صدور اين فتوا علل ديگرى هم وجود داشته</w:t>
      </w:r>
    </w:p>
    <w:p>
      <w:pPr>
        <w:pStyle w:val="BookText"/>
        <w:rPr/>
      </w:pPr>
      <w:r>
        <w:rPr>
          <w:rFonts w:ascii="IRNazanin" w:hAnsi="IRNazanin" w:eastAsia="IRNazanin"/>
          <w:color w:val="111111"/>
          <w:sz w:val="28"/>
          <w:sz w:val="28"/>
          <w:szCs w:val="28"/>
          <w:rtl w:val="true"/>
          <w:lang w:bidi="fa-IR"/>
        </w:rPr>
        <w:t>باشد، بى شك يكى از علل عمده اى كه سبب صدور اين فتوا شد نامه ى پرمحتوا و روشنگرانه ى سيد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محيط طباطبائى در اين باره مى نويسد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ميرزا محمد حسن شيرازى و ميرزا حسن آشتيانى از خارج و داخل </w:t>
      </w:r>
    </w:p>
    <w:p>
      <w:pPr>
        <w:pStyle w:val="BookText"/>
        <w:rPr/>
      </w:pPr>
      <w:r>
        <w:rPr>
          <w:rFonts w:ascii="Amiri" w:hAnsi="Amiri" w:eastAsia="Amiri" w:cs="Amiri"/>
          <w:color w:val="111111"/>
          <w:sz w:val="28"/>
          <w:sz w:val="28"/>
          <w:szCs w:val="28"/>
          <w:rtl w:val="true"/>
          <w:lang w:bidi="ar-SA"/>
        </w:rPr>
        <w:t>كشور در قضيه ى تنباكوى عصر ناصرى با نامه ها و اقدامات سيد جمال الدين آغاز شد و به ثمر رسيد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امتياز برجسته براى سيد جمال الدين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ويژگى را استفاده از نهاد مستقل روحانيت شيعه، براى مقابله با قدرت هاى استبدادى و استعمارى مى داند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مضمون نامه ى سيد جمال به زعيم بزرگ شيعه مرحوم حاج ميرزا حسن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ى ديگرش، كه صورت بخش نامه دارد، به سران علماى معروف و برجسته ى شيعه، اين مدعا كاملا پيداست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در قسمتى از نامه ى سيد جمال خطاب به ميرزاى شيرازى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تنباكو و آنچه لازمه ى اين محصول است، از مراكز كشت زارها، خانه هاى نگهبانان و متصديان حمل و نقل و فروشنده ها، هر كجا واقع شده و هر جا ساخته شود به خارجى 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پيشواى دين اگر به كمك ملت برنخيزى و آنها را جمع نكنى و كشور را با قدرت از چنگ اين گناه كار، ناصرالدين شاه، بيرون نياورى، طولى نخواهد كشيد كه مملكت اسلامى زير اقتدار بيگانگان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هر چه مى خواهند مى كنند و هر حكمى دلشان خواست مى دهند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او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مردان ايران، چون نقش انكارناپذير سيد را در تحريك مجتهد بزرگ ميرزاى شيرازى مى دانستند و از اقدامات او در اين زمينه آگاه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بيدار شدند و دريافتند عجب اشتباهى در تبعيد سيد به خارج از ايران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صدد برگرداندن او به ايران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مذاكرات سياسى با كشور عثمانى</w:t>
      </w:r>
    </w:p>
    <w:p>
      <w:pPr>
        <w:pStyle w:val="BookText"/>
        <w:rPr/>
      </w:pPr>
      <w:r>
        <w:rPr>
          <w:rFonts w:ascii="IRNazanin" w:hAnsi="IRNazanin" w:eastAsia="IRNazanin"/>
          <w:color w:val="111111"/>
          <w:sz w:val="28"/>
          <w:sz w:val="28"/>
          <w:szCs w:val="28"/>
          <w:rtl w:val="true"/>
          <w:lang w:bidi="fa-IR"/>
        </w:rPr>
        <w:t>براى اعاده ى سيد جمال به ايران باز شد تا آن كه با اين درخواست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تلگرافى به بصره صادر شد كه سيد را فوراً به ايران اعزام كنند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 سيد جمال موفق شد به اروپا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عراق به سوى لندن حركت و از آن جا با شدت بيشترى فضايح دربار ايران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در لندن، به نوشتن مقالات و سخنرانى و اوراق چاپى بر ضد ناصرالدين شاه مشغول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يكى از مقالاتش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سلامت عقل شاه را مورد ترديد قرار داد نيك نفسى يك مأمور ترك شريف و روشنفكر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را از خطر اعزام به تهران و كشته شدن به دست دژخيمان استبداد ايران نجات داد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سيد جمال فساد شاه و درباريان را بيان مى كرد و اين نوشته ها به ايران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از ورود آثار سيد به ايران جلوگيرى به 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پى گير سيد عليه استعمار به ثمر مى رسد و بالاخره ميرزاى شيرازى حكم تحريم تنباكو را صارد مى كند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آيت الله ميرزاى شيرازى اين گونه فتوا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استعمال توتون و تنباكو به اىّ نحو كان در حكم محاربه با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شاه مجبور شد در چهارم جمادى الثانى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را لغو كند و معادل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ى انگليسى از بابت خسارت به كمپانى انگليسى بپردازد و </w:t>
      </w:r>
    </w:p>
    <w:p>
      <w:pPr>
        <w:pStyle w:val="BookText"/>
        <w:rPr/>
      </w:pPr>
      <w:r>
        <w:rPr>
          <w:rFonts w:ascii="IRNazanin" w:hAnsi="IRNazanin" w:eastAsia="IRNazanin"/>
          <w:color w:val="111111"/>
          <w:sz w:val="28"/>
          <w:sz w:val="28"/>
          <w:szCs w:val="28"/>
          <w:rtl w:val="true"/>
          <w:lang w:bidi="fa-IR"/>
        </w:rPr>
        <w:t xml:space="preserve">براى پرداختن اين مبلغ دولت مجبور گرديد كه از بانك شاهنشاهى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مبلغ مزبور را قرض نمايد و اين اوّل قرضى بود كه دولت ايران از خارجه مى نمود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تلاش هاى مجدانه و همه جانبه ى سيد جمال، دولت ايران مجبور شد يكى از ننگين ترين امتيازاتى كه به كشورهاى بيگانه داده بود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سيد جمال الدين اسدآبادى را به عنوان يكى از مخالفين سرسخت اين امتياز در تاريخ اين مرز و بوم جاودانه سازد</w:t>
      </w:r>
      <w:r>
        <w:rPr>
          <w:rFonts w:eastAsia="IRNazanin" w:cs="IRNazanin"/>
          <w:color w:val="111111"/>
          <w:sz w:val="28"/>
          <w:szCs w:val="28"/>
          <w:rtl w:val="true"/>
          <w:lang w:bidi="fa-IR"/>
        </w:rPr>
        <w:t xml:space="preserve">. </w:t>
      </w:r>
      <w:bookmarkStart w:id="215" w:name="pg10696_94875"/>
    </w:p>
    <w:p>
      <w:pPr>
        <w:pStyle w:val="Heading2"/>
        <w:numPr>
          <w:ilvl w:val="1"/>
          <w:numId w:val="1"/>
        </w:numPr>
        <w:rPr/>
      </w:pPr>
      <w:bookmarkStart w:id="216" w:name="__RefHeading___Toc2367232_1051229030"/>
      <w:bookmarkStart w:id="217" w:name="_Toc80"/>
      <w:bookmarkEnd w:id="215"/>
      <w:bookmarkEnd w:id="216"/>
      <w:r>
        <w:rPr>
          <w:rtl w:val="true"/>
        </w:rPr>
        <w:t>مشاوره و تربيت</w:t>
      </w:r>
      <w:bookmarkEnd w:id="217"/>
    </w:p>
    <w:p>
      <w:pPr>
        <w:pStyle w:val="Heading3"/>
        <w:numPr>
          <w:ilvl w:val="2"/>
          <w:numId w:val="1"/>
        </w:numPr>
        <w:rPr/>
      </w:pPr>
      <w:bookmarkStart w:id="218" w:name="__RefHeading___Toc2367234_1051229030"/>
      <w:bookmarkStart w:id="219" w:name="_Toc81"/>
      <w:bookmarkEnd w:id="218"/>
      <w:r>
        <w:rPr>
          <w:rtl w:val="true"/>
        </w:rPr>
        <w:t>اشاره</w:t>
      </w:r>
      <w:bookmarkEnd w:id="2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گرايش به مدل هاى بيگانه و نوگرايى منفى چه پيامدهايى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ارائه ى مدل لباس هاى داخلى و ملى، چه مؤلفه ها و ويژگى هايى را بايد در نظر گرفت؟ </w:t>
      </w:r>
      <w:bookmarkStart w:id="220" w:name="pg10696_94877"/>
    </w:p>
    <w:p>
      <w:pPr>
        <w:pStyle w:val="BookText"/>
        <w:rPr/>
      </w:pPr>
      <w:bookmarkEnd w:id="220"/>
      <w:r>
        <w:rPr>
          <w:rFonts w:ascii="IRNazanin" w:hAnsi="IRNazanin" w:eastAsia="IRNazanin"/>
          <w:color w:val="111111"/>
          <w:sz w:val="28"/>
          <w:sz w:val="28"/>
          <w:szCs w:val="28"/>
          <w:rtl w:val="true"/>
          <w:lang w:bidi="fa-IR"/>
        </w:rPr>
        <w:t>مشاوره و تربیت</w:t>
      </w:r>
    </w:p>
    <w:p>
      <w:pPr>
        <w:pStyle w:val="Heading3"/>
        <w:numPr>
          <w:ilvl w:val="2"/>
          <w:numId w:val="1"/>
        </w:numPr>
        <w:rPr/>
      </w:pPr>
      <w:bookmarkStart w:id="221" w:name="__RefHeading___Toc2367236_1051229030"/>
      <w:bookmarkStart w:id="222" w:name="_Toc82"/>
      <w:bookmarkEnd w:id="221"/>
      <w:r>
        <w:rPr>
          <w:rtl w:val="true"/>
        </w:rPr>
        <w:t>مدگرایی</w:t>
      </w:r>
      <w:r>
        <w:rPr>
          <w:rtl w:val="true"/>
        </w:rPr>
        <w:t>(</w:t>
      </w:r>
      <w:r>
        <w:rPr>
          <w:rtl w:val="true"/>
        </w:rPr>
        <w:t>قسمت دوم</w:t>
      </w:r>
      <w:r>
        <w:rPr>
          <w:rtl w:val="true"/>
        </w:rPr>
        <w:t>)</w:t>
      </w:r>
      <w:bookmarkEnd w:id="2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گرايش ها و اميال فطرى انسان به خصوص نوجوان و جوانان، تنوع طلبى نوگرايى، زيبايى خواهى، تأييد و مقبوليت اجتماعى و الگوپذيرى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همه ى اين گرايش ها ممكن است در نوگرايى و مدگرايى تجلى پيدا كند لازم است از آسيب شناسى اين امر باخبر باشيم، تا اولا در حد اعتدال به ارضاى اين ميل فطرى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پيامدهاى منفى مدپرستى مصون باشيم و در دام افراط و تفريط هاى خود، دشمنان و شيطان نيفتيم و ثالثاً از نشاط و شادابى مدگرايى مثبت جهت سلامت روان و تن استفاده كنيم</w:t>
      </w:r>
      <w:r>
        <w:rPr>
          <w:rFonts w:eastAsia="IRNazanin" w:cs="IRNazanin"/>
          <w:color w:val="111111"/>
          <w:sz w:val="28"/>
          <w:szCs w:val="28"/>
          <w:rtl w:val="true"/>
          <w:lang w:bidi="fa-IR"/>
        </w:rPr>
        <w:t xml:space="preserve">. </w:t>
      </w:r>
      <w:bookmarkStart w:id="223" w:name="pg10696_94878"/>
    </w:p>
    <w:p>
      <w:pPr>
        <w:pStyle w:val="Heading3"/>
        <w:numPr>
          <w:ilvl w:val="2"/>
          <w:numId w:val="1"/>
        </w:numPr>
        <w:rPr/>
      </w:pPr>
      <w:bookmarkStart w:id="224" w:name="__RefHeading___Toc2367238_1051229030"/>
      <w:bookmarkStart w:id="225" w:name="_Toc83"/>
      <w:bookmarkEnd w:id="223"/>
      <w:bookmarkEnd w:id="224"/>
      <w:r>
        <w:rPr>
          <w:rtl w:val="true"/>
        </w:rPr>
        <w:t>گرايش به مدل هاى بيگانه و نوگرايى منفى چه پيامدهايى دارد؟</w:t>
      </w:r>
      <w:bookmarkEnd w:id="225"/>
    </w:p>
    <w:p>
      <w:pPr>
        <w:pStyle w:val="BookText"/>
        <w:rPr/>
      </w:pPr>
      <w:r>
        <w:rPr>
          <w:rFonts w:ascii="IRNazanin" w:hAnsi="IRNazanin" w:eastAsia="IRNazanin"/>
          <w:color w:val="111111"/>
          <w:sz w:val="28"/>
          <w:sz w:val="28"/>
          <w:szCs w:val="28"/>
          <w:rtl w:val="true"/>
          <w:lang w:bidi="fa-IR"/>
        </w:rPr>
        <w:t>مهدى وفاجو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رفتار و آرايش تغيير پيدا كند، مانعى هم ندارد، مواظب باشيد قبله نماى اين مدگرايى به سمت اروپا نباشد،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w:t>
      </w:r>
    </w:p>
    <w:p>
      <w:pPr>
        <w:pStyle w:val="BookText"/>
        <w:rPr/>
      </w:pPr>
      <w:r>
        <w:rPr>
          <w:rFonts w:ascii="IRNazanin" w:hAnsi="IRNazanin" w:eastAsia="IRNazanin"/>
          <w:color w:val="111111"/>
          <w:sz w:val="28"/>
          <w:sz w:val="28"/>
          <w:szCs w:val="28"/>
          <w:rtl w:val="true"/>
          <w:lang w:bidi="fa-IR"/>
        </w:rPr>
        <w:t xml:space="preserve">از جمله گرايش ها و اميال فطرى و اساسى انسان ها، به خصوص جوانان و نوجوانان، زيبايى خواهى، پذيرش و محبوبيت اجتماعى، تنوع طلبى و نوگرايى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lang w:val="en-US" w:bidi="en-US"/>
        </w:rPr>
        <w:t>odernes</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همه ى اين گرايش ها مى تواند در نوگرايى و مدگرايى تجلى پيدا كند، لازم است آسيب هاى آن را شناسايى كنيم تا بتوانيم اين اميال را در حد اعتدال ارضا نماييم و در دام افراط و تفريط هاى خود و دشمنان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از شادابى و نشاط روحى و جسمى برخوردار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پيروى از مدل هاى بيگانه و مدپرستى، از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شناختى، اجتماعى، اقتصادى، سياسى، فرهنگى، فقهى،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پيامدهايى دارد كه در اين مجال، به طور خلاصه به برخى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 هويت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Identity crisis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 باورها، ارزش ها و رفتارها، هويت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اساس ارزش ها و ارزش ها پايه ى رفتارها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هويت وقتى رخ مى دهد كه فرد نتواند به باورهايى جداى از باورهاى ديگران برسد و براى خود نقش ثابتى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تشكيل هويت آدمى، خودشناسى و خودباورى تفكر و گرايش به باورهاى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شناخت براى انسان حاصل شود، راه نماى مطمئن و قابل اعتمادى براى جهت گيرى در زندگى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دادن به هويت، يعنى توانايى در شناخت آنچه هستيم و آنچه مى خواهيم باشيم، </w:t>
      </w:r>
    </w:p>
    <w:p>
      <w:pPr>
        <w:pStyle w:val="BookText"/>
        <w:rPr/>
      </w:pPr>
      <w:r>
        <w:rPr>
          <w:rFonts w:ascii="IRNazanin" w:hAnsi="IRNazanin" w:eastAsia="IRNazanin"/>
          <w:color w:val="111111"/>
          <w:sz w:val="28"/>
          <w:sz w:val="28"/>
          <w:szCs w:val="28"/>
          <w:rtl w:val="true"/>
          <w:lang w:bidi="fa-IR"/>
        </w:rPr>
        <w:t>يعنى روشن كردن نظام باورها، ارزش ها و آرمان هاى خود، آگاهى يافتن از توانايى خود و شيوه ى استفاده از اين توانايى در زندگى روزانه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نوجوان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خود را به شكلى تازه درمى آورد و سبك زندگى اش را به روش جديد و متأثر از مدگرايى تغيير مى دهد، هيچ گاه هويت ثابت خويش را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نشانه هاى هويت و شخصيت سالم، ثبات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ويژگى هاى انسانى كه به طور كامل از سنت خويش جدا مى شود، دوگانه 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انسجام و بى ثباتى شخصيت، بحران سرگشتگى و در نهايت، پوچ انگارى را به دنبال مى آورد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نشانه هاى خودباورى،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رنگ جماعت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ندادن به آداب و رسوم نامطلوب اجتماعى و فرهنگى جامعه است</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رشد هويت، همراه با اعتماد به نفس، ارزشمند شمردن شايستگى هاى خود، انگيزه ى پيشرفت و شناخت خود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مؤلفه ها به ثبات شخصيت و يافتن نقش خود در اجتماع كمك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بحران معنويت و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دينى و معنوى انسان ريشه در باورها دارد و ارزش ها و رفتارهاى ارزشى از باور او ناشى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تبليغات وسيع غربى به ترويج</w:t>
      </w:r>
    </w:p>
    <w:p>
      <w:pPr>
        <w:pStyle w:val="BookText"/>
        <w:rPr/>
      </w:pPr>
      <w:r>
        <w:rPr>
          <w:rFonts w:ascii="IRNazanin" w:hAnsi="IRNazanin" w:eastAsia="IRNazanin"/>
          <w:color w:val="111111"/>
          <w:sz w:val="28"/>
          <w:sz w:val="28"/>
          <w:szCs w:val="28"/>
          <w:rtl w:val="true"/>
          <w:lang w:bidi="fa-IR"/>
        </w:rPr>
        <w:t>فرهنگ الحادى و سست، همراه با مدها و مدل هاى مخرّب فرهنگى و مصرفى بارآوردن انسان نوخواه افراطى امروز، موجب انحطاط اخلاقى و معنوى بشر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تجددگراى افراطى، انسان موجودى است كه هم چون ساير حيوانات از دل طبيعت برخاسته و تنها غايت او پيشرفت در مادّيات و تسلط بيشتر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زندگى در چنين فضايى، نداشتن نقطه ى اتكاى معنوى، موجب آشفتگى و بى حوصلگى، افسردگى، دل تنگى و بحران معنويت مى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پى كم رنگ شدن ارزش ها، انسان دچار تعميم دهى افراطى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مظاهر تجدد جهان غرب در تمام ابعاد زندگى سرايت مى يابد، جهانى كه در آن روابط عاطفى و انسانى جاى خود را به ارتباط هاى نامشروع جنسى و نگه دارى از حيواناتى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گربه داده و الكل، اعتياد، خودكشى و آدم كشى از مهم ترين شاخصه 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جامعه اى مفاهيم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حيا، عفت، احترام به بزرگ تر، تعاون، قناعت، ايثار، عدالت، اسراف نكردن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و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 امكانات و ميزان فراغت مردم براى دست يابى به آخرين مدها و تغيير و تحول هاى سريع و شتابان و مهارناپذير شكل زندگى، انسان هرچه تلاش كند نمى تواند به آرزوى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 ناتوانى و فرسودگى مى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ساخت مدها و مدل ها در غرب، منفعت طلبى، لذت خواهى فردى، برترى طلبى و سودگرايى از كانال مصرفى بارآوردن مشتريان و چشم و هم چشمى هاى آنها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سريع مدهاى غربى و رواج آن در بازار، خود عاملى براى شكست روحى افرادى است كه به دنبال مدهاى تازه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افراد،توانايى خريد</w:t>
      </w:r>
    </w:p>
    <w:p>
      <w:pPr>
        <w:pStyle w:val="BookText"/>
        <w:rPr/>
      </w:pPr>
      <w:r>
        <w:rPr>
          <w:rFonts w:ascii="IRNazanin" w:hAnsi="IRNazanin" w:eastAsia="IRNazanin"/>
          <w:color w:val="111111"/>
          <w:sz w:val="28"/>
          <w:sz w:val="28"/>
          <w:szCs w:val="28"/>
          <w:rtl w:val="true"/>
          <w:lang w:bidi="fa-IR"/>
        </w:rPr>
        <w:t>جديدترين مدها را دارند، ولى سرعت تغيير و تنوع مدل ها و نيز فرصت محدود انسان ها باعث شده ضربات مهلكى به اخلاق افراد مدپرست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مستقيم و غير مستقيم از ديگران، دروغ، غصب، استرس و اضطراب براى رسيدن به خواسته هاى افراطى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طبقه بندى غيرمنطقى در جامعه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مد جديد گسترش مى يابد، به تدريج افت مى كند و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سرعت افراد از آن پيروى مى كنند و بعد از مدتى عادى مى شود و تنوع قبلى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مد در ابتدا براى گروه هاى برتر جامعه در نظر گرفته مى شود تا افراد ديگر از آن ها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برخى افراد كسب درآمد مى كنند و طبقه بندى غيرمنطقى و نامعقول در جامعه ايجاد مى شود و در جامعه اى كه معيار فضيلت، درآمد بيشتر و داشتن مدل هاى جديد است، به افراد محروم توجهى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آدمى شريف است به جان آدميت</w:t>
      </w:r>
    </w:p>
    <w:p>
      <w:pPr>
        <w:pStyle w:val="BookText"/>
        <w:rPr/>
      </w:pPr>
      <w:r>
        <w:rPr>
          <w:rFonts w:ascii="Amiri" w:hAnsi="Amiri" w:eastAsia="Amiri" w:cs="Amiri"/>
          <w:color w:val="111111"/>
          <w:sz w:val="28"/>
          <w:sz w:val="28"/>
          <w:szCs w:val="28"/>
          <w:rtl w:val="true"/>
          <w:lang w:bidi="ar-SA"/>
        </w:rPr>
        <w:t>نه همين لباس زيباست نشان آدميت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فرهنگى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جنبه هاى مدگرايى، تسلط فرهنگى و سياسى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استفاده از محصولات غربى، كه عمدتاً نشأت گرفته از عقايد و افكار مادى گرايانه ى آنهاست، در واقع فرهنگ غيردينى و ضداسلامى آنها را به نوعى پذيرفته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ملتى كه در كوچك ترين امور زندگى كه پوشش و ظاهر است، از كشورهاى به ظاهر </w:t>
      </w:r>
    </w:p>
    <w:p>
      <w:pPr>
        <w:pStyle w:val="BookText"/>
        <w:rPr/>
      </w:pPr>
      <w:r>
        <w:rPr>
          <w:rFonts w:ascii="IRNazanin" w:hAnsi="IRNazanin" w:eastAsia="IRNazanin"/>
          <w:color w:val="111111"/>
          <w:sz w:val="28"/>
          <w:sz w:val="28"/>
          <w:szCs w:val="28"/>
          <w:rtl w:val="true"/>
          <w:lang w:bidi="fa-IR"/>
        </w:rPr>
        <w:t>پيشرفته تقليد مى كند، بايد منتظر باشد كه در جنبه هاى فرهنگى و سياسى هم در چنگال استعمار درآيد و عروسك خيمه شب بازى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مدپرستى و مدگرايى و استفاده از محصولات كشورهاى ديگر، لوازم و ملزوماتى دارد كه شايان ترين آن، وابستگى و تسلط فرهنگى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نيز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خود را شبيه به قومى كند به تدريج از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اقتصاد غرب، ايجاد وابستگى و روحيه ى مصرف گرايى، سودگرايى، لذت طلبى فردى با ابزارهاى تبليغاتى روان شناختى و جامعه شناختى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ملتى كه به جاى اتكاء به نفس و تلاش در جهت شكوفايى استعدادها و امكانات خدادادى خود، به دنبال مدگرايى افراطى و تقليدى برآيد، قطعاً بعد از مدتى با تسلط اقتصادى و از بين رفتن استعدادها مواجه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در اين زمينه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خود خود را بيابيد و يأس را از خود دور سازيد و چشم داشت به غير نداشته باشيد، در درازمدت قدرت همه كار و ساختن همه چيز را داريد و آنچه انسان هايى شبيه به اينان به آن رسيده اند، شما هم خواهيد رسيد، به شرط اتكال به خداوند متعال و اتكا به خود و قطع وابستگى به ديگران و تحمل سختى ها براى رسيدن به زندگى شرافتمندانه و خارج شدن از سلطه ى اجانب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زدگى در واقع محصول بحران هويت و معنويت و بى ارزش دانستن داشته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عينك ارزش هاى كاذب غربى دنيا را مى بيند سراب ها</w:t>
      </w:r>
    </w:p>
    <w:p>
      <w:pPr>
        <w:pStyle w:val="BookText"/>
        <w:rPr/>
      </w:pPr>
      <w:r>
        <w:rPr>
          <w:rFonts w:ascii="IRNazanin" w:hAnsi="IRNazanin" w:eastAsia="IRNazanin"/>
          <w:color w:val="111111"/>
          <w:sz w:val="28"/>
          <w:sz w:val="28"/>
          <w:szCs w:val="28"/>
          <w:rtl w:val="true"/>
          <w:lang w:bidi="fa-IR"/>
        </w:rPr>
        <w:t>برايش حقيقت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نوگرايى و مدپرستى در زندگى جوانان جهان سوم و ممالك درحال توسعه، عملا به غرب گرايى منجر شده است، زيرا آنان معتقدند كه با استفاده از فرهنگ غرب، از ضعف و عقب ماندگى رهايى يافته، در رديف كشورهاى پيشرفته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w:t>
      </w:r>
    </w:p>
    <w:p>
      <w:pPr>
        <w:pStyle w:val="BookText"/>
        <w:rPr/>
      </w:pPr>
      <w:r>
        <w:rPr>
          <w:rFonts w:ascii="IRNazanin" w:hAnsi="IRNazanin" w:eastAsia="IRNazanin"/>
          <w:color w:val="111111"/>
          <w:sz w:val="28"/>
          <w:sz w:val="28"/>
          <w:szCs w:val="28"/>
          <w:rtl w:val="true"/>
          <w:lang w:bidi="fa-IR"/>
        </w:rPr>
        <w:t xml:space="preserve">روشن فكران غرب زده، تنها راه نجات و پويايى را در مدرنيته و تجدد دانسته و نسخه ى غربى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 تا ناخن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كرده اند، در حالى كه پيشرفت علمى، تابع شرايط ظاهرى و شبيه غربى ها شدن نيست، بلكه مكانيزم و سازوكار خود را مى طلبد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فحشا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ترويج هر مد و چيز با شرطى سازى با سكس، هم جنس خواهى، روابط نامشروع دختر و پسر و مصرف گرايى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مانند نگاه ابزارى به زنان جهت تبليغ و يا فروش اشياى لوكس،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بى بندوبارى، دوستى هاى خيابانى و خانه گريزى، از بارزترين نشانه هاى تجدّد ظاهرى و مدپرستى و به روز شدن است، كه در سايه ى گم شدن معيار فضيلت ها و شرف انسانى پديد آمده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تمايل شديد به تنوع طلبى، الگوپذيرى هاى غلط، تقليد از فرهنگ غرب و به روز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دورى از كانون گرم خانواده و حضور در مراسم و پارتى هاى كذايى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فردگرايى و جمع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مدپرستى و نوگرايى افراطى، انسان خود را تافته اى جدابافته از جامعه و برترى را در داشتن ظاهرى جديد مى داند و فردى را شايسته ى دوستى و احترام مى داند كه از نظر ظاهرى هم 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بسيارى از روابط اجتماعى و معاشرت ها را كه در اسلام به آن توصيه شده است كنار مى گذارد و محدوده ى رابطه ى اجتماعى اش تنگ تر و تنگ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افراد پول دار بى ايمان براى همراهى ايشان اين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ظاهرى فقير دارند فاصله بگيرند، اما ايشان با اين تفكر به شدت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حتى اجازه نمى دهد افراد به بهانه ى عبادت، از اجتماع فاصله بگيرند و معاشرت و صله ى رحم را ترك كنند چه رسد به جمع گريزى هايى كه در پرتو خودخواهى، تكبر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مدپرستى و تجدّدخواهى غربى اين فكر را القا مى كند كه هر چيز جديدى بر كهنه ى آن فضيلت دارد و نبايد خود را درگير كهنه ها و قديمى ها كرد، حتى بسيارى از ارزش ها را نيز قديمى دانسته اند و معتقدند آنها بايد نو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جوانان و نوجوانان چون با اين فكر و خطرهاى آن آشنايى ندارند اين شعار به ظاهر زيبا را مى پسندند، اما توجه ندارند كه ارزش هاى ما ريشه در اصول محكم و تغييرناپذيرى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ساده تر، كسى حق ندارد به بهانه ى نوگرايى بگويد از امروز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رياضيات هم مثل فضايل و ارزش ها از قانون ثابت خود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 زيادى به دليل عدم آگاهى از اين اصول، به جنگ با ارزش ها، دين، دين داران و خانواده هاى اصول گرا پرداخته اند كه اين خود از نيرنگ ها و حيله هاى موذيانه ى دشمن در بحث تهاجم فرهنگى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تضييع انرژى عاطفى روانى و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هر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داشتن محدوديت زمانى و اقتصادى داراى محدوديت عاطفى، ذهنى،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ها ايجاب مى كند كه ما با مديريت صحيح آن را به تناسب در كارهاى مهم زندگى، مثل تحصيل، روابط زناشويى و خانوادگى و شغلى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افراطى اين سرمايه ها در يك بُعد خاص، باعث نارسايى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عاطفى، ذهنى،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مهم زندگى مى گردد كه اين خود باعث افت تحصيلى، كاهش مهرورزى، ناسازگارى در روابط بين فردى، مشكل اشتغال و كاهش خلاقيت مى شود كه به نوبه ى خود موجب پايين آمدن احساس حرمت نفس و ارزشمندى و عدم موفقيت فرد در حيطه هاى مختلف زندگى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دقيق علمى، بين موفقيت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ارزشمندى، هم بستگى و رابطه ى معنادارى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و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شدت دنبال مدگرايى هستند به توجه ديگران اهميت زيادى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طول زندگى خويش براى اين كه در نظر ديگران ارزشمند جلوه كنند، حاضرند به هر قيد و شرطى كه از طرف جامعه به آنها تحميل مى شود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راجرز، روان شناس معروف، اين قيود موجب ناهم خوانى بين تجربه اى كه شخص از خود دارد و تجربه ها و تعاملاتش با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جلب توجه ديگران، تجربه ى خويش را ناديده مى گيرند و ارزش ها و عقايد ديگران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توجهى به عقايد و ارزش هاى خويش ندارند، براى آن كه احساس ارزشمندى كنند در صدد خشنود كردن ديگران به هر طريقى مثل تن دادن به مدل هاى افراطى و </w:t>
      </w:r>
    </w:p>
    <w:p>
      <w:pPr>
        <w:pStyle w:val="BookText"/>
        <w:rPr/>
      </w:pPr>
      <w:r>
        <w:rPr>
          <w:rFonts w:ascii="IRNazanin" w:hAnsi="IRNazanin" w:eastAsia="IRNazanin"/>
          <w:color w:val="111111"/>
          <w:sz w:val="28"/>
          <w:sz w:val="28"/>
          <w:szCs w:val="28"/>
          <w:rtl w:val="true"/>
          <w:lang w:bidi="fa-IR"/>
        </w:rPr>
        <w:t>رنگارنگ برمى آيند و در واقع با اين عمل به شروط آنها تن داده اند و به همين خاطر دچار اضطراب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ناهم خوانى بين تجربه هاى فرد و خودپندارى اش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 - i*a-e</w:t>
      </w:r>
      <w:r>
        <w:rPr>
          <w:rFonts w:ascii="Amiri" w:hAnsi="Amiri" w:eastAsia="Amiri" w:cs="Amiri"/>
          <w:color w:val="111111"/>
          <w:sz w:val="28"/>
          <w:sz w:val="28"/>
          <w:szCs w:val="28"/>
          <w:rtl w:val="true"/>
          <w:lang w:bidi="ar-SA"/>
        </w:rPr>
        <w:t>تصور فرد از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باشد، رفتارش نابسامان تر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روان پريشى، محصول ناهمخوانى و تعارض شديد خودپنداره و تجربه است</w:t>
      </w:r>
      <w:r>
        <w:rPr>
          <w:rStyle w:val="FootnoteAnchor"/>
          <w:rtl w:val="true"/>
        </w:rPr>
        <w:footnoteReference w:id="200"/>
      </w:r>
      <w:r>
        <w:rPr>
          <w:rFonts w:ascii="IRNazanin" w:hAnsi="IRNazanin" w:eastAsia="IRNazanin"/>
          <w:color w:val="111111"/>
          <w:sz w:val="28"/>
          <w:sz w:val="28"/>
          <w:szCs w:val="28"/>
          <w:rtl w:val="true"/>
          <w:lang w:bidi="fa-IR"/>
        </w:rPr>
        <w:t>و مدگرايى افراطى چيزى است كه به اين امر دامن مى زند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اتلاف سرمايه و انرژى جوانان و بيگانگى و تزلزل شخصيت، از ثمرات منفى مدگرايى و گرايش به مدل هاى بيگانه است كه بحث در اين زمينه ها، مجال بيشترى را مى طلبد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مدگرايى مثبت، چون ريشه در باورهاى دينى و ارزشى دارد، سبب تقويت فضايل و منشأ بسيارى از پيامدهاى مثبت مى شود كه 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خودباورى، احساس ارزشمندى،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اعتماد به نفس،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خلاقيت و شكوفايى استعدادها، حقيقت جويى، ثبات شخصيت، نوع دوستى و تعاون، خودكفايى و عدم وابستگى اقتصادى، اعتدال، قناعت، هدفمندى، احترام به سنت ها، تحكيم روابط انسانى و خانوادگى، حيا و عفت، تكريم شخصيت الهى انسان و</w:t>
      </w:r>
      <w:r>
        <w:rPr>
          <w:rFonts w:eastAsia="IRNazanin" w:cs="IRNazanin"/>
          <w:color w:val="111111"/>
          <w:sz w:val="28"/>
          <w:szCs w:val="28"/>
          <w:rtl w:val="true"/>
          <w:lang w:bidi="fa-IR"/>
        </w:rPr>
        <w:t xml:space="preserve">... . </w:t>
      </w:r>
      <w:bookmarkStart w:id="226" w:name="pg10696_94887"/>
    </w:p>
    <w:p>
      <w:pPr>
        <w:pStyle w:val="Heading3"/>
        <w:numPr>
          <w:ilvl w:val="2"/>
          <w:numId w:val="1"/>
        </w:numPr>
        <w:rPr/>
      </w:pPr>
      <w:bookmarkStart w:id="227" w:name="__RefHeading___Toc2367240_1051229030"/>
      <w:bookmarkStart w:id="228" w:name="_Toc84"/>
      <w:bookmarkEnd w:id="226"/>
      <w:bookmarkEnd w:id="227"/>
      <w:r>
        <w:rPr>
          <w:rtl w:val="true"/>
        </w:rPr>
        <w:t>براى ارائه ى مدل لباس هاى داخلى و ملى، چه مؤلفه ها و ويژگى هايى را بايد در نظر گرفت؟</w:t>
      </w:r>
      <w:bookmarkEnd w:id="228"/>
    </w:p>
    <w:p>
      <w:pPr>
        <w:pStyle w:val="BookText"/>
        <w:rPr/>
      </w:pPr>
      <w:r>
        <w:rPr>
          <w:rFonts w:ascii="IRNazanin" w:hAnsi="IRNazanin" w:eastAsia="IRNazanin"/>
          <w:color w:val="111111"/>
          <w:sz w:val="28"/>
          <w:sz w:val="28"/>
          <w:szCs w:val="28"/>
          <w:rtl w:val="true"/>
          <w:lang w:bidi="fa-IR"/>
        </w:rPr>
        <w:t>جواد همتى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ممكن است در قالب لباس، پوشاك، كفش، آرايش موى سر و صورت، نحوه ى سخن گفتن راه و رسم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آن كه مدگرايى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fashionism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بيشتر در لباس و پوشاك، بروز مى كند، در اين جا اين بُعد را مورد بحث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بحث در اين باره ديگر اقسام مدگرايى را نيز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پوشاك بارزترين سمبل فرهنگى، مهم ترين و مشخص ترين مظهر قومى و ملّى و بهترين وسيله ى انتقال نشانه 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پوشاك يك جامعه، نوع معيشت و ساخت زندگى اجتماعى آنها نيز دچار تحوّل مى شود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29" w:name="__RefHeading___Toc2367242_1051229030"/>
      <w:bookmarkStart w:id="230" w:name="_Toc85"/>
      <w:bookmarkEnd w:id="229"/>
      <w:r>
        <w:rPr>
          <w:rtl w:val="true"/>
        </w:rPr>
        <w:t>مُد مناسب و نامناسب</w:t>
      </w:r>
      <w:bookmarkEnd w:id="230"/>
    </w:p>
    <w:p>
      <w:pPr>
        <w:pStyle w:val="BookText"/>
        <w:rPr/>
      </w:pPr>
      <w:r>
        <w:rPr>
          <w:rFonts w:ascii="IRNazanin" w:hAnsi="IRNazanin" w:eastAsia="IRNazanin"/>
          <w:color w:val="111111"/>
          <w:sz w:val="28"/>
          <w:sz w:val="28"/>
          <w:szCs w:val="28"/>
          <w:rtl w:val="true"/>
          <w:lang w:bidi="fa-IR"/>
        </w:rPr>
        <w:t>اگر مد، متناسب با هويت ملى و تاريخى، فرهنگى و مذهبى، استقلال و آزادى، شخصيّت فردى و اجتماعى، و در جهت حفظ اصول و مبانى اعتقادى و جهان بينى و معيارهاى ارزشى و اخلاقى جامعه باشد، مورد قبول شرع خواهد بود ولى اگر مد مغاير و مخالف با اين ملاك ها باشد، مناسب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جامعه و فرد را از ابعاد مختلف دينى، ملى، سلامت روحى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اختلال و آسيب مى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بيان تفصيلى بحث، ذكر چند نكته ضرورى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قبل از ارائه ى هر مدل و الگويى، نظرات روان شناسان، جامعه شناسان و كارشناسان دينى، فرهنگى، اقتصادى و سياسى با برگزارى ميزگردها و نشست هاى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و از سطوح مختلف جامعه نظرسنجى هاى اوّليه اى صورت گيردتا متناسب با آن نيازها و درخواست ها و با توجه به مبانى ارزشى، مدل و الگوى مؤثرى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بعد از انتخاب و عرضه ى آن در جامعه، مجدداً مورد ارزيابى قرار گيرد تا بازخوردهاى مثبت يا منفى آن روشن گردد و در جهت اصلاح نقاط ضعف و منفى آن تلاش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همراه هر الگو و مدلى هدف و پيام آن نيز براى همگان تبيين گردد تا با ايجاد پشتوانه ى محكم فكرى و روحى در افراد، زمينه ى پذيرش و مقبوليّت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 مطبوعات،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 با آن حركت كنند و ذهن جوانان را، با آسيب هاى روانى، اجتماعى، فرهنگى و اقتصادى مدگرايى افراطى، آشنا ساخته، آنان را در حركت و انتخاب آزادانه ى مدل بومى يارى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 هايى كه در تهيه ى لباس ملى و بومى ذكر خواهد شد، با هم تعامل و هم پوشى دارند و هر كدام به تنهايى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ارائه ى الگو بايد جامع نگر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ارائه ى مدهاى داخلى، بومى و ملّى بايد در دو بعد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اصلاح در نگرش، بينش، باور، افكار، گرايش، دادن آگاهى و شناخت، تشويق به عقل گرايى، انجام نظرسنجى ها و ارزيابى هاى ميدانى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ى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جدّى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بعد، براى طراحى و توليد لباس ملى و بومى، كارشناسان دينى، فرهنگى، اجتماعى، اقتصادى، سياسى و بهداشتى بايد آسيب ها، خطرها و پيامدهاى مدل هاى غربى و بيگانه را به جامعه معرفى و فوايد لباس هاى ملى و داخلى را تبيين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رسمى بودن كار اين گروه تخصصى مى تواند در تثبيت و گسترش لباس بومى كمك كند</w:t>
      </w:r>
      <w:r>
        <w:rPr>
          <w:rFonts w:eastAsia="IRNazanin" w:cs="IRNazanin"/>
          <w:color w:val="111111"/>
          <w:sz w:val="28"/>
          <w:szCs w:val="28"/>
          <w:rtl w:val="true"/>
          <w:lang w:bidi="fa-IR"/>
        </w:rPr>
        <w:t xml:space="preserve">. </w:t>
      </w:r>
      <w:bookmarkStart w:id="231" w:name="pg10696_94889"/>
    </w:p>
    <w:p>
      <w:pPr>
        <w:pStyle w:val="BookText"/>
        <w:rPr/>
      </w:pPr>
      <w:bookmarkEnd w:id="231"/>
      <w:r>
        <w:rPr>
          <w:rFonts w:ascii="IRNazanin" w:hAnsi="IRNazanin" w:eastAsia="IRNazanin"/>
          <w:color w:val="111111"/>
          <w:sz w:val="28"/>
          <w:sz w:val="28"/>
          <w:szCs w:val="28"/>
          <w:rtl w:val="true"/>
          <w:lang w:bidi="fa-IR"/>
        </w:rPr>
        <w:t>طرح لباس بومى و ملّى را بايد از ديدگاه هاى زير مورد توجه و دقت قرار داد</w:t>
      </w:r>
      <w:r>
        <w:rPr>
          <w:rFonts w:eastAsia="IRNazanin" w:cs="IRNazanin"/>
          <w:color w:val="111111"/>
          <w:sz w:val="28"/>
          <w:szCs w:val="28"/>
          <w:rtl w:val="true"/>
          <w:lang w:bidi="fa-IR"/>
        </w:rPr>
        <w:t>:</w:t>
      </w:r>
    </w:p>
    <w:p>
      <w:pPr>
        <w:pStyle w:val="Heading3"/>
        <w:numPr>
          <w:ilvl w:val="2"/>
          <w:numId w:val="1"/>
        </w:numPr>
        <w:rPr/>
      </w:pPr>
      <w:bookmarkStart w:id="232" w:name="__RefHeading___Toc2367244_1051229030"/>
      <w:bookmarkStart w:id="233" w:name="_Toc86"/>
      <w:bookmarkEnd w:id="232"/>
      <w:r>
        <w:rPr/>
        <w:t>1</w:t>
      </w:r>
      <w:r>
        <w:rPr>
          <w:rtl w:val="true"/>
        </w:rPr>
        <w:t xml:space="preserve">. </w:t>
      </w:r>
      <w:r>
        <w:rPr>
          <w:rtl w:val="true"/>
        </w:rPr>
        <w:t>ديدگاه روان شناختى</w:t>
      </w:r>
      <w:bookmarkEnd w:id="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طلبى و نوگرايى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نيازهاى فطرى انسان، تنوع خواهى و تجددگرايى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و نوجوانى گرايش به نوگرايى و تنوع طلبى بيشتر در لباس نمود مى يابد و بايد با تغيير در رنگ، طرح و شكل، نوع دوخت و پارچه، تصاوير و نوشته هاى ارزشى و ملى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تنوّع طلبى بايد نظارت و كنترل و با خردورزى هدايت شود، در غير اين صورت عطش آن سيرى ناپذير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اجتماعى و مورد توجه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تمايل دارند كه در جامعه مورد قبول و احترام باشند و اجتماع براى آنان شخصيتى متناسب با شأن و جايگاهشان قايل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ميل، والدين، مربيان و مسئولان فرهنگى و اجتماعى وظيفه دارند احساس ارزشمندى</w:t>
      </w:r>
      <w:r>
        <w:rPr>
          <w:rStyle w:val="FootnoteAnchor"/>
          <w:rtl w:val="true"/>
        </w:rPr>
        <w:footnoteReference w:id="203"/>
      </w:r>
      <w:r>
        <w:rPr>
          <w:rFonts w:ascii="IRNazanin" w:hAnsi="IRNazanin" w:eastAsia="IRNazanin"/>
          <w:color w:val="111111"/>
          <w:sz w:val="28"/>
          <w:sz w:val="28"/>
          <w:szCs w:val="28"/>
          <w:rtl w:val="true"/>
          <w:lang w:bidi="fa-IR"/>
        </w:rPr>
        <w:t>را در جوانان تقويت كنند و به اين نياز روحى آنان پاسخ مناسب و شايسته اى بدهند، تا آنها براى جلب توجه و نظر ديگران به ابزارهاى منفى روى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موفقيّت در كسب مقبوليّت عمومى و جلب توجه ديگران، وجود جذابيّت هاى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نقش مهمى در ايجاد اين جذابيّت،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 و مطلوب، هم براى خود فرد، نشاط آور و شادى بخش است و هم براى كسانى كه با او 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رعايت اين امر در تأييد اجتماعى و كسب اعتماد به نفس و مهارت هاى اجتماعى كمك شايانى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با انتخاب مدها، به دنبال كسب و ابراز هويّت فردى و نقش اجتماعى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مدارس، مؤسسات فرهنگى، هنرى و ورزشى در هدايت ميل جوانان، نقش مهمى مى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دنبال اين است كه شخصيتى متمايز از والدين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ميل ريشه در استقلال طلبى، زيبايى طلبى، تجدّدگرايى و رشد عقلانى و فكرى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دنبال پوشش هم سالان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الگوهاى مورد نظر و متناسب با روحيّات اين دوران و نيز در صدد همانندسازى</w:t>
      </w:r>
      <w:r>
        <w:rPr>
          <w:rStyle w:val="FootnoteAnchor"/>
          <w:rtl w:val="true"/>
        </w:rPr>
        <w:footnoteReference w:id="204"/>
      </w:r>
      <w:r>
        <w:rPr>
          <w:rFonts w:ascii="Amiri" w:hAnsi="Amiri" w:eastAsia="Amiri" w:cs="Amiri"/>
          <w:color w:val="111111"/>
          <w:sz w:val="28"/>
          <w:sz w:val="28"/>
          <w:szCs w:val="28"/>
          <w:rtl w:val="true"/>
          <w:lang w:bidi="ar-SA"/>
        </w:rPr>
        <w:t>با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با ايجاد زمينه هاى</w:t>
      </w:r>
    </w:p>
    <w:p>
      <w:pPr>
        <w:pStyle w:val="BookText"/>
        <w:rPr/>
      </w:pPr>
      <w:r>
        <w:rPr>
          <w:rFonts w:ascii="IRNazanin" w:hAnsi="IRNazanin" w:eastAsia="IRNazanin"/>
          <w:color w:val="111111"/>
          <w:sz w:val="28"/>
          <w:sz w:val="28"/>
          <w:szCs w:val="28"/>
          <w:rtl w:val="true"/>
          <w:lang w:bidi="fa-IR"/>
        </w:rPr>
        <w:t>مناسب در توليد انواع مدل هاى لباس و پوشاك و منطبق با موازين اسلامى و فرهنگ ملى و بومى، به جوانان، حق و فرصت انتخاب آزادانه ى پوشش مورد نظرشان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گرايش هاى اصيل و فطرى انسان ها ميل به زيبايى است كه بايد در تهيه ى مدل ها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مناسب در ايجاد زيبايى و جذابيّت لباس نقش مهمى دارد و باعث نشاط و شادابى فرد و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نيز بيش تر رنگ ها، متناسب با نياز طبيعى انسان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سنين مختلف و گروه هاى گوناگون اجتماعى، اعمّ از زن و مرد، مى توان رنگ هاى متناسب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زيبايى پوشش دختران و زنان در محيط هاى مختلف مى توان تفاوت اساسى قايل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در اين محيط، به خصوص در ارتباط با زن و شوهر مى تواند بسيار متنوع و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توانند از هر لباسى با هر رنگ و شكلى كه مى پسندند،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 و شوهر بايد براى همديگر نشاط انگيز، جذّاب و شادى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دينى نيز سفارش شده كه همسران، به بهترين نحو، خود را براى هم بيارايند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مربوط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اختصاصى دختران و زنان نيز مى توان از الگوهاى مناسب و رنگ هاى متنوع و اشكال راحت و ساده ترى طبق معيارهاى ارزشى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جذابيّت لباس بانوان در محيط اجتماع بايد به گونه اى باشد كه براى مردان جذابيّت جنسى ايجاد نكند، بلكه زيبايى پوشش بايد با افزايش جذابيت شخصيّتى، وقار، سنگينى، حجب و حيا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الگوگيرى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ويژگى هاى دوران نوجوانى و جوانى الگوپذيرى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قبل از ورود و گسترش محصولات و الگوهاى جديد به بازار، افرادى كه در صحنه هاى مختلف علمى، ورزشى، هنرى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مقبوليّت و شهرت اجتماعى اند با استفاده از لباس هاى داخلى و ملى، جوانان را عملا به سمت آنها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ماهيت و اهداف الگوهايى كه با فرهنگ و آيين اين مرز و بوم، تناسب و سنخيّت ندارند، مثل رپ، 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جوانان شناسانده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روشنگرى، جوان ايرانى با اختيار از آن ها روى برگردانده از الگوهاى سالم داخلى استفاده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الگوهاى غربى، بدون ارائه ى الگوهاى داخلى و بومى، آثار منفى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بهينه از تنوّع و تحول در ظاهر لباس و پوشاك، حق طبيعى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اين عمل به مدگرايى افراطى و تقليد كوركورانه از مدل هاى غربى و اروپايى مبدّل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متنوع لباس و ارائه ى الگوهاى مطلوب و متناسب با فرهنگ داخلى و منطبق با سليقه ها و سنين مختلف، گرايش به مدل هاى غربى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كوركورانه و بدون شناخت از مدل هاى غربى، نشان از عدم ثبات شخصيت و استقلال فكرى، عقلى و روانى فرد دارد و باعث وابستگى روحى و روانى او به آن فرهنگ مى شود و استقلال </w:t>
      </w:r>
      <w:bookmarkStart w:id="234" w:name="pg10696_94892"/>
    </w:p>
    <w:p>
      <w:pPr>
        <w:pStyle w:val="BookText"/>
        <w:rPr/>
      </w:pPr>
      <w:bookmarkEnd w:id="234"/>
      <w:r>
        <w:rPr>
          <w:rFonts w:ascii="Amiri" w:hAnsi="Amiri" w:eastAsia="Amiri" w:cs="Amiri"/>
          <w:color w:val="111111"/>
          <w:sz w:val="28"/>
          <w:sz w:val="28"/>
          <w:szCs w:val="28"/>
          <w:rtl w:val="true"/>
          <w:lang w:bidi="ar-SA"/>
        </w:rPr>
        <w:t>سياسى، اقتصادى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خطر مى اندازد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367246_1051229030"/>
      <w:bookmarkStart w:id="236" w:name="_Toc87"/>
      <w:bookmarkEnd w:id="235"/>
      <w:r>
        <w:rPr/>
        <w:t>2</w:t>
      </w:r>
      <w:r>
        <w:rPr>
          <w:rtl w:val="true"/>
        </w:rPr>
        <w:t xml:space="preserve">. </w:t>
      </w:r>
      <w:r>
        <w:rPr>
          <w:rtl w:val="true"/>
        </w:rPr>
        <w:t>ديدگاه اجتماعى و سياسى</w:t>
      </w:r>
      <w:bookmarkEnd w:id="236"/>
    </w:p>
    <w:p>
      <w:pPr>
        <w:pStyle w:val="BookText"/>
        <w:rPr/>
      </w:pPr>
      <w:r>
        <w:rPr>
          <w:rFonts w:ascii="IRNazanin" w:hAnsi="IRNazanin" w:eastAsia="IRNazanin"/>
          <w:color w:val="111111"/>
          <w:sz w:val="28"/>
          <w:sz w:val="28"/>
          <w:szCs w:val="28"/>
          <w:rtl w:val="true"/>
          <w:lang w:bidi="fa-IR"/>
        </w:rPr>
        <w:t>انسان بايد با تكيه بر شرع، عرف و انديشه اش زندگى كند نه طبق پسند ديگران كه سنخيتى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گونه تقليدها و الگوپذيرى هاى كوركورانه، شعور و اراده و انتخاب و قضاوت خوب و بد، تعطيل مى شود و پسند و نظر ديگران ملاك عمل قرار مى گيرد، نه پسند وسليقه ى خود فرد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پوشش بايد نشان از هوّيت و استقلال سياسى و اجتماعى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فرد، فقط پوششى براى بدن و محافظت آن از سرما و گرما نيست، بلكه بايد با فكر و فرهنگ و شخصيّت سياسى و قومى و ملى او نيز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لباسى به همراه خود، انبوهى از پيام هاى آشكار و پنهان در روابط داخلى و خارجى و بين المللى دارد و در رفتار و عملكرد افراد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كيفيّت لباس افراد، داراى بار فرهنگى، فكرى، اجتماعى و سياسى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هر انسان، پرچم كشور وجود اوست، پرچمى كه او بر سر در خانه ى وجود خود نصب مى كند و با آن اعلام مى كند كه از كدام فرهنگ تبعيّت مى كند</w:t>
      </w:r>
      <w:r>
        <w:rPr>
          <w:rStyle w:val="FootnoteAnchor"/>
          <w:rtl w:val="true"/>
        </w:rPr>
        <w:footnoteReference w:id="207"/>
      </w:r>
      <w:r>
        <w:rPr>
          <w:rFonts w:ascii="Amiri" w:hAnsi="Amiri" w:eastAsia="Amiri" w:cs="Amiri"/>
          <w:color w:val="111111"/>
          <w:sz w:val="28"/>
          <w:sz w:val="28"/>
          <w:szCs w:val="28"/>
          <w:rtl w:val="true"/>
          <w:lang w:bidi="ar-SA"/>
        </w:rPr>
        <w:t>و به كدام قوم و ملّتى وابسته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جامعه اى، نوع لباس افراد، علاوه بر آن كه تابع شرايط اقتصادى و اجتماعى و اقليمى آن جامعه است، تابع جهان بينى، ارزش ها و باورهاى حاكم بر فرهنگ آن جامعه نيز هست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اجتماعى و سياسى، در يك جامعه ى ارزشى و دينى، كه صاحب فرهنگ و تمدن اصيل و غنى است نبايد پوشش هاى فرهنگ بيگانه رواج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w:t>
      </w:r>
    </w:p>
    <w:p>
      <w:pPr>
        <w:pStyle w:val="BookText"/>
        <w:rPr/>
      </w:pPr>
      <w:r>
        <w:rPr>
          <w:rFonts w:ascii="IRNazanin" w:hAnsi="IRNazanin" w:eastAsia="IRNazanin"/>
          <w:color w:val="111111"/>
          <w:sz w:val="28"/>
          <w:sz w:val="28"/>
          <w:szCs w:val="28"/>
          <w:rtl w:val="true"/>
          <w:lang w:bidi="fa-IR"/>
        </w:rPr>
        <w:t>استعمارگران است كه فرهنگ هاى بومى و مذهبى را از درون تهى كنند و براى آنان خودباختگى سياسى به ارمغان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هاى غربى، حسّ خودباورى و غرور و اعتماد ملى را تضعيف نموده، باعث وابستگى، سرسپردگى، احساس حقارت، پوچى و بى هويتى، نابودى فرهنگ و آيين و نفوذ سياسى و فرهنگى استعمار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استعمارى را در پس پرده ى مدگرايى نمى توان ناديده گرفت و انكار نمود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ترويج و تثبيت لباس ملى و بومى، سياست مداران، مسئولان، مديران و كارگزاران دولتى مى توانند در صحنه هاى داخلى و خارجى از لباس ملّى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قانون گذارى نيز، در حمايت از طرّاحان و توليدكنندگان لباس هاى ملى، قوانين لازم، به خصوص قانون الزام توليد كنندگان در رعايت ملاك ها و معيارهاى تعيين شده براى لباس ملى را تصويب نمايند تا از تناقض و تضادّ در عرصه ى ارائه و توليد پوشش در اجتماع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و هم رنگى يك كشور با فرهنگ بيگانه، به معناى از دست دادن استقلال سياسى و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امّت تا هنگامى كه لباس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نپوشند و غذاى آنان را نخورند، در خير و سعادت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كنند خداوند آنان را سرافكنده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لباس بايد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مايه ى زينت، وقار و آراستگى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ساتر و حافظ لطافت و ظرافت بدن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خصوص، لباس دختران و زنان نبايد </w:t>
      </w:r>
      <w:bookmarkStart w:id="237" w:name="pg10696_94894"/>
    </w:p>
    <w:p>
      <w:pPr>
        <w:pStyle w:val="BookText"/>
        <w:rPr/>
      </w:pPr>
      <w:bookmarkEnd w:id="237"/>
      <w:r>
        <w:rPr>
          <w:rFonts w:ascii="IRNazanin" w:hAnsi="IRNazanin" w:eastAsia="IRNazanin"/>
          <w:color w:val="111111"/>
          <w:sz w:val="28"/>
          <w:sz w:val="28"/>
          <w:szCs w:val="28"/>
          <w:rtl w:val="true"/>
          <w:lang w:bidi="fa-IR"/>
        </w:rPr>
        <w:t>بدن نما، نازك، كوتاه، تنگ و چسبان باشد تا زمينه ى گناه در جامعه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شأن و مقام اجتماعى افراد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مايه ى تحقير و ذلّت يا تفاخر و برترى طلبى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متناسب با شرايط اقليمى و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سردسير، گرمسير، كويرى،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ترك، لر، بلوچ،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معرّف ارزش هاى ملى، مذهبى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محيط هاى كارى، شغلى و آموزشى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رعايت اين نكته، به خصوص در نظام آموزش و پرورش، آموزش عالى، كارخانجات، بيمارستان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3"/>
        <w:numPr>
          <w:ilvl w:val="2"/>
          <w:numId w:val="1"/>
        </w:numPr>
        <w:rPr/>
      </w:pPr>
      <w:bookmarkStart w:id="238" w:name="__RefHeading___Toc2367248_1051229030"/>
      <w:bookmarkStart w:id="239" w:name="_Toc88"/>
      <w:bookmarkEnd w:id="238"/>
      <w:r>
        <w:rPr/>
        <w:t>3</w:t>
      </w:r>
      <w:r>
        <w:rPr>
          <w:rtl w:val="true"/>
        </w:rPr>
        <w:t xml:space="preserve">. </w:t>
      </w:r>
      <w:r>
        <w:rPr>
          <w:rtl w:val="true"/>
        </w:rPr>
        <w:t>ديدگاه اقتصادى</w:t>
      </w:r>
      <w:bookmarkEnd w:id="239"/>
    </w:p>
    <w:p>
      <w:pPr>
        <w:pStyle w:val="BookText"/>
        <w:rPr/>
      </w:pPr>
      <w:r>
        <w:rPr>
          <w:rFonts w:ascii="IRNazanin" w:hAnsi="IRNazanin" w:eastAsia="IRNazanin"/>
          <w:color w:val="111111"/>
          <w:sz w:val="28"/>
          <w:sz w:val="28"/>
          <w:szCs w:val="28"/>
          <w:rtl w:val="true"/>
          <w:lang w:bidi="fa-IR"/>
        </w:rPr>
        <w:t>در طراحى و توليد لباس ملى، نبايد با حقّه هاى تبليغاتى و روان شناختى، در بين مردم روحيه ى مصرف گرايى در پى درآمدزايى و افزايش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غربى، استثمارگران و كارتل هاى اقتصادى</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براى رسيدن به سود بيشتر و زمينه سازى فروش توليدات روزافزون خود، هميشه نيازمند بازارهاى مصرف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تبليغ روحيه ى مصرف گرايى و تجمل پرستى، افراد را به سمت مصرف مدل هاى جديد سوق مى دهند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طراحان و توليد كنندگان لباس ملى و بومى بايد به جاى منافع فردى به فكر منافع و مصالح ملّى و بومى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حمايت جدى و پشتيبانى دولت ميسر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زنان و جوانان به عنوان طبقه ى مصرف كننده نگريست و از ميل و گرايش آنان به الگوپذيرى، زيبايى خواهى، تنوع طلبى و نوگرايى سوء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با توجه به سليقه هاى متفاوت و سطح اقتصادى طبقات اجتماعى، لباس هايى با قيمت هاى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جنس و كيفيّت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افزايش آگاهى و شناخت افراد، </w:t>
      </w:r>
      <w:bookmarkStart w:id="240" w:name="pg10696_94895"/>
    </w:p>
    <w:p>
      <w:pPr>
        <w:pStyle w:val="BookText"/>
        <w:rPr/>
      </w:pPr>
      <w:bookmarkEnd w:id="240"/>
      <w:r>
        <w:rPr>
          <w:rFonts w:ascii="IRNazanin" w:hAnsi="IRNazanin" w:eastAsia="IRNazanin"/>
          <w:color w:val="111111"/>
          <w:sz w:val="28"/>
          <w:sz w:val="28"/>
          <w:szCs w:val="28"/>
          <w:rtl w:val="true"/>
          <w:lang w:bidi="fa-IR"/>
        </w:rPr>
        <w:t>همراه هر مدل و الگو، بروشورهاى مختلف تبليغاتى آن نيز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نقش مؤثرى در پذيرش الگوها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فروشگاه هاى عرضه ى لباس هاى بومى ملى و داخلى در مراكز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دانشگاه ها، ادارات، كارخانجات، بازارهاى عمومى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كيفيت عالى و قيمت مناسب نيز باعث خريد بيش تر لباس هاى ملى خواهد شد</w:t>
      </w:r>
      <w:r>
        <w:rPr>
          <w:rFonts w:eastAsia="IRNazanin" w:cs="IRNazanin"/>
          <w:color w:val="111111"/>
          <w:sz w:val="28"/>
          <w:szCs w:val="28"/>
          <w:rtl w:val="true"/>
          <w:lang w:bidi="fa-IR"/>
        </w:rPr>
        <w:t>.</w:t>
      </w:r>
    </w:p>
    <w:p>
      <w:pPr>
        <w:pStyle w:val="Heading3"/>
        <w:numPr>
          <w:ilvl w:val="2"/>
          <w:numId w:val="1"/>
        </w:numPr>
        <w:rPr/>
      </w:pPr>
      <w:bookmarkStart w:id="241" w:name="__RefHeading___Toc2367250_1051229030"/>
      <w:bookmarkStart w:id="242" w:name="_Toc89"/>
      <w:bookmarkEnd w:id="241"/>
      <w:r>
        <w:rPr/>
        <w:t>4</w:t>
      </w:r>
      <w:r>
        <w:rPr>
          <w:rtl w:val="true"/>
        </w:rPr>
        <w:t xml:space="preserve">. </w:t>
      </w:r>
      <w:r>
        <w:rPr>
          <w:rtl w:val="true"/>
        </w:rPr>
        <w:t>ديدگاه فقهى</w:t>
      </w:r>
      <w:bookmarkEnd w:id="242"/>
    </w:p>
    <w:p>
      <w:pPr>
        <w:pStyle w:val="BookText"/>
        <w:rPr/>
      </w:pPr>
      <w:r>
        <w:rPr>
          <w:rFonts w:ascii="IRNazanin" w:hAnsi="IRNazanin" w:eastAsia="IRNazanin"/>
          <w:color w:val="111111"/>
          <w:sz w:val="28"/>
          <w:sz w:val="28"/>
          <w:szCs w:val="28"/>
          <w:rtl w:val="true"/>
          <w:lang w:bidi="fa-IR"/>
        </w:rPr>
        <w:t>طراحان، توليدكنندگان و رسانه ها، مخصوصاً در فيلم ها و سريال ها، بايد كاملا مراقب بُعد فقهى مد و مدل هاى قومى و ملى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دينى، آراستن ظاهر امر پسنديده اى است و همراه با خودآرايى معنوى توصيه شده است</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خودآرايى از اخلاق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شما بايد خود را براى برادر مسلمانش بيارايد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خودآرايى وقتى پسنديده است كه از حدّ اعتدال خارج نشده و به تجمّل گرايى، اشرافى گرى، مدپرستى، اسراف، تكبّر، فساد، خودنمايى افراطى، شهوت رانى و فخرفروشى مبدل نشود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بنابراين، لباس ظاهرى بايد به تقواى انسان در بعد عبادى، سياسى،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و درايجاد عفت و حيا، تواضع، پاكى و پاك دامنى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لباس بايد به گونه اى باشد كه مصداق تبرّج منفى و بى عفتى به حساب نيايد</w:t>
      </w:r>
      <w:r>
        <w:rPr>
          <w:rStyle w:val="FootnoteAnchor"/>
          <w:rtl w:val="true"/>
        </w:rPr>
        <w:footnoteReference w:id="214"/>
      </w:r>
      <w:r>
        <w:rPr>
          <w:rFonts w:ascii="IRNazanin" w:hAnsi="IRNazanin" w:eastAsia="IRNazanin"/>
          <w:color w:val="111111"/>
          <w:sz w:val="28"/>
          <w:sz w:val="28"/>
          <w:szCs w:val="28"/>
          <w:rtl w:val="true"/>
          <w:lang w:bidi="fa-IR"/>
        </w:rPr>
        <w:t>و لباس اهل كفر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يكى از انبيا وحى كرد كه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دشمنان مرا نپوشند </w:t>
      </w:r>
      <w:bookmarkStart w:id="243" w:name="pg10696_94896"/>
    </w:p>
    <w:p>
      <w:pPr>
        <w:pStyle w:val="BookText"/>
        <w:rPr/>
      </w:pPr>
      <w:bookmarkEnd w:id="243"/>
      <w:r>
        <w:rPr>
          <w:rFonts w:ascii="IRNazanin" w:hAnsi="IRNazanin" w:eastAsia="IRNazanin"/>
          <w:color w:val="111111"/>
          <w:sz w:val="28"/>
          <w:sz w:val="28"/>
          <w:szCs w:val="28"/>
          <w:rtl w:val="true"/>
          <w:lang w:bidi="fa-IR"/>
        </w:rPr>
        <w:t xml:space="preserve">و غذاى دشمنان مرا نخورند و به شكل دشمنان من در نيايند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قيافه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دشمن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خود را فراموش مى كنند و شكوه و عظمت دشمنان، آنان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پوشيدن لباس مخصوص كفّار، بر مردان و زنان مسلمان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بر زن و مرد حرام است كه لباس مخصوص همديگر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كه زنان شبيه مردان و مردان شبيه زنان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زنانى را كه شبيه مردان و مردانى را كه شبيه زنان شوند را لعنت كرده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لباس شهرت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لباس شهرت اين است كه از جهت جنس، رنگ يا نحوه ى برش و دوخت و مانند آن، بر خلاف شأن كسى است كه آن را پوشيده است،</w:t>
      </w:r>
      <w:r>
        <w:rPr>
          <w:rStyle w:val="FootnoteAnchor"/>
          <w:rtl w:val="true"/>
        </w:rPr>
        <w:footnoteReference w:id="216"/>
      </w:r>
      <w:r>
        <w:rPr>
          <w:rFonts w:ascii="IRNazanin" w:hAnsi="IRNazanin" w:eastAsia="IRNazanin"/>
          <w:color w:val="111111"/>
          <w:sz w:val="28"/>
          <w:sz w:val="28"/>
          <w:szCs w:val="28"/>
          <w:rtl w:val="true"/>
          <w:lang w:bidi="fa-IR"/>
        </w:rPr>
        <w:t>و جامعه نيز آن لباس را براى آن فرد نمى 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شهرت و انگشت نما، مورد خشم و غضب الهى است</w:t>
      </w:r>
      <w:r>
        <w:rPr>
          <w:rFonts w:eastAsia="IRNazanin" w:cs="IRNazanin"/>
          <w:color w:val="111111"/>
          <w:sz w:val="28"/>
          <w:szCs w:val="28"/>
          <w:rtl w:val="true"/>
          <w:lang w:bidi="fa-IR"/>
        </w:rPr>
        <w:t>.</w:t>
      </w:r>
    </w:p>
    <w:p>
      <w:pPr>
        <w:pStyle w:val="Heading3"/>
        <w:numPr>
          <w:ilvl w:val="2"/>
          <w:numId w:val="1"/>
        </w:numPr>
        <w:rPr/>
      </w:pPr>
      <w:bookmarkStart w:id="244" w:name="__RefHeading___Toc2367252_1051229030"/>
      <w:bookmarkStart w:id="245" w:name="_Toc90"/>
      <w:bookmarkEnd w:id="244"/>
      <w:r>
        <w:rPr/>
        <w:t>5</w:t>
      </w:r>
      <w:r>
        <w:rPr>
          <w:rtl w:val="true"/>
        </w:rPr>
        <w:t xml:space="preserve">. </w:t>
      </w:r>
      <w:r>
        <w:rPr>
          <w:rtl w:val="true"/>
        </w:rPr>
        <w:t>ديدگاه ايدئولوژى</w:t>
      </w:r>
      <w:bookmarkEnd w:id="2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لباسى داراى ارزش است كه از خواستگاه دينى، فرهنگى و ملى برخوردار باشد و به نوعى در تناسب و توازن با آيين و فرهنگى باشد كه فرد با آن خو گرفته و در آن زندگى كرده و تربيت يافته است</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بنابراين، بايد در ارائه ى لباس ملى و بومى به ارزش ها و باورهاى دينى و مذهبى توجّهى خاص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و باورهاى هر انسانى، نقش مؤثرى در </w:t>
      </w:r>
      <w:bookmarkStart w:id="246" w:name="pg10696_94897"/>
    </w:p>
    <w:p>
      <w:pPr>
        <w:pStyle w:val="BookText"/>
        <w:rPr/>
      </w:pPr>
      <w:bookmarkEnd w:id="246"/>
      <w:r>
        <w:rPr>
          <w:rFonts w:ascii="IRNazanin" w:hAnsi="IRNazanin" w:eastAsia="IRNazanin"/>
          <w:color w:val="111111"/>
          <w:sz w:val="28"/>
          <w:sz w:val="28"/>
          <w:szCs w:val="28"/>
          <w:rtl w:val="true"/>
          <w:lang w:bidi="fa-IR"/>
        </w:rPr>
        <w:t>گرايش ها و بينش ها، ثبات شخصيّت، تنظيم و تعادل رفتارهاى درونى و بيرونى، و هويت يابى فردى و اجتماعى و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احساس پوچى مى كنند و گرايش هاى افراطى به تبعيّت از مدل هاى غربى دارند، غالباً از نظر شناخت دينى و مذهبى در سطح بسيار پايينى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تشويق جوانان به استفاده از لباس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مى توان از نمادها و تصاوير قهرمانان مذهبى و ارزشى عرصه هاى علمى، فرهنگى، هنرى، ورزشى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نمادهاى مذهبى و ارزشى در تقويت روحيه ى استقلال طلبى و تثبيت ارزش هاى دينى مفيدند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بايد مراقب متغيّرهاى مزاحم كه مغاير با مدل ملى و بومى و ارزشى هستند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نبايد در سريال ها، فيلم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هاى فرهنگى، ورزشى و هنرى به طور مستقيم يا غيرمستقيم مدل هاى</w:t>
      </w:r>
    </w:p>
    <w:p>
      <w:pPr>
        <w:pStyle w:val="BookText"/>
        <w:rPr/>
      </w:pPr>
      <w:r>
        <w:rPr>
          <w:rFonts w:ascii="IRNazanin" w:hAnsi="IRNazanin" w:eastAsia="IRNazanin"/>
          <w:color w:val="111111"/>
          <w:sz w:val="28"/>
          <w:sz w:val="28"/>
          <w:szCs w:val="28"/>
          <w:rtl w:val="true"/>
          <w:lang w:bidi="fa-IR"/>
        </w:rPr>
        <w:t>غيرارزشى را تبليغ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ها خوب به جوانان القا شوند، به تبع آن از مدهاى ارزشى پيروى خواهد شد</w:t>
      </w:r>
      <w:r>
        <w:rPr>
          <w:rFonts w:eastAsia="IRNazanin" w:cs="IRNazanin"/>
          <w:color w:val="111111"/>
          <w:sz w:val="28"/>
          <w:szCs w:val="28"/>
          <w:rtl w:val="true"/>
          <w:lang w:bidi="fa-IR"/>
        </w:rPr>
        <w:t>.</w:t>
      </w:r>
    </w:p>
    <w:p>
      <w:pPr>
        <w:pStyle w:val="Heading3"/>
        <w:numPr>
          <w:ilvl w:val="2"/>
          <w:numId w:val="1"/>
        </w:numPr>
        <w:rPr/>
      </w:pPr>
      <w:bookmarkStart w:id="247" w:name="__RefHeading___Toc2367254_1051229030"/>
      <w:bookmarkStart w:id="248" w:name="_Toc91"/>
      <w:bookmarkEnd w:id="247"/>
      <w:r>
        <w:rPr/>
        <w:t>6</w:t>
      </w:r>
      <w:r>
        <w:rPr>
          <w:rtl w:val="true"/>
        </w:rPr>
        <w:t xml:space="preserve">. </w:t>
      </w:r>
      <w:r>
        <w:rPr>
          <w:rtl w:val="true"/>
        </w:rPr>
        <w:t>ديدگاه بهداشتى</w:t>
      </w:r>
      <w:bookmarkEnd w:id="248"/>
    </w:p>
    <w:p>
      <w:pPr>
        <w:pStyle w:val="BookText"/>
        <w:rPr/>
      </w:pPr>
      <w:r>
        <w:rPr>
          <w:rFonts w:ascii="IRNazanin" w:hAnsi="IRNazanin" w:eastAsia="IRNazanin"/>
          <w:color w:val="111111"/>
          <w:sz w:val="28"/>
          <w:sz w:val="28"/>
          <w:szCs w:val="28"/>
          <w:rtl w:val="true"/>
          <w:lang w:bidi="fa-IR"/>
        </w:rPr>
        <w:t>براى اين كه پوست بدن نقش تنفسى خود را به خوبى انجام دهد و خون به طور كامل و به راحتى در بدن جريان داشته باشد و فعاليّت هاى روانى و عصبى متعادل شود، بايد تا حدّ امكان از لباس هاى راحت و سبك استفاده شود، لباس هاى تنگ و چسبان، عوارض منفى به همراه دارند، هرچه لباس هواگيرتر باشد، در ايجاد سلامتى و شادابى، مفيدتر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تهيّه ى لباس هاى داخلى و ملى بايد به نوع جنس آن نيز توجّه خاصّى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بهترين جنس لباس، پنبه و كتان، معرفى شده كه از نظر آرام بخشى و كاهش </w:t>
      </w:r>
      <w:bookmarkStart w:id="249" w:name="pg10696_94898"/>
    </w:p>
    <w:p>
      <w:pPr>
        <w:pStyle w:val="BookText"/>
        <w:rPr/>
      </w:pPr>
      <w:bookmarkEnd w:id="249"/>
      <w:r>
        <w:rPr>
          <w:rFonts w:ascii="IRNazanin" w:hAnsi="IRNazanin" w:eastAsia="IRNazanin"/>
          <w:color w:val="111111"/>
          <w:sz w:val="28"/>
          <w:sz w:val="28"/>
          <w:szCs w:val="28"/>
          <w:rtl w:val="true"/>
          <w:lang w:bidi="fa-IR"/>
        </w:rPr>
        <w:t>تحريكات و حسّاسيت اعصاب مفيدند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پوشاكى كه از الياف طبيعى و متناسب با فصل و منطقه ى جغرافيايى تهيه شود، با طبيعت بدن سازگارتر است</w:t>
      </w:r>
      <w:r>
        <w:rPr>
          <w:rFonts w:eastAsia="IRNazanin" w:cs="IRNazanin"/>
          <w:color w:val="111111"/>
          <w:sz w:val="28"/>
          <w:szCs w:val="28"/>
          <w:rtl w:val="true"/>
          <w:lang w:bidi="fa-IR"/>
        </w:rPr>
        <w:t>.</w:t>
      </w:r>
    </w:p>
    <w:p>
      <w:pPr>
        <w:pStyle w:val="Heading3"/>
        <w:numPr>
          <w:ilvl w:val="2"/>
          <w:numId w:val="1"/>
        </w:numPr>
        <w:rPr/>
      </w:pPr>
      <w:bookmarkStart w:id="250" w:name="__RefHeading___Toc2367256_1051229030"/>
      <w:bookmarkStart w:id="251" w:name="_Toc92"/>
      <w:bookmarkEnd w:id="250"/>
      <w:r>
        <w:rPr>
          <w:rtl w:val="true"/>
        </w:rPr>
        <w:t>خلاصه ى سخن اين كه</w:t>
      </w:r>
      <w:bookmarkEnd w:id="251"/>
    </w:p>
    <w:p>
      <w:pPr>
        <w:pStyle w:val="BookText"/>
        <w:rPr/>
      </w:pPr>
      <w:r>
        <w:rPr>
          <w:rFonts w:ascii="IRNazanin" w:hAnsi="IRNazanin" w:eastAsia="IRNazanin"/>
          <w:color w:val="111111"/>
          <w:sz w:val="28"/>
          <w:sz w:val="28"/>
          <w:szCs w:val="28"/>
          <w:rtl w:val="true"/>
          <w:lang w:bidi="fa-IR"/>
        </w:rPr>
        <w:t xml:space="preserve">در ارائه، طراحى و توليد لباس ملى و بومى، بايد اولا به گرايش ها و تمايلات فطرى و طبيعى جوانان،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طلبى، زيبايى خواهى، الگوپذيرى و مقبوليت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اقتضائات سنّى، تفاوت هاى قومى، جغرافيايى و فرهنگى افراد و گروه هاى اجتماعى از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شناختى،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اقتصادى، فقهى، ايدئولوژى و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كاوش قرار بگيرد و در نهايت با نظرسنجى ها و ارزيابى 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اوليه و ثانويه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بازخوردهاى مثبت و منفى آن توجه شود تا طرّاحى و توليد لباس بومى و داخلى در سير پيشرفت و تكامل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ختام بحث را جملاتى از مقام معظم رهبرى قرار مى دهيم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اشتباه نشود كه بنده با مد و تنوع وتحول در روش زندگى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مدگرايى و نوگرايى اگر افراطى نباشد، اگر روى چشم و هم چشمى و رقابت هاى كودكانه نباشد،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رفتار و آرايش تغيير پيدا مى كند، مانعى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باشيد قبله نماى اين مدگرايى، سمت اروپا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مديست هاى اروپايى و آمريكا درمجلاتى كه مدها را مطرح مى كنند، فلان طور لباس را براى مردان و زنان خودشان ترسيم كردند، آيا ما بايد اين جا در همدان يا تهران يا مشهد آن را تقليد كنيم؟ اين بد است، خودتان طراحى كنيد و خودتان بسازيد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52" w:name="pg10696_94899"/>
    </w:p>
    <w:p>
      <w:pPr>
        <w:pStyle w:val="Heading2"/>
        <w:numPr>
          <w:ilvl w:val="1"/>
          <w:numId w:val="1"/>
        </w:numPr>
        <w:rPr/>
      </w:pPr>
      <w:bookmarkStart w:id="253" w:name="__RefHeading___Toc2367258_1051229030"/>
      <w:bookmarkStart w:id="254" w:name="_Toc93"/>
      <w:bookmarkEnd w:id="252"/>
      <w:bookmarkEnd w:id="253"/>
      <w:r>
        <w:rPr>
          <w:rtl w:val="true"/>
        </w:rPr>
        <w:t>قرآن و تفسير</w:t>
      </w:r>
      <w:bookmarkEnd w:id="254"/>
    </w:p>
    <w:p>
      <w:pPr>
        <w:pStyle w:val="Heading3"/>
        <w:numPr>
          <w:ilvl w:val="2"/>
          <w:numId w:val="1"/>
        </w:numPr>
        <w:rPr/>
      </w:pPr>
      <w:bookmarkStart w:id="255" w:name="__RefHeading___Toc2367260_1051229030"/>
      <w:bookmarkStart w:id="256" w:name="_Toc94"/>
      <w:bookmarkEnd w:id="255"/>
      <w:r>
        <w:rPr>
          <w:rtl w:val="true"/>
        </w:rPr>
        <w:t>اشاره</w:t>
      </w:r>
      <w:bookmarkEnd w:id="2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مى توان وحى قرآنى را تجربه ى دينى و وحيانى ناميد؟</w:t>
      </w:r>
    </w:p>
    <w:p>
      <w:pPr>
        <w:pStyle w:val="BookText"/>
        <w:rPr/>
      </w:pPr>
      <w:r>
        <w:rPr>
          <w:rFonts w:ascii="IRNazanin" w:hAnsi="IRNazanin" w:eastAsia="IRNazanin"/>
          <w:color w:val="111111"/>
          <w:sz w:val="28"/>
          <w:sz w:val="28"/>
          <w:szCs w:val="28"/>
          <w:rtl w:val="true"/>
          <w:lang w:bidi="fa-IR"/>
        </w:rPr>
        <w:t>آيا مى توان ادعا كرد كه تأثيرپذيرى قرآن از فرهنگ ها و دانش هاى زمان نزول و قبول برخى عرفيات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تجربه ى وحيانى و دينى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رضا رضایی </w:t>
      </w:r>
      <w:bookmarkStart w:id="257" w:name="pg10696_94901"/>
    </w:p>
    <w:p>
      <w:pPr>
        <w:pStyle w:val="BookText"/>
        <w:rPr/>
      </w:pPr>
      <w:bookmarkEnd w:id="257"/>
      <w:r>
        <w:rPr>
          <w:rFonts w:ascii="Amiri" w:hAnsi="Amiri" w:eastAsia="Amiri" w:cs="Amiri"/>
          <w:color w:val="111111"/>
          <w:sz w:val="28"/>
          <w:sz w:val="28"/>
          <w:szCs w:val="28"/>
          <w:rtl w:val="true"/>
          <w:lang w:bidi="ar-SA"/>
        </w:rPr>
        <w:t>قرآن و تفسير</w:t>
      </w:r>
    </w:p>
    <w:p>
      <w:pPr>
        <w:pStyle w:val="Heading3"/>
        <w:numPr>
          <w:ilvl w:val="2"/>
          <w:numId w:val="1"/>
        </w:numPr>
        <w:rPr/>
      </w:pPr>
      <w:bookmarkStart w:id="258" w:name="__RefHeading___Toc2367262_1051229030"/>
      <w:bookmarkStart w:id="259" w:name="_Toc95"/>
      <w:bookmarkEnd w:id="258"/>
      <w:r>
        <w:rPr>
          <w:rtl w:val="true"/>
        </w:rPr>
        <w:t xml:space="preserve">وحى </w:t>
      </w:r>
      <w:r>
        <w:rPr>
          <w:rtl w:val="true"/>
        </w:rPr>
        <w:t>(</w:t>
      </w:r>
      <w:r>
        <w:rPr>
          <w:rtl w:val="true"/>
        </w:rPr>
        <w:t>قسمت دوم</w:t>
      </w:r>
      <w:r>
        <w:rPr>
          <w:rtl w:val="true"/>
        </w:rPr>
        <w:t>)</w:t>
      </w:r>
      <w:bookmarkEnd w:id="259"/>
    </w:p>
    <w:p>
      <w:pPr>
        <w:pStyle w:val="BookText"/>
        <w:rPr/>
      </w:pPr>
      <w:r>
        <w:rPr>
          <w:rFonts w:ascii="IRNazanin" w:hAnsi="IRNazanin" w:eastAsia="IRNazanin"/>
          <w:color w:val="111111"/>
          <w:sz w:val="28"/>
          <w:sz w:val="28"/>
          <w:szCs w:val="28"/>
          <w:rtl w:val="true"/>
          <w:lang w:bidi="fa-IR"/>
        </w:rPr>
        <w:t>يكى از مسائل بحث برانگيز در ميان انديشمندان و پيروان اديان مختلف مسئله ى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 پندارند وحى چيزى جز فوران و جوشش درونى پيامبران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آن را الهامى بيش نمى دانند و معتقدند كه پيامبران، وحى الهامى را با زبان خويش و با فرهنگ مخاطبان بازگو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انديشمندان مسلمان وحى قرآنى و ارتباط با پيامبر را لفظى و گفتارى مى دانند و معتقدند كه انشا، ترتيب، جمله بندى الفاظ و محتواى قرآن از طرف خداوند به صورت وحى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است كه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كسى نتوانسته است در آن دخل و تصرفى نمايد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آقاى حسن رضا رضايى، ضمن تبيين تجربه ى دينى و وحيانى به مسئله ى لفظى بودن وحى و عدم نفوذ فرهنگ عصر نزول در قرآن پرداخته است</w:t>
      </w:r>
      <w:r>
        <w:rPr>
          <w:rFonts w:eastAsia="IRNazanin" w:cs="IRNazanin"/>
          <w:color w:val="111111"/>
          <w:sz w:val="28"/>
          <w:szCs w:val="28"/>
          <w:rtl w:val="true"/>
          <w:lang w:bidi="fa-IR"/>
        </w:rPr>
        <w:t xml:space="preserve">. </w:t>
      </w:r>
      <w:bookmarkStart w:id="260" w:name="pg10696_94902"/>
    </w:p>
    <w:p>
      <w:pPr>
        <w:pStyle w:val="Heading3"/>
        <w:numPr>
          <w:ilvl w:val="2"/>
          <w:numId w:val="1"/>
        </w:numPr>
        <w:rPr/>
      </w:pPr>
      <w:bookmarkStart w:id="261" w:name="__RefHeading___Toc2367264_1051229030"/>
      <w:bookmarkStart w:id="262" w:name="_Toc96"/>
      <w:bookmarkEnd w:id="260"/>
      <w:bookmarkEnd w:id="261"/>
      <w:r>
        <w:rPr>
          <w:rtl w:val="true"/>
        </w:rPr>
        <w:t>آيا مى توان وحى قرآنى را تجربه ى دينى و وحيانى ناميد؟</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معتقدند كه وحى همان علايم و رموزى است كه بر ذهن و شعور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مى بندد و مسئله ى مهم، فهم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رموز است كه با زبان خود به مخاطبانش انتقال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نشانه ى اين امر را نفوذ فرهنگ ها، قوانين، آداب، تمثيلات و اسطوره هاى اعراب در قرآن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بررسى و تحليل تجربه ى وحيانى، لازم است تعريف دقيقى از تجربه ى وحيانى و اصل وحى و وحى از نظر قرآن ارائه شود</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367266_1051229030"/>
      <w:bookmarkStart w:id="264" w:name="_Toc97"/>
      <w:bookmarkEnd w:id="263"/>
      <w:r>
        <w:rPr>
          <w:rtl w:val="true"/>
        </w:rPr>
        <w:t>تجربه ى وحيانى</w:t>
      </w:r>
      <w:bookmarkEnd w:id="264"/>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در گذشته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ولى از قرن هفدهم به بعد،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و سرلوحه ى تجربيات دينى و عرفانى گرديد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ى 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گزاره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متكلمان مسيحى در قرون وسطى از وحى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وحى گونه اى از انتقال اطلاعات است كه در پى ارتباط پيامبر و خدا صورت مى گيرد و از زبان هاى طبيعى مستقل است و پيامبر آن حقايق را با پشتوانه فرهنگ و آداب مردم به قالب زبان خود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مواجهه ى پيامبر با خدا يا فرشته 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دريافت وحى همراه است، در اصطلاح آن را تجربه ى وحيانى مى نامند</w:t>
      </w:r>
      <w:r>
        <w:rPr>
          <w:rStyle w:val="FootnoteAnchor"/>
          <w:rtl w:val="true"/>
        </w:rPr>
        <w:footnoteReference w:id="221"/>
      </w:r>
      <w:bookmarkStart w:id="265" w:name="pg10696_94903"/>
    </w:p>
    <w:p>
      <w:pPr>
        <w:pStyle w:val="Heading3"/>
        <w:numPr>
          <w:ilvl w:val="2"/>
          <w:numId w:val="1"/>
        </w:numPr>
        <w:rPr/>
      </w:pPr>
      <w:bookmarkStart w:id="266" w:name="__RefHeading___Toc2367268_1051229030"/>
      <w:bookmarkStart w:id="267" w:name="_Toc98"/>
      <w:bookmarkEnd w:id="265"/>
      <w:bookmarkEnd w:id="266"/>
      <w:r>
        <w:rPr>
          <w:rtl w:val="true"/>
        </w:rPr>
        <w:t>وحى در قرآن</w:t>
      </w:r>
      <w:bookmarkEnd w:id="267"/>
    </w:p>
    <w:p>
      <w:pPr>
        <w:pStyle w:val="BookText"/>
        <w:rPr/>
      </w:pPr>
      <w:r>
        <w:rPr>
          <w:rFonts w:ascii="IRNazanin" w:hAnsi="IRNazanin" w:eastAsia="IRNazanin"/>
          <w:color w:val="111111"/>
          <w:sz w:val="28"/>
          <w:sz w:val="28"/>
          <w:szCs w:val="28"/>
          <w:rtl w:val="true"/>
          <w:lang w:bidi="fa-IR"/>
        </w:rPr>
        <w:t>وحى در لغت به معناى نوشتن، اشاره، پيام، الهام، كلام خفى،</w:t>
      </w:r>
      <w:r>
        <w:rPr>
          <w:rStyle w:val="FootnoteAnchor"/>
          <w:rtl w:val="true"/>
        </w:rPr>
        <w:footnoteReference w:id="222"/>
      </w:r>
      <w:r>
        <w:rPr>
          <w:rFonts w:ascii="Amiri" w:hAnsi="Amiri" w:eastAsia="Amiri" w:cs="Amiri"/>
          <w:color w:val="111111"/>
          <w:sz w:val="28"/>
          <w:sz w:val="28"/>
          <w:szCs w:val="28"/>
          <w:rtl w:val="true"/>
          <w:lang w:bidi="ar-SA"/>
        </w:rPr>
        <w:t>نوشته و كتاب آمده است</w:t>
      </w:r>
      <w:r>
        <w:rPr>
          <w:rStyle w:val="FootnoteAnchor"/>
          <w:rtl w:val="true"/>
        </w:rPr>
        <w:footnoteReference w:id="223"/>
      </w:r>
      <w:r>
        <w:rPr>
          <w:rFonts w:ascii="IRNazanin" w:hAnsi="IRNazanin" w:eastAsia="IRNazanin"/>
          <w:color w:val="111111"/>
          <w:sz w:val="28"/>
          <w:sz w:val="28"/>
          <w:szCs w:val="28"/>
          <w:rtl w:val="true"/>
          <w:lang w:bidi="fa-IR"/>
        </w:rPr>
        <w:t xml:space="preserve">و در اصطلاح، وحى اشاره اى تند و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كلماتى مرموز و غيرصريح و گاهى با صداهاى نامعلوم، يا با اشاره و اعمال و حركات و نيز از طريق كتابت انجام مى گيرد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وحى در قرآن در چند معنا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ى پنهانى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غريزى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 غيبى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رسالى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معانى درمى يابيم كه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ازآن ها نهفته 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سروش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گزاره ى غيرزبانى و در بعضى ديگر به معناى ارتباط زبانى و گفتارى آمده است، كه بدان خواهيم پرداخت</w:t>
      </w:r>
      <w:r>
        <w:rPr>
          <w:rFonts w:eastAsia="IRNazanin" w:cs="IRNazanin"/>
          <w:color w:val="111111"/>
          <w:sz w:val="28"/>
          <w:szCs w:val="28"/>
          <w:rtl w:val="true"/>
          <w:lang w:bidi="fa-IR"/>
        </w:rPr>
        <w:t>.</w:t>
      </w:r>
    </w:p>
    <w:p>
      <w:pPr>
        <w:pStyle w:val="Heading3"/>
        <w:numPr>
          <w:ilvl w:val="2"/>
          <w:numId w:val="1"/>
        </w:numPr>
        <w:rPr/>
      </w:pPr>
      <w:bookmarkStart w:id="268" w:name="__RefHeading___Toc2367270_1051229030"/>
      <w:bookmarkStart w:id="269" w:name="_Toc99"/>
      <w:bookmarkEnd w:id="268"/>
      <w:r>
        <w:rPr>
          <w:rtl w:val="true"/>
        </w:rPr>
        <w:t>اسلام و تجربه ى وحيانى</w:t>
      </w:r>
      <w:bookmarkEnd w:id="269"/>
    </w:p>
    <w:p>
      <w:pPr>
        <w:pStyle w:val="Heading4"/>
        <w:numPr>
          <w:ilvl w:val="3"/>
          <w:numId w:val="1"/>
        </w:numPr>
        <w:rPr/>
      </w:pPr>
      <w:bookmarkStart w:id="270" w:name="__RefHeading___Toc2367272_1051229030"/>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در اسلام وحى از سنخ رموز و علايم و تجربه 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بيان به ما رسيده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كه در قالب آيات قرآنى گفته شده است كه وحى و انشا، ترتيب و جمله بندى </w:t>
      </w:r>
    </w:p>
    <w:p>
      <w:pPr>
        <w:pStyle w:val="BookText"/>
        <w:rPr/>
      </w:pPr>
      <w:r>
        <w:rPr>
          <w:rFonts w:ascii="IRNazanin" w:hAnsi="IRNazanin" w:eastAsia="IRNazanin"/>
          <w:color w:val="111111"/>
          <w:sz w:val="28"/>
          <w:sz w:val="28"/>
          <w:szCs w:val="28"/>
          <w:rtl w:val="true"/>
          <w:lang w:bidi="fa-IR"/>
        </w:rPr>
        <w:t>و الفاظ و محتوا و حقايق آن از سوى خداست و عقل هيچ بشرى، حتى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دخيل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كه مضمون و محتواى آن از سوى خداوند بوده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حقايق را در قالب زبان خود به ديگران منتقل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و سروش غيبى، رؤياها، حديث قدسى و حديث نبوى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ى آن ها وحى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زبان پيامبر صادر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همه ى بيانات پيامبر از وحى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قدسى و نبوى، در الفاظ و جمله بندى داراى اعجاز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بشرى 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تنظيم آن دخالت دارد و به همين سبب است كه جاعلان حديث توانسته اند حديث هاى زيادى را جعل نمايند و با نام حديث قدسى ترويج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احدى نتوانسته است بيانى مانند قرآن جعل نمايد، زيرا الفاظ آن نيز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براى اثبات اين نكته كه قرآن ارتباط زبانى و گفتارى خداوند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علايم و رموز، دليل هايى درون دينى و برون دينى برمى 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قرآن بر عربى بودن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ده بار با عبارت هاى گوناگون، به عربى بودن انزال وحى تأكيد مى كند و به طور مثال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ما قرآن را به زبان عربى فرستاديم، باشد كه در آن تعقل كنيد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مرحله ى انزال، لباس زبان عربى را بر قرآن پوشانيد، و اين خود يكى از اسرار حفظ و ضبط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وحى آن از مقوله ى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مانند </w:t>
      </w:r>
    </w:p>
    <w:p>
      <w:pPr>
        <w:pStyle w:val="BookText"/>
        <w:rPr/>
      </w:pPr>
      <w:r>
        <w:rPr>
          <w:rFonts w:ascii="Amiri" w:hAnsi="Amiri" w:eastAsia="Amiri" w:cs="Amiri"/>
          <w:color w:val="111111"/>
          <w:sz w:val="28"/>
          <w:sz w:val="28"/>
          <w:szCs w:val="28"/>
          <w:rtl w:val="true"/>
          <w:lang w:bidi="ar-SA"/>
        </w:rPr>
        <w:t>حديث قدسى، در آن احتمال تحريف و جعل مى رفت</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 چنين قرآن به صراحت، تكلم خدا با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خداوند با موسى سخن گفت، سخن گفتنى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برقراركردن ارتباط زبانى، و خدا نيز با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زبانى برقرار كرد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در 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ضروريات مكتب شيعه، عقيده ى عصمت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عصمت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تلقّى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تبليغ</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عصمت در تبليغ بدين معناست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است در ابلاغ وحى قرآنى، همان چيزى را تبليغ كند كه به او وحى شده است، و حق اضافه و كم كردن آن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اى پيامبر آنچه از اين كتاب آسمانى به تو وحى شده است، براى مردم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تنها از آنچه به من وحى مى شود پيروى مى كنم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ديدگاه تجربه ى وحيانى، عصمت در تبليغ را مى توان اثبات كرد؟ آيا مى توان اثبات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علايم را به زبان عربى واژه سازى كرده است؟ قطعاً طبق </w:t>
      </w:r>
    </w:p>
    <w:p>
      <w:pPr>
        <w:pStyle w:val="BookText"/>
        <w:rPr/>
      </w:pPr>
      <w:r>
        <w:rPr>
          <w:rFonts w:ascii="IRNazanin" w:hAnsi="IRNazanin" w:eastAsia="IRNazanin"/>
          <w:color w:val="111111"/>
          <w:sz w:val="28"/>
          <w:sz w:val="28"/>
          <w:szCs w:val="28"/>
          <w:rtl w:val="true"/>
          <w:lang w:bidi="fa-IR"/>
        </w:rPr>
        <w:t>اين ديدگاه، در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ترديد ايجاد مى شود كه مغاير با ضروريات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طلبيدن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علت هاى حفظ و مصونيت قرآن، الهى بودن الفاظ آن است و اگر دست بشر در تدوين آن دخالت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تحريف، جعل و دسيسه در آن بود و بشر مى توانست كتابى همانند آن را به رشته ى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اثبات الهى بودن الفاظ قرآن همه ى جهانيان را فراخوانده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اگر مى توانند آيات و سوره هايى مانند آن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اگر درباره ى آنچه بر بنده 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شك و ترديد داريد، يك سوره همانند آن بياوريد و گواهان خود را، غير از خدا، براى اين كار دعوت كنيد،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بعد از چهارده قرن از نزول قرآن و مبارزه طلبى آن، كسى نتوانسته است سوره اى همانند آن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زندگانى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بعثت، درمى يابيم كه ايشان فردى امّى و درس نخوانده بوده و توانايى نوشتن و خواندن نداشته و اين مطلب در ميان مردم حجاز مشهور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نوع تجربه اى در حوزه ى حكومتى و سياسى، مبارزه طلبى، تجارب دينى، مبارزه با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قايلان تجربه ى وحيانى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چهل ساله ى آن حضرت ديده نشده است و اين خود دليل بر معجزه بودن قرآن و الفاظ آن است كه از زبان فردى امى صادر مى شود و قرآن نيز با تأكيد بر اين</w:t>
      </w:r>
    </w:p>
    <w:p>
      <w:pPr>
        <w:pStyle w:val="BookText"/>
        <w:rPr/>
      </w:pPr>
      <w:r>
        <w:rPr>
          <w:rFonts w:ascii="Amiri" w:hAnsi="Amiri" w:eastAsia="Amiri" w:cs="Amiri"/>
          <w:color w:val="111111"/>
          <w:sz w:val="28"/>
          <w:sz w:val="28"/>
          <w:szCs w:val="28"/>
          <w:rtl w:val="true"/>
          <w:lang w:bidi="ar-SA"/>
        </w:rPr>
        <w:t>مسئله،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پيش از اين كتابى نمى خواندى و با دست خود چيزى نمى نوشتى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خداوند از ميان درس نخوانده ها، رسولى را از خودشان برگزيد كه آياتش را بر آن ها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نثر و فصاحت و بلاغت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دانشمندان اعجاز قرآن را ذاتى مى دانند، نه در الفاظ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ويژگى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بلاغت بسيار والاى آن، نظم بديع، اخبار غيبى، بلندى معنا و عمق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وجوهى از اعجاز اشاره مى كنند، تا جايى كه جلال الدين سيوطى،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آن را برمى شمارد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درست است كه خداوند از الفاظ زبان عربى براى انتقال مقاصد خود بهره گرفته است، ولى مهم، نظم، ترتيب، فصاحت و بلاغت آن است</w:t>
      </w:r>
      <w:r>
        <w:rPr>
          <w:rStyle w:val="FootnoteAnchor"/>
          <w:rtl w:val="true"/>
        </w:rPr>
        <w:footnoteReference w:id="237"/>
      </w:r>
      <w:r>
        <w:rPr>
          <w:rFonts w:ascii="IRNazanin" w:hAnsi="IRNazanin" w:eastAsia="IRNazanin"/>
          <w:color w:val="111111"/>
          <w:sz w:val="28"/>
          <w:sz w:val="28"/>
          <w:szCs w:val="28"/>
          <w:rtl w:val="true"/>
          <w:lang w:bidi="fa-IR"/>
        </w:rPr>
        <w:t xml:space="preserve">و قدرت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 يا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ماده مانند الفاظ و واژه ها دلالت بر قدرت او در تركيب و تنظيم سوره ندارد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 اخْتِلافاً </w:t>
      </w:r>
    </w:p>
    <w:p>
      <w:pPr>
        <w:pStyle w:val="BookText"/>
        <w:rPr/>
      </w:pPr>
      <w:r>
        <w:rPr>
          <w:rFonts w:ascii="Amiri" w:hAnsi="Amiri" w:eastAsia="Amiri" w:cs="Amiri"/>
          <w:color w:val="111111"/>
          <w:sz w:val="28"/>
          <w:sz w:val="28"/>
          <w:szCs w:val="28"/>
          <w:rtl w:val="true"/>
          <w:lang w:bidi="ar-SA"/>
        </w:rPr>
        <w:t>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آيا در قرآن تفكر و تأمل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ها اثبات شود، وحى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غير خدا بود،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اختلاف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چهارده قرن، دانشمندان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اين كتاب را معمولى و بشرى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واكسيا والگيرى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ناپل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ها و ذخايرى از علوم مى بينيم كه فوق استعداد و ظرفيت باهوش ترين اشخاص و بزرگ ترين فيلسوفان و قوى ترين رجال سياست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قرآن نمى تواند كار يك مرد تحصيل كرده و دانشمند باشد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فوق، ديدگاه افعال گفتارى خدا با پيامبر است كه فيلسوف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قرن بيستم مطرح كرده و اركان اين نظريه، خدا، پيامبر، فعل گفتار ضمن گفتار است و قايل است كه وحى سرشت زبانى دارد و پيامبر با خدا ارتباط زبانى برقرار كرده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ادعا كرد كه تأثيرپذيرى قرآن از فرهنگ ها و دانش هاى زمان نزول و قبول برخى عرفيات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تجربه ى وحيانى و دينى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علت هايى كه وحى قرآن را تجربه ى وحيانى و دينى مى دانند، نفوذ فرهنگ ها و دانش هاى احزاب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تحليل اين شبهه، لازم است معناى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اصطلاح بررسى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فارسى است و در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فرهنگ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ذكر كرده 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و هنرهاى يك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شامل لغات يك يا چند زبان و شرح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تربيت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فرهنگ يك جامعه بر اساس اديان و مذاهب، نياز اجتماعى ، و اقتباس از فرهنگ هاى هم جوار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دين نيرومندترين فرهنگ سازى را در جامعه بر عهده گرفته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پس از اين مقدمه ى كوتاه، به بررسى بهره گيرى قرآن از فرهنگ زمانه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قرآن از ابزار گفت و گو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زبان عربى و با اصطلاحات رايج مردم جزيرة العرب نازل شده است و به همين دليل برخى براى اثبات تجربه ى دينى مدعى شده اند كه قرآن از زبان، تشبيه و تمثيل آنان نيز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 گوينده و نويسنده اى براى القاى مطالب خود از ابزار و </w:t>
      </w:r>
      <w:bookmarkStart w:id="272" w:name="pg10696_94910"/>
    </w:p>
    <w:p>
      <w:pPr>
        <w:pStyle w:val="BookText"/>
        <w:rPr/>
      </w:pPr>
      <w:bookmarkEnd w:id="272"/>
      <w:r>
        <w:rPr>
          <w:rFonts w:ascii="IRNazanin" w:hAnsi="IRNazanin" w:eastAsia="IRNazanin"/>
          <w:color w:val="111111"/>
          <w:sz w:val="28"/>
          <w:sz w:val="28"/>
          <w:szCs w:val="28"/>
          <w:rtl w:val="true"/>
          <w:lang w:bidi="fa-IR"/>
        </w:rPr>
        <w:t>وسايلى بهره مى گيرد و بهترين ابزار، زبان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وسيله اى براى ابراز انديشه هاى مكنون آدمى است و به عبارتى ديگر، نوعى ظهور معناست</w:t>
      </w:r>
      <w:r>
        <w:rPr>
          <w:rStyle w:val="FootnoteAnchor"/>
          <w:rtl w:val="true"/>
        </w:rPr>
        <w:footnoteReference w:id="245"/>
      </w:r>
      <w:r>
        <w:rPr>
          <w:rFonts w:ascii="IRNazanin" w:hAnsi="IRNazanin" w:eastAsia="IRNazanin"/>
          <w:color w:val="111111"/>
          <w:sz w:val="28"/>
          <w:sz w:val="28"/>
          <w:szCs w:val="28"/>
          <w:rtl w:val="true"/>
          <w:lang w:bidi="fa-IR"/>
        </w:rPr>
        <w:t xml:space="preserve">و داراى زيرمجموعه هايى از قبيل تشبيه، تمثيل، كنايه، مجاز، استعاره، قالب هاى زبانى، قواعد دستورى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گوينده و نويسنده اى براى زيباسازى اهداف خود، در قالب واژه ها، از اين ابزارها استفاده مى نمايد</w:t>
      </w:r>
      <w:r>
        <w:rPr>
          <w:rFonts w:eastAsia="IRNazanin" w:cs="IRNazanin"/>
          <w:color w:val="111111"/>
          <w:sz w:val="28"/>
          <w:szCs w:val="28"/>
          <w:rtl w:val="true"/>
          <w:lang w:bidi="fa-IR"/>
        </w:rPr>
        <w:t>.</w:t>
      </w:r>
    </w:p>
    <w:p>
      <w:pPr>
        <w:pStyle w:val="Heading4"/>
        <w:numPr>
          <w:ilvl w:val="3"/>
          <w:numId w:val="1"/>
        </w:numPr>
        <w:rPr/>
      </w:pPr>
      <w:bookmarkStart w:id="273" w:name="__RefHeading___Toc2367274_1051229030"/>
      <w:bookmarkStart w:id="274" w:name="_Toc101"/>
      <w:bookmarkEnd w:id="273"/>
      <w:r>
        <w:rPr/>
        <w:t>1</w:t>
      </w:r>
      <w:r>
        <w:rPr>
          <w:rtl w:val="true"/>
        </w:rPr>
        <w:t xml:space="preserve">. </w:t>
      </w:r>
      <w:r>
        <w:rPr>
          <w:rtl w:val="true"/>
        </w:rPr>
        <w:t>زبان قرآن</w:t>
      </w:r>
      <w:bookmarkEnd w:id="274"/>
    </w:p>
    <w:p>
      <w:pPr>
        <w:pStyle w:val="BookText"/>
        <w:rPr/>
      </w:pPr>
      <w:r>
        <w:rPr>
          <w:rFonts w:ascii="IRNazanin" w:hAnsi="IRNazanin" w:eastAsia="IRNazanin"/>
          <w:color w:val="111111"/>
          <w:sz w:val="28"/>
          <w:sz w:val="28"/>
          <w:szCs w:val="28"/>
          <w:rtl w:val="true"/>
          <w:lang w:bidi="fa-IR"/>
        </w:rPr>
        <w:t>براى اينكه دريابيم كه استفاده پيامبر و قرآن از زبان مخاطبين نشانه تجربه ى دينى نيست لازم است مفهوم زبان قرآن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جامعه اى برخاسته كه ارتباط گفتارى آن ها به زبان عربى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برابرى زبان قرآن با زبان مخاطبش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 هيچ پيامبرى را جز با زبان قومش نفرستاديم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را از محاورات و گفتوگوى عرفى اعراب جدا كرده، اعجاز ذاتى الفاظ است كه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افاده ى تعاليم عالى خود، داراى شيوه ى مخصوصى است و غير از ظاهر الفاظ ، زبان ويژه ى باطنى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فِى القرآنِ آيةً الاّ و لها ظهرٌ و بطنٌ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آيه اى در قرآن نيست مگر براى آن ظاهر و باطنى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القرآن ظاهره انيق و باطنه عميق، لاتفنى عجائبه و لاتنفى غرائبه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ظاهر </w:t>
      </w:r>
      <w:bookmarkStart w:id="275" w:name="pg10696_94911"/>
    </w:p>
    <w:p>
      <w:pPr>
        <w:pStyle w:val="BookText"/>
        <w:rPr/>
      </w:pPr>
      <w:bookmarkEnd w:id="275"/>
      <w:r>
        <w:rPr>
          <w:rFonts w:ascii="IRNazanin" w:hAnsi="IRNazanin" w:eastAsia="IRNazanin"/>
          <w:color w:val="111111"/>
          <w:sz w:val="28"/>
          <w:sz w:val="28"/>
          <w:szCs w:val="28"/>
          <w:rtl w:val="true"/>
          <w:lang w:bidi="fa-IR"/>
        </w:rPr>
        <w:t>قرآن، زيبا و دل انگيز است و باطن آن ژرف و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غرايب آن پايان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زبان عربى در قرآن وسيله اى است براى انتقال مطالب وحيانى و دخالتى در اصل محتوا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ظاهر الفاظ قرآن عربى است، ولى نظم و نثر، و فصاحت و بلاغت كلام، قرآن را منحصر به فرد نموده است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367276_1051229030"/>
      <w:bookmarkStart w:id="277" w:name="_Toc102"/>
      <w:bookmarkEnd w:id="276"/>
      <w:r>
        <w:rPr/>
        <w:t>2</w:t>
      </w:r>
      <w:r>
        <w:rPr>
          <w:rtl w:val="true"/>
        </w:rPr>
        <w:t xml:space="preserve">. </w:t>
      </w:r>
      <w:r>
        <w:rPr>
          <w:rtl w:val="true"/>
        </w:rPr>
        <w:t>بهره گيرى از آرايه هاى ادبى</w:t>
      </w:r>
      <w:bookmarkEnd w:id="277"/>
    </w:p>
    <w:p>
      <w:pPr>
        <w:pStyle w:val="BookText"/>
        <w:rPr/>
      </w:pPr>
      <w:r>
        <w:rPr>
          <w:rFonts w:ascii="IRNazanin" w:hAnsi="IRNazanin" w:eastAsia="IRNazanin"/>
          <w:color w:val="111111"/>
          <w:sz w:val="28"/>
          <w:sz w:val="28"/>
          <w:szCs w:val="28"/>
          <w:rtl w:val="true"/>
          <w:lang w:bidi="fa-IR"/>
        </w:rPr>
        <w:t>لازمه ى ملموس نمودن و عينى كردن مطالب و تأثير بهتر آن در ذهن مخاطب استفاده از زبان آنان و بهره گيرى از اسباب زيباسازى و آرايه هاى كلامى،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تمثيل، كنايه، استعاره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ساختار زيباشناختى قرآن، تعجب همگان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و ترتيب اين تشبيهات و تمثيلات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بيان خود علاوه بر رعايت قواعد دستورى، كه پايه ى علم معانى و بديع گشته است، در انتخاب واژه ها، مراعات ادب و انتخاب بهترين و پرمعناترين كلمه ها، مأنوس بودن و خوش آهنگى، تنوع در بيان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قرآن با قوانين، فرهنگ ها و اعتقادات اعراب</w:t>
      </w:r>
    </w:p>
    <w:p>
      <w:pPr>
        <w:pStyle w:val="BookText"/>
        <w:rPr/>
      </w:pPr>
      <w:r>
        <w:rPr>
          <w:rFonts w:ascii="IRNazanin" w:hAnsi="IRNazanin" w:eastAsia="IRNazanin"/>
          <w:color w:val="111111"/>
          <w:sz w:val="28"/>
          <w:sz w:val="28"/>
          <w:szCs w:val="28"/>
          <w:rtl w:val="true"/>
          <w:lang w:bidi="fa-IR"/>
        </w:rPr>
        <w:t>هر جامعه اى براساس ايده، مكتب و بينش و نياز عرفى خود ، فرهنگ و قوانينى را براى خود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اعراب نيز از اين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اين گونه اند كه چيزهاى مورد باور اجتماع، باورشان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چيزهايى را كه در اجتماع مورد پذيرش قرار مى گيرد، يا نسل هاى گذشته آن را پذيرفته اند، قبول مى كنند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قرآن در جامعه اى ظهور كرد كه فرهنگ هاى مثبت و منفى زيادى بر آن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برخورد يكسانى با تمام آنها نداشت و در مجموع مى توان گفت كه قرآن سه نوع برخورد با فرهنگ هاى عصر نزول خود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كتاب هدايت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فرهنگ باطلى را در خود جاى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بعضى از فرهنگ هاى منفى اعراب كه قرآن آن ها را نپذيرفته،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اعتقادى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خواهى از بت ها،</w:t>
      </w:r>
      <w:r>
        <w:rPr>
          <w:rStyle w:val="FootnoteAnchor"/>
          <w:rtl w:val="true"/>
        </w:rPr>
        <w:footnoteReference w:id="251"/>
      </w:r>
      <w:r>
        <w:rPr>
          <w:rFonts w:ascii="IRNazanin" w:hAnsi="IRNazanin" w:eastAsia="IRNazanin"/>
          <w:color w:val="111111"/>
          <w:sz w:val="28"/>
          <w:sz w:val="28"/>
          <w:szCs w:val="28"/>
          <w:rtl w:val="true"/>
          <w:lang w:bidi="fa-IR"/>
        </w:rPr>
        <w:t>بت پرستى،</w:t>
      </w:r>
      <w:r>
        <w:rPr>
          <w:rStyle w:val="FootnoteAnchor"/>
          <w:rtl w:val="true"/>
        </w:rPr>
        <w:footnoteReference w:id="252"/>
      </w:r>
      <w:r>
        <w:rPr>
          <w:rFonts w:ascii="IRNazanin" w:hAnsi="IRNazanin" w:eastAsia="IRNazanin"/>
          <w:color w:val="111111"/>
          <w:sz w:val="28"/>
          <w:sz w:val="28"/>
          <w:szCs w:val="28"/>
          <w:rtl w:val="true"/>
          <w:lang w:bidi="fa-IR"/>
        </w:rPr>
        <w:t>فرشته پرستى</w:t>
      </w:r>
      <w:r>
        <w:rPr>
          <w:rStyle w:val="FootnoteAnchor"/>
          <w:rtl w:val="true"/>
        </w:rPr>
        <w:footnoteReference w:id="2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دختركشى،</w:t>
      </w:r>
      <w:r>
        <w:rPr>
          <w:rStyle w:val="FootnoteAnchor"/>
          <w:rtl w:val="true"/>
        </w:rPr>
        <w:footnoteReference w:id="254"/>
      </w:r>
      <w:r>
        <w:rPr>
          <w:rFonts w:ascii="Amiri" w:hAnsi="Amiri" w:eastAsia="Amiri" w:cs="Amiri"/>
          <w:color w:val="111111"/>
          <w:sz w:val="28"/>
          <w:sz w:val="28"/>
          <w:szCs w:val="28"/>
          <w:rtl w:val="true"/>
          <w:lang w:bidi="ar-SA"/>
        </w:rPr>
        <w:t>تكبر و تفاخر،</w:t>
      </w:r>
      <w:r>
        <w:rPr>
          <w:rStyle w:val="FootnoteAnchor"/>
          <w:rtl w:val="true"/>
        </w:rPr>
        <w:footnoteReference w:id="255"/>
      </w:r>
      <w:r>
        <w:rPr>
          <w:rFonts w:ascii="IRNazanin" w:hAnsi="IRNazanin" w:eastAsia="IRNazanin"/>
          <w:color w:val="111111"/>
          <w:sz w:val="28"/>
          <w:sz w:val="28"/>
          <w:szCs w:val="28"/>
          <w:rtl w:val="true"/>
          <w:lang w:bidi="fa-IR"/>
        </w:rPr>
        <w:t>پسرخواندگى</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خانواده و حقوق در عصر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بى نهايت زوجات، ازدواج دسته جمعى و </w:t>
      </w:r>
      <w:r>
        <w:rPr>
          <w:rFonts w:eastAsia="IRNazanin" w:cs="IRNazanin"/>
          <w:color w:val="111111"/>
          <w:sz w:val="28"/>
          <w:szCs w:val="28"/>
          <w:rtl w:val="true"/>
          <w:lang w:bidi="fa-IR"/>
        </w:rPr>
        <w:t>...</w:t>
      </w:r>
      <w:r>
        <w:rPr>
          <w:rStyle w:val="FootnoteAnchor"/>
          <w:rtl w:val="true"/>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زبان قرآن مشتمل بر فرهنگ اعراب است، چرا اين فرهنگ ها را طرد كرده است؟ افزون بر اين، جنگ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برسر قبول يا عدم قبول فرهنگ ها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اثباتى و امضايى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بعضى از فرهنگ هاى اعراب را كه ريشه در اديان گذشته داشتند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خالق يكتا،</w:t>
      </w:r>
      <w:r>
        <w:rPr>
          <w:rStyle w:val="FootnoteAnchor"/>
          <w:rtl w:val="true"/>
        </w:rPr>
        <w:footnoteReference w:id="258"/>
      </w:r>
      <w:r>
        <w:rPr>
          <w:rFonts w:ascii="IRNazanin" w:hAnsi="IRNazanin" w:eastAsia="IRNazanin"/>
          <w:color w:val="111111"/>
          <w:sz w:val="28"/>
          <w:sz w:val="28"/>
          <w:szCs w:val="28"/>
          <w:rtl w:val="true"/>
          <w:lang w:bidi="fa-IR"/>
        </w:rPr>
        <w:t>ماه هاى حرام،</w:t>
      </w:r>
      <w:r>
        <w:rPr>
          <w:rStyle w:val="FootnoteAnchor"/>
          <w:rtl w:val="true"/>
        </w:rPr>
        <w:footnoteReference w:id="259"/>
      </w:r>
      <w:r>
        <w:rPr>
          <w:rFonts w:ascii="Amiri" w:hAnsi="Amiri" w:eastAsia="Amiri" w:cs="Amiri"/>
          <w:color w:val="111111"/>
          <w:sz w:val="28"/>
          <w:sz w:val="28"/>
          <w:szCs w:val="28"/>
          <w:rtl w:val="true"/>
          <w:lang w:bidi="ar-SA"/>
        </w:rPr>
        <w:t xml:space="preserve">ختنه كردن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بعضى از فرهنگ ها را كه نيمه مثبت بودند، بعد از اصلاح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w:t>
      </w:r>
      <w:r>
        <w:rPr>
          <w:rStyle w:val="FootnoteAnchor"/>
          <w:rtl w:val="true"/>
        </w:rPr>
        <w:footnoteReference w:id="260"/>
      </w:r>
      <w:r>
        <w:rPr>
          <w:rFonts w:ascii="IRNazanin" w:hAnsi="IRNazanin" w:eastAsia="IRNazanin"/>
          <w:color w:val="111111"/>
          <w:sz w:val="28"/>
          <w:sz w:val="28"/>
          <w:szCs w:val="28"/>
          <w:rtl w:val="true"/>
          <w:lang w:bidi="fa-IR"/>
        </w:rPr>
        <w:t>حج،</w:t>
      </w:r>
      <w:r>
        <w:rPr>
          <w:rStyle w:val="FootnoteAnchor"/>
          <w:rtl w:val="true"/>
        </w:rPr>
        <w:footnoteReference w:id="261"/>
      </w:r>
      <w:r>
        <w:rPr>
          <w:rFonts w:ascii="IRNazanin" w:hAnsi="IRNazanin" w:eastAsia="IRNazanin"/>
          <w:color w:val="111111"/>
          <w:sz w:val="28"/>
          <w:sz w:val="28"/>
          <w:szCs w:val="28"/>
          <w:rtl w:val="true"/>
          <w:lang w:bidi="fa-IR"/>
        </w:rPr>
        <w:t>نگه داشتن عده براى زنان،</w:t>
      </w:r>
      <w:r>
        <w:rPr>
          <w:rStyle w:val="FootnoteAnchor"/>
          <w:rtl w:val="true"/>
        </w:rPr>
        <w:footnoteReference w:id="262"/>
      </w:r>
      <w:r>
        <w:rPr>
          <w:rFonts w:ascii="IRNazanin" w:hAnsi="IRNazanin" w:eastAsia="IRNazanin"/>
          <w:color w:val="111111"/>
          <w:sz w:val="28"/>
          <w:sz w:val="28"/>
          <w:szCs w:val="28"/>
          <w:rtl w:val="true"/>
          <w:lang w:bidi="fa-IR"/>
        </w:rPr>
        <w:t>ظهار</w:t>
      </w:r>
      <w:r>
        <w:rPr>
          <w:rStyle w:val="FootnoteAnchor"/>
          <w:rtl w:val="true"/>
        </w:rPr>
        <w:footnoteReference w:id="2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تأييد يا اصلاح بعضى از آداب و رسوم اعراب از طرف قرآن را نشانه ى متأثر شدن از فرهنگ جاهلى و نوعى تجربه ى وحيانى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شبهه ى فوق، لازم است به چند نكته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منطقه ى جزيرة العرب اديان زيادى، مانند دين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يهود، نصارى، زرتشت، صابئى، مزدك، مانى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بعضى از آن ها الهى و داراى كتاب و شريعت بودند و بعدها گرفتار تحريف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دين حنيف ابراهيمى كه در بين اعراب جايگاهى داشت، داراى احكام مثبت زيادى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طهارت، ختنه كردن، اعتقاد به وحدانيت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قرآن كه ريشه در وحى الهى دارد و مكمل اديان و شرايع گذشتگان است، در اصول، احكام و قوانين با كتاب هاى اصيل الهى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 اصلاحى يا امضايى قرآن به خاطر ريشه داشتن آن فرهنگ در وحى الهى و</w:t>
      </w:r>
    </w:p>
    <w:p>
      <w:pPr>
        <w:pStyle w:val="BookText"/>
        <w:rPr/>
      </w:pPr>
      <w:r>
        <w:rPr>
          <w:rFonts w:ascii="IRNazanin" w:hAnsi="IRNazanin" w:eastAsia="IRNazanin"/>
          <w:color w:val="111111"/>
          <w:sz w:val="28"/>
          <w:sz w:val="28"/>
          <w:szCs w:val="28"/>
          <w:rtl w:val="true"/>
          <w:lang w:bidi="fa-IR"/>
        </w:rPr>
        <w:t>اديان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متأثر شدن نيست، بلكه تأثير گذاشتن تأكيدى به آداب و فرهنگ دينى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ى ديگرى كه در فرهنگ اعراب مورد توجه است، فرهنگ فطرى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گرايش هاى درونى مثبت و ارزنده اى دارد كه مى تواند فرهنگ ساز باشد و اعراب نيز از اين فرهنگ ها خالى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و سجده براى خدا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مطهرى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تعليم و هر فرهنگ كه با فطرت انسانى انسان سازگار و پرورش دهنده ى آن باشد، آن فرهنگ اصيل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آيات و احكام قرآن براساس طبيعت و ذات انسان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جنس مرد داراى ويژگى هايى است كه جنس زن واجد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خشونت، صلابت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جنس زن ويژگى هايى وجود دارد كه مردها غالباً از آن به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لطافت، عاطفه ى سرشار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رعايت تمام جوانب و خاستگاه طبيعى انسان، احكام و قوانينى را براى هر يك وضع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آداب و رسوم اجتماعى كه مردم در زندگى روزمره ى خود با آن سر و كار دارند، عرفى اند و بر اساس نياز اجتماعى و ضرورت زندگى، پايه ريزى شده اند و اسلام با قبول آنها، رنگ و لعاب شرعى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مطرود داشتن ربا و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رسوم و قراردادهايى كه با اصول دين اسلام مطابقت داشته باشد و موجبات دورى از خدا را فراهم نسازد و عليه ارزش ها و هنجارهاى والاى انسانى نباشد، مورد تأييد اسلام است</w:t>
      </w:r>
      <w:r>
        <w:rPr>
          <w:rFonts w:eastAsia="IRNazanin" w:cs="IRNazanin"/>
          <w:color w:val="111111"/>
          <w:sz w:val="28"/>
          <w:szCs w:val="28"/>
          <w:rtl w:val="true"/>
          <w:lang w:bidi="fa-IR"/>
        </w:rPr>
        <w:t xml:space="preserve">. </w:t>
      </w:r>
      <w:bookmarkStart w:id="278" w:name="pg10696_94915"/>
    </w:p>
    <w:p>
      <w:pPr>
        <w:pStyle w:val="Heading2"/>
        <w:numPr>
          <w:ilvl w:val="1"/>
          <w:numId w:val="1"/>
        </w:numPr>
        <w:rPr/>
      </w:pPr>
      <w:bookmarkStart w:id="279" w:name="__RefHeading___Toc2367278_1051229030"/>
      <w:bookmarkStart w:id="280" w:name="_Toc103"/>
      <w:bookmarkEnd w:id="278"/>
      <w:bookmarkEnd w:id="279"/>
      <w:r>
        <w:rPr>
          <w:rtl w:val="true"/>
        </w:rPr>
        <w:t>امامت و مهدويت</w:t>
      </w:r>
      <w:bookmarkEnd w:id="280"/>
    </w:p>
    <w:p>
      <w:pPr>
        <w:pStyle w:val="Heading3"/>
        <w:numPr>
          <w:ilvl w:val="2"/>
          <w:numId w:val="1"/>
        </w:numPr>
        <w:rPr/>
      </w:pPr>
      <w:bookmarkStart w:id="281" w:name="__RefHeading___Toc2367280_1051229030"/>
      <w:bookmarkStart w:id="282" w:name="_Toc104"/>
      <w:bookmarkEnd w:id="281"/>
      <w:r>
        <w:rPr>
          <w:rtl w:val="true"/>
        </w:rPr>
        <w:t>اشاره</w:t>
      </w:r>
      <w:bookmarkEnd w:id="2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شهر مهدوى </w:t>
      </w:r>
    </w:p>
    <w:p>
      <w:pPr>
        <w:pStyle w:val="BookText"/>
        <w:rPr/>
      </w:pPr>
      <w:r>
        <w:rPr>
          <w:rFonts w:ascii="IRNazanin" w:hAnsi="IRNazanin" w:eastAsia="IRNazanin"/>
          <w:color w:val="111111"/>
          <w:sz w:val="28"/>
          <w:sz w:val="28"/>
          <w:szCs w:val="28"/>
          <w:rtl w:val="true"/>
          <w:lang w:bidi="fa-IR"/>
        </w:rPr>
        <w:t>آيا فيلسوفان در فلسفه ى سياسى خود، مدينه ى فاضله اى همانند مدينه ى فاضله ى عصر ظهور را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فاضله ى عصر ظهور چه ويژگى هايى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محمدی منفرد </w:t>
      </w:r>
      <w:bookmarkStart w:id="283" w:name="pg10696_94917"/>
    </w:p>
    <w:p>
      <w:pPr>
        <w:pStyle w:val="BookText"/>
        <w:rPr/>
      </w:pPr>
      <w:bookmarkEnd w:id="283"/>
      <w:r>
        <w:rPr>
          <w:rFonts w:ascii="Amiri" w:hAnsi="Amiri" w:eastAsia="Amiri" w:cs="Amiri"/>
          <w:color w:val="111111"/>
          <w:sz w:val="28"/>
          <w:sz w:val="28"/>
          <w:szCs w:val="28"/>
          <w:rtl w:val="true"/>
          <w:lang w:bidi="ar-SA"/>
        </w:rPr>
        <w:t>امامت و مهدويت</w:t>
      </w:r>
    </w:p>
    <w:p>
      <w:pPr>
        <w:pStyle w:val="Heading3"/>
        <w:numPr>
          <w:ilvl w:val="2"/>
          <w:numId w:val="1"/>
        </w:numPr>
        <w:rPr/>
      </w:pPr>
      <w:bookmarkStart w:id="284" w:name="__RefHeading___Toc2367282_1051229030"/>
      <w:bookmarkStart w:id="285" w:name="_Toc105"/>
      <w:bookmarkEnd w:id="284"/>
      <w:r>
        <w:rPr>
          <w:rtl w:val="true"/>
        </w:rPr>
        <w:t>آرمان شهر مهدوى</w:t>
      </w:r>
      <w:bookmarkEnd w:id="2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بشريت گواه بر آن است كه انسان همواره در آرزوى داشتن جامعه اى عارى از هرگونه ظلم و ستم و به دست آوردن رفاه و آسايش كامل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انديشمندان تلاش نموده اند با ارائه ى راهكارها و ايدئولوژى ها تصويرى از جامعه و مدينه اى فاضله ترسيم نمايند، تا بشر بتواند به آرزوهاى ديرين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تصوير مدينه ى فاضله ى ترسيم شده توسط فيلسوفان غربى با جامعه ى عدل مهدوى مقايسه و به صورت اجمالى تفاوت ها و تشابهات آنها بررسى شده است</w:t>
      </w:r>
      <w:r>
        <w:rPr>
          <w:rFonts w:eastAsia="IRNazanin" w:cs="IRNazanin"/>
          <w:color w:val="111111"/>
          <w:sz w:val="28"/>
          <w:szCs w:val="28"/>
          <w:rtl w:val="true"/>
          <w:lang w:bidi="fa-IR"/>
        </w:rPr>
        <w:t xml:space="preserve">. </w:t>
      </w:r>
      <w:bookmarkStart w:id="286" w:name="pg10696_94918"/>
    </w:p>
    <w:p>
      <w:pPr>
        <w:pStyle w:val="Heading3"/>
        <w:numPr>
          <w:ilvl w:val="2"/>
          <w:numId w:val="1"/>
        </w:numPr>
        <w:rPr/>
      </w:pPr>
      <w:bookmarkStart w:id="287" w:name="__RefHeading___Toc2367284_1051229030"/>
      <w:bookmarkStart w:id="288" w:name="_Toc106"/>
      <w:bookmarkEnd w:id="286"/>
      <w:bookmarkEnd w:id="287"/>
      <w:r>
        <w:rPr>
          <w:rtl w:val="true"/>
        </w:rPr>
        <w:t>مدينه ى فاضله ى عصر ظهور چه ويژگى هايى دارد؟</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فيلسوفان در فلسفه ى سياسى خود، مدينه ى فاضله اى همانند مدينه ى فاضله ى عصر ظهور را ترسيم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فاضله ى عصر ظهور چه ويژگى هايى دارد؟</w:t>
      </w:r>
    </w:p>
    <w:p>
      <w:pPr>
        <w:pStyle w:val="BookText"/>
        <w:rPr/>
      </w:pPr>
      <w:r>
        <w:rPr>
          <w:rFonts w:ascii="IRNazanin" w:hAnsi="IRNazanin" w:eastAsia="IRNazanin"/>
          <w:color w:val="111111"/>
          <w:sz w:val="28"/>
          <w:sz w:val="28"/>
          <w:szCs w:val="28"/>
          <w:rtl w:val="true"/>
          <w:lang w:bidi="fa-IR"/>
        </w:rPr>
        <w:t>بهروز محمدى منفرد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ى تاريخ زندگى بشر گواه است كه انسان همواره در آرزوى داشتن جامعه اى عارى از ظلم و ستم، همراه با آرامش، رفاه و آسايش بوده و اين حاكى از كمال خواهى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رسيدن به يك مدينه ى فاضله يا اتوپيا، همواره در تكاپو بوده و چاره ها انديشيده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بسيارى از متفكران، اين انديشه ى آرمانى را بر برهان عقلى استوار نموده اند كه به عنوان نمونه و به صورت اجمال به برخى از آنها اشاره مى كنيم</w:t>
      </w:r>
      <w:r>
        <w:rPr>
          <w:rFonts w:eastAsia="IRNazanin" w:cs="IRNazanin"/>
          <w:color w:val="111111"/>
          <w:sz w:val="28"/>
          <w:szCs w:val="28"/>
          <w:rtl w:val="true"/>
          <w:lang w:bidi="fa-IR"/>
        </w:rPr>
        <w:t>.</w:t>
      </w:r>
    </w:p>
    <w:p>
      <w:pPr>
        <w:pStyle w:val="Heading3"/>
        <w:numPr>
          <w:ilvl w:val="2"/>
          <w:numId w:val="1"/>
        </w:numPr>
        <w:rPr/>
      </w:pPr>
      <w:bookmarkStart w:id="289" w:name="__RefHeading___Toc2367286_1051229030"/>
      <w:bookmarkStart w:id="290" w:name="_Toc107"/>
      <w:bookmarkEnd w:id="289"/>
      <w:r>
        <w:rPr>
          <w:rtl w:val="true"/>
        </w:rPr>
        <w:t>الف</w:t>
      </w:r>
      <w:r>
        <w:rPr>
          <w:rtl w:val="true"/>
        </w:rPr>
        <w:t xml:space="preserve">) </w:t>
      </w:r>
      <w:r>
        <w:rPr>
          <w:rtl w:val="true"/>
        </w:rPr>
        <w:t>افلاطون</w:t>
      </w:r>
      <w:bookmarkEnd w:id="290"/>
    </w:p>
    <w:p>
      <w:pPr>
        <w:pStyle w:val="BookText"/>
        <w:rPr/>
      </w:pPr>
      <w:r>
        <w:rPr>
          <w:rFonts w:ascii="Amiri" w:hAnsi="Amiri" w:eastAsia="Amiri" w:cs="Amiri"/>
          <w:color w:val="111111"/>
          <w:sz w:val="28"/>
          <w:sz w:val="28"/>
          <w:szCs w:val="28"/>
          <w:rtl w:val="true"/>
          <w:lang w:bidi="ar-SA"/>
        </w:rPr>
        <w:t xml:space="preserve">نخستين متفكرى كه انديشه ى آرمانى را بر برهان عقلى استوار ساخت، افلاطون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مشهور يونانى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جمهورى و با بحث درباره ى مفهوم صحيح عدالت، اين حركت را آغاز كرد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افلاطون در طول زندگى اش از ظلم حاكمان روزگار خود بسيار بر مى آشفت و چون از اصلاح وضع سياسى و سياست مداران، به كلى مأيوس شد، از آن ها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پيوسته درصدد بود جامعه را به نحوى به سوى اصلاح سوق دهد و معتقد بود كه جامعه زمانى روى سعادت را مى بيند و از رنج و محنت رهايى مى يابد كه مردان صالح و حكيم، زمام امور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نشود، بدبختى جامعه ها و به طور كلى بدبختى نوع بشر به پايان نخواهد رسيد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افلاطون طرح مدينه ى فاضله را با محوريت عدالت ارائه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در </w:t>
      </w:r>
      <w:bookmarkStart w:id="291" w:name="pg10696_94919"/>
    </w:p>
    <w:p>
      <w:pPr>
        <w:pStyle w:val="BookText"/>
        <w:rPr/>
      </w:pPr>
      <w:bookmarkEnd w:id="291"/>
      <w:r>
        <w:rPr>
          <w:rFonts w:ascii="IRNazanin" w:hAnsi="IRNazanin" w:eastAsia="IRNazanin"/>
          <w:color w:val="111111"/>
          <w:sz w:val="28"/>
          <w:sz w:val="28"/>
          <w:szCs w:val="28"/>
          <w:rtl w:val="true"/>
          <w:lang w:bidi="fa-IR"/>
        </w:rPr>
        <w:t>چندجا از رساله اش نااميدانه از عدم امكان تحقق چنين جامعه اى سخن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شرط اساسى به وجود آمدن چنين جامعه اى را حاكم شدن فلاسفه و حكيم شدن فرمانروايان مى داند، و به نظر وى چنين چيزى تحقق نخواهد يافت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292" w:name="__RefHeading___Toc2367288_1051229030"/>
      <w:bookmarkStart w:id="293" w:name="_Toc108"/>
      <w:bookmarkEnd w:id="292"/>
      <w:r>
        <w:rPr>
          <w:rtl w:val="true"/>
        </w:rPr>
        <w:t>برخى از مفاد مدينه ى فاضله ى افلاطون</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مدينه ى فاضله به سه طبقه ى سرپرستان، سربازان و عوامل تقسيم مى شوند و سياست تنها حقّ سرپرستان موروثى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حكّام بايد از حكيمان باشند و حكومت اشرافى، معارضى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مفاسدى كه شهرها را تباه مى كند، بلكه به عقيده ى من به طور كلى مفاسد نوع بشر، هرگز نقصان نخواهديافت، مگر آن كه در شهرها، فلاسفه پادشاه شوند يا آنان كه هم اكنون عنوان پادشاهى و سلطنت دارند به راستى و جداً در سلك فلاسفه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سياسى و حكمت، توأماً در يك فرد جمع 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به معناى مساوات نيست، بلكه بدين معناست كه هر كس سرش در كار خودش باشد و فضولى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به نظر او، عدالت مدينه در اين است كه هر كس بدون دخالت در كار ديگران مواظب و متوجه كار خود باشد، همان گونه كه فرد، وقتى عادل است كه تمام عناصرِ نفس او </w:t>
      </w:r>
      <w:bookmarkStart w:id="294" w:name="pg10696_94920"/>
    </w:p>
    <w:p>
      <w:pPr>
        <w:pStyle w:val="BookText"/>
        <w:rPr/>
      </w:pPr>
      <w:bookmarkEnd w:id="294"/>
      <w:r>
        <w:rPr>
          <w:rFonts w:ascii="IRNazanin" w:hAnsi="IRNazanin" w:eastAsia="IRNazanin"/>
          <w:color w:val="111111"/>
          <w:sz w:val="28"/>
          <w:sz w:val="28"/>
          <w:szCs w:val="28"/>
          <w:rtl w:val="true"/>
          <w:lang w:bidi="fa-IR"/>
        </w:rPr>
        <w:t>به نحو شايسته و هماهنگ كار ويژه ى خود را انجام دهند و پايين تر نسبت به بالاتر تبعيت لازم را داشته باشد، همين طور مدينه وقتى عادل يا درستكار است كه تمام طبقات، و افرادى كه طبقات از آنها تركيب و تأليف شده است وظايف مربوط به خود را به نحو شايسته و صحيح انجام دهند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صلاح شهر ايجاب كند، دروغ گفتن فقط براى زمام داران شهر، جايز است و براى ديگران جايز نيست و اگر انجام دهند جرمى بزرگ و سنگين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عملى را بدعت گذارده اند كه كشور را به تباهى خواهد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برتربيت اطفالى كه از خانواده هاى اشرافى و موفق متولد مى شوند و از ويژگى هاى خاصى برخوردارند تأكيد مىورزد، اما مانع رشد طبقات ديگر و ارتقاى آنان به مراحل بالاتر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اشرافى كه در طرح مدينه ى فاضله ى افلاطون ديده مى شود، ناشى از انزجار وى از حكومت عامه بوده و اين كه در ميان خاندان اشرافى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وى از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روايان قديم آتن منسوب بود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95" w:name="__RefHeading___Toc2367290_1051229030"/>
      <w:bookmarkStart w:id="296" w:name="_Toc109"/>
      <w:bookmarkEnd w:id="295"/>
      <w:r>
        <w:rPr>
          <w:rtl w:val="true"/>
        </w:rPr>
        <w:t>ب</w:t>
      </w:r>
      <w:r>
        <w:rPr>
          <w:rtl w:val="true"/>
        </w:rPr>
        <w:t xml:space="preserve">) </w:t>
      </w:r>
      <w:r>
        <w:rPr>
          <w:rtl w:val="true"/>
        </w:rPr>
        <w:t>فارابى</w:t>
      </w:r>
      <w:bookmarkEnd w:id="296"/>
    </w:p>
    <w:p>
      <w:pPr>
        <w:pStyle w:val="BookText"/>
        <w:rPr/>
      </w:pPr>
      <w:r>
        <w:rPr>
          <w:rFonts w:ascii="IRNazanin" w:hAnsi="IRNazanin" w:eastAsia="IRNazanin"/>
          <w:color w:val="111111"/>
          <w:sz w:val="28"/>
          <w:sz w:val="28"/>
          <w:szCs w:val="28"/>
          <w:rtl w:val="true"/>
          <w:lang w:bidi="fa-IR"/>
        </w:rPr>
        <w:t>فارابى از جمله كسانى است كه انديشه ى آرمان شهرى را در آثار خود، از جمله كتاب انديشه هاى اهل مدينه ى فاضله مطرح ساخت و جامعه اى آرمانى بر پايه ى انديشه هاى فلسفى و در قالب مفاهيم شريعت پى افكند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فلسفه ى سياسى خود به مسئله ى عدالت بسيار پرداخته و مدينه ى فاضله ى خود را بر آن استوار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او براى برقرارى نظام فاضله و عادله بايد مردمان يا گروهى از ايشان با عدل آشنا شوند و عدل در وجودشان تحقق يابد و عمل و اعتقادشان يكى گردد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اعتقاد فارابى، سه نوع مدينه ى ديگر در برابر مدينه ى فاضله وجود دارند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جاهله، مدينه ى فاسقه و مدينه ى 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او مهم ترين جايگاه در مدينه ى فاضله، از آنِ رييس آن مدينه است كه وجود او براى جامعه به منزله ى قلب براى بدن است و به كمك او عدالت در جامعه گسترانده مى شود و الاّ رييس مدينه بايد فيلسوفى باشد كه علم خود را از مبدأ وحى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رييس فيلسوف مدينه ى فاضله ى فارابى، نبىّ است و دين صحيح به نظر او عين فلسفه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ويژگى بارز مدينه ى فاضله ى فارابى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در مدينه ى فاضله ى او، تقسيم مساوى خيرات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تعريف عدالت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عبارت است از تقسيم خيرات عمومى متعلق به تمامى اهل مدينه بين آنها و در مرحله ى بعد، عدالت عبارت است از حفظ آنچه بين آنها توزيع شده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براى عدالت تعريف عام ترى نيز بيان مى كند و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 به گونه اى ديگر، يعنى عام تر نيز آمده است و آن عبارت است از به كار بستن افعال فضيلت ميان خود و ديگران، هر فضيلتى كه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ديدگاه فارابى، مدينه هاى غيرفاضله در عقيده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بيمارى و تباهى اند و چون مدينه ى فاضله ى او از تباهى ها و گرايش هاى ناپسند مبرّاست، زندگانى شهروندانش قرين سعادت و اعتدال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ها و كارهايى كه به وسيله ى آنها مى توان به سعادت حقيقى رسيد، خيرات و نيكوكارى و فضيلت هاست كه در برابر آنها شرور، زشتى ها و نقايص قرار دارد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نظر او راه تحقّق فضيلت در وجود انسان نيز اين است كه افعال و سنن فاضله پيوسته در جوامع رايج شوند و شيوع همگانى يابند و همگان آنها را به كار بندند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بنابراين مى توان برخى از مفاد مدينه ى فاضله ى فارابى را به شرح زير بيان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حدود رياست ها به توان فطرى افراد بستگى دارد و كسى كه از فطرتى قوى برخوردار است و توانايى ارشاد و به كارگيرى آموخته هاى خود را دارد، در همان قسمت، بر افرادى كه اين توانايى را ندارند، رياست فائقه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رييس اول كسى است كه به طور مطلق همه ى علوم و معارف را بالفعل داشته و از نيرويى برخوردار باشد كه بتواند وظايف افراد را به درستى معيّن كند و هر كس را به كارى </w:t>
      </w:r>
      <w:bookmarkStart w:id="297" w:name="pg10696_94923"/>
    </w:p>
    <w:p>
      <w:pPr>
        <w:pStyle w:val="BookText"/>
        <w:rPr/>
      </w:pPr>
      <w:bookmarkEnd w:id="297"/>
      <w:r>
        <w:rPr>
          <w:rFonts w:ascii="IRNazanin" w:hAnsi="IRNazanin" w:eastAsia="IRNazanin"/>
          <w:color w:val="111111"/>
          <w:sz w:val="28"/>
          <w:sz w:val="28"/>
          <w:szCs w:val="28"/>
          <w:rtl w:val="true"/>
          <w:lang w:bidi="fa-IR"/>
        </w:rPr>
        <w:t xml:space="preserve">كه لايق آن است بگمارد و آن كسى است كه متّصل به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ى فاضله جامعه اى است متشكل از مردمى فاضل، نيكو و خوش بخت كه از ناحيه ى چنين رياست هايى اداره مى 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ويژگى خاص و بارز مدينه ى فاضله است و بايد خيرات عمومى بالسويه بين مردم تقسيم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نكته ى قابل توجه آن كه هانرى كربن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ى كامله اى كه فارابى تصور كرده است، بيشتر مدينه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مرحله اى منطبق است كه به مقتضاى رجعتى كه شيعه به آن معتقد است، هنگام ظهور امام غايب، كه رستاخيز را آماده مى سازد، براى زمين محقق خواهد شد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98" w:name="__RefHeading___Toc2367292_1051229030"/>
      <w:bookmarkStart w:id="299" w:name="_Toc110"/>
      <w:bookmarkEnd w:id="298"/>
      <w:r>
        <w:rPr>
          <w:rtl w:val="true"/>
        </w:rPr>
        <w:t>ج</w:t>
      </w:r>
      <w:r>
        <w:rPr>
          <w:rtl w:val="true"/>
        </w:rPr>
        <w:t xml:space="preserve">) </w:t>
      </w:r>
      <w:r>
        <w:rPr>
          <w:rtl w:val="true"/>
        </w:rPr>
        <w:t>تامس مور</w:t>
      </w:r>
      <w:bookmarkEnd w:id="2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تامس مور كتاب خود، يوتوپيا</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ناكجاآباد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در آن با تأثير از حوادث روزگار خود، معتقد است كه براى تأسيس آرمان شهر بايد مالكيت خصوصى و انحصارطلبى و قوانين ستمگرانه و قدرت نظامى لغو شود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تامس مور بر اوضاع و احوال اجتماعى و اقتصادى سرزمين خود و هم چنين ازفرمان روايان ظالم و </w:t>
      </w:r>
      <w:bookmarkStart w:id="300" w:name="pg10696_94924"/>
    </w:p>
    <w:p>
      <w:pPr>
        <w:pStyle w:val="BookText"/>
        <w:rPr/>
      </w:pPr>
      <w:bookmarkEnd w:id="300"/>
      <w:r>
        <w:rPr>
          <w:rFonts w:ascii="Amiri" w:hAnsi="Amiri" w:eastAsia="Amiri" w:cs="Amiri"/>
          <w:color w:val="111111"/>
          <w:sz w:val="28"/>
          <w:sz w:val="28"/>
          <w:szCs w:val="28"/>
          <w:rtl w:val="true"/>
          <w:lang w:bidi="ar-SA"/>
        </w:rPr>
        <w:t>مستبد، روحانيون متعصّب مسيحى و ثروتمندان متجاوز منتقد بود و از اين رو تصويرى از يك بهشت زمينى ارائه داد كه برخى از خصوصيات آن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شهر خيابان ها و خانه هايى همانند دارد كه خانه ها به هيچ كس تعلّق ندارد و از آنِ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شهر هر كس به فراخور حرفه يا صنعتى كه دارد كار مى كند و كار روزانه شش ساعت است كه نيمى از آن درصبح و نيمى در عصر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محصولى كه به دست مى آيد اشتراكى است و به همه تعلق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شهر گران فروشى، چانه زنى،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و طلا در اين شهر ارزشى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اولى اسباب بازى براى كودكان و از دومى ظرف ذغال و آشغال درست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 ى سربازى را دوست ندارند و اهل اين حرفه را مردم كش مى خوانند، اما جنگ را به كلى نفى نمى كنند، به همين علت وقتى كسانى قطعه اى از زمين كه به حكم طبيعت مى بايست آباد و بارور شود، باير</w:t>
      </w:r>
    </w:p>
    <w:p>
      <w:pPr>
        <w:pStyle w:val="BookText"/>
        <w:rPr/>
      </w:pPr>
      <w:r>
        <w:rPr>
          <w:rFonts w:ascii="IRNazanin" w:hAnsi="IRNazanin" w:eastAsia="IRNazanin"/>
          <w:color w:val="111111"/>
          <w:sz w:val="28"/>
          <w:sz w:val="28"/>
          <w:szCs w:val="28"/>
          <w:rtl w:val="true"/>
          <w:lang w:bidi="fa-IR"/>
        </w:rPr>
        <w:t>گذارند و ديگران را نيز از آباد نمودن آن منع كنند، جنگ با آنان را توجيه پذير مى يابند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301" w:name="__RefHeading___Toc2367294_1051229030"/>
      <w:bookmarkStart w:id="302" w:name="_Toc111"/>
      <w:bookmarkEnd w:id="301"/>
      <w:r>
        <w:rPr>
          <w:rtl w:val="true"/>
        </w:rPr>
        <w:t>د</w:t>
      </w:r>
      <w:r>
        <w:rPr>
          <w:rtl w:val="true"/>
        </w:rPr>
        <w:t xml:space="preserve">) </w:t>
      </w:r>
      <w:r>
        <w:rPr>
          <w:rtl w:val="true"/>
        </w:rPr>
        <w:t>فرانسيس بيكن</w:t>
      </w:r>
      <w:bookmarkEnd w:id="302"/>
    </w:p>
    <w:p>
      <w:pPr>
        <w:pStyle w:val="BookText"/>
        <w:rPr/>
      </w:pPr>
      <w:r>
        <w:rPr>
          <w:rFonts w:ascii="IRNazanin" w:hAnsi="IRNazanin" w:eastAsia="IRNazanin"/>
          <w:color w:val="111111"/>
          <w:sz w:val="28"/>
          <w:sz w:val="28"/>
          <w:szCs w:val="28"/>
          <w:rtl w:val="true"/>
          <w:lang w:bidi="fa-IR"/>
        </w:rPr>
        <w:t>فرانسيس بيكن طرحى تحت عنوان آتلانتيس نو عرضه كرد كه در آن به شرح يك جزيره ى ناشناخته كه عدالت واقعى در آن محقق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حكومت به دست حكما و علماست، اما نه براى حكومت بر انسان ها، بلكه براى كشف طبيعت و قوانين علمى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شهر سعادت واقعى كه در پرتو عدالت كسب مى شود، عبارت است از تفوّق بر </w:t>
      </w:r>
      <w:bookmarkStart w:id="303" w:name="pg10696_94925"/>
    </w:p>
    <w:p>
      <w:pPr>
        <w:pStyle w:val="BookText"/>
        <w:rPr/>
      </w:pPr>
      <w:bookmarkEnd w:id="303"/>
      <w:r>
        <w:rPr>
          <w:rFonts w:ascii="Amiri" w:hAnsi="Amiri" w:eastAsia="Amiri" w:cs="Amiri"/>
          <w:color w:val="111111"/>
          <w:sz w:val="28"/>
          <w:sz w:val="28"/>
          <w:szCs w:val="28"/>
          <w:rtl w:val="true"/>
          <w:lang w:bidi="ar-SA"/>
        </w:rPr>
        <w:t>طبيعت و دست يافتن بر اسرارى كه انسان را براى غلبه بر دشوارى ها تواناتر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نيز مانند همان رؤياى افلاطون و فارابى است كه در آن بايد يا حكيم حاكم باشد و يا حاكم حكيم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همان طور كه از آراى انديشمندان فوق مشاهده مى شود، آنان در تلاش براى رفع تبعيض و ظلم و ايجاد جامعه اى همراه با رفاه و آسايش و امنيت، در قالب نظريه و تنها از طريق عقل خود براى تبيين كادرهاى تشكيل دهنده ى جامعه، كيفيت اداره ى جامعه و نحوه ى ايجاد عدالت و امنيت بوده اند</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367296_1051229030"/>
      <w:bookmarkStart w:id="305" w:name="_Toc112"/>
      <w:bookmarkEnd w:id="304"/>
      <w:r>
        <w:rPr>
          <w:rtl w:val="true"/>
        </w:rPr>
        <w:t>ذ</w:t>
      </w:r>
      <w:r>
        <w:rPr>
          <w:rtl w:val="true"/>
        </w:rPr>
        <w:t xml:space="preserve">) </w:t>
      </w:r>
      <w:r>
        <w:rPr>
          <w:rtl w:val="true"/>
        </w:rPr>
        <w:t>اگوستين</w:t>
      </w:r>
      <w:bookmarkEnd w:id="305"/>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تاگاستِ آفريقاى شمالى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بت پرست بود ولى بعدها با مطالعات موفقى كه داشت به آيين مسيحيت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اگوستين مدينه ى فاضله ى خود را شهر خدا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در نظر او جامعه اى است كه دو ويژگى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عدالت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آن جز با اين دو ميسّر نيست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 جامعه ى مورد نظر او در آسمان است و گرچه نظر اوليه خداوند هنگام آفرينش انسان، به عضويت درآمدنِ آنان در چنين جامعه اى بود، اما تصميم در نتيجه ى سقوط آدم از آن مقام والا عوض و مشيّت ديگرى جاى 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از تاريخ سقوط آدم به بعد، افراد فقط در نتيجه ى لطف و عنايت مى توانند به عضويت جامعه ى </w:t>
      </w:r>
      <w:bookmarkStart w:id="306" w:name="pg10696_94926"/>
    </w:p>
    <w:p>
      <w:pPr>
        <w:pStyle w:val="BookText"/>
        <w:rPr/>
      </w:pPr>
      <w:bookmarkEnd w:id="306"/>
      <w:r>
        <w:rPr>
          <w:rFonts w:ascii="IRNazanin" w:hAnsi="IRNazanin" w:eastAsia="IRNazanin"/>
          <w:color w:val="111111"/>
          <w:sz w:val="28"/>
          <w:sz w:val="28"/>
          <w:szCs w:val="28"/>
          <w:rtl w:val="true"/>
          <w:lang w:bidi="fa-IR"/>
        </w:rPr>
        <w:t xml:space="preserve">آرمانى اگوستين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درآيند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07" w:name="__RefHeading___Toc2367298_1051229030"/>
      <w:bookmarkStart w:id="308" w:name="_Toc113"/>
      <w:bookmarkEnd w:id="307"/>
      <w:r>
        <w:rPr>
          <w:rtl w:val="true"/>
        </w:rPr>
        <w:t>نكات مشترك آرمان شهرهاى فيلسوفان</w:t>
      </w:r>
      <w:bookmarkEnd w:id="308"/>
    </w:p>
    <w:p>
      <w:pPr>
        <w:pStyle w:val="BookText"/>
        <w:rPr/>
      </w:pPr>
      <w:r>
        <w:rPr>
          <w:rFonts w:ascii="IRNazanin" w:hAnsi="IRNazanin" w:eastAsia="IRNazanin"/>
          <w:color w:val="111111"/>
          <w:sz w:val="28"/>
          <w:sz w:val="28"/>
          <w:szCs w:val="28"/>
          <w:rtl w:val="true"/>
          <w:lang w:bidi="fa-IR"/>
        </w:rPr>
        <w:t>مدينه هاى فاضله ى ترسيم شده، در كيفيت تفاوت هايى با هم ديگر دارند، اما دو ويژگى مشترك در همه ى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غالب آنان مدينه ى فاضله را در فضاى فكرى خود با عنايت به اوضاع سياسى و اجتماعى جامعه تبيين نموده و ايده ى آنها بر عقل و فكرشان استوار بوده و وحى و شريعت در ترسيم آن نقشى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فلاسفه همواره پى گير سعادت دنيوى بشريت بوده اند و دغدغه ى بنيادى آنان تحقّق سعادت دنيوى بشر بوده است</w:t>
      </w:r>
      <w:r>
        <w:rPr>
          <w:rFonts w:eastAsia="IRNazanin" w:cs="IRNazanin"/>
          <w:color w:val="111111"/>
          <w:sz w:val="28"/>
          <w:szCs w:val="28"/>
          <w:rtl w:val="true"/>
          <w:lang w:bidi="fa-IR"/>
        </w:rPr>
        <w:t>.</w:t>
      </w:r>
    </w:p>
    <w:p>
      <w:pPr>
        <w:pStyle w:val="Heading3"/>
        <w:numPr>
          <w:ilvl w:val="2"/>
          <w:numId w:val="1"/>
        </w:numPr>
        <w:rPr/>
      </w:pPr>
      <w:bookmarkStart w:id="309" w:name="__RefHeading___Toc2367300_1051229030"/>
      <w:bookmarkStart w:id="310" w:name="_Toc114"/>
      <w:bookmarkEnd w:id="309"/>
      <w:r>
        <w:rPr>
          <w:rtl w:val="true"/>
        </w:rPr>
        <w:t>مدينه ى فاضله ى جامعه ى مهدوى</w:t>
      </w:r>
      <w:bookmarkEnd w:id="310"/>
    </w:p>
    <w:p>
      <w:pPr>
        <w:pStyle w:val="Heading4"/>
        <w:numPr>
          <w:ilvl w:val="3"/>
          <w:numId w:val="1"/>
        </w:numPr>
        <w:rPr/>
      </w:pPr>
      <w:bookmarkStart w:id="311" w:name="__RefHeading___Toc2367302_1051229030"/>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در طول تاريخ بشريت، رسالت اصلى انبياى الهى بر دو محور توحيد و ايجاد قسط و عدالت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كارگزار عدل گستر،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اهداف برانگيخته شدن ايشان نيز همين است و در آيات و بسيارى از روايات، تحقق جامعه ى آرمانى و ظهور منجى مصلح مسلمانان كه عدالت را در سراسر گيتى بگسترد و توحيد را حاكم گرداند وعده داده شده است تا رسالت جهانى نبوت را به اتمام برساند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جامعه ى عدالت محور مهدوى با ساير مدينه هاى فاضله اى كه فيلسوفان ترسيم كرده اند تفاوت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مدينه ى فاضله را در فضاى فكرى خود ترسيم نموده و ايده ى آنان بر عقل و فكرشان استوار است، اما جامعه ى عصر ظهور از ديدگاه مسلمانان استوار بر وحى و به دور از تخيّلات و عقليّات بشرى و مبتنى بر سنّتى </w:t>
      </w:r>
      <w:bookmarkStart w:id="313" w:name="pg10696_94927"/>
    </w:p>
    <w:p>
      <w:pPr>
        <w:pStyle w:val="BookText"/>
        <w:rPr/>
      </w:pPr>
      <w:bookmarkEnd w:id="313"/>
      <w:r>
        <w:rPr>
          <w:rFonts w:ascii="IRNazanin" w:hAnsi="IRNazanin" w:eastAsia="IRNazanin"/>
          <w:color w:val="111111"/>
          <w:sz w:val="28"/>
          <w:sz w:val="28"/>
          <w:szCs w:val="28"/>
          <w:rtl w:val="true"/>
          <w:lang w:bidi="fa-IR"/>
        </w:rPr>
        <w:t>است كه متصل به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ويژگى هاى اين مدينه ى فاضله اشاره مى شود</w:t>
      </w:r>
      <w:r>
        <w:rPr>
          <w:rFonts w:eastAsia="IRNazanin" w:cs="IRNazanin"/>
          <w:color w:val="111111"/>
          <w:sz w:val="28"/>
          <w:szCs w:val="28"/>
          <w:rtl w:val="true"/>
          <w:lang w:bidi="fa-IR"/>
        </w:rPr>
        <w:t>.</w:t>
      </w:r>
    </w:p>
    <w:p>
      <w:pPr>
        <w:pStyle w:val="Heading4"/>
        <w:numPr>
          <w:ilvl w:val="3"/>
          <w:numId w:val="1"/>
        </w:numPr>
        <w:rPr/>
      </w:pPr>
      <w:bookmarkStart w:id="314" w:name="__RefHeading___Toc2367304_1051229030"/>
      <w:bookmarkStart w:id="315" w:name="_Toc116"/>
      <w:bookmarkEnd w:id="314"/>
      <w:r>
        <w:rPr/>
        <w:t>1</w:t>
      </w:r>
      <w:r>
        <w:rPr>
          <w:rtl w:val="true"/>
        </w:rPr>
        <w:t xml:space="preserve">. </w:t>
      </w:r>
      <w:r>
        <w:rPr>
          <w:rtl w:val="true"/>
        </w:rPr>
        <w:t>حاكم مدينه ى فاضله</w:t>
      </w:r>
      <w:bookmarkEnd w:id="315"/>
    </w:p>
    <w:p>
      <w:pPr>
        <w:pStyle w:val="BookText"/>
        <w:rPr/>
      </w:pPr>
      <w:r>
        <w:rPr>
          <w:rFonts w:ascii="IRNazanin" w:hAnsi="IRNazanin" w:eastAsia="IRNazanin"/>
          <w:color w:val="111111"/>
          <w:sz w:val="28"/>
          <w:sz w:val="28"/>
          <w:szCs w:val="28"/>
          <w:rtl w:val="true"/>
          <w:lang w:bidi="fa-IR"/>
        </w:rPr>
        <w:t>حاكم مدينه ى فاضله ى اسلامى، پيشوايى است معصوم و پاك و منزه از هر عيب و نقصى از قبيل دروغ، خشم، خودخواهى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متصل به عالم ملكوتى و جمله ى عملكردهايش برگرفته از جانب خداوند متعال است و از اين رو صلاح مردمان را بهتر از خودشان مى داند</w:t>
      </w:r>
      <w:r>
        <w:rPr>
          <w:rFonts w:eastAsia="IRNazanin" w:cs="IRNazanin"/>
          <w:color w:val="111111"/>
          <w:sz w:val="28"/>
          <w:szCs w:val="28"/>
          <w:rtl w:val="true"/>
          <w:lang w:bidi="fa-IR"/>
        </w:rPr>
        <w:t>.</w:t>
      </w:r>
    </w:p>
    <w:p>
      <w:pPr>
        <w:pStyle w:val="Heading4"/>
        <w:numPr>
          <w:ilvl w:val="3"/>
          <w:numId w:val="1"/>
        </w:numPr>
        <w:rPr/>
      </w:pPr>
      <w:bookmarkStart w:id="316" w:name="__RefHeading___Toc2367306_1051229030"/>
      <w:bookmarkStart w:id="317" w:name="_Toc117"/>
      <w:bookmarkEnd w:id="316"/>
      <w:r>
        <w:rPr/>
        <w:t>2</w:t>
      </w:r>
      <w:r>
        <w:rPr>
          <w:rtl w:val="true"/>
        </w:rPr>
        <w:t xml:space="preserve">. </w:t>
      </w:r>
      <w:r>
        <w:rPr>
          <w:rtl w:val="true"/>
        </w:rPr>
        <w:t>حاكميت توحيد</w:t>
      </w:r>
      <w:bookmarkEnd w:id="317"/>
    </w:p>
    <w:p>
      <w:pPr>
        <w:pStyle w:val="BookText"/>
        <w:rPr/>
      </w:pPr>
      <w:r>
        <w:rPr>
          <w:rFonts w:ascii="Amiri" w:hAnsi="Amiri" w:eastAsia="Amiri" w:cs="Amiri"/>
          <w:color w:val="111111"/>
          <w:sz w:val="28"/>
          <w:sz w:val="28"/>
          <w:szCs w:val="28"/>
          <w:rtl w:val="true"/>
          <w:lang w:bidi="ar-SA"/>
        </w:rPr>
        <w:t>يكى از مؤلفه هاى تشكيل دهنده ى حكومت جهانى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ظهور و تشكيل آن مدينه ى فاضله، حاكميت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قائم قيام كند، زمينى باقى نمى ماند مگر اين كه صداى شهادت به وحدانيت الهى و رسالت محمدى در آن طنين انداز مى شود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 چنين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يك حديث، به نقل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زمين را به وسيله ى آخرين از جانشينان تو چنان پاك گردانم و او را بر شرق و غرب عالم چنان مالكيت دهم و با سپاهيانم چنان وى را يارى دهم كه همه ى مردم بر </w:t>
      </w:r>
      <w:bookmarkStart w:id="318" w:name="pg10696_94928"/>
    </w:p>
    <w:p>
      <w:pPr>
        <w:pStyle w:val="BookText"/>
        <w:rPr/>
      </w:pPr>
      <w:bookmarkEnd w:id="318"/>
      <w:r>
        <w:rPr>
          <w:rFonts w:ascii="IRNazanin" w:hAnsi="IRNazanin" w:eastAsia="IRNazanin"/>
          <w:color w:val="111111"/>
          <w:sz w:val="28"/>
          <w:sz w:val="28"/>
          <w:szCs w:val="28"/>
          <w:rtl w:val="true"/>
          <w:lang w:bidi="fa-IR"/>
        </w:rPr>
        <w:t>يگانگى من گواهى دهند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319" w:name="__RefHeading___Toc2367308_1051229030"/>
      <w:bookmarkStart w:id="320" w:name="_Toc118"/>
      <w:bookmarkEnd w:id="319"/>
      <w:r>
        <w:rPr/>
        <w:t>3</w:t>
      </w:r>
      <w:r>
        <w:rPr>
          <w:rtl w:val="true"/>
        </w:rPr>
        <w:t xml:space="preserve">. </w:t>
      </w:r>
      <w:r>
        <w:rPr>
          <w:rtl w:val="true"/>
        </w:rPr>
        <w:t>عدالت محورى</w:t>
      </w:r>
      <w:bookmarkEnd w:id="320"/>
    </w:p>
    <w:p>
      <w:pPr>
        <w:pStyle w:val="Heading5"/>
        <w:numPr>
          <w:ilvl w:val="4"/>
          <w:numId w:val="1"/>
        </w:numPr>
        <w:rPr/>
      </w:pPr>
      <w:bookmarkStart w:id="321" w:name="__RefHeading___Toc2367310_1051229030"/>
      <w:bookmarkStart w:id="322" w:name="_Toc11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از جمله مقوّمات و مؤلفه هاى حكومت جهانى مصلح موعود، عدالت گسترى در سراسر جهان است و ابعاد گوناگونى دارد كه به صورت اجمال به آنها مى پردازيم</w:t>
      </w:r>
      <w:r>
        <w:rPr>
          <w:rFonts w:eastAsia="IRNazanin" w:cs="IRNazanin"/>
          <w:color w:val="111111"/>
          <w:sz w:val="28"/>
          <w:szCs w:val="28"/>
          <w:rtl w:val="true"/>
          <w:lang w:bidi="fa-IR"/>
        </w:rPr>
        <w:t>:</w:t>
      </w:r>
    </w:p>
    <w:p>
      <w:pPr>
        <w:pStyle w:val="Heading5"/>
        <w:numPr>
          <w:ilvl w:val="4"/>
          <w:numId w:val="1"/>
        </w:numPr>
        <w:rPr/>
      </w:pPr>
      <w:bookmarkStart w:id="323" w:name="__RefHeading___Toc2367312_1051229030"/>
      <w:bookmarkStart w:id="324" w:name="_Toc120"/>
      <w:bookmarkEnd w:id="323"/>
      <w:r>
        <w:rPr>
          <w:rtl w:val="true"/>
        </w:rPr>
        <w:t>الف</w:t>
      </w:r>
      <w:r>
        <w:rPr>
          <w:rtl w:val="true"/>
        </w:rPr>
        <w:t xml:space="preserve">) </w:t>
      </w:r>
      <w:r>
        <w:rPr>
          <w:rtl w:val="true"/>
        </w:rPr>
        <w:t>عدالت اقتصادى</w:t>
      </w:r>
      <w:bookmarkEnd w:id="324"/>
    </w:p>
    <w:p>
      <w:pPr>
        <w:pStyle w:val="BookText"/>
        <w:rPr/>
      </w:pPr>
      <w:r>
        <w:rPr>
          <w:rFonts w:ascii="IRNazanin" w:hAnsi="IRNazanin" w:eastAsia="IRNazanin"/>
          <w:color w:val="111111"/>
          <w:sz w:val="28"/>
          <w:sz w:val="28"/>
          <w:szCs w:val="28"/>
          <w:rtl w:val="true"/>
          <w:lang w:bidi="fa-IR"/>
        </w:rPr>
        <w:t>نابرابرى ها در تقسيم و توزيع ثروت هاى ممالك، همواره از مصاديق ظلم بوده و سبب گرديده است در طول تاريخ غبار محروميت ها بر افراد بسيارى بنشيند و در عوض ديگران ناعادلانه از آنها بهره ببرند و شكاف هاى طبقاتى عميق تر شوند، اما در مدينه ى فاضله ى مهدوى جايى براى اين نابرابرى نيست و ثروت هاى زمين و اموال ملى به صورت عادلانه بين مردم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قيام كند، اموال را به صورت مساوى بين مردم تقسيم مى كند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 چنين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بشارتتان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آسمان و زمين از او خشنود خواهند بود، او مال را به نحو صحيح تقسيم مى كند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صحيح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همه مساوى</w:t>
      </w:r>
      <w:r>
        <w:rPr>
          <w:rFonts w:eastAsia="IRNazanin" w:cs="IRNazanin"/>
          <w:color w:val="111111"/>
          <w:sz w:val="28"/>
          <w:szCs w:val="28"/>
          <w:rtl w:val="true"/>
          <w:lang w:bidi="fa-IR"/>
        </w:rPr>
        <w:t>.</w:t>
      </w:r>
      <w:r>
        <w:rPr>
          <w:rStyle w:val="FootnoteAnchor"/>
          <w:rtl w:val="true"/>
        </w:rPr>
        <w:footnoteReference w:id="291"/>
      </w:r>
      <w:bookmarkStart w:id="325" w:name="pg10696_94929"/>
    </w:p>
    <w:p>
      <w:pPr>
        <w:pStyle w:val="Heading5"/>
        <w:numPr>
          <w:ilvl w:val="4"/>
          <w:numId w:val="1"/>
        </w:numPr>
        <w:rPr/>
      </w:pPr>
      <w:bookmarkStart w:id="326" w:name="__RefHeading___Toc2367314_1051229030"/>
      <w:bookmarkStart w:id="327" w:name="_Toc121"/>
      <w:bookmarkEnd w:id="325"/>
      <w:bookmarkEnd w:id="326"/>
      <w:r>
        <w:rPr>
          <w:rtl w:val="true"/>
        </w:rPr>
        <w:t>ب</w:t>
      </w:r>
      <w:r>
        <w:rPr>
          <w:rtl w:val="true"/>
        </w:rPr>
        <w:t xml:space="preserve">) </w:t>
      </w:r>
      <w:r>
        <w:rPr>
          <w:rtl w:val="true"/>
        </w:rPr>
        <w:t>عدالت قضايى</w:t>
      </w:r>
      <w:bookmarkEnd w:id="327"/>
    </w:p>
    <w:p>
      <w:pPr>
        <w:pStyle w:val="BookText"/>
        <w:rPr/>
      </w:pPr>
      <w:r>
        <w:rPr>
          <w:rFonts w:ascii="IRNazanin" w:hAnsi="IRNazanin" w:eastAsia="IRNazanin"/>
          <w:color w:val="111111"/>
          <w:sz w:val="28"/>
          <w:sz w:val="28"/>
          <w:szCs w:val="28"/>
          <w:rtl w:val="true"/>
          <w:lang w:bidi="fa-IR"/>
        </w:rPr>
        <w:t>رمز موفقيت هر حكومتى در گسترش عدالت، به شيوه ى قضاوت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قضاوت ها پسنديده صورت گيرد، حق مظلومان از ظالمان ستانده مى شود، حدود الهى جارى مى شوند و امنيت عمومى جامعه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حاكميت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عدالت محور حكومت است، قضاوت ها به بهترين وجه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آل محمد قيام كند، در بين مردم، طبق قضاوت داود حكم صادر مى كند و احتياجى به دليل ظاهرى پيدا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واقعى را به او الهام مى كند و آن حضرت بر طبق آن حكم صادر مى نمايد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از روايات ديگرى استفاده مى شود كه حضرتش آن چنان قاطعانه حكم مى كند كه حتى اگر حق كسى زير دندان ديگرى باشد، آن را بيرون كشيده، به صاحبش بازمى گرداند</w:t>
      </w:r>
      <w:r>
        <w:rPr>
          <w:rFonts w:eastAsia="IRNazanin" w:cs="IRNazanin"/>
          <w:color w:val="111111"/>
          <w:sz w:val="28"/>
          <w:szCs w:val="28"/>
          <w:rtl w:val="true"/>
          <w:lang w:bidi="fa-IR"/>
        </w:rPr>
        <w:t>.</w:t>
      </w:r>
    </w:p>
    <w:p>
      <w:pPr>
        <w:pStyle w:val="Heading4"/>
        <w:numPr>
          <w:ilvl w:val="3"/>
          <w:numId w:val="1"/>
        </w:numPr>
        <w:rPr/>
      </w:pPr>
      <w:bookmarkStart w:id="328" w:name="__RefHeading___Toc2367316_1051229030"/>
      <w:bookmarkStart w:id="329" w:name="_Toc122"/>
      <w:bookmarkEnd w:id="328"/>
      <w:r>
        <w:rPr/>
        <w:t>4</w:t>
      </w:r>
      <w:r>
        <w:rPr>
          <w:rtl w:val="true"/>
        </w:rPr>
        <w:t xml:space="preserve">. </w:t>
      </w:r>
      <w:r>
        <w:rPr>
          <w:rtl w:val="true"/>
        </w:rPr>
        <w:t>رفاه و آسايش</w:t>
      </w:r>
      <w:bookmarkEnd w:id="329"/>
    </w:p>
    <w:p>
      <w:pPr>
        <w:pStyle w:val="BookText"/>
        <w:rPr/>
      </w:pPr>
      <w:r>
        <w:rPr>
          <w:rFonts w:ascii="IRNazanin" w:hAnsi="IRNazanin" w:eastAsia="IRNazanin"/>
          <w:color w:val="111111"/>
          <w:sz w:val="28"/>
          <w:sz w:val="28"/>
          <w:szCs w:val="28"/>
          <w:rtl w:val="true"/>
          <w:lang w:bidi="fa-IR"/>
        </w:rPr>
        <w:t>ره آورد عدالت اقتصادى و قضايى و در عرض آن، بركت هاى آسمانى براى مردم، رفاه و آسايش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مدينه ى فاضله همه ى مردم به دور از فقر و نياز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زمان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رفاه و نعمتى دست مى يابند كه پيش از آن در </w:t>
      </w:r>
      <w:bookmarkStart w:id="330" w:name="pg10696_94930"/>
    </w:p>
    <w:p>
      <w:pPr>
        <w:pStyle w:val="BookText"/>
        <w:rPr/>
      </w:pPr>
      <w:bookmarkEnd w:id="330"/>
      <w:r>
        <w:rPr>
          <w:rFonts w:ascii="IRNazanin" w:hAnsi="IRNazanin" w:eastAsia="IRNazanin"/>
          <w:color w:val="111111"/>
          <w:sz w:val="28"/>
          <w:sz w:val="28"/>
          <w:szCs w:val="28"/>
          <w:rtl w:val="true"/>
          <w:lang w:bidi="fa-IR"/>
        </w:rPr>
        <w:t>هيچ دوره اى دست نيافته بودند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از اهل بيت من خروج مى كند، از آسمان بر او بركت نازل مى شود و زمين بركت هاى خود را براى او بيرون مى دهد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گفتنى است اصولا بركات، شامل هر خير كثيرى از قبيل امنيت، آسايش، سلامتى، مال و اولاد است كه غالباً انسان با فقدان آنها آزمايش مى شود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31" w:name="__RefHeading___Toc2367318_1051229030"/>
      <w:bookmarkStart w:id="332" w:name="_Toc123"/>
      <w:bookmarkEnd w:id="331"/>
      <w:r>
        <w:rPr/>
        <w:t>5</w:t>
      </w:r>
      <w:r>
        <w:rPr>
          <w:rtl w:val="true"/>
        </w:rPr>
        <w:t xml:space="preserve">. </w:t>
      </w:r>
      <w:r>
        <w:rPr>
          <w:rtl w:val="true"/>
        </w:rPr>
        <w:t>امنيت</w:t>
      </w:r>
      <w:bookmarkEnd w:id="332"/>
    </w:p>
    <w:p>
      <w:pPr>
        <w:pStyle w:val="BookText"/>
        <w:rPr/>
      </w:pPr>
      <w:r>
        <w:rPr>
          <w:rFonts w:ascii="IRNazanin" w:hAnsi="IRNazanin" w:eastAsia="IRNazanin"/>
          <w:color w:val="111111"/>
          <w:sz w:val="28"/>
          <w:sz w:val="28"/>
          <w:szCs w:val="28"/>
          <w:rtl w:val="true"/>
          <w:lang w:bidi="fa-IR"/>
        </w:rPr>
        <w:t>ترديدى نيست كه از برترين نعمت ها و دستاوردهاى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است كه توسط آن حضرت به بشريت اهدا مى شود، اين مؤلفه از ويژگى هاى اساسى مدينه ى فاضله 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در تفسير آيه 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نور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وعده ى جميل و زيبايى است براى مؤمنان كه عمل صالح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مى دهد كه به زودى جامعه ى صالحى مخصوص به خودشان برايشان درست مى كند و زمين را در اختيارشان مى گذارد و دينشان را در زمين متمكن مى سازد و امنيت را جاى گزين ترسى كه داشتند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 كه ديگر از منافقين و كيد آنان، و از كفار و جلوگيرى هايشان بيمى نداشته باشند، خداى را آزادانه عبادت كنند و چيزى را شريك او قرار ندهند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عدالت خاستگاه امنيت است و عدالت گسترى آن حضرت سبب مى گردد كه مردم </w:t>
      </w:r>
      <w:bookmarkStart w:id="333" w:name="pg10696_94931"/>
    </w:p>
    <w:p>
      <w:pPr>
        <w:pStyle w:val="BookText"/>
        <w:rPr/>
      </w:pPr>
      <w:bookmarkEnd w:id="333"/>
      <w:r>
        <w:rPr>
          <w:rFonts w:ascii="Amiri" w:hAnsi="Amiri" w:eastAsia="Amiri" w:cs="Amiri"/>
          <w:color w:val="111111"/>
          <w:sz w:val="28"/>
          <w:sz w:val="28"/>
          <w:szCs w:val="28"/>
          <w:rtl w:val="true"/>
          <w:lang w:bidi="ar-SA"/>
        </w:rPr>
        <w:t>آن عصر در امنيت كامل به سر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ما قيام كند، درندگان و حيوانات اهلى با هم آشتى مى كنند، به طورى كه زنى از عراق به شام مى رود بدون آن كه درنده اى او را بترساند يا از آن حيوان بترسد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334" w:name="__RefHeading___Toc2367320_1051229030"/>
      <w:bookmarkStart w:id="335" w:name="_Toc124"/>
      <w:bookmarkEnd w:id="334"/>
      <w:r>
        <w:rPr/>
        <w:t>6</w:t>
      </w:r>
      <w:r>
        <w:rPr>
          <w:rtl w:val="true"/>
        </w:rPr>
        <w:t xml:space="preserve">. </w:t>
      </w:r>
      <w:r>
        <w:rPr>
          <w:rtl w:val="true"/>
        </w:rPr>
        <w:t>شكوفايى علم و دانش</w:t>
      </w:r>
      <w:bookmarkEnd w:id="335"/>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آنچه پيامبران آورده اند، تنها دو حرف آن است و مردم تاكنون دو حرف را ياد گرفته اند، اما زمانى كه قائم ما قيام كند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ديگر آن را بيرون مى آورد و ميان مردم گسترش مى دهد و آن دو حرف ديگر را ضميمه 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مى كند تا اين كه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نشر مى دهد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اين روايت و روايات مشابه آن حاكى از گسترش و تكامل علم در عصر ظهور است كه البته اين نتيجه ى به كمال رسيدن عقول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ما قيام كند، دستش را بر سر بندگان مى گذارد و بدان وسيله عقل هاى آنان را جمع و افكارشان را كامل مى كند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مباحث فوق، ترديدى نيست در اين كه مصداق مدينه ى فاضله اى كه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با تكيه بر سنت و كتاب آن را معرفى نموده است با آنچه حاصل مخيلات فيلسوفان است تفاوت ماهوى دارد و علت غايى در اين مدينه، سعادت و كمال دنيوى و اخروى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ديگر مدينه هاى فاضله تنها بر سعادت دنيوى بشر و رفاه اين دنيايى او تكيه شده است كه در اين نوشتار مجال پرداختن به تفاوت هاى آنان نيست</w:t>
      </w:r>
      <w:r>
        <w:rPr>
          <w:rFonts w:eastAsia="IRNazanin" w:cs="IRNazanin"/>
          <w:color w:val="111111"/>
          <w:sz w:val="28"/>
          <w:szCs w:val="28"/>
          <w:rtl w:val="true"/>
          <w:lang w:bidi="fa-IR"/>
        </w:rPr>
        <w:t xml:space="preserve">. </w:t>
      </w:r>
      <w:bookmarkStart w:id="336" w:name="pg10696_94933"/>
    </w:p>
    <w:p>
      <w:pPr>
        <w:pStyle w:val="Heading2"/>
        <w:numPr>
          <w:ilvl w:val="1"/>
          <w:numId w:val="1"/>
        </w:numPr>
        <w:rPr/>
      </w:pPr>
      <w:bookmarkStart w:id="337" w:name="__RefHeading___Toc2367322_1051229030"/>
      <w:bookmarkStart w:id="338" w:name="_Toc125"/>
      <w:bookmarkEnd w:id="336"/>
      <w:bookmarkEnd w:id="337"/>
      <w:r>
        <w:rPr>
          <w:rtl w:val="true"/>
        </w:rPr>
        <w:t>اديان و مذاهب</w:t>
      </w:r>
      <w:bookmarkEnd w:id="338"/>
    </w:p>
    <w:p>
      <w:pPr>
        <w:pStyle w:val="Heading3"/>
        <w:numPr>
          <w:ilvl w:val="2"/>
          <w:numId w:val="1"/>
        </w:numPr>
        <w:rPr/>
      </w:pPr>
      <w:bookmarkStart w:id="339" w:name="__RefHeading___Toc2367324_1051229030"/>
      <w:bookmarkStart w:id="340" w:name="_Toc126"/>
      <w:bookmarkEnd w:id="339"/>
      <w:r>
        <w:rPr>
          <w:rtl w:val="true"/>
        </w:rPr>
        <w:t>اشاره</w:t>
      </w:r>
      <w:bookmarkEnd w:id="3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تصوّف </w:t>
      </w:r>
    </w:p>
    <w:p>
      <w:pPr>
        <w:pStyle w:val="BookText"/>
        <w:rPr/>
      </w:pPr>
      <w:r>
        <w:rPr>
          <w:rFonts w:ascii="IRNazanin" w:hAnsi="IRNazanin" w:eastAsia="IRNazanin"/>
          <w:color w:val="111111"/>
          <w:sz w:val="28"/>
          <w:sz w:val="28"/>
          <w:szCs w:val="28"/>
          <w:rtl w:val="true"/>
          <w:lang w:bidi="fa-IR"/>
        </w:rPr>
        <w:t>اگر تشيع عبارت است از قبول ولايت، آيا مترادف با تصوف نيست؟</w:t>
      </w:r>
    </w:p>
    <w:p>
      <w:pPr>
        <w:pStyle w:val="BookText"/>
        <w:rPr/>
      </w:pPr>
      <w:r>
        <w:rPr>
          <w:rFonts w:ascii="Amiri" w:hAnsi="Amiri" w:eastAsia="Amiri" w:cs="Amiri"/>
          <w:color w:val="111111"/>
          <w:sz w:val="28"/>
          <w:sz w:val="28"/>
          <w:szCs w:val="28"/>
          <w:rtl w:val="true"/>
          <w:lang w:bidi="ar-SA"/>
        </w:rPr>
        <w:t>حميد الله رفيعى</w:t>
      </w:r>
    </w:p>
    <w:p>
      <w:pPr>
        <w:pStyle w:val="BookText"/>
        <w:rPr/>
      </w:pPr>
      <w:r>
        <w:rPr>
          <w:rFonts w:ascii="IRNazanin" w:hAnsi="IRNazanin" w:eastAsia="IRNazanin"/>
          <w:color w:val="111111"/>
          <w:sz w:val="28"/>
          <w:sz w:val="28"/>
          <w:szCs w:val="28"/>
          <w:rtl w:val="true"/>
          <w:lang w:bidi="fa-IR"/>
        </w:rPr>
        <w:t>تصوف و عرفان چه رابطه اى با هم دارند و چرا بسيارى از بزرگان شيعه را صوفى نمى شمارند؟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الله ضیائی </w:t>
      </w:r>
      <w:bookmarkStart w:id="341" w:name="pg10696_94935"/>
    </w:p>
    <w:p>
      <w:pPr>
        <w:pStyle w:val="Heading3"/>
        <w:numPr>
          <w:ilvl w:val="2"/>
          <w:numId w:val="1"/>
        </w:numPr>
        <w:rPr/>
      </w:pPr>
      <w:bookmarkStart w:id="342" w:name="__RefHeading___Toc2367326_1051229030"/>
      <w:bookmarkStart w:id="343" w:name="_Toc127"/>
      <w:bookmarkEnd w:id="341"/>
      <w:bookmarkEnd w:id="342"/>
      <w:r>
        <w:rPr>
          <w:rtl w:val="true"/>
        </w:rPr>
        <w:t>مذاهب</w:t>
      </w:r>
      <w:bookmarkEnd w:id="3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صوفيان براى اعتبار بخشيدن و قداست دادن به مكتب تصوّف، شعار ولايت را مستمسك خود قرار داده و آن را منحصر در عشق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كار به اغراق گراييده و سعى كرده اند چنان وانمود كنند كه گويا اوليا و اقطاب آنان برتر و كارآمدتر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اهرم عرفان، اعمال و رسومات خانقاهى شان را به نام دين و تشيع توجيه مى نمايند و زمينه هاى انحراف در عقايد و رفتار برخى از مردم را فراهم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شايد بهترين راه، جهت روشن شدن مرز عقايد صحيح و سقيم و از بين رفتن بسترهاى انحراف معرفى شفاف و به دور از ابهام عقايد اين گروه باشد</w:t>
      </w:r>
      <w:r>
        <w:rPr>
          <w:rFonts w:eastAsia="IRNazanin" w:cs="IRNazanin"/>
          <w:color w:val="111111"/>
          <w:sz w:val="28"/>
          <w:szCs w:val="28"/>
          <w:rtl w:val="true"/>
          <w:lang w:bidi="fa-IR"/>
        </w:rPr>
        <w:t xml:space="preserve">. </w:t>
      </w:r>
      <w:bookmarkStart w:id="344" w:name="pg10696_94936"/>
    </w:p>
    <w:p>
      <w:pPr>
        <w:pStyle w:val="Heading3"/>
        <w:numPr>
          <w:ilvl w:val="2"/>
          <w:numId w:val="1"/>
        </w:numPr>
        <w:rPr/>
      </w:pPr>
      <w:bookmarkStart w:id="345" w:name="__RefHeading___Toc2367328_1051229030"/>
      <w:bookmarkStart w:id="346" w:name="_Toc128"/>
      <w:bookmarkEnd w:id="344"/>
      <w:bookmarkEnd w:id="345"/>
      <w:r>
        <w:rPr>
          <w:rtl w:val="true"/>
        </w:rPr>
        <w:t>اگر تشيع عبارت است از قبول ولايت، آيا مترادف با تصوف نيست؟</w:t>
      </w:r>
      <w:bookmarkEnd w:id="346"/>
    </w:p>
    <w:p>
      <w:pPr>
        <w:pStyle w:val="BookText"/>
        <w:rPr/>
      </w:pPr>
      <w:r>
        <w:rPr>
          <w:rFonts w:ascii="Amiri" w:hAnsi="Amiri" w:eastAsia="Amiri" w:cs="Amiri"/>
          <w:color w:val="111111"/>
          <w:sz w:val="28"/>
          <w:sz w:val="28"/>
          <w:szCs w:val="28"/>
          <w:rtl w:val="true"/>
          <w:lang w:bidi="ar-SA"/>
        </w:rPr>
        <w:t>حميد الله رفيعى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صوفيه همانند شيعيان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 به ولايت و وجود ولى در عالم اند و مى گويند هرگز عالم از اين كاملان خالى نيست و به بركت ايشان بلايا از خلق عالم مندفع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مسئله باعث شده كه پنداشته شود تصوف و تشيّع مترادف يا عين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سيد حيدر آملى گفته است كه شيعه اى كه صوفى نباشد شيعه نيست و صوفى اى كه شيعه نباشد صوفى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مسئله ى ولايت بين تشيع و تصوف تفاوت عميقى وجود دارد و براى روشن شدن اين تفاوت و افتراق، بيان مسائل زير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براى ولايت معانى متعددى از قبيل قرب، محبت، نصرت، ربوبيت، حق تصرف و امثال اين ها ذكر شده، لكن معنايى كه راغب در مفردات براى ولايت ذكر نموده است جامع ترين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و التوالى به اين معناست كه دو چيز يا بيشتر از آن، طورى در كنار هم قرار بگيرند كه چيز ديگرى بين آنها فاصله نباشد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در تمام معانى ديگرى كه براى ولا و ولايت ذكر شده به نحوى وجود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مسئله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اصطلاح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شيعه از ولايت معانى مختلفى اراده مى شود كه نياز به توضيح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مطهرى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ولا و ولايت در كتاب ولاءها و ولايتها اقسامى ذكر كرده است و ما هم بحث را بر اساس همين تقسيمات مطرح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يكى از ولايت ها ولايت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آن ولايت از مسلمانان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مسلمانان نبايد دوستى و سرپرستى غيرمسلمان را بپذيرند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ولى احسان و نيكى به آنان در عين حالى كه دوستى و سرپرستى آنان را نمى پذيرد، از نظر اسلام مانعى ندارد، چون اسلام به بشردوستى اهميت خاصى مى دهد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اين ولايت اختصاص به شيعه ندارد و همه ى مسلمين در اين مسئله با هم متحدند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اثباتى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ولاى اثباتى عام و ديگرى ولاى اثباتى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اثباتى عام به ولايى گفته مى شود كه به همه ى افراد جامعه ى اسلامى تعلّق مى گيرد و اختصاص به فرد و يا طبقه ى خاصى ندارد و آن به اين معناست كه براى همه ى افراد جامعه ى اسلامى ولاى دوستى و قرابت ثابت است و بر همديگر در مورد امر به معروف و نهى از منكر ولايت دارند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اين قسم ولايت نيز اختصاص به شيعه ندارد و همه ى مسلمين آن را قبول دارند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ولاى خاص اثباتى با تمام اقسامش، اختصاص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يعنى مسلمانان مكلّف اند كه از حيث اعتقاد و عمل، اين ولاها را درباره ى آنان رعايت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ولا داراى اقسام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ولاى محبّت يا ولاى قرابت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ولا، دوستى و محبّت اهل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قرآن كريم آيه ى مودّت دلالت صريحى بر وجوب اين محبت و دوستى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بگو بر رسالتم چيزى از شما نمى خواهم جز دوستى اقربا و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 ولا، همه ى مسلمين با هم اتحاد دارند و محبّت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 اهل بيت رافضى است، پس اى جن و انس شهادت بدهيد كه من رافضى هستم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نيز در شعر معروف خود وجوب دوستى اهل بيت را به صراحت مطرح نموده است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زمخشرى نيز در ذيل آيه ى مودّت روايات متعددى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دوستى و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 ولايى است كه اگر از طرف خداوند به هر كسى داده شود، پيروى مردم در امور دينى از او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شيعه، اين ولايت بعد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امامان معصوم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و مرجعيت دينى بعد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گرديده است، مگر اين كه از طرف آنان</w:t>
      </w:r>
    </w:p>
    <w:p>
      <w:pPr>
        <w:pStyle w:val="BookText"/>
        <w:rPr/>
      </w:pPr>
      <w:r>
        <w:rPr>
          <w:rFonts w:ascii="IRNazanin" w:hAnsi="IRNazanin" w:eastAsia="IRNazanin"/>
          <w:color w:val="111111"/>
          <w:sz w:val="28"/>
          <w:sz w:val="28"/>
          <w:szCs w:val="28"/>
          <w:rtl w:val="true"/>
          <w:lang w:bidi="fa-IR"/>
        </w:rPr>
        <w:t>نايبى در اين مسئله معين گردد و حديث ثقلين</w:t>
      </w:r>
      <w:r>
        <w:rPr>
          <w:rStyle w:val="FootnoteAnchor"/>
          <w:rtl w:val="true"/>
        </w:rPr>
        <w:footnoteReference w:id="309"/>
      </w:r>
      <w:r>
        <w:rPr>
          <w:rFonts w:ascii="Amiri" w:hAnsi="Amiri" w:eastAsia="Amiri" w:cs="Amiri"/>
          <w:color w:val="111111"/>
          <w:sz w:val="28"/>
          <w:sz w:val="28"/>
          <w:szCs w:val="28"/>
          <w:rtl w:val="true"/>
          <w:lang w:bidi="ar-SA"/>
        </w:rPr>
        <w:t>و آيه ى تطهير</w:t>
      </w:r>
      <w:r>
        <w:rPr>
          <w:rStyle w:val="FootnoteAnchor"/>
          <w:rtl w:val="true"/>
        </w:rPr>
        <w:footnoteReference w:id="310"/>
      </w:r>
      <w:r>
        <w:rPr>
          <w:rFonts w:ascii="IRNazanin" w:hAnsi="IRNazanin" w:eastAsia="IRNazanin"/>
          <w:color w:val="111111"/>
          <w:sz w:val="28"/>
          <w:sz w:val="28"/>
          <w:szCs w:val="28"/>
          <w:rtl w:val="true"/>
          <w:lang w:bidi="fa-IR"/>
        </w:rPr>
        <w:t>و آيات و روايات متعدد ديگر بر حقانيت اين عقيده ى شيعه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ولاى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زعامت عبارت است از رهبرى اجتماعى و سياسى جامعه ى اسلامى كه به عقيده ى شيعه بعد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گرديده و با آيات متعددى، از قبيل آيه ى اطاعت</w:t>
      </w:r>
      <w:r>
        <w:rPr>
          <w:rStyle w:val="FootnoteAnchor"/>
          <w:rtl w:val="true"/>
        </w:rPr>
        <w:footnoteReference w:id="311"/>
      </w:r>
      <w:r>
        <w:rPr>
          <w:rFonts w:ascii="Amiri" w:hAnsi="Amiri" w:eastAsia="Amiri" w:cs="Amiri"/>
          <w:color w:val="111111"/>
          <w:sz w:val="28"/>
          <w:sz w:val="28"/>
          <w:szCs w:val="28"/>
          <w:rtl w:val="true"/>
          <w:lang w:bidi="ar-SA"/>
        </w:rPr>
        <w:t>و آيه ى ولايت</w:t>
      </w:r>
      <w:r>
        <w:rPr>
          <w:rStyle w:val="FootnoteAnchor"/>
          <w:rtl w:val="true"/>
        </w:rPr>
        <w:footnoteReference w:id="312"/>
      </w:r>
      <w:r>
        <w:rPr>
          <w:rFonts w:ascii="IRNazanin" w:hAnsi="IRNazanin" w:eastAsia="IRNazanin"/>
          <w:color w:val="111111"/>
          <w:sz w:val="28"/>
          <w:sz w:val="28"/>
          <w:szCs w:val="28"/>
          <w:rtl w:val="true"/>
          <w:lang w:bidi="fa-IR"/>
        </w:rPr>
        <w:t>بر مدعا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ولاى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 برخلاف ولايت هاى سه گانه ى فوق كه تشريعى و قراردادى اند، ولاى تكوينى و بالاترين مرحله ى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شيعه، بعد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اين ولايت فقط نفس پاك انسان كامل است و انسان كامل هم منحصر در حجج الله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حامل اين ولايت، كه انسان كامل و معصوم است، داراى نفوذ غيبى بر جهان و انسان و ناظر بر ارواح، نفوس، قلب ها و اعمال است</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اين كه اين ولايت اكتسابى است يا خدادادى در اين جا مجالى براى بيان آن نيست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ولاى امامت، زعامت و تصرف مختص عقايد شيعه است و ساير مسلمين به اين ولايت ها نسبت به ائمه ى دوازده گانه كه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تشيع اين ولايت هاى سه گانه از ستون دين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p>
    <w:p>
      <w:pPr>
        <w:pStyle w:val="BookText"/>
        <w:rPr/>
      </w:pPr>
      <w:r>
        <w:rPr>
          <w:rFonts w:ascii="IRNazanin" w:hAnsi="IRNazanin" w:eastAsia="IRNazanin"/>
          <w:color w:val="111111"/>
          <w:sz w:val="28"/>
          <w:sz w:val="28"/>
          <w:szCs w:val="28"/>
          <w:rtl w:val="true"/>
          <w:lang w:bidi="fa-IR"/>
        </w:rPr>
        <w:t>كه اسلام بر پنج چيز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كدام از اين ها آن قدر بها داده نشده است كه به ولايت داده شده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پس در مذهب تشيع، ولايت ائمه ى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جهت مرجعيت دينى، رهبرى سياسى و تصرف و نفوذ غيبى بر جهان و انسان ها از اصول عقايد دينى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ولايتى كه در نزد صوفيه مطرح است از جهات متعددى با ولايتى كه در عقايد شيعى مطرح است تفاوت ريشه اى دارد كه به برخى از آنها اشاره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در تصوف معنا و تعريف خاصى دارد كه هرگز بر معناى ولايت مطرح در تشيّع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صوفيه معتقدند مقام ولايت عبارت است از مرتبه ى فناى فى الله و ولى در اين مقام، در تجلّى احدى محو و مستهلك شده و به علت سكر و استغراقى كه بر او عارض مى شود، تابعيت و عبوديت به حسب صورت از او مرتفع مى گردد، اما از نظر معنا او عين تابع و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لذا به عقيده ى صوفيه، ولايت و مقام قدس متوقف بر ايمان است نه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پيداست كه هيچ كدام از اين معانى در ولايت شيعى راه ندارد، بلكه مقام ولايت در مذهب شيعه مقتضى عبوديت و تابعيت بهتر و بيشتر است و لذا</w:t>
      </w:r>
    </w:p>
    <w:p>
      <w:pPr>
        <w:pStyle w:val="BookText"/>
        <w:rPr/>
      </w:pPr>
      <w:r>
        <w:rPr>
          <w:rFonts w:ascii="IRNazanin" w:hAnsi="IRNazanin" w:eastAsia="IRNazanin"/>
          <w:color w:val="111111"/>
          <w:sz w:val="28"/>
          <w:sz w:val="28"/>
          <w:szCs w:val="28"/>
          <w:rtl w:val="true"/>
          <w:lang w:bidi="fa-IR"/>
        </w:rPr>
        <w:t>ولى و امام، با كمال هوشيارى و علم، بيانگر شريعت است، نه اين كه العياذ بالله در سكر و فنا به سر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در تصوّف داراى مراتب مختلف و هر مرتبه مشتمل بر تعداد مشخصى ولى</w:t>
      </w:r>
    </w:p>
    <w:p>
      <w:pPr>
        <w:pStyle w:val="BookText"/>
        <w:rPr/>
      </w:pPr>
      <w:r>
        <w:rPr>
          <w:rFonts w:ascii="Amiri" w:hAnsi="Amiri" w:eastAsia="Amiri" w:cs="Amiri"/>
          <w:color w:val="111111"/>
          <w:sz w:val="28"/>
          <w:sz w:val="28"/>
          <w:szCs w:val="28"/>
          <w:rtl w:val="true"/>
          <w:lang w:bidi="ar-SA"/>
        </w:rPr>
        <w:t>است و بالاترين مرتبه ى ولايت اختصاص به قطب و دغوث دارد</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هر چند برخى از صوفيه به ولايت ائمه ى دوازده گانه به مذاق خودشان، بريده از امامت و رهبرى و ولايت تشريعى، هم سان با اقطاب خودشان قايل هستند و تنها فرقه ى ذهبيه با جعل ولايت كليه شمسيه و ولايت جزئيه ى قمريه سعى كرده اند كه بين ولايت ائمه ى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 تفاوت ايجاد كنند،</w:t>
      </w:r>
      <w:r>
        <w:rPr>
          <w:rStyle w:val="FootnoteAnchor"/>
          <w:rtl w:val="true"/>
        </w:rPr>
        <w:footnoteReference w:id="316"/>
      </w:r>
      <w:r>
        <w:rPr>
          <w:rFonts w:ascii="IRNazanin" w:hAnsi="IRNazanin" w:eastAsia="IRNazanin"/>
          <w:color w:val="111111"/>
          <w:sz w:val="28"/>
          <w:sz w:val="28"/>
          <w:szCs w:val="28"/>
          <w:rtl w:val="true"/>
          <w:lang w:bidi="fa-IR"/>
        </w:rPr>
        <w:t>لكن در مجموع اين عقيده ى آنان كاملا با آنچه در متون روايات شيعه ثابت است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تشيع ولايت به ائمه ى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 و هيچ كسى غير از آنان نمى تواند از اين مقام برخوردار باشد و درآميختن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ديگران، طبق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آميختن ايمان به ظلم و شرك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اعتقاد صوفيه، ولايت يك امر اكتسابى است كه با رياضت و انجام برنامه هاى صوفيانه براى هر كس در تحت تربيت و اشراف مرشد قابل دست رسى است</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اما ولايتى كه در تشيع مطرح است نمى تواند اكتسابى باشد، بلكه طبق مقتضاى حكمت خداوند به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شيعه آن طور كه بيان شد، ريشه در قرآن و روايات دارد، برخلاف ولايت صوفيه كه متكى بر ذوقيات و افكار شاعرانه است و هيچ پشتوانه اى قرآنى و روايى ندارد</w:t>
      </w:r>
      <w:r>
        <w:rPr>
          <w:rFonts w:eastAsia="IRNazanin" w:cs="IRNazanin"/>
          <w:color w:val="111111"/>
          <w:sz w:val="28"/>
          <w:szCs w:val="28"/>
          <w:rtl w:val="true"/>
          <w:lang w:bidi="fa-IR"/>
        </w:rPr>
        <w:t xml:space="preserve">. </w:t>
      </w:r>
      <w:bookmarkStart w:id="347" w:name="pg10696_94942"/>
    </w:p>
    <w:p>
      <w:pPr>
        <w:pStyle w:val="BookText"/>
        <w:rPr/>
      </w:pPr>
      <w:bookmarkEnd w:id="347"/>
      <w:r>
        <w:rPr>
          <w:rFonts w:ascii="IRNazanin" w:hAnsi="IRNazanin" w:eastAsia="IRNazanin"/>
          <w:color w:val="111111"/>
          <w:sz w:val="28"/>
          <w:sz w:val="28"/>
          <w:szCs w:val="28"/>
          <w:rtl w:val="true"/>
          <w:lang w:bidi="fa-IR"/>
        </w:rPr>
        <w:t>از مطالب فوق چنين نتيجه مى گيريم كه ولايت مطرح در نزد صوفيه، هيچ گونه سنخيتى با ولايتى كه شيعه به آن معتقد است ندارد و ثابت گرديد كه نه تنها تصوف و تشيع مترادف نيستند، بلكه از جهات مختلف تباين صريح بين آنها كاملا ظاهر و مشهود است</w:t>
      </w:r>
      <w:r>
        <w:rPr>
          <w:rFonts w:eastAsia="IRNazanin" w:cs="IRNazanin"/>
          <w:color w:val="111111"/>
          <w:sz w:val="28"/>
          <w:szCs w:val="28"/>
          <w:rtl w:val="true"/>
          <w:lang w:bidi="fa-IR"/>
        </w:rPr>
        <w:t>.</w:t>
      </w:r>
    </w:p>
    <w:p>
      <w:pPr>
        <w:pStyle w:val="Heading3"/>
        <w:numPr>
          <w:ilvl w:val="2"/>
          <w:numId w:val="1"/>
        </w:numPr>
        <w:rPr/>
      </w:pPr>
      <w:bookmarkStart w:id="348" w:name="__RefHeading___Toc2367330_1051229030"/>
      <w:bookmarkStart w:id="349" w:name="_Toc129"/>
      <w:bookmarkEnd w:id="348"/>
      <w:r>
        <w:rPr>
          <w:rtl w:val="true"/>
        </w:rPr>
        <w:t>تصوف و عرفان چه رابطه اى با هم دارند و چرا بسيارى از بزرگان شيعه را صوفى نمى شمارند؟</w:t>
      </w:r>
      <w:bookmarkEnd w:id="349"/>
    </w:p>
    <w:p>
      <w:pPr>
        <w:pStyle w:val="BookText"/>
        <w:rPr/>
      </w:pPr>
      <w:r>
        <w:rPr>
          <w:rFonts w:ascii="Amiri" w:hAnsi="Amiri" w:eastAsia="Amiri" w:cs="Amiri"/>
          <w:color w:val="111111"/>
          <w:sz w:val="28"/>
          <w:sz w:val="28"/>
          <w:szCs w:val="28"/>
          <w:rtl w:val="true"/>
          <w:lang w:bidi="ar-SA"/>
        </w:rPr>
        <w:t>رحمت الله ضيائى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در فرهنگ اسلامى به معناى شناختن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لغت نامه ها به معناى علم و دانش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جهت مفهوم، ميان علم و معرفت فرق است، از جمله اين كه معرفت، علم پس از جهل است و به همين جهت به خداوند، عالم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عارف زيرا علم خداوند ازلى است و مسبوق به جهل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تعيين اصل و ريشه ى كلمه ى تصوف و اشتقاق آن نظرهاى مختلفى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و صحيح ترين نظر اين است كه كلمه ى صوفى از صوف مشتق شده است</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زيرا صوفيه پشمينه پوش بودند و به همين دليل به تدريج به نام صوفى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ى رابطه ى عرفان و تصوف دو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تصوف از مصاديق و شعبه هاى عرفان و روش و طريقه اى است كه از سرچشمه ى عرفان فيض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صوفيه، مقام عارف را بالاتر و عالى تر از مقام صوفى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كتاب اسرار التوحيد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مظفر نوغانى به شيخ 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صوفيت نگويم و درويشت هم نگويم، بلكه عارفت گويم به كمال،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گويد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نيز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تصوف و عرفان فقط در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هرگاه با عنوان فرهنگى شان ياد شوند به عنوان عرفان و هرگاه به عنوان اجتماعى شان ياد شوند به عنوان متصوفه ياد مى 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نظر مى رسد اين نظريه صحيح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گروه در ابتداى پيدايش به تصوف معروف بود، سپس بعد از سال ها تطور و رشد، سرانجام به عرفان تغيير نمود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اما اين كه چرا بزرگان شيعه صوفى شمرده نمى شوند بدين دليل است كه پديده ى تصوف از اديان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بودايى، مسيحيت و حكماى يونان، به خصوص افكار و انديشه هاى نوافلاطونيان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جامعه ى اسلامى شده</w:t>
      </w:r>
      <w:r>
        <w:rPr>
          <w:rStyle w:val="FootnoteAnchor"/>
          <w:rtl w:val="true"/>
        </w:rPr>
        <w:footnoteReference w:id="323"/>
      </w:r>
      <w:r>
        <w:rPr>
          <w:rFonts w:ascii="IRNazanin" w:hAnsi="IRNazanin" w:eastAsia="IRNazanin"/>
          <w:color w:val="111111"/>
          <w:sz w:val="28"/>
          <w:sz w:val="28"/>
          <w:szCs w:val="28"/>
          <w:rtl w:val="true"/>
          <w:lang w:bidi="fa-IR"/>
        </w:rPr>
        <w:t>و هيچ رابطه اى با دين مقدس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در اسلام خود را صوفى معرفى نمود، ابوهاشم كوفى بود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او را مردود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ابوهاشم كوفى سؤال شد، امام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كوفى، جداً فاسد العقيده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از روى بدعت، مذهبى را اختراع كرد كه به آن تصوف گفته مى شود و آن را قرارگاه عقيده ى </w:t>
      </w:r>
    </w:p>
    <w:p>
      <w:pPr>
        <w:pStyle w:val="BookText"/>
        <w:rPr/>
      </w:pPr>
      <w:r>
        <w:rPr>
          <w:rFonts w:ascii="Amiri" w:hAnsi="Amiri" w:eastAsia="Amiri" w:cs="Amiri"/>
          <w:color w:val="111111"/>
          <w:sz w:val="28"/>
          <w:sz w:val="28"/>
          <w:szCs w:val="28"/>
          <w:rtl w:val="true"/>
          <w:lang w:bidi="ar-SA"/>
        </w:rPr>
        <w:t>خبيث خويش ساخت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قومى پيدا شده اند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آنها چه مى گوييد؟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 پس هر كس به آنان ميل كند از آنان است و با آنان محشور خواهد شد و به زودى كسانى پيدا مى شوند كه ضمن ادعاى محبت ما، به ايشان نيز تمايل نشان داده، خود را به ايشان تشبيه نموده، لقب آنان را برخود مى گذارند و گفتارشان را تأويل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به ايشان تمايل نشان دهد از ما نيست و ما از او بيزاريم، و هر كس آنان را رد كند مانند كسى است كه در حضور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جهاد كرده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اين روايت استفاده مى شود كه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نبوده و از آن زمان به بعد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جواب شخصى كه امام درباره ى صوفيه از ايشان سؤال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قايل به تصوف نمى شود، مگر از روى خدعه و نيرنگ و جهالت و يا حماقت، و ليكن اگر كسى از روى تقيّه خود را صوفى بنامد تا از شرّ آنها در امان باشد، بر او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بر چيزى از عقايد باطلشان قايل نگردد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صراحت دارد كه هيچ كس حق ندارد خود را صوفى بنامد، مگر در حالت </w:t>
      </w:r>
    </w:p>
    <w:p>
      <w:pPr>
        <w:pStyle w:val="BookText"/>
        <w:rPr/>
      </w:pPr>
      <w:r>
        <w:rPr>
          <w:rFonts w:ascii="IRNazanin" w:hAnsi="IRNazanin" w:eastAsia="IRNazanin"/>
          <w:color w:val="111111"/>
          <w:sz w:val="28"/>
          <w:sz w:val="28"/>
          <w:szCs w:val="28"/>
          <w:rtl w:val="true"/>
          <w:lang w:bidi="fa-IR"/>
        </w:rPr>
        <w:t>اضطرار و از باب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هاى مذموم و ناپسند و بيانگر ضديّت و تعارض با اسلام ناب است و لذا به هيچ وجه مورد تأييد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مكتب تشيع با تمسك به 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و عقايد، از بسيارى انحرافات كه دامن گير مذاهب و نحله هاى ديگر شده در امان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بزرگان شيعه در طول تاريخ نه تنها به اين اسم ناميده نشده و زير بار آن نرفته اند، بلكه با شدت و حدّت تمام در مقابل نفوذ و گسترش انديشه ى صوفيگرى در ميان جوامع اسلامى و به خصوص پيروان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نموده، با تأليف ده ها كتاب و رساله در نقد تصوف، به انحرافات و ضررهايى كه از ناحيه ى آنها متوجه جهان اسلام و مسلمين مى شود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برخى بزرگان شيعه با عنوان عارف ياد مى شود، قطعاً به معناى تأثيرپذيرى آنان از پندارهاى تصوف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 عرفان شيعى و پشمينه پوشان بى خرد و بى عار هيچ ارتباطى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شيعى ريشه در قرآن و كلام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از راه عمل به احكام و دستورهاى نورانى اسلام و پيروى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و لذا نيازى به آداب و رسوم و اصطلاحات صوفيان، كه متأثر از اديان هندى، مسيحى و مانى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رسيدن به سعادت دنيوى و اخروى، عمل به قرآن و پيروى از خاندان وحى است و هر راهى غير از آن به ضلالت و انحراف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سبحان در قرآن كريم مى فرمايد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p>
    <w:p>
      <w:pPr>
        <w:pStyle w:val="BookText"/>
        <w:rPr/>
      </w:pP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مستقيم است، از آن پيروى كنيد 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پرهيزكارى پيشه كنيد</w:t>
      </w:r>
      <w:r>
        <w:rPr>
          <w:rFonts w:eastAsia="IRNazanin" w:cs="IRNazanin"/>
          <w:color w:val="111111"/>
          <w:sz w:val="28"/>
          <w:szCs w:val="28"/>
          <w:rtl w:val="true"/>
          <w:lang w:bidi="fa-IR"/>
        </w:rPr>
        <w:t xml:space="preserve">. </w:t>
      </w:r>
      <w:bookmarkStart w:id="350" w:name="pg10696_94947"/>
    </w:p>
    <w:p>
      <w:pPr>
        <w:pStyle w:val="Heading2"/>
        <w:numPr>
          <w:ilvl w:val="1"/>
          <w:numId w:val="1"/>
        </w:numPr>
        <w:rPr/>
      </w:pPr>
      <w:bookmarkStart w:id="351" w:name="__RefHeading___Toc2367332_1051229030"/>
      <w:bookmarkStart w:id="352" w:name="_Toc130"/>
      <w:bookmarkEnd w:id="350"/>
      <w:bookmarkEnd w:id="351"/>
      <w:r>
        <w:rPr>
          <w:rtl w:val="true"/>
        </w:rPr>
        <w:t>اينترنت</w:t>
      </w:r>
      <w:bookmarkEnd w:id="352"/>
    </w:p>
    <w:p>
      <w:pPr>
        <w:pStyle w:val="Heading3"/>
        <w:numPr>
          <w:ilvl w:val="2"/>
          <w:numId w:val="1"/>
        </w:numPr>
        <w:rPr/>
      </w:pPr>
      <w:bookmarkStart w:id="353" w:name="__RefHeading___Toc2367334_1051229030"/>
      <w:bookmarkStart w:id="354" w:name="_Toc131"/>
      <w:bookmarkEnd w:id="353"/>
      <w:r>
        <w:rPr>
          <w:rtl w:val="true"/>
        </w:rPr>
        <w:t>اشاره</w:t>
      </w:r>
      <w:bookmarkEnd w:id="35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معرفى بخش هاى علمى سايت انديشه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معرفى بخش هاى علمى سايت انديشه قم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منتظرى </w:t>
      </w:r>
      <w:bookmarkStart w:id="355" w:name="pg10696_94949"/>
    </w:p>
    <w:p>
      <w:pPr>
        <w:pStyle w:val="Heading3"/>
        <w:numPr>
          <w:ilvl w:val="2"/>
          <w:numId w:val="1"/>
        </w:numPr>
        <w:rPr/>
      </w:pPr>
      <w:bookmarkStart w:id="356" w:name="__RefHeading___Toc2367336_1051229030"/>
      <w:bookmarkStart w:id="357" w:name="_Toc132"/>
      <w:bookmarkEnd w:id="355"/>
      <w:bookmarkEnd w:id="356"/>
      <w:r>
        <w:rPr>
          <w:rtl w:val="true"/>
        </w:rPr>
        <w:t xml:space="preserve">معرفى بخش هاى علمى سايت انديشه قم </w:t>
      </w:r>
      <w:r>
        <w:rPr>
          <w:rtl w:val="true"/>
        </w:rPr>
        <w:t>(</w:t>
      </w:r>
      <w:r>
        <w:rPr/>
        <w:t>1</w:t>
      </w:r>
      <w:r>
        <w:rPr>
          <w:rtl w:val="true"/>
        </w:rPr>
        <w:t>)</w:t>
      </w:r>
      <w:bookmarkEnd w:id="357"/>
    </w:p>
    <w:p>
      <w:pPr>
        <w:pStyle w:val="Heading4"/>
        <w:numPr>
          <w:ilvl w:val="3"/>
          <w:numId w:val="1"/>
        </w:numPr>
        <w:rPr/>
      </w:pPr>
      <w:bookmarkStart w:id="358" w:name="__RefHeading___Toc2367338_1051229030"/>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پايگاه اطلاع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قم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andisheqom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يكى از بزرگ ترين پايگاه هاى شيعى و حوزوى در شبكه ى جهانى اينترنت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مهم موضوعات اين پايگاه عبارت اند از</w:t>
      </w:r>
      <w:r>
        <w:rPr>
          <w:rFonts w:eastAsia="IRNazanin" w:cs="IRNazanin"/>
          <w:color w:val="111111"/>
          <w:sz w:val="28"/>
          <w:szCs w:val="28"/>
          <w:rtl w:val="true"/>
          <w:lang w:bidi="fa-IR"/>
        </w:rPr>
        <w:t>:</w:t>
      </w:r>
    </w:p>
    <w:p>
      <w:pPr>
        <w:pStyle w:val="Heading4"/>
        <w:numPr>
          <w:ilvl w:val="3"/>
          <w:numId w:val="1"/>
        </w:numPr>
        <w:rPr/>
      </w:pPr>
      <w:bookmarkStart w:id="360" w:name="__RefHeading___Toc2367340_1051229030"/>
      <w:bookmarkStart w:id="361" w:name="_Toc134"/>
      <w:bookmarkEnd w:id="360"/>
      <w:r>
        <w:rPr>
          <w:rtl w:val="true"/>
        </w:rPr>
        <w:t>الف</w:t>
      </w:r>
      <w:r>
        <w:rPr>
          <w:rtl w:val="true"/>
        </w:rPr>
        <w:t xml:space="preserve">) </w:t>
      </w:r>
      <w:r>
        <w:rPr>
          <w:rtl w:val="true"/>
        </w:rPr>
        <w:t>گستردگى موضوعات</w:t>
      </w:r>
      <w:bookmarkEnd w:id="3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لينك هاى اصلى صفحه ى اول اين پايگاه شامل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سياست ها و اهداف اين پايگاه، انشاءالله در آينده اى نه چندان دور شاهد گسترش و عرضه ى تمامى معارف دين و مباحث فكرى مورد نياز اقشار مختلف جامعه، به ويژه جوانان، دانشجويان و طلاب، در اين پايگاه خواهيم بود</w:t>
      </w:r>
      <w:r>
        <w:rPr>
          <w:rFonts w:eastAsia="IRNazanin" w:cs="IRNazanin"/>
          <w:color w:val="111111"/>
          <w:sz w:val="28"/>
          <w:szCs w:val="28"/>
          <w:rtl w:val="true"/>
          <w:lang w:bidi="fa-IR"/>
        </w:rPr>
        <w:t xml:space="preserve">. </w:t>
      </w:r>
      <w:bookmarkStart w:id="362" w:name="pg10696_94950"/>
    </w:p>
    <w:p>
      <w:pPr>
        <w:pStyle w:val="Heading4"/>
        <w:numPr>
          <w:ilvl w:val="3"/>
          <w:numId w:val="1"/>
        </w:numPr>
        <w:rPr/>
      </w:pPr>
      <w:bookmarkStart w:id="363" w:name="__RefHeading___Toc2367342_1051229030"/>
      <w:bookmarkStart w:id="364" w:name="_Toc135"/>
      <w:bookmarkEnd w:id="362"/>
      <w:bookmarkEnd w:id="363"/>
      <w:r>
        <w:rPr>
          <w:rtl w:val="true"/>
        </w:rPr>
        <w:t>ب</w:t>
      </w:r>
      <w:r>
        <w:rPr>
          <w:rtl w:val="true"/>
        </w:rPr>
        <w:t xml:space="preserve">) </w:t>
      </w:r>
      <w:r>
        <w:rPr>
          <w:rtl w:val="true"/>
        </w:rPr>
        <w:t>جامعيت و گستردگى مباحث هر لينك اصلى</w:t>
      </w:r>
      <w:bookmarkEnd w:id="364"/>
    </w:p>
    <w:p>
      <w:pPr>
        <w:pStyle w:val="BookText"/>
        <w:rPr/>
      </w:pPr>
      <w:r>
        <w:rPr>
          <w:rFonts w:ascii="IRNazanin" w:hAnsi="IRNazanin" w:eastAsia="IRNazanin"/>
          <w:color w:val="111111"/>
          <w:sz w:val="28"/>
          <w:sz w:val="28"/>
          <w:szCs w:val="28"/>
          <w:rtl w:val="true"/>
          <w:lang w:bidi="fa-IR"/>
        </w:rPr>
        <w:t>سعى شده در هر لينك با توجه به نياز مخاطبان و كاربران اينترنت، تمام مباحث علمى زيرمجموعه هاى موضوعات اصلى و حتى مباحثى كه كاملا علمى نبوده ولى به عنوان مباحث مرتبط با موضوع اصلى است مانند كتاب شناسى، داستان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ارائه گردد</w:t>
      </w:r>
      <w:r>
        <w:rPr>
          <w:rFonts w:eastAsia="IRNazanin" w:cs="IRNazanin"/>
          <w:color w:val="111111"/>
          <w:sz w:val="28"/>
          <w:szCs w:val="28"/>
          <w:rtl w:val="true"/>
          <w:lang w:bidi="fa-IR"/>
        </w:rPr>
        <w:t>.</w:t>
      </w:r>
    </w:p>
    <w:p>
      <w:pPr>
        <w:pStyle w:val="Heading4"/>
        <w:numPr>
          <w:ilvl w:val="3"/>
          <w:numId w:val="1"/>
        </w:numPr>
        <w:rPr/>
      </w:pPr>
      <w:bookmarkStart w:id="365" w:name="__RefHeading___Toc2367344_1051229030"/>
      <w:bookmarkStart w:id="366" w:name="_Toc136"/>
      <w:bookmarkEnd w:id="365"/>
      <w:r>
        <w:rPr>
          <w:rtl w:val="true"/>
        </w:rPr>
        <w:t>ج</w:t>
      </w:r>
      <w:r>
        <w:rPr>
          <w:rtl w:val="true"/>
        </w:rPr>
        <w:t xml:space="preserve">) </w:t>
      </w:r>
      <w:r>
        <w:rPr>
          <w:rtl w:val="true"/>
        </w:rPr>
        <w:t>به روز بودن محتوا</w:t>
      </w:r>
      <w:bookmarkEnd w:id="366"/>
    </w:p>
    <w:p>
      <w:pPr>
        <w:pStyle w:val="Heading5"/>
        <w:numPr>
          <w:ilvl w:val="4"/>
          <w:numId w:val="1"/>
        </w:numPr>
        <w:rPr/>
      </w:pPr>
      <w:bookmarkStart w:id="367" w:name="__RefHeading___Toc2367346_1051229030"/>
      <w:bookmarkStart w:id="368" w:name="_Toc137"/>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سعى بر اين است كه ارتباط مستمرى با كاربران برقرار شود و مطالب و محتواى سايت به روز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توجه به گستردگى مباحث اين پايگاه، در هر شماره از مجلّه ى صباح به معرفى برخى از بخش هاى آن مى پردازيم</w:t>
      </w:r>
      <w:r>
        <w:rPr>
          <w:rFonts w:eastAsia="IRNazanin" w:cs="IRNazanin"/>
          <w:color w:val="111111"/>
          <w:sz w:val="28"/>
          <w:szCs w:val="28"/>
          <w:rtl w:val="true"/>
          <w:lang w:bidi="fa-IR"/>
        </w:rPr>
        <w:t>:</w:t>
      </w:r>
    </w:p>
    <w:p>
      <w:pPr>
        <w:pStyle w:val="Heading5"/>
        <w:numPr>
          <w:ilvl w:val="4"/>
          <w:numId w:val="1"/>
        </w:numPr>
        <w:rPr/>
      </w:pPr>
      <w:bookmarkStart w:id="369" w:name="__RefHeading___Toc2367348_1051229030"/>
      <w:bookmarkStart w:id="370" w:name="_Toc138"/>
      <w:bookmarkEnd w:id="369"/>
      <w:r>
        <w:rPr/>
        <w:t>1</w:t>
      </w:r>
      <w:r>
        <w:rPr>
          <w:rtl w:val="true"/>
        </w:rPr>
        <w:t xml:space="preserve">. </w:t>
      </w:r>
      <w:r>
        <w:rPr>
          <w:rtl w:val="true"/>
        </w:rPr>
        <w:t>عقايد اسلامى</w:t>
      </w:r>
      <w:bookmarkEnd w:id="370"/>
    </w:p>
    <w:p>
      <w:pPr>
        <w:pStyle w:val="BookText"/>
        <w:rPr/>
      </w:pPr>
      <w:r>
        <w:rPr>
          <w:rFonts w:ascii="IRNazanin" w:hAnsi="IRNazanin" w:eastAsia="IRNazanin"/>
          <w:color w:val="111111"/>
          <w:sz w:val="28"/>
          <w:sz w:val="28"/>
          <w:szCs w:val="28"/>
          <w:rtl w:val="true"/>
          <w:lang w:bidi="fa-IR"/>
        </w:rPr>
        <w:t>در اين لينك موضوعات و مباحث اعتقادى به صورت دسته بندى شده، ارائه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سرفصل هاى اصلى و برخى عناوين مقالات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آشنايى با علم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،اهداف، مبادى و مسائل علم كلام، رابطه ى آن با ساير علوم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شناخت خداوند، خداشناسى فطرى، برهان نظم، برهان حدوث، برهان صديقين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وحدانيّت خدا، توحيد ذاتى و صفاتى، توحيد در خالقيت، توحيد در ربوبيت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صفات خداوند، علم الهى، اختيار و قدرت الهى، حيات الهى، اراده و مشيت الهى و</w:t>
      </w:r>
      <w:r>
        <w:rPr>
          <w:rFonts w:eastAsia="Amiri" w:cs="Amiri" w:ascii="Amiri" w:hAnsi="Amiri"/>
          <w:color w:val="111111"/>
          <w:sz w:val="28"/>
          <w:szCs w:val="28"/>
          <w:rtl w:val="true"/>
          <w:lang w:bidi="ar-SA"/>
        </w:rPr>
        <w:t xml:space="preserve">...). </w:t>
      </w:r>
      <w:bookmarkStart w:id="371" w:name="pg10696_94951"/>
    </w:p>
    <w:p>
      <w:pPr>
        <w:pStyle w:val="BookText"/>
        <w:rPr/>
      </w:pPr>
      <w:bookmarkEnd w:id="37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عدل الهى، حسن و قبح عقلى، براهين اثبات عدل الهى و شرور و تفاوت ها، جبر و اختيار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 و ضرورت دين، فلسفه و حقيقت نبوت، راه هاى شناخت انبيا، عصمت، وحى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خاتميت و كمال اسلام، امى بودن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حقيقت امامت، صفات و ويژگى هاى امام، امامت در قرآن و سنّت،امامان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ايمان به معاد، مرگ، قبر و برزخ، تناسخ و معاد، معاد جسمانى و روحانى،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معرفى بيش از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اعتقادى، با ذكر مشخصات و ريز موضوعات هر كتاب</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367350_1051229030"/>
      <w:bookmarkStart w:id="373" w:name="_Toc139"/>
      <w:bookmarkEnd w:id="372"/>
      <w:r>
        <w:rPr/>
        <w:t>2</w:t>
      </w:r>
      <w:r>
        <w:rPr>
          <w:rtl w:val="true"/>
        </w:rPr>
        <w:t xml:space="preserve">. </w:t>
      </w:r>
      <w:r>
        <w:rPr>
          <w:rtl w:val="true"/>
        </w:rPr>
        <w:t>كلام جديد</w:t>
      </w:r>
      <w:bookmarkEnd w:id="373"/>
    </w:p>
    <w:p>
      <w:pPr>
        <w:pStyle w:val="BookText"/>
        <w:rPr/>
      </w:pPr>
      <w:r>
        <w:rPr>
          <w:rFonts w:ascii="IRNazanin" w:hAnsi="IRNazanin" w:eastAsia="IRNazanin"/>
          <w:color w:val="111111"/>
          <w:sz w:val="28"/>
          <w:sz w:val="28"/>
          <w:szCs w:val="28"/>
          <w:rtl w:val="true"/>
          <w:lang w:bidi="fa-IR"/>
        </w:rPr>
        <w:t xml:space="preserve">اين لينك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ى علمى است، كه هر يك از موضوعات دين پژوهى و كلام جديد، در مقاله اى جامع و علمى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عناوين آن عبارت اند از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ماهيت فلسفه ى دين و كلام جديد، هرمنوتيك، زبان دين، قلمرو دين، ايمان دينى، كاركردهاى دين، انتظار بشر از دين، دين و دنيا، علم و دين، روان شناسى دين، جامعه شناسى </w:t>
      </w:r>
      <w:bookmarkStart w:id="374" w:name="pg10696_94952"/>
    </w:p>
    <w:p>
      <w:pPr>
        <w:pStyle w:val="BookText"/>
        <w:rPr/>
      </w:pPr>
      <w:bookmarkEnd w:id="374"/>
      <w:r>
        <w:rPr>
          <w:rFonts w:ascii="IRNazanin" w:hAnsi="IRNazanin" w:eastAsia="IRNazanin"/>
          <w:color w:val="111111"/>
          <w:sz w:val="28"/>
          <w:sz w:val="28"/>
          <w:szCs w:val="28"/>
          <w:rtl w:val="true"/>
          <w:lang w:bidi="fa-IR"/>
        </w:rPr>
        <w:t>دين، دين و آزادى، دين و عدالت اجتماعى، دين و جهانى شدن، دين و مدرنيسم، جامعه ى دينى و حاكميت دينى، سكولاريسم، انسان شناسى دين، كثرت گرايى دينى، قبض و بسط تئوريك شريعت، معرفت شناسى دينى، روش شناسى دين پژوهى، آسيب شناسى دين پژوهى معاصر و</w:t>
      </w:r>
      <w:r>
        <w:rPr>
          <w:rFonts w:eastAsia="IRNazanin" w:cs="IRNazanin"/>
          <w:color w:val="111111"/>
          <w:sz w:val="28"/>
          <w:szCs w:val="28"/>
          <w:rtl w:val="true"/>
          <w:lang w:bidi="fa-IR"/>
        </w:rPr>
        <w:t>... .</w:t>
      </w:r>
    </w:p>
    <w:p>
      <w:pPr>
        <w:pStyle w:val="Heading5"/>
        <w:numPr>
          <w:ilvl w:val="4"/>
          <w:numId w:val="1"/>
        </w:numPr>
        <w:rPr/>
      </w:pPr>
      <w:bookmarkStart w:id="375" w:name="__RefHeading___Toc2367352_1051229030"/>
      <w:bookmarkStart w:id="376" w:name="_Toc140"/>
      <w:bookmarkEnd w:id="375"/>
      <w:r>
        <w:rPr/>
        <w:t>3</w:t>
      </w:r>
      <w:r>
        <w:rPr>
          <w:rtl w:val="true"/>
        </w:rPr>
        <w:t xml:space="preserve">. </w:t>
      </w:r>
      <w:r>
        <w:rPr>
          <w:rtl w:val="true"/>
        </w:rPr>
        <w:t>مناظرات علمى</w:t>
      </w:r>
      <w:bookmarkEnd w:id="376"/>
    </w:p>
    <w:p>
      <w:pPr>
        <w:pStyle w:val="BookText"/>
        <w:rPr/>
      </w:pPr>
      <w:r>
        <w:rPr>
          <w:rFonts w:ascii="IRNazanin" w:hAnsi="IRNazanin" w:eastAsia="IRNazanin"/>
          <w:color w:val="111111"/>
          <w:sz w:val="28"/>
          <w:sz w:val="28"/>
          <w:szCs w:val="28"/>
          <w:rtl w:val="true"/>
          <w:lang w:bidi="fa-IR"/>
        </w:rPr>
        <w:t xml:space="preserve">در اين لينك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ى علمى و معتبر به زبان فارسى و عربى و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مناظرات اصحاب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 علما و بزرگان شيعه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به منظور آشنايى با مناظره در فرهنگ اسلامى، مقالاتى در موضوعات مناظره در آيينه ى قرآن و روايات، آداب مناظره و گفتوگو، آثار مناظره و روى گردانى از مناظره، سيره ى عملى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علماى شيعه و مناظره، در قالب مقالات علمى تدوين گرديده است</w:t>
      </w:r>
      <w:r>
        <w:rPr>
          <w:rFonts w:eastAsia="IRNazanin" w:cs="IRNazanin"/>
          <w:color w:val="111111"/>
          <w:sz w:val="28"/>
          <w:szCs w:val="28"/>
          <w:rtl w:val="true"/>
          <w:lang w:bidi="fa-IR"/>
        </w:rPr>
        <w:t>.</w:t>
      </w:r>
    </w:p>
    <w:p>
      <w:pPr>
        <w:pStyle w:val="Heading5"/>
        <w:numPr>
          <w:ilvl w:val="4"/>
          <w:numId w:val="1"/>
        </w:numPr>
        <w:rPr/>
      </w:pPr>
      <w:bookmarkStart w:id="377" w:name="__RefHeading___Toc2367354_1051229030"/>
      <w:bookmarkStart w:id="378" w:name="_Toc141"/>
      <w:bookmarkEnd w:id="377"/>
      <w:r>
        <w:rPr/>
        <w:t>4</w:t>
      </w:r>
      <w:r>
        <w:rPr>
          <w:rtl w:val="true"/>
        </w:rPr>
        <w:t xml:space="preserve">. </w:t>
      </w:r>
      <w:r>
        <w:rPr>
          <w:rtl w:val="true"/>
        </w:rPr>
        <w:t>فضايل اخلاقى</w:t>
      </w:r>
      <w:bookmarkEnd w:id="378"/>
    </w:p>
    <w:p>
      <w:pPr>
        <w:pStyle w:val="BookText"/>
        <w:rPr/>
      </w:pPr>
      <w:r>
        <w:rPr>
          <w:rFonts w:ascii="IRNazanin" w:hAnsi="IRNazanin" w:eastAsia="IRNazanin"/>
          <w:color w:val="111111"/>
          <w:sz w:val="28"/>
          <w:sz w:val="28"/>
          <w:szCs w:val="28"/>
          <w:rtl w:val="true"/>
          <w:lang w:bidi="fa-IR"/>
        </w:rPr>
        <w:t>مباحث مهم و ارزشمند فضايل اخلاقى با توجه به اهميت و گستردگى موضوعات، به صورت مستقل و در هفتاد موضوع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برگرفته از آيات قرآن،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علما و بزرگان است و در هر بحث به تبيين موضوع مربوطه، راه هاى كسب و ايجاد، موانع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برخى از اين مقالات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چيستى فضايل اخلاقى، اداى واجبات الهى، احترام به علما و اساتيد، اخلاص، اخلاقِ نيكو، اعتدال و ميانه روى، امر به معروف و نهى ازمنكر، تحصيل و كسب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ترك گناه و محرمات، تفكر، تقوا، تواضع، توبه، تولّى و تبرى، جهاد با نفس، جهاد و جنگ، چشم </w:t>
      </w:r>
      <w:bookmarkStart w:id="379" w:name="pg10696_94953"/>
    </w:p>
    <w:p>
      <w:pPr>
        <w:pStyle w:val="BookText"/>
        <w:rPr/>
      </w:pPr>
      <w:bookmarkEnd w:id="379"/>
      <w:r>
        <w:rPr>
          <w:rFonts w:ascii="IRNazanin" w:hAnsi="IRNazanin" w:eastAsia="IRNazanin"/>
          <w:color w:val="111111"/>
          <w:sz w:val="28"/>
          <w:sz w:val="28"/>
          <w:szCs w:val="28"/>
          <w:rtl w:val="true"/>
          <w:lang w:bidi="fa-IR"/>
        </w:rPr>
        <w:t>پاكى، حج، حجاب، حيا، خدمت به بندگان خدا، خشوع، نظافت و پاكيزگى، نظم، نماز، نماز شب، نيكى به پدر و مادر، وفاى به عهد و</w:t>
      </w:r>
      <w:r>
        <w:rPr>
          <w:rFonts w:eastAsia="IRNazanin" w:cs="IRNazanin"/>
          <w:color w:val="111111"/>
          <w:sz w:val="28"/>
          <w:szCs w:val="28"/>
          <w:rtl w:val="true"/>
          <w:lang w:bidi="fa-IR"/>
        </w:rPr>
        <w:t>... .</w:t>
      </w:r>
    </w:p>
    <w:p>
      <w:pPr>
        <w:pStyle w:val="Heading5"/>
        <w:numPr>
          <w:ilvl w:val="4"/>
          <w:numId w:val="1"/>
        </w:numPr>
        <w:rPr/>
      </w:pPr>
      <w:bookmarkStart w:id="380" w:name="__RefHeading___Toc2367356_1051229030"/>
      <w:bookmarkStart w:id="381" w:name="_Toc142"/>
      <w:bookmarkEnd w:id="380"/>
      <w:r>
        <w:rPr/>
        <w:t>5</w:t>
      </w:r>
      <w:r>
        <w:rPr>
          <w:rtl w:val="true"/>
        </w:rPr>
        <w:t xml:space="preserve">. </w:t>
      </w:r>
      <w:r>
        <w:rPr>
          <w:rtl w:val="true"/>
        </w:rPr>
        <w:t>رذايل اخلاقى</w:t>
      </w:r>
      <w:bookmarkEnd w:id="381"/>
    </w:p>
    <w:p>
      <w:pPr>
        <w:pStyle w:val="BookText"/>
        <w:rPr/>
      </w:pPr>
      <w:r>
        <w:rPr>
          <w:rFonts w:ascii="IRNazanin" w:hAnsi="IRNazanin" w:eastAsia="IRNazanin"/>
          <w:color w:val="111111"/>
          <w:sz w:val="28"/>
          <w:sz w:val="28"/>
          <w:szCs w:val="28"/>
          <w:rtl w:val="true"/>
          <w:lang w:bidi="fa-IR"/>
        </w:rPr>
        <w:t xml:space="preserve">با توجه به اهميت شناخت رذايل اخلاقى و راه هاى مقابله و پيش گيرى از آن، مجموعه اى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رذايل اخلاقى با استفاده از آيات قرآن و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علما و بزرگان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برخى از آنها عبارت اند از</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رذايل اخلاقى، ضرورت خودسازى و مبارزه با نفس، چيستى گناهان كبيره، آرزوهاى طولانى، اسراف، انتقام جويى، اهانت و تحقير ديگران، بخل، بداخلاقى و كج خلقى، بهتان و تهمت، پر خورى و شكم پرستى، تكبر، جهل، دروغ، دشنام و بد زبانى، ريا، سوء ظن و بدگمانى، شرك به خدا، ظلم، عُجب، عصبيت و تعصّب، عيب جويى، غفلت، غنا، غيبت، قطع رحم و</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ى تغابن،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بينه، آيه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معاد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موضوعى،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نباء، آيه 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 دهم، شهريور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منشور جاويد،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توحيد، چ اول، پاييز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مدثر، آيه 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همزه،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سعيدى مهر، آموزش كلام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 طه، چ دوم،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 المراد فى شرح تجديد الاعتقاد، تصحيح و تعليقه علامه حسن زاده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اسلامى، چ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آملى، تعليقه بر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اسلامى، چ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سيد شريف جرجانى، 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الرضى، چ اول،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ملك،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عدال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صدرا،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واعظى، انسان از ديدگاه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رجبى، انسان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انتشارت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تقى، مصباح يزدى، آموزش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تبليغات اسلامى،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سيد محمد حسين حسينى طهرانى، معادشناسى، انتشارات حكمت، بى تا،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على ايازى، جامعيت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 مبين،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اقلّى و اكثرى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هشتم،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در آمدى بر مبانى انديشه 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و پژوهشى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مجلسى،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نظريه ى سياسى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ربانى گلپايگانى، جامعيت وكمال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فرهنگى دانش و انديشه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متكلمين از اين دليل براى اثبات ضرورت نبوت و نيازمندى به وحى نيز استفاده مى كنند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چاپ و نشر بين الملل،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آيه 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يوسف، آيه 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ديگران،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قرآن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مدرسه معصوميه، بى جا،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ى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فلسفه ى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اسراء،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آموزش عقايد،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چاپ و نشر بين الملل، چ پنجم،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 زحيلى، الفقه الاسلامى و ادلّته،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چ چهارم،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مرعشى، ديدگاه هاى نو در امور كيفرى،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ميزان، چ دوم، پاييز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جعفرى لنگرودى، ترمينولوژى حقوق،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الآمدى، الاحكام فى اصول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جابرى عربلو، فرهنگ اصطلاحات فقه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امير كبير، 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سيد محمدتقى حكيم، الاصول العامة للفقه المقارن،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حامد غزالى،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هاى نو در امور كيفرى،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ناديه شريف العمرى، اجتهاد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 المصالح التى لم يشهد لها نص معين، لا بالاعتبار و لا بالالغاء و هى ترجع الى حفظ مقصود شرعى علم بالكتاب او السنة او الاجماع الاّ أنها لا يشهد لها اصل معين بالاعتبار و انّما كونها مقصودة لا بدليل واحد و انّما بمجموع ادلة و قرائن احوال و تفاريق امارات و من اجل ذلك تسمّى مصلحة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فيأخذ بالمصلحة حيث لا نص، بشرط أن يكون فى الأخذ بها دفع حرج 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نظريه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آيت الله شهيد صدر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باقر صدر، اقتصادنا،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علمى شهيد صدر، چ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عدل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 دوم،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مقتضيات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طباطبايى، الميزان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تقى حكيم، الاصول العامة للفقه المقارن،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عبد الجواد علم الهدى، الدليل و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القياس و الاستحسان و الاجماع و المصالح المرسله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دبير خانه كنگره شيخ انصارى،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ابى الحديد معتزلى،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آيت الله مرعشى،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مالك بن أنس العمل على المصالح المرسلة و أنه يجوز للإمام أن يقتل ثلث الأمة لإصلاح الثلثين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أمير المؤمنين كان مقيداً بقيود الشريعة مدفوعاً إلى اتباعها و رفض ما يصلح اعتماده من آراء الحرب و الكيد و التدبير إذا لم يكن للشرع موافقا فلم تكن قاعدته فى خلافته قاعدة غيره ممن لم يلتزم بذلك و لسنا بهذا القول زارين على عمربن الخطاب و لا ناسبين إليه ما هو منزه عنه و لكنه كان مجتهدا يعمل بالقياس و الاستحسان و المصالح المرسلة و يرى تخصيص عمومات النص بالآراء و بالاستنباط من أصول تقتضى خلاف ما يقتضيه عموم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ذلك و كان يقف مع النصوص و الظواهر و لا يتعداها إلى الاجتهاد و الأقيسة و يطبق أمور الدنيا على أمور الدين و يسوِ الكل مساقاً واحداً و لا يضيع و لا يرفع إلا بالكتاب و النص فاختلفت طريقتاهما فى الخلافة و السياسة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محمدتقى حكيم،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خسروپناه، گفتمان مصلحت در پرتو شريعت و حكومت،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دانش و انديشه معاصر، چ اول،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پرسش ها و پاسخ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آموزشى و پژوهشى امام خمينى،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تجب فيه الزكات،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پرسش ها و پاسخ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مجموعه تراث الشيخ الاعظم،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فرائد الاصول،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تلخيص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مرتضى مطهرى،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كواكبيان، دمكراسى در نظام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تبليغات اسلامى،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پنجاه و نهم قانون اساسى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پنجاه و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بسيار مهم اقتصادى، سياسى، اجتماعى و فرهنگى ممكن است اعمال قوه ى مقننه از راه همه پرسى ومراجعه ى مستقيم به آراى مردم صورت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مراجعه به آراى عمومى بايد به تصويب دو سوم مجموع نمايندگان مجلس برسد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فقه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اميركبير،</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بازنگرى در قانون اساسى جمهورى اسلامى ايران، در موارد ضرورى به ترتيب زير انجام مى گيرد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خوانسارى، 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مفاخر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حسينى دشتى، معارف و معاريف،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چ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شاكر، فوات 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تا، 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تجارب السلف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فضل الله همدانى، جامع التواريخ، تصحيح محمد روشن و مصطفى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 چ اول،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اعيان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المقريزى، السلوك، تصحيح محمد مصطفى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جا،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دارالمعرفه، چ چهارم،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پناهى سمنانى،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الدين فضل الله، همان،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امين، 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مدرس تبريزى، ريحانة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خيام، چ چهارم،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شرح حال تمامى دانشمندان حاضر در رصدخانه ى مراغه را مى توان در كتاب الوافى بالوفيات و تلخيص معجم الالقاب يافت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خوانسارى، همان،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غنيمه، تاريخ دانشگاههاى بزرگ اسلامى، ترجمه نور الله كسائى،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 چاپ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العش، كتابخانه هاى عمومىو نيمه عمومى عربى در قرون وسطى، ترجمه اسدالله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چ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كاظم مديرشانه چى، كتاب و كتابخانه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چ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العش،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مساجد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گرجى، تاريخ فقه و 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زنجان،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خوانسارى،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اسماعيليان،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لمپتون، دولت و حكومت در اسلام، ترجمه فقيهى و صالحى،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جا، چاپ نشر عروج، چ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فيض كاشانى،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على كشميرى، نجوم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بصيرتى،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عبدالله افندى،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محمد نصرآبادى، تذكره، تصحيح محمد دستگردى،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فروغى،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على خان مدنى، سلافة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جا، بى تا،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نصرآبادى، همان، و سيد على خان مدنى، همان، و محمد محسن فيض كاشانى، ده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علمى دينى امير مؤمنان،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كاشانى، همان، شرح 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كاشانى، كليات ديوان اشعار، تصحيح محمد پيمان،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سنائى، چ چهارم،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كاشانى، ترجمة الصلاة، به كوشش سيد محمد على صفير،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اقامه ى نماز،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الذريعه،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اسماعيليان،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فهرستهاى خودنوشت، تصحيح و تعليق محسن ناجى نصرآبادى،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دين و سياست در دوره ى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خوانسارى،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آئينه ى شاهى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فهرست آثار خودنوشت،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مدرسى چهاردهى، سيد جمال الدين و انديشه هاى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سپهر، چ سوم،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عروة الوثقى، ترجمه زين العابدين كاظمى خلخالى،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رجبى، علماى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اسناد انقلاب اسلامى، چ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مجله ى تاريخ و فرهنگ معاصر، سال پنجم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رجبى،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سحابى، مجله ى تاريخ و فرهنگ معاصر، 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سحابى، 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رجبى،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حوزه،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سيد جمال الدين اسدآبادى،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زنجانى، انقلاب اسلامى و ريشه 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چ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محيط طباطبايى، نقش سيد جمال الدين اسدآبادى در بيدارى مشرق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حوزه ى علميه ى قم،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مدرسى چهاردهى، 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مدرسى چهاردهى،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عماره، جمال الدين الافغانى،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جا، المؤسسه العربيه للدراسات والنشر،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صاحبى، سيد جمال الدين اسدآبادى، بنيان گذار نهضت احياى فكر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رائين، انجمن هاى سرى در انقلاب مشروطيت،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تحقيقى رائين،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اسدآبادى، 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رجبى،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غلامرضا سعيدى، مفاخر شرق، به كوشش سيد هادى خسروشاهى،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چ دوم،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الله جمالى، استاد و مدارك درباره سيد 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طباطبائى، چ دوم،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الله جمالى،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لطف الله اسدآبادى، سيد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اللبنانى، چ اول،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لطف الله اسدآبادى،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مرعشى، ترجمه ى دو نامه از سيد 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كتابفروشى حافظ،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لطف الله،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صفات الله،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الله جمالى،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امين الدوله، خاطرات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چ اول،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به سيد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چه مى خواهى، سيد جواب داد دو گوش شنوا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امين الدوله،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الله، جمالى،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تيمورى، عصر بى خبرى،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اقبال، چ اول،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امين الدوله،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غلامرضا سعيدى،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نامه كه با احساسات كامل و عرق دينى نوشته شده است جملاتى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اى پيشواى دين اگر به كمك برنخيزى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كشور را از چنگ او بيرون نياورى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مملكت زير اقتدار بيگانه در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 ى علماى ايران تنگ شده و منتظر شنيدن يك كلمه از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مرعشى، ترجمه ى دو نامه از سيد جمال، بى تا،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مرعشى،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عميد زنجانى، انقلاب اسلامى و ريشه 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كتاب سياسى، چ سوم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مرعشى،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امين الدوله،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رائين، انجمن هاى سرى در انقلاب مشروطه،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جمال زاده، گنج شايگان، بى جا، انتشارات كاوه،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واثقى، سيد جمال الدين حسينى پايه گذار نهضت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جا، بى تا، بى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مدرسى، سيد جمال الدين و انديشه هاى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سپهر، چ ششم،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ملك زاده، تاريخ انقلاب مشروطيت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سقراط،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محيط طباطبايى، نقش سيد جمال الدين اسدآبادى در بيدارى مشرق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چ اول،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نهضت هاى اسلامى در صد ساله ى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تاريخ بيدارى ايرانيان،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آگاه نوين، چ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نجاتى، تحريم تنباكو،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انتشارات فراهانى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انقلاب مشروطيت ايران، ترجمه ى مهرى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كوير، چ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مقدم، سيد جمال الدين اسدآبادى، غريو بيدارى،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چاپ و نشر سازمان تبليغات اسلامى،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نجاتى، 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جمال زاده، گنج شايگان، بى جا، كاوه،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دانشجويى،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قبله نماى مدگرايى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فرمايشات مقام معظم رهبرى، تيرماه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معارف اسلامى آشنا شويم،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راهيان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ويژه ى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با معارف اسلامى آشنا شويم،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ى راهيان نور،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ويژه جوانان، تابستان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با معارف اسلامى آشنا شويم،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شارف، نظريه هاى روان درمانى و مشاوره، ترجمه ى مهرداد فيروزبخت،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ى خدمات فرهنگى رسا، چ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خودپنداره </w:t>
      </w:r>
      <w:r>
        <w:rPr>
          <w:rFonts w:eastAsia="IRNazanin" w:cs="IRNazanin"/>
          <w:b w:val="false"/>
          <w:bCs w:val="false"/>
          <w:i w:val="false"/>
          <w:iCs w:val="false"/>
          <w:color w:val="333333"/>
          <w:sz w:val="20"/>
          <w:szCs w:val="20"/>
        </w:rPr>
        <w:t>self - image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جنبه ى مهم و شايد مهم ترين جنبه ى شخصيت يك فرد است، زيرا با مفهوم فرديت شخص، متمايز از ديگران و با مجموعه ى ويژگى هاى منحصر به فرد شخص سروكار دارد، مفهوم خود، شامل آگاهى به زنده بودن، آگاهى از تفكر استدلال و انجام اعمال خاص و اعتقاد به آگاهى درباره ى خود فرد بيش از آنچه ممكن است در خصوص ديگران بداند،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خودپندارى مردم، نمايانگر توصيف آنان از خودشان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چيزى كه مى خواهند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راى، روان شناسى شخصيت، ترجمه ى سياوش جمالفر،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ايران، </w:t>
      </w:r>
      <w:r>
        <w:rPr>
          <w:rFonts w:eastAsia="IRNazanin" w:cs="IRNazanin"/>
          <w:b w:val="false"/>
          <w:bCs w:val="false"/>
          <w:i w:val="false"/>
          <w:iCs w:val="false"/>
          <w:color w:val="333333"/>
          <w:sz w:val="20"/>
          <w:szCs w:val="20"/>
        </w:rPr>
        <w:t>25/5/1381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esteem</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identification</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شريعتى،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صباح،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حديث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فرهنگ برهنگى و برهنگى فرهنگى،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سروش، چ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كيهان،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ائتلاف مسئولين كارخانه ها براى حفظ قيمت اجناس خود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كيهان،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قرائتى، تفسير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فرهنگ، چ دهم،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حلية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برگزيده، چ سوم،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ى توضيح المسائل چهار مرجع، پيام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مطالعات و پژوهش هاى فرهنگى حوزه ى علميه، گفتمان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و مدگرايى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صبورى اردوبارى، آيين بهزيستى اسلام،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دانشجويى شماره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ديدگاه قبله نماى مدگرايى از فرمايشات مقام معظم رهبرى در تيرماه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experience</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فعالى، تجربه ى دينى و مكاشفه عرفانى،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كيث يندل، تجربه ى دينى، ترجمه ى ماشاالله رحمتى، نقد و نظر، ش</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دفتر تبليغات حوزه ى علميه 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و افعال گفتارى، عليرضا قائمى 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معارف اسلامى،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احمد الفراهيدى، 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اسوه،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راغب اصفهانى، غرايب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ى وحى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نجم، آيه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تفسير الميزان، ترجمه ى نورى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ى كيفيت كلام خداوند، در علم كلام بحث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حسين طباطبايى،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عنكبوت،آيه 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جمعه،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معترك القرآن فى اعجاز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المكتبيه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قرآن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البيان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ناصر مكارم شيرازى،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چ يازدهم،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قائمى نيا، وحى و افعال گفتارى،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وثوقى و على اكبر نيك خلق، مبانى جامعه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خردمند، چاپ دوازدهم،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معين، فرهنگ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اميركبير،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مقدمه اى بر جهان بينى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هادوى تهرانى، مبانى كلامى 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ى خرد، 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عرفان، اعجاز در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معارف اسلامى، چ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آشنايى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تكاثر،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نورى، اسلام و جاهليت،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معارف اسلامى، چ هشتم،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مجادله، آيات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مقدمه اى بر جهان بينى اسلامى،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اصيل، آرمانشهر در انديشه ايرانى،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دوره ى كامل آثار، ترجمه و تدوين محمد حسن لطفى و رضا كاويانى،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 فاستر، خداوندان انديشه، ترجمه ى جواد شيخ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علمى و فرهنگى، چ دوم،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ترجمه ى فؤاد روحانى،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كاپلستون، تاريخ فلسفه، ترجمه ى مجتبوى،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 كوب، تاريخ در ترازو،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اصيل،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داورى اردكانى، فارابى،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فلسفه ى اسلامى، پژوهشگاه علوم انسانى، چ چهارم،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فارابى، الفصول المدنى، تحقيق م دنكوب،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جامعة كمبريج،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خيرات عمومى و مشترك در مدينه ى فاضله ى فارابى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سلامتى، اموال، كرامت، مقامات و مناصب، و</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فارابى، فصول منتزعه،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فوزى مترى 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دارالمشرق،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اصيل،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فارابى، التنبيه على سبيل السعاده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اربع مسائل فلسفيه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حكمت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فارابى، سياست مدنيه، ترجمه و شرح حسن ملكشاهى،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فارابى، سياست مدينه، ترجمه ى سيد جعفر سجادى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فلسفه ى ايران،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هانرى كربن، تاريخ فلسفه ى اسلامى، ترجمه ى اسدالله مشيرى،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more</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اصيل،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 كوب،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مكارم، مدينه ى فاضله در متون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دفتر تبليغات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 فاستر، خداوندان انديشه، ترجمه ى جواد شيخ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 فرهنگى، چ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صافى گلپايگانى، منتخب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الصدر، چ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گلپايگانى، 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الاعلمى،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همان، ترجمه ى سيد محمد باقر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صافى گلپايگانى، 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نشر كتاب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طباطبائى،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جامعه ى مدرسين حوزه ى علميه ى قم، بى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سيد محمدحسين تهرانى، ولاية الفقيه فى حكومة الاسلاميه،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دارالمحجة البيضاء، 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مفردات راغب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العلميه، ج دوم،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هيثمى،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القاهرة،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زمخشرى، 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چ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بن حسام هندى، كنزل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چ پنجم،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النائينى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ى نشر اسلامى،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خاورى، ذهبيه، تصوّف علمى، آثار ادبى،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دوم،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لاهيجى،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مشكور، فرهنگ فرق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ابى سعيد ميهنى، اسرار التوحيد فى مقامات شيخ ابوسعيد،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فردوسى،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آشنايى با علوم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صدارا، چ بيست و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كاشانى، مجموعه ى رسائل و مصنفات،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كيائى نژاد،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الاثنى عشريه،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العلميه،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41273</Words>
  <Characters>155808</Characters>
  <CharactersWithSpaces>195740</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2026-08-27T09:47:53Z</dcterms:created>
  <dc:creator>ghaemiyeh.com</dc:creator>
  <dc:description/>
  <dc:language>en-US</dc:language>
  <cp:lastModifiedBy/>
  <dcterms:modified xsi:type="dcterms:W3CDTF">2026-08-27T13:17:59Z</dcterms:modified>
  <cp:revision>1</cp:revision>
  <dc:subject/>
  <dc:title>فصلنامه پژوهشی پرسش ها و پاسخ های دینی صباح - سال چهارم - شماره 17-18 پاییز و زمستان 1384</dc:title>
</cp:coreProperties>
</file>

<file path=docProps/custom.xml><?xml version="1.0" encoding="utf-8"?>
<Properties xmlns="http://schemas.openxmlformats.org/officeDocument/2006/custom-properties" xmlns:vt="http://schemas.openxmlformats.org/officeDocument/2006/docPropsVTypes"/>
</file>