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الاصلاح الحسینی </w:t>
      </w:r>
      <w:r>
        <w:rPr/>
        <w:t>5</w:t>
      </w:r>
      <w:r>
        <w:rPr>
          <w:rtl w:val="true"/>
        </w:rPr>
        <w:t xml:space="preserve"> </w:t>
      </w:r>
      <w:r>
        <w:rPr>
          <w:rtl w:val="true"/>
        </w:rPr>
        <w:t>مجلة فصلیة متخصصة فی النهضة و تعنی بالدراسات الدینِیة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36632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36634_105122903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36636_1051229030">
            <w:r>
              <w:rPr>
                <w:webHidden/>
                <w:rStyle w:val="IndexLink"/>
                <w:rtl w:val="true"/>
              </w:rPr>
              <w:t>هوية المجلّة</w:t>
            </w:r>
            <w:r>
              <w:rPr>
                <w:rStyle w:val="IndexLink"/>
                <w:rtl w:val="true"/>
              </w:rPr>
              <w:t>:</w:t>
              <w:tab/>
            </w:r>
            <w:r>
              <w:rPr>
                <w:rStyle w:val="IndexLink"/>
              </w:rPr>
              <w:t>14</w:t>
            </w:r>
          </w:hyperlink>
        </w:p>
        <w:p>
          <w:pPr>
            <w:pStyle w:val="Contents2"/>
            <w:tabs>
              <w:tab w:val="clear" w:pos="8743"/>
              <w:tab w:val="right" w:pos="9026" w:leader="dot"/>
            </w:tabs>
            <w:rPr/>
          </w:pPr>
          <w:hyperlink w:anchor="__RefHeading___Toc1936638_1051229030">
            <w:r>
              <w:rPr>
                <w:webHidden/>
                <w:rStyle w:val="IndexLink"/>
                <w:rtl w:val="true"/>
              </w:rPr>
              <w:t>اهتمام المجلّة</w:t>
            </w:r>
            <w:r>
              <w:rPr>
                <w:rStyle w:val="IndexLink"/>
                <w:rtl w:val="true"/>
              </w:rPr>
              <w:t>:</w:t>
              <w:tab/>
            </w:r>
            <w:r>
              <w:rPr>
                <w:rStyle w:val="IndexLink"/>
              </w:rPr>
              <w:t>14</w:t>
            </w:r>
          </w:hyperlink>
        </w:p>
        <w:p>
          <w:pPr>
            <w:pStyle w:val="Contents2"/>
            <w:tabs>
              <w:tab w:val="clear" w:pos="8743"/>
              <w:tab w:val="right" w:pos="9026" w:leader="dot"/>
            </w:tabs>
            <w:rPr/>
          </w:pPr>
          <w:hyperlink w:anchor="__RefHeading___Toc1936640_1051229030">
            <w:r>
              <w:rPr>
                <w:webHidden/>
                <w:rStyle w:val="IndexLink"/>
                <w:rtl w:val="true"/>
              </w:rPr>
              <w:t>أهداف المجلّة</w:t>
            </w:r>
            <w:r>
              <w:rPr>
                <w:rStyle w:val="IndexLink"/>
                <w:rtl w:val="true"/>
              </w:rPr>
              <w:t>:</w:t>
              <w:tab/>
            </w:r>
            <w:r>
              <w:rPr>
                <w:rStyle w:val="IndexLink"/>
              </w:rPr>
              <w:t>15</w:t>
            </w:r>
          </w:hyperlink>
        </w:p>
        <w:p>
          <w:pPr>
            <w:pStyle w:val="Contents2"/>
            <w:tabs>
              <w:tab w:val="clear" w:pos="8743"/>
              <w:tab w:val="right" w:pos="9026" w:leader="dot"/>
            </w:tabs>
            <w:rPr/>
          </w:pPr>
          <w:hyperlink w:anchor="__RefHeading___Toc1936642_1051229030">
            <w:r>
              <w:rPr>
                <w:webHidden/>
                <w:rStyle w:val="IndexLink"/>
                <w:rtl w:val="true"/>
              </w:rPr>
              <w:t>ضوابط النشر</w:t>
            </w:r>
            <w:r>
              <w:rPr>
                <w:rStyle w:val="IndexLink"/>
                <w:rtl w:val="true"/>
              </w:rPr>
              <w:tab/>
            </w:r>
            <w:r>
              <w:rPr>
                <w:rStyle w:val="IndexLink"/>
              </w:rPr>
              <w:t>16</w:t>
            </w:r>
          </w:hyperlink>
        </w:p>
        <w:p>
          <w:pPr>
            <w:pStyle w:val="Contents2"/>
            <w:tabs>
              <w:tab w:val="clear" w:pos="8743"/>
              <w:tab w:val="right" w:pos="9026" w:leader="dot"/>
            </w:tabs>
            <w:rPr/>
          </w:pPr>
          <w:hyperlink w:anchor="__RefHeading___Toc1936644_1051229030">
            <w:r>
              <w:rPr>
                <w:webHidden/>
                <w:rStyle w:val="IndexLink"/>
                <w:rtl w:val="true"/>
              </w:rPr>
              <w:t>مراكز النشر</w:t>
            </w:r>
            <w:r>
              <w:rPr>
                <w:rStyle w:val="IndexLink"/>
                <w:rtl w:val="true"/>
              </w:rPr>
              <w:t>:</w:t>
              <w:tab/>
            </w:r>
            <w:r>
              <w:rPr>
                <w:rStyle w:val="IndexLink"/>
              </w:rPr>
              <w:t>17</w:t>
            </w:r>
          </w:hyperlink>
        </w:p>
        <w:p>
          <w:pPr>
            <w:pStyle w:val="Contents2"/>
            <w:tabs>
              <w:tab w:val="clear" w:pos="8743"/>
              <w:tab w:val="right" w:pos="9026" w:leader="dot"/>
            </w:tabs>
            <w:rPr/>
          </w:pPr>
          <w:hyperlink w:anchor="__RefHeading___Toc1936646_1051229030">
            <w:r>
              <w:rPr>
                <w:webHidden/>
                <w:rStyle w:val="IndexLink"/>
                <w:rtl w:val="true"/>
              </w:rPr>
              <w:t>المُحتَویَات</w:t>
            </w:r>
            <w:r>
              <w:rPr>
                <w:rStyle w:val="IndexLink"/>
                <w:rtl w:val="true"/>
              </w:rPr>
              <w:tab/>
            </w:r>
            <w:r>
              <w:rPr>
                <w:rStyle w:val="IndexLink"/>
              </w:rPr>
              <w:t>18</w:t>
            </w:r>
          </w:hyperlink>
        </w:p>
        <w:p>
          <w:pPr>
            <w:pStyle w:val="Contents2"/>
            <w:tabs>
              <w:tab w:val="clear" w:pos="8743"/>
              <w:tab w:val="right" w:pos="9026" w:leader="dot"/>
            </w:tabs>
            <w:rPr/>
          </w:pPr>
          <w:hyperlink w:anchor="__RefHeading___Toc1936648_1051229030">
            <w:r>
              <w:rPr>
                <w:webHidden/>
                <w:rStyle w:val="IndexLink"/>
                <w:rtl w:val="true"/>
              </w:rPr>
              <w:t>مَقَالُ التَحريِر</w:t>
            </w:r>
            <w:r>
              <w:rPr>
                <w:rStyle w:val="IndexLink"/>
                <w:rtl w:val="true"/>
              </w:rPr>
              <w:tab/>
            </w:r>
            <w:r>
              <w:rPr>
                <w:rStyle w:val="IndexLink"/>
              </w:rPr>
              <w:t>20</w:t>
            </w:r>
          </w:hyperlink>
        </w:p>
        <w:p>
          <w:pPr>
            <w:pStyle w:val="Contents3"/>
            <w:tabs>
              <w:tab w:val="clear" w:pos="8459"/>
              <w:tab w:val="right" w:pos="9026" w:leader="dot"/>
            </w:tabs>
            <w:rPr/>
          </w:pPr>
          <w:hyperlink w:anchor="__RefHeading___Toc1936650_1051229030">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936652_1051229030">
            <w:r>
              <w:rPr>
                <w:webHidden/>
                <w:rStyle w:val="IndexLink"/>
                <w:rtl w:val="true"/>
              </w:rPr>
              <w:t>مَجَلّةُ الإصلَاحِ الحُسَينيّ في عَامِهَا الثَاني</w:t>
            </w:r>
            <w:r>
              <w:rPr>
                <w:rStyle w:val="IndexLink"/>
                <w:rtl w:val="true"/>
              </w:rPr>
              <w:tab/>
            </w:r>
            <w:r>
              <w:rPr>
                <w:rStyle w:val="IndexLink"/>
              </w:rPr>
              <w:t>22</w:t>
            </w:r>
          </w:hyperlink>
        </w:p>
        <w:p>
          <w:pPr>
            <w:pStyle w:val="Contents4"/>
            <w:tabs>
              <w:tab w:val="clear" w:pos="8176"/>
              <w:tab w:val="right" w:pos="9026" w:leader="dot"/>
            </w:tabs>
            <w:rPr/>
          </w:pPr>
          <w:hyperlink w:anchor="__RefHeading___Toc1936654_105122903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936656_1051229030">
            <w:r>
              <w:rPr>
                <w:webHidden/>
                <w:rStyle w:val="IndexLink"/>
                <w:rtl w:val="true"/>
              </w:rPr>
              <w:t>في محضر المراجع والعلماء</w:t>
            </w:r>
            <w:r>
              <w:rPr>
                <w:rStyle w:val="IndexLink"/>
                <w:rtl w:val="true"/>
              </w:rPr>
              <w:tab/>
            </w:r>
            <w:r>
              <w:rPr>
                <w:rStyle w:val="IndexLink"/>
              </w:rPr>
              <w:t>25</w:t>
            </w:r>
          </w:hyperlink>
        </w:p>
        <w:p>
          <w:pPr>
            <w:pStyle w:val="Contents4"/>
            <w:tabs>
              <w:tab w:val="clear" w:pos="8176"/>
              <w:tab w:val="right" w:pos="9026" w:leader="dot"/>
            </w:tabs>
            <w:rPr/>
          </w:pPr>
          <w:hyperlink w:anchor="__RefHeading___Toc1936658_1051229030">
            <w:r>
              <w:rPr>
                <w:webHidden/>
                <w:rStyle w:val="IndexLink"/>
                <w:rtl w:val="true"/>
              </w:rPr>
              <w:t>رؤيتنا لتطوير المجلّة في عامها الجديد</w:t>
            </w:r>
            <w:r>
              <w:rPr>
                <w:rStyle w:val="IndexLink"/>
                <w:rtl w:val="true"/>
              </w:rPr>
              <w:tab/>
            </w:r>
            <w:r>
              <w:rPr>
                <w:rStyle w:val="IndexLink"/>
              </w:rPr>
              <w:t>25</w:t>
            </w:r>
          </w:hyperlink>
        </w:p>
        <w:p>
          <w:pPr>
            <w:pStyle w:val="Contents5"/>
            <w:tabs>
              <w:tab w:val="clear" w:pos="7892"/>
              <w:tab w:val="right" w:pos="9026" w:leader="dot"/>
            </w:tabs>
            <w:rPr/>
          </w:pPr>
          <w:hyperlink w:anchor="__RefHeading___Toc1936660_105122903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936662_1051229030">
            <w:r>
              <w:rPr>
                <w:webHidden/>
                <w:rStyle w:val="IndexLink"/>
                <w:rtl w:val="true"/>
              </w:rPr>
              <w:t>أولاً</w:t>
            </w:r>
            <w:r>
              <w:rPr>
                <w:rStyle w:val="IndexLink"/>
                <w:rtl w:val="true"/>
              </w:rPr>
              <w:t xml:space="preserve">: </w:t>
            </w:r>
            <w:r>
              <w:rPr>
                <w:rStyle w:val="IndexLink"/>
                <w:rtl w:val="true"/>
              </w:rPr>
              <w:t>الهيئة الاستشارية</w:t>
            </w:r>
            <w:r>
              <w:rPr>
                <w:rStyle w:val="IndexLink"/>
                <w:rtl w:val="true"/>
              </w:rPr>
              <w:tab/>
            </w:r>
            <w:r>
              <w:rPr>
                <w:rStyle w:val="IndexLink"/>
              </w:rPr>
              <w:t>25</w:t>
            </w:r>
          </w:hyperlink>
        </w:p>
        <w:p>
          <w:pPr>
            <w:pStyle w:val="Contents5"/>
            <w:tabs>
              <w:tab w:val="clear" w:pos="7892"/>
              <w:tab w:val="right" w:pos="9026" w:leader="dot"/>
            </w:tabs>
            <w:rPr/>
          </w:pPr>
          <w:hyperlink w:anchor="__RefHeading___Toc1936664_1051229030">
            <w:r>
              <w:rPr>
                <w:webHidden/>
                <w:rStyle w:val="IndexLink"/>
                <w:rtl w:val="true"/>
              </w:rPr>
              <w:t>ثانياً</w:t>
            </w:r>
            <w:r>
              <w:rPr>
                <w:rStyle w:val="IndexLink"/>
                <w:rtl w:val="true"/>
              </w:rPr>
              <w:t xml:space="preserve">: </w:t>
            </w:r>
            <w:r>
              <w:rPr>
                <w:rStyle w:val="IndexLink"/>
                <w:rtl w:val="true"/>
              </w:rPr>
              <w:t>المحاور الموضوعية للمجلّة</w:t>
            </w:r>
            <w:r>
              <w:rPr>
                <w:rStyle w:val="IndexLink"/>
                <w:rtl w:val="true"/>
              </w:rPr>
              <w:tab/>
            </w:r>
            <w:r>
              <w:rPr>
                <w:rStyle w:val="IndexLink"/>
              </w:rPr>
              <w:t>26</w:t>
            </w:r>
          </w:hyperlink>
        </w:p>
        <w:p>
          <w:pPr>
            <w:pStyle w:val="Contents5"/>
            <w:tabs>
              <w:tab w:val="clear" w:pos="7892"/>
              <w:tab w:val="right" w:pos="9026" w:leader="dot"/>
            </w:tabs>
            <w:rPr/>
          </w:pPr>
          <w:hyperlink w:anchor="__RefHeading___Toc1936666_1051229030">
            <w:r>
              <w:rPr>
                <w:webHidden/>
                <w:rStyle w:val="IndexLink"/>
                <w:rtl w:val="true"/>
              </w:rPr>
              <w:t>ثالثاً</w:t>
            </w:r>
            <w:r>
              <w:rPr>
                <w:rStyle w:val="IndexLink"/>
                <w:rtl w:val="true"/>
              </w:rPr>
              <w:t xml:space="preserve">: </w:t>
            </w:r>
            <w:r>
              <w:rPr>
                <w:rStyle w:val="IndexLink"/>
                <w:rtl w:val="true"/>
              </w:rPr>
              <w:t>أسرة المجلة</w:t>
            </w:r>
            <w:r>
              <w:rPr>
                <w:rStyle w:val="IndexLink"/>
                <w:rtl w:val="true"/>
              </w:rPr>
              <w:tab/>
            </w:r>
            <w:r>
              <w:rPr>
                <w:rStyle w:val="IndexLink"/>
              </w:rPr>
              <w:t>27</w:t>
            </w:r>
          </w:hyperlink>
        </w:p>
        <w:p>
          <w:pPr>
            <w:pStyle w:val="Contents5"/>
            <w:tabs>
              <w:tab w:val="clear" w:pos="7892"/>
              <w:tab w:val="right" w:pos="9026" w:leader="dot"/>
            </w:tabs>
            <w:rPr/>
          </w:pPr>
          <w:hyperlink w:anchor="__RefHeading___Toc1936668_1051229030">
            <w:r>
              <w:rPr>
                <w:webHidden/>
                <w:rStyle w:val="IndexLink"/>
                <w:rtl w:val="true"/>
              </w:rPr>
              <w:t>رابعاً</w:t>
            </w:r>
            <w:r>
              <w:rPr>
                <w:rStyle w:val="IndexLink"/>
                <w:rtl w:val="true"/>
              </w:rPr>
              <w:t xml:space="preserve">: </w:t>
            </w:r>
            <w:r>
              <w:rPr>
                <w:rStyle w:val="IndexLink"/>
                <w:rtl w:val="true"/>
              </w:rPr>
              <w:t>المؤتمرات الفكريّة والندوات والملتقيات العلمية</w:t>
            </w:r>
            <w:r>
              <w:rPr>
                <w:rStyle w:val="IndexLink"/>
                <w:rtl w:val="true"/>
              </w:rPr>
              <w:tab/>
            </w:r>
            <w:r>
              <w:rPr>
                <w:rStyle w:val="IndexLink"/>
              </w:rPr>
              <w:t>28</w:t>
            </w:r>
          </w:hyperlink>
        </w:p>
        <w:p>
          <w:pPr>
            <w:pStyle w:val="Contents5"/>
            <w:tabs>
              <w:tab w:val="clear" w:pos="7892"/>
              <w:tab w:val="right" w:pos="9026" w:leader="dot"/>
            </w:tabs>
            <w:rPr/>
          </w:pPr>
          <w:hyperlink w:anchor="__RefHeading___Toc1936670_1051229030">
            <w:r>
              <w:rPr>
                <w:webHidden/>
                <w:rStyle w:val="IndexLink"/>
                <w:rtl w:val="true"/>
              </w:rPr>
              <w:t>خامساً</w:t>
            </w:r>
            <w:r>
              <w:rPr>
                <w:rStyle w:val="IndexLink"/>
                <w:rtl w:val="true"/>
              </w:rPr>
              <w:t xml:space="preserve">: </w:t>
            </w:r>
            <w:r>
              <w:rPr>
                <w:rStyle w:val="IndexLink"/>
                <w:rtl w:val="true"/>
              </w:rPr>
              <w:t>العمل الإعلامي والتنسيق العام</w:t>
            </w:r>
            <w:r>
              <w:rPr>
                <w:rStyle w:val="IndexLink"/>
                <w:rtl w:val="true"/>
              </w:rPr>
              <w:tab/>
            </w:r>
            <w:r>
              <w:rPr>
                <w:rStyle w:val="IndexLink"/>
              </w:rPr>
              <w:t>29</w:t>
            </w:r>
          </w:hyperlink>
        </w:p>
        <w:p>
          <w:pPr>
            <w:pStyle w:val="Contents2"/>
            <w:tabs>
              <w:tab w:val="clear" w:pos="8743"/>
              <w:tab w:val="right" w:pos="9026" w:leader="dot"/>
            </w:tabs>
            <w:rPr/>
          </w:pPr>
          <w:hyperlink w:anchor="__RefHeading___Toc1936672_1051229030">
            <w:r>
              <w:rPr>
                <w:webHidden/>
                <w:rStyle w:val="IndexLink"/>
                <w:rtl w:val="true"/>
              </w:rPr>
              <w:t>دِرَاسَاتٌ في آفَاقِ النَهضَة الحُسَينِيَّة</w:t>
            </w:r>
            <w:r>
              <w:rPr>
                <w:rStyle w:val="IndexLink"/>
                <w:rtl w:val="true"/>
              </w:rPr>
              <w:tab/>
            </w:r>
            <w:r>
              <w:rPr>
                <w:rStyle w:val="IndexLink"/>
              </w:rPr>
              <w:t>30</w:t>
            </w:r>
          </w:hyperlink>
        </w:p>
        <w:p>
          <w:pPr>
            <w:pStyle w:val="Contents3"/>
            <w:tabs>
              <w:tab w:val="clear" w:pos="8459"/>
              <w:tab w:val="right" w:pos="9026" w:leader="dot"/>
            </w:tabs>
            <w:rPr/>
          </w:pPr>
          <w:hyperlink w:anchor="__RefHeading___Toc1936674_1051229030">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1936676_1051229030">
            <w:r>
              <w:rPr>
                <w:webHidden/>
                <w:rStyle w:val="IndexLink"/>
                <w:rtl w:val="true"/>
              </w:rPr>
              <w:t>تَوسِعَةُ حَرِيم الزِيَارَة زَمَانَاً ومَكانَاً</w:t>
            </w:r>
            <w:r>
              <w:rPr>
                <w:rStyle w:val="IndexLink"/>
                <w:rtl w:val="true"/>
              </w:rPr>
              <w:tab/>
            </w:r>
            <w:r>
              <w:rPr>
                <w:rStyle w:val="IndexLink"/>
              </w:rPr>
              <w:t>32</w:t>
            </w:r>
          </w:hyperlink>
        </w:p>
        <w:p>
          <w:pPr>
            <w:pStyle w:val="Contents4"/>
            <w:tabs>
              <w:tab w:val="clear" w:pos="8176"/>
              <w:tab w:val="right" w:pos="9026" w:leader="dot"/>
            </w:tabs>
            <w:rPr/>
          </w:pPr>
          <w:hyperlink w:anchor="__RefHeading___Toc1936678_105122903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936680_1051229030">
            <w:r>
              <w:rPr>
                <w:webHidden/>
                <w:rStyle w:val="IndexLink"/>
                <w:rtl w:val="true"/>
              </w:rPr>
              <w:t>توطئة</w:t>
            </w:r>
            <w:r>
              <w:rPr>
                <w:rStyle w:val="IndexLink"/>
                <w:rtl w:val="true"/>
              </w:rPr>
              <w:tab/>
            </w:r>
            <w:r>
              <w:rPr>
                <w:rStyle w:val="IndexLink"/>
              </w:rPr>
              <w:t>32</w:t>
            </w:r>
          </w:hyperlink>
        </w:p>
        <w:p>
          <w:pPr>
            <w:pStyle w:val="Contents4"/>
            <w:tabs>
              <w:tab w:val="clear" w:pos="8176"/>
              <w:tab w:val="right" w:pos="9026" w:leader="dot"/>
            </w:tabs>
            <w:rPr/>
          </w:pPr>
          <w:hyperlink w:anchor="__RefHeading___Toc1936682_1051229030">
            <w:r>
              <w:rPr>
                <w:webHidden/>
                <w:rStyle w:val="IndexLink"/>
                <w:rtl w:val="true"/>
              </w:rPr>
              <w:t>المقدّمة</w:t>
            </w:r>
            <w:r>
              <w:rPr>
                <w:rStyle w:val="IndexLink"/>
                <w:rtl w:val="true"/>
              </w:rPr>
              <w:tab/>
            </w:r>
            <w:r>
              <w:rPr>
                <w:rStyle w:val="IndexLink"/>
              </w:rPr>
              <w:t>33</w:t>
            </w:r>
          </w:hyperlink>
        </w:p>
        <w:p>
          <w:pPr>
            <w:pStyle w:val="Contents4"/>
            <w:tabs>
              <w:tab w:val="clear" w:pos="8176"/>
              <w:tab w:val="right" w:pos="9026" w:leader="dot"/>
            </w:tabs>
            <w:rPr/>
          </w:pPr>
          <w:hyperlink w:anchor="__RefHeading___Toc1936684_1051229030">
            <w:r>
              <w:rPr>
                <w:webHidden/>
                <w:rStyle w:val="IndexLink"/>
                <w:rtl w:val="true"/>
              </w:rPr>
              <w:t>الوجه الأوّل</w:t>
            </w:r>
            <w:r>
              <w:rPr>
                <w:rStyle w:val="IndexLink"/>
                <w:rtl w:val="true"/>
              </w:rPr>
              <w:t xml:space="preserve">: </w:t>
            </w:r>
            <w:r>
              <w:rPr>
                <w:rStyle w:val="IndexLink"/>
                <w:rtl w:val="true"/>
              </w:rPr>
              <w:t>الاستقراء المتصيَّد من الأبواب الفقهية للتوسعة الزمانية</w:t>
            </w:r>
            <w:r>
              <w:rPr>
                <w:rStyle w:val="IndexLink"/>
                <w:rtl w:val="true"/>
              </w:rPr>
              <w:tab/>
            </w:r>
            <w:r>
              <w:rPr>
                <w:rStyle w:val="IndexLink"/>
              </w:rPr>
              <w:t>33</w:t>
            </w:r>
          </w:hyperlink>
        </w:p>
        <w:p>
          <w:pPr>
            <w:pStyle w:val="Contents5"/>
            <w:tabs>
              <w:tab w:val="clear" w:pos="7892"/>
              <w:tab w:val="right" w:pos="9026" w:leader="dot"/>
            </w:tabs>
            <w:rPr/>
          </w:pPr>
          <w:hyperlink w:anchor="__RefHeading___Toc1936686_105122903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936688_1051229030">
            <w:r>
              <w:rPr>
                <w:webHidden/>
                <w:rStyle w:val="IndexLink"/>
                <w:rtl w:val="true"/>
              </w:rPr>
              <w:t>القسم الأوّل</w:t>
            </w:r>
            <w:r>
              <w:rPr>
                <w:rStyle w:val="IndexLink"/>
                <w:rtl w:val="true"/>
              </w:rPr>
              <w:t xml:space="preserve">: </w:t>
            </w:r>
            <w:r>
              <w:rPr>
                <w:rStyle w:val="IndexLink"/>
                <w:rtl w:val="true"/>
              </w:rPr>
              <w:t>موارد التوسعة في الحريم الزماني</w:t>
            </w:r>
            <w:r>
              <w:rPr>
                <w:rStyle w:val="IndexLink"/>
                <w:rtl w:val="true"/>
              </w:rPr>
              <w:tab/>
            </w:r>
            <w:r>
              <w:rPr>
                <w:rStyle w:val="IndexLink"/>
              </w:rPr>
              <w:t>33</w:t>
            </w:r>
          </w:hyperlink>
        </w:p>
        <w:p>
          <w:pPr>
            <w:pStyle w:val="Contents6"/>
            <w:tabs>
              <w:tab w:val="clear" w:pos="7609"/>
              <w:tab w:val="right" w:pos="9026" w:leader="dot"/>
            </w:tabs>
            <w:rPr/>
          </w:pPr>
          <w:hyperlink w:anchor="__RefHeading___Toc1936690_105122903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936692_1051229030">
            <w:r>
              <w:rPr>
                <w:webHidden/>
                <w:rStyle w:val="IndexLink"/>
                <w:rtl w:val="true"/>
              </w:rPr>
              <w:t>الباب الأوّل</w:t>
            </w:r>
            <w:r>
              <w:rPr>
                <w:rStyle w:val="IndexLink"/>
                <w:rtl w:val="true"/>
              </w:rPr>
              <w:t xml:space="preserve">: </w:t>
            </w:r>
            <w:r>
              <w:rPr>
                <w:rStyle w:val="IndexLink"/>
                <w:rtl w:val="true"/>
              </w:rPr>
              <w:t>باب الحجّ</w:t>
            </w:r>
            <w:r>
              <w:rPr>
                <w:rStyle w:val="IndexLink"/>
                <w:rtl w:val="true"/>
              </w:rPr>
              <w:tab/>
            </w:r>
            <w:r>
              <w:rPr>
                <w:rStyle w:val="IndexLink"/>
              </w:rPr>
              <w:t>33</w:t>
            </w:r>
          </w:hyperlink>
        </w:p>
        <w:p>
          <w:pPr>
            <w:pStyle w:val="Contents6"/>
            <w:tabs>
              <w:tab w:val="clear" w:pos="7609"/>
              <w:tab w:val="right" w:pos="9026" w:leader="dot"/>
            </w:tabs>
            <w:rPr/>
          </w:pPr>
          <w:hyperlink w:anchor="__RefHeading___Toc1936694_1051229030">
            <w:r>
              <w:rPr>
                <w:webHidden/>
                <w:rStyle w:val="IndexLink"/>
                <w:rtl w:val="true"/>
              </w:rPr>
              <w:t>اشارة</w:t>
            </w:r>
            <w:r>
              <w:rPr>
                <w:rStyle w:val="IndexLink"/>
                <w:rtl w:val="true"/>
              </w:rPr>
              <w:tab/>
            </w:r>
            <w:r>
              <w:rPr>
                <w:rStyle w:val="IndexLink"/>
              </w:rPr>
              <w:t>33</w:t>
            </w:r>
          </w:hyperlink>
        </w:p>
        <w:p>
          <w:pPr>
            <w:pStyle w:val="Contents6"/>
            <w:tabs>
              <w:tab w:val="clear" w:pos="7609"/>
              <w:tab w:val="right" w:pos="9026" w:leader="dot"/>
            </w:tabs>
            <w:rPr/>
          </w:pPr>
          <w:hyperlink w:anchor="__RefHeading___Toc1936696_1051229030">
            <w:r>
              <w:rPr>
                <w:webHidden/>
                <w:rStyle w:val="IndexLink"/>
                <w:rtl w:val="true"/>
              </w:rPr>
              <w:t>المثال الأوّل</w:t>
            </w:r>
            <w:r>
              <w:rPr>
                <w:rStyle w:val="IndexLink"/>
                <w:rtl w:val="true"/>
              </w:rPr>
              <w:t xml:space="preserve">: </w:t>
            </w:r>
            <w:r>
              <w:rPr>
                <w:rStyle w:val="IndexLink"/>
                <w:rtl w:val="true"/>
              </w:rPr>
              <w:t>الوقوف بعرفة</w:t>
            </w:r>
            <w:r>
              <w:rPr>
                <w:rStyle w:val="IndexLink"/>
                <w:rtl w:val="true"/>
              </w:rPr>
              <w:tab/>
            </w:r>
            <w:r>
              <w:rPr>
                <w:rStyle w:val="IndexLink"/>
              </w:rPr>
              <w:t>33</w:t>
            </w:r>
          </w:hyperlink>
        </w:p>
        <w:p>
          <w:pPr>
            <w:pStyle w:val="Contents6"/>
            <w:tabs>
              <w:tab w:val="clear" w:pos="7609"/>
              <w:tab w:val="right" w:pos="9026" w:leader="dot"/>
            </w:tabs>
            <w:rPr/>
          </w:pPr>
          <w:hyperlink w:anchor="__RefHeading___Toc1936698_1051229030">
            <w:r>
              <w:rPr>
                <w:webHidden/>
                <w:rStyle w:val="IndexLink"/>
                <w:rtl w:val="true"/>
              </w:rPr>
              <w:t>المثال الثاني</w:t>
            </w:r>
            <w:r>
              <w:rPr>
                <w:rStyle w:val="IndexLink"/>
                <w:rtl w:val="true"/>
              </w:rPr>
              <w:t xml:space="preserve">: </w:t>
            </w:r>
            <w:r>
              <w:rPr>
                <w:rStyle w:val="IndexLink"/>
                <w:rtl w:val="true"/>
              </w:rPr>
              <w:t>الوقوف بمزدلفة</w:t>
            </w:r>
            <w:r>
              <w:rPr>
                <w:rStyle w:val="IndexLink"/>
                <w:rtl w:val="true"/>
              </w:rPr>
              <w:tab/>
            </w:r>
            <w:r>
              <w:rPr>
                <w:rStyle w:val="IndexLink"/>
              </w:rPr>
              <w:t>34</w:t>
            </w:r>
          </w:hyperlink>
        </w:p>
        <w:p>
          <w:pPr>
            <w:pStyle w:val="Contents6"/>
            <w:tabs>
              <w:tab w:val="clear" w:pos="7609"/>
              <w:tab w:val="right" w:pos="9026" w:leader="dot"/>
            </w:tabs>
            <w:rPr/>
          </w:pPr>
          <w:hyperlink w:anchor="__RefHeading___Toc1936700_1051229030">
            <w:r>
              <w:rPr>
                <w:webHidden/>
                <w:rStyle w:val="IndexLink"/>
                <w:rtl w:val="true"/>
              </w:rPr>
              <w:t>المثال الثالث</w:t>
            </w:r>
            <w:r>
              <w:rPr>
                <w:rStyle w:val="IndexLink"/>
                <w:rtl w:val="true"/>
              </w:rPr>
              <w:t xml:space="preserve">: </w:t>
            </w:r>
            <w:r>
              <w:rPr>
                <w:rStyle w:val="IndexLink"/>
                <w:rtl w:val="true"/>
              </w:rPr>
              <w:t>الإحرام لعمرة رجب</w:t>
            </w:r>
            <w:r>
              <w:rPr>
                <w:rStyle w:val="IndexLink"/>
                <w:rtl w:val="true"/>
              </w:rPr>
              <w:tab/>
            </w:r>
            <w:r>
              <w:rPr>
                <w:rStyle w:val="IndexLink"/>
              </w:rPr>
              <w:t>34</w:t>
            </w:r>
          </w:hyperlink>
        </w:p>
        <w:p>
          <w:pPr>
            <w:pStyle w:val="Contents6"/>
            <w:tabs>
              <w:tab w:val="clear" w:pos="7609"/>
              <w:tab w:val="right" w:pos="9026" w:leader="dot"/>
            </w:tabs>
            <w:rPr/>
          </w:pPr>
          <w:hyperlink w:anchor="__RefHeading___Toc1936702_1051229030">
            <w:r>
              <w:rPr>
                <w:webHidden/>
                <w:rStyle w:val="IndexLink"/>
                <w:rtl w:val="true"/>
              </w:rPr>
              <w:t>المثال الرابع</w:t>
            </w:r>
            <w:r>
              <w:rPr>
                <w:rStyle w:val="IndexLink"/>
                <w:rtl w:val="true"/>
              </w:rPr>
              <w:t xml:space="preserve">: </w:t>
            </w:r>
            <w:r>
              <w:rPr>
                <w:rStyle w:val="IndexLink"/>
                <w:rtl w:val="true"/>
              </w:rPr>
              <w:t>أعمال مِنى يوم العيد</w:t>
            </w:r>
            <w:r>
              <w:rPr>
                <w:rStyle w:val="IndexLink"/>
                <w:rtl w:val="true"/>
              </w:rPr>
              <w:tab/>
            </w:r>
            <w:r>
              <w:rPr>
                <w:rStyle w:val="IndexLink"/>
              </w:rPr>
              <w:t>34</w:t>
            </w:r>
          </w:hyperlink>
        </w:p>
        <w:p>
          <w:pPr>
            <w:pStyle w:val="Contents6"/>
            <w:tabs>
              <w:tab w:val="clear" w:pos="7609"/>
              <w:tab w:val="right" w:pos="9026" w:leader="dot"/>
            </w:tabs>
            <w:rPr/>
          </w:pPr>
          <w:hyperlink w:anchor="__RefHeading___Toc1936704_1051229030">
            <w:r>
              <w:rPr>
                <w:webHidden/>
                <w:rStyle w:val="IndexLink"/>
                <w:rtl w:val="true"/>
              </w:rPr>
              <w:t>المثال الخامس</w:t>
            </w:r>
            <w:r>
              <w:rPr>
                <w:rStyle w:val="IndexLink"/>
                <w:rtl w:val="true"/>
              </w:rPr>
              <w:t xml:space="preserve">: </w:t>
            </w:r>
            <w:r>
              <w:rPr>
                <w:rStyle w:val="IndexLink"/>
                <w:rtl w:val="true"/>
              </w:rPr>
              <w:t>أعمال مكّة</w:t>
            </w:r>
            <w:r>
              <w:rPr>
                <w:rStyle w:val="IndexLink"/>
                <w:rtl w:val="true"/>
              </w:rPr>
              <w:tab/>
            </w:r>
            <w:r>
              <w:rPr>
                <w:rStyle w:val="IndexLink"/>
              </w:rPr>
              <w:t>35</w:t>
            </w:r>
          </w:hyperlink>
        </w:p>
        <w:p>
          <w:pPr>
            <w:pStyle w:val="Contents6"/>
            <w:tabs>
              <w:tab w:val="clear" w:pos="7609"/>
              <w:tab w:val="right" w:pos="9026" w:leader="dot"/>
            </w:tabs>
            <w:rPr/>
          </w:pPr>
          <w:hyperlink w:anchor="__RefHeading___Toc1936706_1051229030">
            <w:r>
              <w:rPr>
                <w:webHidden/>
                <w:rStyle w:val="IndexLink"/>
                <w:rtl w:val="true"/>
              </w:rPr>
              <w:t>الباب الثاني</w:t>
            </w:r>
            <w:r>
              <w:rPr>
                <w:rStyle w:val="IndexLink"/>
                <w:rtl w:val="true"/>
              </w:rPr>
              <w:t xml:space="preserve">: </w:t>
            </w:r>
            <w:r>
              <w:rPr>
                <w:rStyle w:val="IndexLink"/>
                <w:rtl w:val="true"/>
              </w:rPr>
              <w:t>باب الصلاة</w:t>
            </w:r>
            <w:r>
              <w:rPr>
                <w:rStyle w:val="IndexLink"/>
                <w:rtl w:val="true"/>
              </w:rPr>
              <w:tab/>
            </w:r>
            <w:r>
              <w:rPr>
                <w:rStyle w:val="IndexLink"/>
              </w:rPr>
              <w:t>35</w:t>
            </w:r>
          </w:hyperlink>
        </w:p>
        <w:p>
          <w:pPr>
            <w:pStyle w:val="Contents6"/>
            <w:tabs>
              <w:tab w:val="clear" w:pos="7609"/>
              <w:tab w:val="right" w:pos="9026" w:leader="dot"/>
            </w:tabs>
            <w:rPr/>
          </w:pPr>
          <w:hyperlink w:anchor="__RefHeading___Toc1936708_1051229030">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936710_1051229030">
            <w:r>
              <w:rPr>
                <w:webHidden/>
                <w:rStyle w:val="IndexLink"/>
                <w:rtl w:val="true"/>
              </w:rPr>
              <w:t>المثال الأوّل</w:t>
            </w:r>
            <w:r>
              <w:rPr>
                <w:rStyle w:val="IndexLink"/>
                <w:rtl w:val="true"/>
              </w:rPr>
              <w:t xml:space="preserve">: </w:t>
            </w:r>
            <w:r>
              <w:rPr>
                <w:rStyle w:val="IndexLink"/>
                <w:rtl w:val="true"/>
              </w:rPr>
              <w:t>صلاة الليل</w:t>
            </w:r>
            <w:r>
              <w:rPr>
                <w:rStyle w:val="IndexLink"/>
                <w:rtl w:val="true"/>
              </w:rPr>
              <w:tab/>
            </w:r>
            <w:r>
              <w:rPr>
                <w:rStyle w:val="IndexLink"/>
              </w:rPr>
              <w:t>35</w:t>
            </w:r>
          </w:hyperlink>
        </w:p>
        <w:p>
          <w:pPr>
            <w:pStyle w:val="Contents6"/>
            <w:tabs>
              <w:tab w:val="clear" w:pos="7609"/>
              <w:tab w:val="right" w:pos="9026" w:leader="dot"/>
            </w:tabs>
            <w:rPr/>
          </w:pPr>
          <w:hyperlink w:anchor="__RefHeading___Toc1936712_1051229030">
            <w:r>
              <w:rPr>
                <w:webHidden/>
                <w:rStyle w:val="IndexLink"/>
                <w:rtl w:val="true"/>
              </w:rPr>
              <w:t>المثال الثاني</w:t>
            </w:r>
            <w:r>
              <w:rPr>
                <w:rStyle w:val="IndexLink"/>
                <w:rtl w:val="true"/>
              </w:rPr>
              <w:t xml:space="preserve">: </w:t>
            </w:r>
            <w:r>
              <w:rPr>
                <w:rStyle w:val="IndexLink"/>
                <w:rtl w:val="true"/>
              </w:rPr>
              <w:t>نوافل الظهرين</w:t>
            </w:r>
            <w:r>
              <w:rPr>
                <w:rStyle w:val="IndexLink"/>
                <w:rtl w:val="true"/>
              </w:rPr>
              <w:tab/>
            </w:r>
            <w:r>
              <w:rPr>
                <w:rStyle w:val="IndexLink"/>
              </w:rPr>
              <w:t>35</w:t>
            </w:r>
          </w:hyperlink>
        </w:p>
        <w:p>
          <w:pPr>
            <w:pStyle w:val="Contents6"/>
            <w:tabs>
              <w:tab w:val="clear" w:pos="7609"/>
              <w:tab w:val="right" w:pos="9026" w:leader="dot"/>
            </w:tabs>
            <w:rPr/>
          </w:pPr>
          <w:hyperlink w:anchor="__RefHeading___Toc1936714_1051229030">
            <w:r>
              <w:rPr>
                <w:webHidden/>
                <w:rStyle w:val="IndexLink"/>
                <w:rtl w:val="true"/>
              </w:rPr>
              <w:t>المثال الثالث</w:t>
            </w:r>
            <w:r>
              <w:rPr>
                <w:rStyle w:val="IndexLink"/>
                <w:rtl w:val="true"/>
              </w:rPr>
              <w:t xml:space="preserve">: </w:t>
            </w:r>
            <w:r>
              <w:rPr>
                <w:rStyle w:val="IndexLink"/>
                <w:rtl w:val="true"/>
              </w:rPr>
              <w:t>نافلة الفجر</w:t>
            </w:r>
            <w:r>
              <w:rPr>
                <w:rStyle w:val="IndexLink"/>
                <w:rtl w:val="true"/>
              </w:rPr>
              <w:tab/>
            </w:r>
            <w:r>
              <w:rPr>
                <w:rStyle w:val="IndexLink"/>
              </w:rPr>
              <w:t>36</w:t>
            </w:r>
          </w:hyperlink>
        </w:p>
        <w:p>
          <w:pPr>
            <w:pStyle w:val="Contents6"/>
            <w:tabs>
              <w:tab w:val="clear" w:pos="7609"/>
              <w:tab w:val="right" w:pos="9026" w:leader="dot"/>
            </w:tabs>
            <w:rPr/>
          </w:pPr>
          <w:hyperlink w:anchor="__RefHeading___Toc1936716_1051229030">
            <w:r>
              <w:rPr>
                <w:webHidden/>
                <w:rStyle w:val="IndexLink"/>
                <w:rtl w:val="true"/>
              </w:rPr>
              <w:t>المثال الرابع</w:t>
            </w:r>
            <w:r>
              <w:rPr>
                <w:rStyle w:val="IndexLink"/>
                <w:rtl w:val="true"/>
              </w:rPr>
              <w:t xml:space="preserve">: </w:t>
            </w:r>
            <w:r>
              <w:rPr>
                <w:rStyle w:val="IndexLink"/>
                <w:rtl w:val="true"/>
              </w:rPr>
              <w:t>خطبتا صلاة الجمعة</w:t>
            </w:r>
            <w:r>
              <w:rPr>
                <w:rStyle w:val="IndexLink"/>
                <w:rtl w:val="true"/>
              </w:rPr>
              <w:tab/>
            </w:r>
            <w:r>
              <w:rPr>
                <w:rStyle w:val="IndexLink"/>
              </w:rPr>
              <w:t>36</w:t>
            </w:r>
          </w:hyperlink>
        </w:p>
        <w:p>
          <w:pPr>
            <w:pStyle w:val="Contents6"/>
            <w:tabs>
              <w:tab w:val="clear" w:pos="7609"/>
              <w:tab w:val="right" w:pos="9026" w:leader="dot"/>
            </w:tabs>
            <w:rPr/>
          </w:pPr>
          <w:hyperlink w:anchor="__RefHeading___Toc1936718_1051229030">
            <w:r>
              <w:rPr>
                <w:webHidden/>
                <w:rStyle w:val="IndexLink"/>
                <w:rtl w:val="true"/>
              </w:rPr>
              <w:t>المثال الخامس</w:t>
            </w:r>
            <w:r>
              <w:rPr>
                <w:rStyle w:val="IndexLink"/>
                <w:rtl w:val="true"/>
              </w:rPr>
              <w:t xml:space="preserve">: </w:t>
            </w:r>
            <w:r>
              <w:rPr>
                <w:rStyle w:val="IndexLink"/>
                <w:rtl w:val="true"/>
              </w:rPr>
              <w:t>إدراك الوقت بركعة</w:t>
            </w:r>
            <w:r>
              <w:rPr>
                <w:rStyle w:val="IndexLink"/>
                <w:rtl w:val="true"/>
              </w:rPr>
              <w:tab/>
            </w:r>
            <w:r>
              <w:rPr>
                <w:rStyle w:val="IndexLink"/>
              </w:rPr>
              <w:t>36</w:t>
            </w:r>
          </w:hyperlink>
        </w:p>
        <w:p>
          <w:pPr>
            <w:pStyle w:val="Contents6"/>
            <w:tabs>
              <w:tab w:val="clear" w:pos="7609"/>
              <w:tab w:val="right" w:pos="9026" w:leader="dot"/>
            </w:tabs>
            <w:rPr/>
          </w:pPr>
          <w:hyperlink w:anchor="__RefHeading___Toc1936720_1051229030">
            <w:r>
              <w:rPr>
                <w:webHidden/>
                <w:rStyle w:val="IndexLink"/>
                <w:rtl w:val="true"/>
              </w:rPr>
              <w:t>الباب الثالث</w:t>
            </w:r>
            <w:r>
              <w:rPr>
                <w:rStyle w:val="IndexLink"/>
                <w:rtl w:val="true"/>
              </w:rPr>
              <w:t xml:space="preserve">: </w:t>
            </w:r>
            <w:r>
              <w:rPr>
                <w:rStyle w:val="IndexLink"/>
                <w:rtl w:val="true"/>
              </w:rPr>
              <w:t>موارد متفرِّقة</w:t>
            </w:r>
            <w:r>
              <w:rPr>
                <w:rStyle w:val="IndexLink"/>
                <w:rtl w:val="true"/>
              </w:rPr>
              <w:tab/>
            </w:r>
            <w:r>
              <w:rPr>
                <w:rStyle w:val="IndexLink"/>
              </w:rPr>
              <w:t>36</w:t>
            </w:r>
          </w:hyperlink>
        </w:p>
        <w:p>
          <w:pPr>
            <w:pStyle w:val="Contents5"/>
            <w:tabs>
              <w:tab w:val="clear" w:pos="7892"/>
              <w:tab w:val="right" w:pos="9026" w:leader="dot"/>
            </w:tabs>
            <w:rPr/>
          </w:pPr>
          <w:hyperlink w:anchor="__RefHeading___Toc1936722_1051229030">
            <w:r>
              <w:rPr>
                <w:webHidden/>
                <w:rStyle w:val="IndexLink"/>
                <w:rtl w:val="true"/>
              </w:rPr>
              <w:t>القسم الثاني</w:t>
            </w:r>
            <w:r>
              <w:rPr>
                <w:rStyle w:val="IndexLink"/>
                <w:rtl w:val="true"/>
              </w:rPr>
              <w:t xml:space="preserve">: </w:t>
            </w:r>
            <w:r>
              <w:rPr>
                <w:rStyle w:val="IndexLink"/>
                <w:rtl w:val="true"/>
              </w:rPr>
              <w:t>موارد التوسعة في الحريم المكاني</w:t>
            </w:r>
            <w:r>
              <w:rPr>
                <w:rStyle w:val="IndexLink"/>
                <w:rtl w:val="true"/>
              </w:rPr>
              <w:tab/>
            </w:r>
            <w:r>
              <w:rPr>
                <w:rStyle w:val="IndexLink"/>
              </w:rPr>
              <w:t>38</w:t>
            </w:r>
          </w:hyperlink>
        </w:p>
        <w:p>
          <w:pPr>
            <w:pStyle w:val="Contents4"/>
            <w:tabs>
              <w:tab w:val="clear" w:pos="8176"/>
              <w:tab w:val="right" w:pos="9026" w:leader="dot"/>
            </w:tabs>
            <w:rPr/>
          </w:pPr>
          <w:hyperlink w:anchor="__RefHeading___Toc1936724_1051229030">
            <w:r>
              <w:rPr>
                <w:webHidden/>
                <w:rStyle w:val="IndexLink"/>
                <w:rtl w:val="true"/>
              </w:rPr>
              <w:t>الوجه الثاني</w:t>
            </w:r>
            <w:r>
              <w:rPr>
                <w:rStyle w:val="IndexLink"/>
                <w:rtl w:val="true"/>
              </w:rPr>
              <w:t xml:space="preserve">: </w:t>
            </w:r>
            <w:r>
              <w:rPr>
                <w:rStyle w:val="IndexLink"/>
                <w:rtl w:val="true"/>
              </w:rPr>
              <w:t>السيرة العقلائية الممضاة</w:t>
            </w:r>
            <w:r>
              <w:rPr>
                <w:rStyle w:val="IndexLink"/>
                <w:rtl w:val="true"/>
              </w:rPr>
              <w:tab/>
            </w:r>
            <w:r>
              <w:rPr>
                <w:rStyle w:val="IndexLink"/>
              </w:rPr>
              <w:t>44</w:t>
            </w:r>
          </w:hyperlink>
        </w:p>
        <w:p>
          <w:pPr>
            <w:pStyle w:val="Contents4"/>
            <w:tabs>
              <w:tab w:val="clear" w:pos="8176"/>
              <w:tab w:val="right" w:pos="9026" w:leader="dot"/>
            </w:tabs>
            <w:rPr/>
          </w:pPr>
          <w:hyperlink w:anchor="__RefHeading___Toc1936726_1051229030">
            <w:r>
              <w:rPr>
                <w:webHidden/>
                <w:rStyle w:val="IndexLink"/>
                <w:rtl w:val="true"/>
              </w:rPr>
              <w:t>الوجه الثالث</w:t>
            </w:r>
            <w:r>
              <w:rPr>
                <w:rStyle w:val="IndexLink"/>
                <w:rtl w:val="true"/>
              </w:rPr>
              <w:t xml:space="preserve">: </w:t>
            </w:r>
            <w:r>
              <w:rPr>
                <w:rStyle w:val="IndexLink"/>
                <w:rtl w:val="true"/>
              </w:rPr>
              <w:t>قوله تعالى</w:t>
            </w:r>
            <w:r>
              <w:rPr>
                <w:rStyle w:val="IndexLink"/>
                <w:rtl w:val="true"/>
              </w:rPr>
              <w:t>: «</w:t>
            </w:r>
            <w:r>
              <w:rPr>
                <w:rStyle w:val="IndexLink"/>
                <w:rtl w:val="true"/>
              </w:rPr>
              <w:t xml:space="preserve">وَذَكِّرْهُمْ بِأَيَّامِ اللَّهِ إِنَّ فِي ذَلِكَ لَآيَاتٍ لِكُلِّ صَبَّارٍ شَكُورٍ </w:t>
            </w:r>
            <w:r>
              <w:rPr>
                <w:rStyle w:val="IndexLink"/>
                <w:rtl w:val="true"/>
              </w:rPr>
              <w:t>»</w:t>
              <w:tab/>
            </w:r>
            <w:r>
              <w:rPr>
                <w:rStyle w:val="IndexLink"/>
              </w:rPr>
              <w:t>45</w:t>
            </w:r>
          </w:hyperlink>
        </w:p>
        <w:p>
          <w:pPr>
            <w:pStyle w:val="Contents4"/>
            <w:tabs>
              <w:tab w:val="clear" w:pos="8176"/>
              <w:tab w:val="right" w:pos="9026" w:leader="dot"/>
            </w:tabs>
            <w:rPr/>
          </w:pPr>
          <w:hyperlink w:anchor="__RefHeading___Toc1936728_1051229030">
            <w:r>
              <w:rPr>
                <w:webHidden/>
                <w:rStyle w:val="IndexLink"/>
                <w:rtl w:val="true"/>
              </w:rPr>
              <w:t>الوجه الرابع</w:t>
            </w:r>
            <w:r>
              <w:rPr>
                <w:rStyle w:val="IndexLink"/>
                <w:rtl w:val="true"/>
              </w:rPr>
              <w:t xml:space="preserve">: </w:t>
            </w:r>
            <w:r>
              <w:rPr>
                <w:rStyle w:val="IndexLink"/>
                <w:rtl w:val="true"/>
              </w:rPr>
              <w:t>قاعدة تعدّد مراتب المستحبّات</w:t>
            </w:r>
            <w:r>
              <w:rPr>
                <w:rStyle w:val="IndexLink"/>
                <w:rtl w:val="true"/>
              </w:rPr>
              <w:tab/>
            </w:r>
            <w:r>
              <w:rPr>
                <w:rStyle w:val="IndexLink"/>
              </w:rPr>
              <w:t>46</w:t>
            </w:r>
          </w:hyperlink>
        </w:p>
        <w:p>
          <w:pPr>
            <w:pStyle w:val="Contents4"/>
            <w:tabs>
              <w:tab w:val="clear" w:pos="8176"/>
              <w:tab w:val="right" w:pos="9026" w:leader="dot"/>
            </w:tabs>
            <w:rPr/>
          </w:pPr>
          <w:hyperlink w:anchor="__RefHeading___Toc1936730_1051229030">
            <w:r>
              <w:rPr>
                <w:webHidden/>
                <w:rStyle w:val="IndexLink"/>
                <w:rtl w:val="true"/>
              </w:rPr>
              <w:t>الوجه الخامس</w:t>
            </w:r>
            <w:r>
              <w:rPr>
                <w:rStyle w:val="IndexLink"/>
                <w:rtl w:val="true"/>
              </w:rPr>
              <w:t xml:space="preserve">: </w:t>
            </w:r>
            <w:r>
              <w:rPr>
                <w:rStyle w:val="IndexLink"/>
                <w:rtl w:val="true"/>
              </w:rPr>
              <w:t>قاعدة الميسور لا يسقط بالمعسور</w:t>
            </w:r>
            <w:r>
              <w:rPr>
                <w:rStyle w:val="IndexLink"/>
                <w:rtl w:val="true"/>
              </w:rPr>
              <w:tab/>
            </w:r>
            <w:r>
              <w:rPr>
                <w:rStyle w:val="IndexLink"/>
              </w:rPr>
              <w:t>46</w:t>
            </w:r>
          </w:hyperlink>
        </w:p>
        <w:p>
          <w:pPr>
            <w:pStyle w:val="Contents4"/>
            <w:tabs>
              <w:tab w:val="clear" w:pos="8176"/>
              <w:tab w:val="right" w:pos="9026" w:leader="dot"/>
            </w:tabs>
            <w:rPr/>
          </w:pPr>
          <w:hyperlink w:anchor="__RefHeading___Toc1936732_1051229030">
            <w:r>
              <w:rPr>
                <w:webHidden/>
                <w:rStyle w:val="IndexLink"/>
                <w:rtl w:val="true"/>
              </w:rPr>
              <w:t>الحصيلة النهائية لهذه الوجوه</w:t>
            </w:r>
            <w:r>
              <w:rPr>
                <w:rStyle w:val="IndexLink"/>
                <w:rtl w:val="true"/>
              </w:rPr>
              <w:tab/>
            </w:r>
            <w:r>
              <w:rPr>
                <w:rStyle w:val="IndexLink"/>
              </w:rPr>
              <w:t>46</w:t>
            </w:r>
          </w:hyperlink>
        </w:p>
        <w:p>
          <w:pPr>
            <w:pStyle w:val="Contents3"/>
            <w:tabs>
              <w:tab w:val="clear" w:pos="8459"/>
              <w:tab w:val="right" w:pos="9026" w:leader="dot"/>
            </w:tabs>
            <w:rPr/>
          </w:pPr>
          <w:hyperlink w:anchor="__RefHeading___Toc1936734_1051229030">
            <w:r>
              <w:rPr>
                <w:webHidden/>
                <w:rStyle w:val="IndexLink"/>
                <w:rtl w:val="true"/>
              </w:rPr>
              <w:t>المَبَاني القُرآنيَّة لِنَهضَةِ عَاشُورَاء</w:t>
            </w:r>
            <w:r>
              <w:rPr>
                <w:rStyle w:val="IndexLink"/>
                <w:rtl w:val="true"/>
              </w:rPr>
              <w:tab/>
            </w:r>
            <w:r>
              <w:rPr>
                <w:rStyle w:val="IndexLink"/>
              </w:rPr>
              <w:t>48</w:t>
            </w:r>
          </w:hyperlink>
        </w:p>
        <w:p>
          <w:pPr>
            <w:pStyle w:val="Contents4"/>
            <w:tabs>
              <w:tab w:val="clear" w:pos="8176"/>
              <w:tab w:val="right" w:pos="9026" w:leader="dot"/>
            </w:tabs>
            <w:rPr/>
          </w:pPr>
          <w:hyperlink w:anchor="__RefHeading___Toc1936736_105122903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936738_1051229030">
            <w:r>
              <w:rPr>
                <w:webHidden/>
                <w:rStyle w:val="IndexLink"/>
                <w:rtl w:val="true"/>
              </w:rPr>
              <w:t>مقدّمة</w:t>
            </w:r>
            <w:r>
              <w:rPr>
                <w:rStyle w:val="IndexLink"/>
                <w:rtl w:val="true"/>
              </w:rPr>
              <w:tab/>
            </w:r>
            <w:r>
              <w:rPr>
                <w:rStyle w:val="IndexLink"/>
              </w:rPr>
              <w:t>48</w:t>
            </w:r>
          </w:hyperlink>
        </w:p>
        <w:p>
          <w:pPr>
            <w:pStyle w:val="Contents4"/>
            <w:tabs>
              <w:tab w:val="clear" w:pos="8176"/>
              <w:tab w:val="right" w:pos="9026" w:leader="dot"/>
            </w:tabs>
            <w:rPr/>
          </w:pPr>
          <w:hyperlink w:anchor="__RefHeading___Toc1936740_1051229030">
            <w:r>
              <w:rPr>
                <w:webHidden/>
                <w:rStyle w:val="IndexLink"/>
                <w:rtl w:val="true"/>
              </w:rPr>
              <w:t>المقصود من المباني القرآنية</w:t>
            </w:r>
            <w:r>
              <w:rPr>
                <w:rStyle w:val="IndexLink"/>
                <w:rtl w:val="true"/>
              </w:rPr>
              <w:tab/>
            </w:r>
            <w:r>
              <w:rPr>
                <w:rStyle w:val="IndexLink"/>
              </w:rPr>
              <w:t>48</w:t>
            </w:r>
          </w:hyperlink>
        </w:p>
        <w:p>
          <w:pPr>
            <w:pStyle w:val="Contents4"/>
            <w:tabs>
              <w:tab w:val="clear" w:pos="8176"/>
              <w:tab w:val="right" w:pos="9026" w:leader="dot"/>
            </w:tabs>
            <w:rPr/>
          </w:pPr>
          <w:hyperlink w:anchor="__RefHeading___Toc1936742_1051229030">
            <w:r>
              <w:rPr>
                <w:webHidden/>
                <w:rStyle w:val="IndexLink"/>
                <w:rtl w:val="true"/>
              </w:rPr>
              <w:t>مصادر استنباط المباني القرآنية لنهضة عاشوراء</w:t>
            </w:r>
            <w:r>
              <w:rPr>
                <w:rStyle w:val="IndexLink"/>
                <w:rtl w:val="true"/>
              </w:rPr>
              <w:tab/>
            </w:r>
            <w:r>
              <w:rPr>
                <w:rStyle w:val="IndexLink"/>
              </w:rPr>
              <w:t>49</w:t>
            </w:r>
          </w:hyperlink>
        </w:p>
        <w:p>
          <w:pPr>
            <w:pStyle w:val="Contents4"/>
            <w:tabs>
              <w:tab w:val="clear" w:pos="8176"/>
              <w:tab w:val="right" w:pos="9026" w:leader="dot"/>
            </w:tabs>
            <w:rPr/>
          </w:pPr>
          <w:hyperlink w:anchor="__RefHeading___Toc1936744_1051229030">
            <w:r>
              <w:rPr>
                <w:webHidden/>
                <w:rStyle w:val="IndexLink"/>
                <w:rtl w:val="true"/>
              </w:rPr>
              <w:t>أهمُّ مباني نهضة عاشوراء</w:t>
            </w:r>
            <w:r>
              <w:rPr>
                <w:rStyle w:val="IndexLink"/>
                <w:rtl w:val="true"/>
              </w:rPr>
              <w:tab/>
            </w:r>
            <w:r>
              <w:rPr>
                <w:rStyle w:val="IndexLink"/>
              </w:rPr>
              <w:t>49</w:t>
            </w:r>
          </w:hyperlink>
        </w:p>
        <w:p>
          <w:pPr>
            <w:pStyle w:val="Contents5"/>
            <w:tabs>
              <w:tab w:val="clear" w:pos="7892"/>
              <w:tab w:val="right" w:pos="9026" w:leader="dot"/>
            </w:tabs>
            <w:rPr/>
          </w:pPr>
          <w:hyperlink w:anchor="__RefHeading___Toc1936746_1051229030">
            <w:r>
              <w:rPr>
                <w:webHidden/>
                <w:rStyle w:val="IndexLink"/>
                <w:rtl w:val="true"/>
              </w:rPr>
              <w:t>أوّلاً</w:t>
            </w:r>
            <w:r>
              <w:rPr>
                <w:rStyle w:val="IndexLink"/>
                <w:rtl w:val="true"/>
              </w:rPr>
              <w:t xml:space="preserve">: </w:t>
            </w:r>
            <w:r>
              <w:rPr>
                <w:rStyle w:val="IndexLink"/>
                <w:rtl w:val="true"/>
              </w:rPr>
              <w:t>إعلاء كلمة اللّه تعالى</w:t>
            </w:r>
            <w:r>
              <w:rPr>
                <w:rStyle w:val="IndexLink"/>
                <w:rtl w:val="true"/>
              </w:rPr>
              <w:tab/>
            </w:r>
            <w:r>
              <w:rPr>
                <w:rStyle w:val="IndexLink"/>
              </w:rPr>
              <w:t>49</w:t>
            </w:r>
          </w:hyperlink>
        </w:p>
        <w:p>
          <w:pPr>
            <w:pStyle w:val="Contents5"/>
            <w:tabs>
              <w:tab w:val="clear" w:pos="7892"/>
              <w:tab w:val="right" w:pos="9026" w:leader="dot"/>
            </w:tabs>
            <w:rPr/>
          </w:pPr>
          <w:hyperlink w:anchor="__RefHeading___Toc1936748_1051229030">
            <w:r>
              <w:rPr>
                <w:webHidden/>
                <w:rStyle w:val="IndexLink"/>
                <w:rtl w:val="true"/>
              </w:rPr>
              <w:t>ثانياً</w:t>
            </w:r>
            <w:r>
              <w:rPr>
                <w:rStyle w:val="IndexLink"/>
                <w:rtl w:val="true"/>
              </w:rPr>
              <w:t xml:space="preserve">: </w:t>
            </w:r>
            <w:r>
              <w:rPr>
                <w:rStyle w:val="IndexLink"/>
                <w:rtl w:val="true"/>
              </w:rPr>
              <w:t>نصرة الدين وإعزاز شريعة الله تعالى</w:t>
            </w:r>
            <w:r>
              <w:rPr>
                <w:rStyle w:val="IndexLink"/>
                <w:rtl w:val="true"/>
              </w:rPr>
              <w:tab/>
            </w:r>
            <w:r>
              <w:rPr>
                <w:rStyle w:val="IndexLink"/>
              </w:rPr>
              <w:t>50</w:t>
            </w:r>
          </w:hyperlink>
        </w:p>
        <w:p>
          <w:pPr>
            <w:pStyle w:val="Contents5"/>
            <w:tabs>
              <w:tab w:val="clear" w:pos="7892"/>
              <w:tab w:val="right" w:pos="9026" w:leader="dot"/>
            </w:tabs>
            <w:rPr/>
          </w:pPr>
          <w:hyperlink w:anchor="__RefHeading___Toc1936750_1051229030">
            <w:r>
              <w:rPr>
                <w:webHidden/>
                <w:rStyle w:val="IndexLink"/>
                <w:rtl w:val="true"/>
              </w:rPr>
              <w:t>ثالثاً</w:t>
            </w:r>
            <w:r>
              <w:rPr>
                <w:rStyle w:val="IndexLink"/>
                <w:rtl w:val="true"/>
              </w:rPr>
              <w:t xml:space="preserve">: </w:t>
            </w:r>
            <w:r>
              <w:rPr>
                <w:rStyle w:val="IndexLink"/>
                <w:rtl w:val="true"/>
              </w:rPr>
              <w:t>الجهاد لحفظ الإسلام</w:t>
            </w:r>
            <w:r>
              <w:rPr>
                <w:rStyle w:val="IndexLink"/>
                <w:rtl w:val="true"/>
              </w:rPr>
              <w:tab/>
            </w:r>
            <w:r>
              <w:rPr>
                <w:rStyle w:val="IndexLink"/>
              </w:rPr>
              <w:t>51</w:t>
            </w:r>
          </w:hyperlink>
        </w:p>
        <w:p>
          <w:pPr>
            <w:pStyle w:val="Contents5"/>
            <w:tabs>
              <w:tab w:val="clear" w:pos="7892"/>
              <w:tab w:val="right" w:pos="9026" w:leader="dot"/>
            </w:tabs>
            <w:rPr/>
          </w:pPr>
          <w:hyperlink w:anchor="__RefHeading___Toc1936752_1051229030">
            <w:r>
              <w:rPr>
                <w:webHidden/>
                <w:rStyle w:val="IndexLink"/>
                <w:rtl w:val="true"/>
              </w:rPr>
              <w:t>رابعاً</w:t>
            </w:r>
            <w:r>
              <w:rPr>
                <w:rStyle w:val="IndexLink"/>
                <w:rtl w:val="true"/>
              </w:rPr>
              <w:t xml:space="preserve">: </w:t>
            </w:r>
            <w:r>
              <w:rPr>
                <w:rStyle w:val="IndexLink"/>
                <w:rtl w:val="true"/>
              </w:rPr>
              <w:t>طلب الإصلاح</w:t>
            </w:r>
            <w:r>
              <w:rPr>
                <w:rStyle w:val="IndexLink"/>
                <w:rtl w:val="true"/>
              </w:rPr>
              <w:tab/>
            </w:r>
            <w:r>
              <w:rPr>
                <w:rStyle w:val="IndexLink"/>
              </w:rPr>
              <w:t>52</w:t>
            </w:r>
          </w:hyperlink>
        </w:p>
        <w:p>
          <w:pPr>
            <w:pStyle w:val="Contents5"/>
            <w:tabs>
              <w:tab w:val="clear" w:pos="7892"/>
              <w:tab w:val="right" w:pos="9026" w:leader="dot"/>
            </w:tabs>
            <w:rPr/>
          </w:pPr>
          <w:hyperlink w:anchor="__RefHeading___Toc1936754_1051229030">
            <w:r>
              <w:rPr>
                <w:webHidden/>
                <w:rStyle w:val="IndexLink"/>
                <w:rtl w:val="true"/>
              </w:rPr>
              <w:t>خامساً</w:t>
            </w:r>
            <w:r>
              <w:rPr>
                <w:rStyle w:val="IndexLink"/>
                <w:rtl w:val="true"/>
              </w:rPr>
              <w:t xml:space="preserve">: </w:t>
            </w:r>
            <w:r>
              <w:rPr>
                <w:rStyle w:val="IndexLink"/>
                <w:rtl w:val="true"/>
              </w:rPr>
              <w:t>الأمر بالمعروف و النهي عن المنكر</w:t>
            </w:r>
            <w:r>
              <w:rPr>
                <w:rStyle w:val="IndexLink"/>
                <w:rtl w:val="true"/>
              </w:rPr>
              <w:tab/>
            </w:r>
            <w:r>
              <w:rPr>
                <w:rStyle w:val="IndexLink"/>
              </w:rPr>
              <w:t>53</w:t>
            </w:r>
          </w:hyperlink>
        </w:p>
        <w:p>
          <w:pPr>
            <w:pStyle w:val="Contents5"/>
            <w:tabs>
              <w:tab w:val="clear" w:pos="7892"/>
              <w:tab w:val="right" w:pos="9026" w:leader="dot"/>
            </w:tabs>
            <w:rPr/>
          </w:pPr>
          <w:hyperlink w:anchor="__RefHeading___Toc1936756_1051229030">
            <w:r>
              <w:rPr>
                <w:webHidden/>
                <w:rStyle w:val="IndexLink"/>
                <w:rtl w:val="true"/>
              </w:rPr>
              <w:t>سادساً</w:t>
            </w:r>
            <w:r>
              <w:rPr>
                <w:rStyle w:val="IndexLink"/>
                <w:rtl w:val="true"/>
              </w:rPr>
              <w:t xml:space="preserve">: </w:t>
            </w:r>
            <w:r>
              <w:rPr>
                <w:rStyle w:val="IndexLink"/>
                <w:rtl w:val="true"/>
              </w:rPr>
              <w:t>الحفاظ على سنَّة النبي صلّى الله عليه و آله</w:t>
            </w:r>
            <w:r>
              <w:rPr>
                <w:rStyle w:val="IndexLink"/>
                <w:rtl w:val="true"/>
              </w:rPr>
              <w:tab/>
            </w:r>
            <w:r>
              <w:rPr>
                <w:rStyle w:val="IndexLink"/>
              </w:rPr>
              <w:t>55</w:t>
            </w:r>
          </w:hyperlink>
        </w:p>
        <w:p>
          <w:pPr>
            <w:pStyle w:val="Contents5"/>
            <w:tabs>
              <w:tab w:val="clear" w:pos="7892"/>
              <w:tab w:val="right" w:pos="9026" w:leader="dot"/>
            </w:tabs>
            <w:rPr/>
          </w:pPr>
          <w:hyperlink w:anchor="__RefHeading___Toc1936758_1051229030">
            <w:r>
              <w:rPr>
                <w:webHidden/>
                <w:rStyle w:val="IndexLink"/>
                <w:rtl w:val="true"/>
              </w:rPr>
              <w:t>سابعاً</w:t>
            </w:r>
            <w:r>
              <w:rPr>
                <w:rStyle w:val="IndexLink"/>
                <w:rtl w:val="true"/>
              </w:rPr>
              <w:t xml:space="preserve">: </w:t>
            </w:r>
            <w:r>
              <w:rPr>
                <w:rStyle w:val="IndexLink"/>
                <w:rtl w:val="true"/>
              </w:rPr>
              <w:t>الهجرة</w:t>
            </w:r>
            <w:r>
              <w:rPr>
                <w:rStyle w:val="IndexLink"/>
                <w:rtl w:val="true"/>
              </w:rPr>
              <w:tab/>
            </w:r>
            <w:r>
              <w:rPr>
                <w:rStyle w:val="IndexLink"/>
              </w:rPr>
              <w:t>56</w:t>
            </w:r>
          </w:hyperlink>
        </w:p>
        <w:p>
          <w:pPr>
            <w:pStyle w:val="Contents5"/>
            <w:tabs>
              <w:tab w:val="clear" w:pos="7892"/>
              <w:tab w:val="right" w:pos="9026" w:leader="dot"/>
            </w:tabs>
            <w:rPr/>
          </w:pPr>
          <w:hyperlink w:anchor="__RefHeading___Toc1936760_1051229030">
            <w:r>
              <w:rPr>
                <w:webHidden/>
                <w:rStyle w:val="IndexLink"/>
                <w:rtl w:val="true"/>
              </w:rPr>
              <w:t>ثامناً</w:t>
            </w:r>
            <w:r>
              <w:rPr>
                <w:rStyle w:val="IndexLink"/>
                <w:rtl w:val="true"/>
              </w:rPr>
              <w:t xml:space="preserve">: </w:t>
            </w:r>
            <w:r>
              <w:rPr>
                <w:rStyle w:val="IndexLink"/>
                <w:rtl w:val="true"/>
              </w:rPr>
              <w:t>مواجهة الظلم</w:t>
            </w:r>
            <w:r>
              <w:rPr>
                <w:rStyle w:val="IndexLink"/>
                <w:rtl w:val="true"/>
              </w:rPr>
              <w:tab/>
            </w:r>
            <w:r>
              <w:rPr>
                <w:rStyle w:val="IndexLink"/>
              </w:rPr>
              <w:t>57</w:t>
            </w:r>
          </w:hyperlink>
        </w:p>
        <w:p>
          <w:pPr>
            <w:pStyle w:val="Contents5"/>
            <w:tabs>
              <w:tab w:val="clear" w:pos="7892"/>
              <w:tab w:val="right" w:pos="9026" w:leader="dot"/>
            </w:tabs>
            <w:rPr/>
          </w:pPr>
          <w:hyperlink w:anchor="__RefHeading___Toc1936762_1051229030">
            <w:r>
              <w:rPr>
                <w:webHidden/>
                <w:rStyle w:val="IndexLink"/>
                <w:rtl w:val="true"/>
              </w:rPr>
              <w:t>تاسعاً</w:t>
            </w:r>
            <w:r>
              <w:rPr>
                <w:rStyle w:val="IndexLink"/>
                <w:rtl w:val="true"/>
              </w:rPr>
              <w:t xml:space="preserve">: </w:t>
            </w:r>
            <w:r>
              <w:rPr>
                <w:rStyle w:val="IndexLink"/>
                <w:rtl w:val="true"/>
              </w:rPr>
              <w:t>الحرية والتحرير</w:t>
            </w:r>
            <w:r>
              <w:rPr>
                <w:rStyle w:val="IndexLink"/>
                <w:rtl w:val="true"/>
              </w:rPr>
              <w:tab/>
            </w:r>
            <w:r>
              <w:rPr>
                <w:rStyle w:val="IndexLink"/>
              </w:rPr>
              <w:t>58</w:t>
            </w:r>
          </w:hyperlink>
        </w:p>
        <w:p>
          <w:pPr>
            <w:pStyle w:val="Contents5"/>
            <w:tabs>
              <w:tab w:val="clear" w:pos="7892"/>
              <w:tab w:val="right" w:pos="9026" w:leader="dot"/>
            </w:tabs>
            <w:rPr/>
          </w:pPr>
          <w:hyperlink w:anchor="__RefHeading___Toc1936764_1051229030">
            <w:r>
              <w:rPr>
                <w:webHidden/>
                <w:rStyle w:val="IndexLink"/>
                <w:rtl w:val="true"/>
              </w:rPr>
              <w:t>عاشراً</w:t>
            </w:r>
            <w:r>
              <w:rPr>
                <w:rStyle w:val="IndexLink"/>
                <w:rtl w:val="true"/>
              </w:rPr>
              <w:t xml:space="preserve">: </w:t>
            </w:r>
            <w:r>
              <w:rPr>
                <w:rStyle w:val="IndexLink"/>
                <w:rtl w:val="true"/>
              </w:rPr>
              <w:t>العزّة ورفض الذل</w:t>
            </w:r>
            <w:r>
              <w:rPr>
                <w:rStyle w:val="IndexLink"/>
                <w:rtl w:val="true"/>
              </w:rPr>
              <w:tab/>
            </w:r>
            <w:r>
              <w:rPr>
                <w:rStyle w:val="IndexLink"/>
              </w:rPr>
              <w:t>60</w:t>
            </w:r>
          </w:hyperlink>
        </w:p>
        <w:p>
          <w:pPr>
            <w:pStyle w:val="Contents5"/>
            <w:tabs>
              <w:tab w:val="clear" w:pos="7892"/>
              <w:tab w:val="right" w:pos="9026" w:leader="dot"/>
            </w:tabs>
            <w:rPr/>
          </w:pPr>
          <w:hyperlink w:anchor="__RefHeading___Toc1936766_1051229030">
            <w:r>
              <w:rPr>
                <w:webHidden/>
                <w:rStyle w:val="IndexLink"/>
                <w:rtl w:val="true"/>
              </w:rPr>
              <w:t>حادي عشر</w:t>
            </w:r>
            <w:r>
              <w:rPr>
                <w:rStyle w:val="IndexLink"/>
                <w:rtl w:val="true"/>
              </w:rPr>
              <w:t xml:space="preserve">: </w:t>
            </w:r>
            <w:r>
              <w:rPr>
                <w:rStyle w:val="IndexLink"/>
                <w:rtl w:val="true"/>
              </w:rPr>
              <w:t>اختيار إحدى الحسنيين</w:t>
            </w:r>
            <w:r>
              <w:rPr>
                <w:rStyle w:val="IndexLink"/>
                <w:rtl w:val="true"/>
              </w:rPr>
              <w:tab/>
            </w:r>
            <w:r>
              <w:rPr>
                <w:rStyle w:val="IndexLink"/>
              </w:rPr>
              <w:t>62</w:t>
            </w:r>
          </w:hyperlink>
        </w:p>
        <w:p>
          <w:pPr>
            <w:pStyle w:val="Contents5"/>
            <w:tabs>
              <w:tab w:val="clear" w:pos="7892"/>
              <w:tab w:val="right" w:pos="9026" w:leader="dot"/>
            </w:tabs>
            <w:rPr/>
          </w:pPr>
          <w:hyperlink w:anchor="__RefHeading___Toc1936768_1051229030">
            <w:r>
              <w:rPr>
                <w:webHidden/>
                <w:rStyle w:val="IndexLink"/>
                <w:rtl w:val="true"/>
              </w:rPr>
              <w:t>ثاني عشر</w:t>
            </w:r>
            <w:r>
              <w:rPr>
                <w:rStyle w:val="IndexLink"/>
                <w:rtl w:val="true"/>
              </w:rPr>
              <w:t xml:space="preserve">: </w:t>
            </w:r>
            <w:r>
              <w:rPr>
                <w:rStyle w:val="IndexLink"/>
                <w:rtl w:val="true"/>
              </w:rPr>
              <w:t>وجوب قبول الإمام علیه السلام لطلب الناس إتماماً للحجة عليهم</w:t>
            </w:r>
            <w:r>
              <w:rPr>
                <w:rStyle w:val="IndexLink"/>
                <w:rtl w:val="true"/>
              </w:rPr>
              <w:tab/>
            </w:r>
            <w:r>
              <w:rPr>
                <w:rStyle w:val="IndexLink"/>
              </w:rPr>
              <w:t>63</w:t>
            </w:r>
          </w:hyperlink>
        </w:p>
        <w:p>
          <w:pPr>
            <w:pStyle w:val="Contents3"/>
            <w:tabs>
              <w:tab w:val="clear" w:pos="8459"/>
              <w:tab w:val="right" w:pos="9026" w:leader="dot"/>
            </w:tabs>
            <w:rPr/>
          </w:pPr>
          <w:hyperlink w:anchor="__RefHeading___Toc1936770_1051229030">
            <w:r>
              <w:rPr>
                <w:webHidden/>
                <w:rStyle w:val="IndexLink"/>
                <w:rtl w:val="true"/>
              </w:rPr>
              <w:t>ثورَةُ الإصَلاحِ وَظُرُوفُ المُجتمَعِ الَإسلاميّ</w:t>
            </w:r>
            <w:r>
              <w:rPr>
                <w:rStyle w:val="IndexLink"/>
                <w:rtl w:val="true"/>
              </w:rPr>
              <w:tab/>
            </w:r>
            <w:r>
              <w:rPr>
                <w:rStyle w:val="IndexLink"/>
              </w:rPr>
              <w:t>66</w:t>
            </w:r>
          </w:hyperlink>
        </w:p>
        <w:p>
          <w:pPr>
            <w:pStyle w:val="Contents4"/>
            <w:tabs>
              <w:tab w:val="clear" w:pos="8176"/>
              <w:tab w:val="right" w:pos="9026" w:leader="dot"/>
            </w:tabs>
            <w:rPr/>
          </w:pPr>
          <w:hyperlink w:anchor="__RefHeading___Toc1936772_105122903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936774_1051229030">
            <w:r>
              <w:rPr>
                <w:webHidden/>
                <w:rStyle w:val="IndexLink"/>
                <w:rtl w:val="true"/>
              </w:rPr>
              <w:t>مقدّمة</w:t>
            </w:r>
            <w:r>
              <w:rPr>
                <w:rStyle w:val="IndexLink"/>
                <w:rtl w:val="true"/>
              </w:rPr>
              <w:tab/>
            </w:r>
            <w:r>
              <w:rPr>
                <w:rStyle w:val="IndexLink"/>
              </w:rPr>
              <w:t>66</w:t>
            </w:r>
          </w:hyperlink>
        </w:p>
        <w:p>
          <w:pPr>
            <w:pStyle w:val="Contents4"/>
            <w:tabs>
              <w:tab w:val="clear" w:pos="8176"/>
              <w:tab w:val="right" w:pos="9026" w:leader="dot"/>
            </w:tabs>
            <w:rPr/>
          </w:pPr>
          <w:hyperlink w:anchor="__RefHeading___Toc1936776_1051229030">
            <w:r>
              <w:rPr>
                <w:webHidden/>
                <w:rStyle w:val="IndexLink"/>
                <w:rtl w:val="true"/>
              </w:rPr>
              <w:t>تغيير المسار وبوادر الانحراف</w:t>
            </w:r>
            <w:r>
              <w:rPr>
                <w:rStyle w:val="IndexLink"/>
                <w:rtl w:val="true"/>
              </w:rPr>
              <w:tab/>
            </w:r>
            <w:r>
              <w:rPr>
                <w:rStyle w:val="IndexLink"/>
              </w:rPr>
              <w:t>67</w:t>
            </w:r>
          </w:hyperlink>
        </w:p>
        <w:p>
          <w:pPr>
            <w:pStyle w:val="Contents4"/>
            <w:tabs>
              <w:tab w:val="clear" w:pos="8176"/>
              <w:tab w:val="right" w:pos="9026" w:leader="dot"/>
            </w:tabs>
            <w:rPr/>
          </w:pPr>
          <w:hyperlink w:anchor="__RefHeading___Toc1936778_1051229030">
            <w:r>
              <w:rPr>
                <w:webHidden/>
                <w:rStyle w:val="IndexLink"/>
                <w:rtl w:val="true"/>
              </w:rPr>
              <w:t>خلافة عثمان واستئثار بني أُميّة</w:t>
            </w:r>
            <w:r>
              <w:rPr>
                <w:rStyle w:val="IndexLink"/>
                <w:rtl w:val="true"/>
              </w:rPr>
              <w:tab/>
            </w:r>
            <w:r>
              <w:rPr>
                <w:rStyle w:val="IndexLink"/>
              </w:rPr>
              <w:t>71</w:t>
            </w:r>
          </w:hyperlink>
        </w:p>
        <w:p>
          <w:pPr>
            <w:pStyle w:val="Contents4"/>
            <w:tabs>
              <w:tab w:val="clear" w:pos="8176"/>
              <w:tab w:val="right" w:pos="9026" w:leader="dot"/>
            </w:tabs>
            <w:rPr/>
          </w:pPr>
          <w:hyperlink w:anchor="__RefHeading___Toc1936780_1051229030">
            <w:r>
              <w:rPr>
                <w:webHidden/>
                <w:rStyle w:val="IndexLink"/>
                <w:rtl w:val="true"/>
              </w:rPr>
              <w:t>خلافة عليّ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936782_1051229030">
            <w:r>
              <w:rPr>
                <w:webHidden/>
                <w:rStyle w:val="IndexLink"/>
                <w:rtl w:val="true"/>
              </w:rPr>
              <w:t>خلافة الحسن بن عليّ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936784_1051229030">
            <w:r>
              <w:rPr>
                <w:webHidden/>
                <w:rStyle w:val="IndexLink"/>
                <w:rtl w:val="true"/>
              </w:rPr>
              <w:t>حكومة معاوية</w:t>
            </w:r>
            <w:r>
              <w:rPr>
                <w:rStyle w:val="IndexLink"/>
                <w:rtl w:val="true"/>
              </w:rPr>
              <w:tab/>
            </w:r>
            <w:r>
              <w:rPr>
                <w:rStyle w:val="IndexLink"/>
              </w:rPr>
              <w:t>87</w:t>
            </w:r>
          </w:hyperlink>
        </w:p>
        <w:p>
          <w:pPr>
            <w:pStyle w:val="Contents4"/>
            <w:tabs>
              <w:tab w:val="clear" w:pos="8176"/>
              <w:tab w:val="right" w:pos="9026" w:leader="dot"/>
            </w:tabs>
            <w:rPr/>
          </w:pPr>
          <w:hyperlink w:anchor="__RefHeading___Toc1936786_1051229030">
            <w:r>
              <w:rPr>
                <w:webHidden/>
                <w:rStyle w:val="IndexLink"/>
                <w:rtl w:val="true"/>
              </w:rPr>
              <w:t>الثورة ختام لا بدّ منه</w:t>
            </w:r>
            <w:r>
              <w:rPr>
                <w:rStyle w:val="IndexLink"/>
                <w:rtl w:val="true"/>
              </w:rPr>
              <w:tab/>
            </w:r>
            <w:r>
              <w:rPr>
                <w:rStyle w:val="IndexLink"/>
              </w:rPr>
              <w:t>92</w:t>
            </w:r>
          </w:hyperlink>
        </w:p>
        <w:p>
          <w:pPr>
            <w:pStyle w:val="Contents4"/>
            <w:tabs>
              <w:tab w:val="clear" w:pos="8176"/>
              <w:tab w:val="right" w:pos="9026" w:leader="dot"/>
            </w:tabs>
            <w:rPr/>
          </w:pPr>
          <w:hyperlink w:anchor="__RefHeading___Toc1936788_1051229030">
            <w:r>
              <w:rPr>
                <w:webHidden/>
                <w:rStyle w:val="IndexLink"/>
                <w:rtl w:val="true"/>
              </w:rPr>
              <w:t>فجاءت عاشوراء</w:t>
            </w:r>
            <w:r>
              <w:rPr>
                <w:rStyle w:val="IndexLink"/>
                <w:rtl w:val="true"/>
              </w:rPr>
              <w:tab/>
            </w:r>
            <w:r>
              <w:rPr>
                <w:rStyle w:val="IndexLink"/>
              </w:rPr>
              <w:t>95</w:t>
            </w:r>
          </w:hyperlink>
        </w:p>
        <w:p>
          <w:pPr>
            <w:pStyle w:val="Contents3"/>
            <w:tabs>
              <w:tab w:val="clear" w:pos="8459"/>
              <w:tab w:val="right" w:pos="9026" w:leader="dot"/>
            </w:tabs>
            <w:rPr/>
          </w:pPr>
          <w:hyperlink w:anchor="__RefHeading___Toc1936790_1051229030">
            <w:r>
              <w:rPr>
                <w:webHidden/>
                <w:rStyle w:val="IndexLink"/>
                <w:rtl w:val="true"/>
              </w:rPr>
              <w:t>مُنطَلَقَاتُ النَهضَةِ الحُسَينِيَّةِ وَخَلفِياتُهَا</w:t>
            </w:r>
            <w:r>
              <w:rPr>
                <w:rStyle w:val="IndexLink"/>
                <w:rtl w:val="true"/>
              </w:rPr>
              <w:tab/>
            </w:r>
            <w:r>
              <w:rPr>
                <w:rStyle w:val="IndexLink"/>
              </w:rPr>
              <w:t>98</w:t>
            </w:r>
          </w:hyperlink>
        </w:p>
        <w:p>
          <w:pPr>
            <w:pStyle w:val="Contents4"/>
            <w:tabs>
              <w:tab w:val="clear" w:pos="8176"/>
              <w:tab w:val="right" w:pos="9026" w:leader="dot"/>
            </w:tabs>
            <w:rPr/>
          </w:pPr>
          <w:hyperlink w:anchor="__RefHeading___Toc1936792_1051229030">
            <w:r>
              <w:rPr>
                <w:webHidden/>
                <w:rStyle w:val="IndexLink"/>
                <w:rtl w:val="true"/>
              </w:rPr>
              <w:t xml:space="preserve">القِسمَ الأوَّل </w:t>
            </w:r>
            <w:r>
              <w:rPr>
                <w:rStyle w:val="IndexLink"/>
                <w:rtl w:val="true"/>
              </w:rPr>
              <w:t>(</w:t>
            </w:r>
            <w:r>
              <w:rPr>
                <w:rStyle w:val="IndexLink"/>
                <w:rtl w:val="true"/>
              </w:rPr>
              <w:t>الاستحوَاذُ الأمَويّ عَلى السُّلطَة</w:t>
            </w:r>
            <w:r>
              <w:rPr>
                <w:rStyle w:val="IndexLink"/>
                <w:rtl w:val="true"/>
              </w:rPr>
              <w:t>)</w:t>
              <w:tab/>
            </w:r>
            <w:r>
              <w:rPr>
                <w:rStyle w:val="IndexLink"/>
              </w:rPr>
              <w:t>98</w:t>
            </w:r>
          </w:hyperlink>
        </w:p>
        <w:p>
          <w:pPr>
            <w:pStyle w:val="Contents4"/>
            <w:tabs>
              <w:tab w:val="clear" w:pos="8176"/>
              <w:tab w:val="right" w:pos="9026" w:leader="dot"/>
            </w:tabs>
            <w:rPr/>
          </w:pPr>
          <w:hyperlink w:anchor="__RefHeading___Toc1936794_1051229030">
            <w:r>
              <w:rPr>
                <w:webHidden/>
                <w:rStyle w:val="IndexLink"/>
                <w:rtl w:val="true"/>
              </w:rPr>
              <w:t>سؤال هام</w:t>
            </w:r>
            <w:r>
              <w:rPr>
                <w:rStyle w:val="IndexLink"/>
                <w:rtl w:val="true"/>
              </w:rPr>
              <w:tab/>
            </w:r>
            <w:r>
              <w:rPr>
                <w:rStyle w:val="IndexLink"/>
              </w:rPr>
              <w:t>99</w:t>
            </w:r>
          </w:hyperlink>
        </w:p>
        <w:p>
          <w:pPr>
            <w:pStyle w:val="Contents4"/>
            <w:tabs>
              <w:tab w:val="clear" w:pos="8176"/>
              <w:tab w:val="right" w:pos="9026" w:leader="dot"/>
            </w:tabs>
            <w:rPr/>
          </w:pPr>
          <w:hyperlink w:anchor="__RefHeading___Toc1936796_1051229030">
            <w:r>
              <w:rPr>
                <w:webHidden/>
                <w:rStyle w:val="IndexLink"/>
                <w:rtl w:val="true"/>
              </w:rPr>
              <w:t>البراغماتية الأمويّة</w:t>
            </w:r>
            <w:r>
              <w:rPr>
                <w:rStyle w:val="IndexLink"/>
                <w:rtl w:val="true"/>
              </w:rPr>
              <w:tab/>
            </w:r>
            <w:r>
              <w:rPr>
                <w:rStyle w:val="IndexLink"/>
              </w:rPr>
              <w:t>100</w:t>
            </w:r>
          </w:hyperlink>
        </w:p>
        <w:p>
          <w:pPr>
            <w:pStyle w:val="Contents4"/>
            <w:tabs>
              <w:tab w:val="clear" w:pos="8176"/>
              <w:tab w:val="right" w:pos="9026" w:leader="dot"/>
            </w:tabs>
            <w:rPr/>
          </w:pPr>
          <w:hyperlink w:anchor="__RefHeading___Toc1936798_1051229030">
            <w:r>
              <w:rPr>
                <w:webHidden/>
                <w:rStyle w:val="IndexLink"/>
                <w:rtl w:val="true"/>
              </w:rPr>
              <w:t>بداية التغلغل الأُمويّ</w:t>
            </w:r>
            <w:r>
              <w:rPr>
                <w:rStyle w:val="IndexLink"/>
                <w:rtl w:val="true"/>
              </w:rPr>
              <w:tab/>
            </w:r>
            <w:r>
              <w:rPr>
                <w:rStyle w:val="IndexLink"/>
              </w:rPr>
              <w:t>102</w:t>
            </w:r>
          </w:hyperlink>
        </w:p>
        <w:p>
          <w:pPr>
            <w:pStyle w:val="Contents4"/>
            <w:tabs>
              <w:tab w:val="clear" w:pos="8176"/>
              <w:tab w:val="right" w:pos="9026" w:leader="dot"/>
            </w:tabs>
            <w:rPr/>
          </w:pPr>
          <w:hyperlink w:anchor="__RefHeading___Toc1936800_1051229030">
            <w:r>
              <w:rPr>
                <w:webHidden/>
                <w:rStyle w:val="IndexLink"/>
                <w:rtl w:val="true"/>
              </w:rPr>
              <w:t>بنو أُميّة في أروقة السلطة</w:t>
            </w:r>
            <w:r>
              <w:rPr>
                <w:rStyle w:val="IndexLink"/>
                <w:rtl w:val="true"/>
              </w:rPr>
              <w:tab/>
            </w:r>
            <w:r>
              <w:rPr>
                <w:rStyle w:val="IndexLink"/>
              </w:rPr>
              <w:t>104</w:t>
            </w:r>
          </w:hyperlink>
        </w:p>
        <w:p>
          <w:pPr>
            <w:pStyle w:val="Contents4"/>
            <w:tabs>
              <w:tab w:val="clear" w:pos="8176"/>
              <w:tab w:val="right" w:pos="9026" w:leader="dot"/>
            </w:tabs>
            <w:rPr/>
          </w:pPr>
          <w:hyperlink w:anchor="__RefHeading___Toc1936802_1051229030">
            <w:r>
              <w:rPr>
                <w:webHidden/>
                <w:rStyle w:val="IndexLink"/>
                <w:rtl w:val="true"/>
              </w:rPr>
              <w:t>بلوغ الهدف</w:t>
            </w:r>
            <w:r>
              <w:rPr>
                <w:rStyle w:val="IndexLink"/>
                <w:rtl w:val="true"/>
              </w:rPr>
              <w:tab/>
            </w:r>
            <w:r>
              <w:rPr>
                <w:rStyle w:val="IndexLink"/>
              </w:rPr>
              <w:t>108</w:t>
            </w:r>
          </w:hyperlink>
        </w:p>
        <w:p>
          <w:pPr>
            <w:pStyle w:val="Contents4"/>
            <w:tabs>
              <w:tab w:val="clear" w:pos="8176"/>
              <w:tab w:val="right" w:pos="9026" w:leader="dot"/>
            </w:tabs>
            <w:rPr/>
          </w:pPr>
          <w:hyperlink w:anchor="__RefHeading___Toc1936804_1051229030">
            <w:r>
              <w:rPr>
                <w:webHidden/>
                <w:rStyle w:val="IndexLink"/>
                <w:rtl w:val="true"/>
              </w:rPr>
              <w:t>الصحوة المتأخرة</w:t>
            </w:r>
            <w:r>
              <w:rPr>
                <w:rStyle w:val="IndexLink"/>
                <w:rtl w:val="true"/>
              </w:rPr>
              <w:tab/>
            </w:r>
            <w:r>
              <w:rPr>
                <w:rStyle w:val="IndexLink"/>
              </w:rPr>
              <w:t>110</w:t>
            </w:r>
          </w:hyperlink>
        </w:p>
        <w:p>
          <w:pPr>
            <w:pStyle w:val="Contents4"/>
            <w:tabs>
              <w:tab w:val="clear" w:pos="8176"/>
              <w:tab w:val="right" w:pos="9026" w:leader="dot"/>
            </w:tabs>
            <w:rPr/>
          </w:pPr>
          <w:hyperlink w:anchor="__RefHeading___Toc1936806_1051229030">
            <w:r>
              <w:rPr>
                <w:webHidden/>
                <w:rStyle w:val="IndexLink"/>
                <w:rtl w:val="true"/>
              </w:rPr>
              <w:t>معاوية يتفرّد بالساحة</w:t>
            </w:r>
            <w:r>
              <w:rPr>
                <w:rStyle w:val="IndexLink"/>
                <w:rtl w:val="true"/>
              </w:rPr>
              <w:tab/>
            </w:r>
            <w:r>
              <w:rPr>
                <w:rStyle w:val="IndexLink"/>
              </w:rPr>
              <w:t>113</w:t>
            </w:r>
          </w:hyperlink>
        </w:p>
        <w:p>
          <w:pPr>
            <w:pStyle w:val="Contents3"/>
            <w:tabs>
              <w:tab w:val="clear" w:pos="8459"/>
              <w:tab w:val="right" w:pos="9026" w:leader="dot"/>
            </w:tabs>
            <w:rPr/>
          </w:pPr>
          <w:hyperlink w:anchor="__RefHeading___Toc1936808_1051229030">
            <w:r>
              <w:rPr>
                <w:webHidden/>
                <w:rStyle w:val="IndexLink"/>
                <w:rtl w:val="true"/>
              </w:rPr>
              <w:t>النَّهضَةُ الحُسَينيَّة وَالعَنَاصِرُ الحَيَويَّةُ لِلإبداعِ وَالتَأثِيرِ في الأُمَّةِ</w:t>
            </w:r>
            <w:r>
              <w:rPr>
                <w:rStyle w:val="IndexLink"/>
                <w:rtl w:val="true"/>
              </w:rPr>
              <w:tab/>
            </w:r>
            <w:r>
              <w:rPr>
                <w:rStyle w:val="IndexLink"/>
              </w:rPr>
              <w:t>118</w:t>
            </w:r>
          </w:hyperlink>
        </w:p>
        <w:p>
          <w:pPr>
            <w:pStyle w:val="Contents4"/>
            <w:tabs>
              <w:tab w:val="clear" w:pos="8176"/>
              <w:tab w:val="right" w:pos="9026" w:leader="dot"/>
            </w:tabs>
            <w:rPr/>
          </w:pPr>
          <w:hyperlink w:anchor="__RefHeading___Toc1936810_105122903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936812_1051229030">
            <w:r>
              <w:rPr>
                <w:webHidden/>
                <w:rStyle w:val="IndexLink"/>
                <w:rtl w:val="true"/>
              </w:rPr>
              <w:t>تمهيد</w:t>
            </w:r>
            <w:r>
              <w:rPr>
                <w:rStyle w:val="IndexLink"/>
                <w:rtl w:val="true"/>
              </w:rPr>
              <w:tab/>
            </w:r>
            <w:r>
              <w:rPr>
                <w:rStyle w:val="IndexLink"/>
              </w:rPr>
              <w:t>118</w:t>
            </w:r>
          </w:hyperlink>
        </w:p>
        <w:p>
          <w:pPr>
            <w:pStyle w:val="Contents4"/>
            <w:tabs>
              <w:tab w:val="clear" w:pos="8176"/>
              <w:tab w:val="right" w:pos="9026" w:leader="dot"/>
            </w:tabs>
            <w:rPr/>
          </w:pPr>
          <w:hyperlink w:anchor="__RefHeading___Toc1936814_1051229030">
            <w:r>
              <w:rPr>
                <w:webHidden/>
                <w:rStyle w:val="IndexLink"/>
                <w:rtl w:val="true"/>
              </w:rPr>
              <w:t>النهضة الحسينية وامتدادية النموذج النقي</w:t>
            </w:r>
            <w:r>
              <w:rPr>
                <w:rStyle w:val="IndexLink"/>
                <w:rtl w:val="true"/>
              </w:rPr>
              <w:tab/>
            </w:r>
            <w:r>
              <w:rPr>
                <w:rStyle w:val="IndexLink"/>
              </w:rPr>
              <w:t>120</w:t>
            </w:r>
          </w:hyperlink>
        </w:p>
        <w:p>
          <w:pPr>
            <w:pStyle w:val="Contents4"/>
            <w:tabs>
              <w:tab w:val="clear" w:pos="8176"/>
              <w:tab w:val="right" w:pos="9026" w:leader="dot"/>
            </w:tabs>
            <w:rPr/>
          </w:pPr>
          <w:hyperlink w:anchor="__RefHeading___Toc1936816_1051229030">
            <w:r>
              <w:rPr>
                <w:webHidden/>
                <w:rStyle w:val="IndexLink"/>
                <w:rtl w:val="true"/>
              </w:rPr>
              <w:t>الحتمية في التحرّك</w:t>
            </w:r>
            <w:r>
              <w:rPr>
                <w:rStyle w:val="IndexLink"/>
                <w:rtl w:val="true"/>
              </w:rPr>
              <w:tab/>
            </w:r>
            <w:r>
              <w:rPr>
                <w:rStyle w:val="IndexLink"/>
              </w:rPr>
              <w:t>123</w:t>
            </w:r>
          </w:hyperlink>
        </w:p>
        <w:p>
          <w:pPr>
            <w:pStyle w:val="Contents4"/>
            <w:tabs>
              <w:tab w:val="clear" w:pos="8176"/>
              <w:tab w:val="right" w:pos="9026" w:leader="dot"/>
            </w:tabs>
            <w:rPr/>
          </w:pPr>
          <w:hyperlink w:anchor="__RefHeading___Toc1936818_1051229030">
            <w:r>
              <w:rPr>
                <w:webHidden/>
                <w:rStyle w:val="IndexLink"/>
                <w:rtl w:val="true"/>
              </w:rPr>
              <w:t>سمو الأهداف</w:t>
            </w:r>
            <w:r>
              <w:rPr>
                <w:rStyle w:val="IndexLink"/>
                <w:rtl w:val="true"/>
              </w:rPr>
              <w:tab/>
            </w:r>
            <w:r>
              <w:rPr>
                <w:rStyle w:val="IndexLink"/>
              </w:rPr>
              <w:t>125</w:t>
            </w:r>
          </w:hyperlink>
        </w:p>
        <w:p>
          <w:pPr>
            <w:pStyle w:val="Contents4"/>
            <w:tabs>
              <w:tab w:val="clear" w:pos="8176"/>
              <w:tab w:val="right" w:pos="9026" w:leader="dot"/>
            </w:tabs>
            <w:rPr/>
          </w:pPr>
          <w:hyperlink w:anchor="__RefHeading___Toc1936820_1051229030">
            <w:r>
              <w:rPr>
                <w:webHidden/>
                <w:rStyle w:val="IndexLink"/>
                <w:rtl w:val="true"/>
              </w:rPr>
              <w:t>شفافية التحرّك</w:t>
            </w:r>
            <w:r>
              <w:rPr>
                <w:rStyle w:val="IndexLink"/>
                <w:rtl w:val="true"/>
              </w:rPr>
              <w:tab/>
            </w:r>
            <w:r>
              <w:rPr>
                <w:rStyle w:val="IndexLink"/>
              </w:rPr>
              <w:t>127</w:t>
            </w:r>
          </w:hyperlink>
        </w:p>
        <w:p>
          <w:pPr>
            <w:pStyle w:val="Contents4"/>
            <w:tabs>
              <w:tab w:val="clear" w:pos="8176"/>
              <w:tab w:val="right" w:pos="9026" w:leader="dot"/>
            </w:tabs>
            <w:rPr/>
          </w:pPr>
          <w:hyperlink w:anchor="__RefHeading___Toc1936822_1051229030">
            <w:r>
              <w:rPr>
                <w:webHidden/>
                <w:rStyle w:val="IndexLink"/>
                <w:rtl w:val="true"/>
              </w:rPr>
              <w:t>دور الأُسوة في القيادة</w:t>
            </w:r>
            <w:r>
              <w:rPr>
                <w:rStyle w:val="IndexLink"/>
                <w:rtl w:val="true"/>
              </w:rPr>
              <w:tab/>
            </w:r>
            <w:r>
              <w:rPr>
                <w:rStyle w:val="IndexLink"/>
              </w:rPr>
              <w:t>129</w:t>
            </w:r>
          </w:hyperlink>
        </w:p>
        <w:p>
          <w:pPr>
            <w:pStyle w:val="Contents4"/>
            <w:tabs>
              <w:tab w:val="clear" w:pos="8176"/>
              <w:tab w:val="right" w:pos="9026" w:leader="dot"/>
            </w:tabs>
            <w:rPr/>
          </w:pPr>
          <w:hyperlink w:anchor="__RefHeading___Toc1936824_1051229030">
            <w:r>
              <w:rPr>
                <w:webHidden/>
                <w:rStyle w:val="IndexLink"/>
                <w:rtl w:val="true"/>
              </w:rPr>
              <w:t>النتائج الحتمية</w:t>
            </w:r>
            <w:r>
              <w:rPr>
                <w:rStyle w:val="IndexLink"/>
                <w:rtl w:val="true"/>
              </w:rPr>
              <w:tab/>
            </w:r>
            <w:r>
              <w:rPr>
                <w:rStyle w:val="IndexLink"/>
              </w:rPr>
              <w:t>133</w:t>
            </w:r>
          </w:hyperlink>
        </w:p>
        <w:p>
          <w:pPr>
            <w:pStyle w:val="Contents4"/>
            <w:tabs>
              <w:tab w:val="clear" w:pos="8176"/>
              <w:tab w:val="right" w:pos="9026" w:leader="dot"/>
            </w:tabs>
            <w:rPr/>
          </w:pPr>
          <w:hyperlink w:anchor="__RefHeading___Toc1936826_1051229030">
            <w:r>
              <w:rPr>
                <w:webHidden/>
                <w:rStyle w:val="IndexLink"/>
                <w:rtl w:val="true"/>
              </w:rPr>
              <w:t>طبيعة الصراع</w:t>
            </w:r>
            <w:r>
              <w:rPr>
                <w:rStyle w:val="IndexLink"/>
                <w:rtl w:val="true"/>
              </w:rPr>
              <w:tab/>
            </w:r>
            <w:r>
              <w:rPr>
                <w:rStyle w:val="IndexLink"/>
              </w:rPr>
              <w:t>135</w:t>
            </w:r>
          </w:hyperlink>
        </w:p>
        <w:p>
          <w:pPr>
            <w:pStyle w:val="Contents2"/>
            <w:tabs>
              <w:tab w:val="clear" w:pos="8743"/>
              <w:tab w:val="right" w:pos="9026" w:leader="dot"/>
            </w:tabs>
            <w:rPr/>
          </w:pPr>
          <w:hyperlink w:anchor="__RefHeading___Toc1936828_1051229030">
            <w:r>
              <w:rPr>
                <w:webHidden/>
                <w:rStyle w:val="IndexLink"/>
                <w:rtl w:val="true"/>
              </w:rPr>
              <w:t>دِراسَاتٌ في تارِيخ وَتُرَاثِ النَهضَةِ الحُسَينِيَّة</w:t>
            </w:r>
            <w:r>
              <w:rPr>
                <w:rStyle w:val="IndexLink"/>
                <w:rtl w:val="true"/>
              </w:rPr>
              <w:tab/>
            </w:r>
            <w:r>
              <w:rPr>
                <w:rStyle w:val="IndexLink"/>
              </w:rPr>
              <w:t>143</w:t>
            </w:r>
          </w:hyperlink>
        </w:p>
        <w:p>
          <w:pPr>
            <w:pStyle w:val="Contents3"/>
            <w:tabs>
              <w:tab w:val="clear" w:pos="8459"/>
              <w:tab w:val="right" w:pos="9026" w:leader="dot"/>
            </w:tabs>
            <w:rPr/>
          </w:pPr>
          <w:hyperlink w:anchor="__RefHeading___Toc1936830_1051229030">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1936832_1051229030">
            <w:r>
              <w:rPr>
                <w:webHidden/>
                <w:rStyle w:val="IndexLink"/>
                <w:rtl w:val="true"/>
              </w:rPr>
              <w:t>نُجُومٌ في سَمَاءِ الحُسَين علیه السلام زُهَيرُ بنُ القَين</w:t>
            </w:r>
            <w:r>
              <w:rPr>
                <w:rStyle w:val="IndexLink"/>
                <w:rtl w:val="true"/>
              </w:rPr>
              <w:t xml:space="preserve">.. </w:t>
            </w:r>
            <w:r>
              <w:rPr>
                <w:rStyle w:val="IndexLink"/>
                <w:rtl w:val="true"/>
              </w:rPr>
              <w:t>انعِطَافَةٌ نَحوَ المَجدِ</w:t>
            </w:r>
            <w:r>
              <w:rPr>
                <w:rStyle w:val="IndexLink"/>
                <w:rtl w:val="true"/>
              </w:rPr>
              <w:tab/>
            </w:r>
            <w:r>
              <w:rPr>
                <w:rStyle w:val="IndexLink"/>
              </w:rPr>
              <w:t>144</w:t>
            </w:r>
          </w:hyperlink>
        </w:p>
        <w:p>
          <w:pPr>
            <w:pStyle w:val="Contents4"/>
            <w:tabs>
              <w:tab w:val="clear" w:pos="8176"/>
              <w:tab w:val="right" w:pos="9026" w:leader="dot"/>
            </w:tabs>
            <w:rPr/>
          </w:pPr>
          <w:hyperlink w:anchor="__RefHeading___Toc1936834_105122903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936836_1051229030">
            <w:r>
              <w:rPr>
                <w:webHidden/>
                <w:rStyle w:val="IndexLink"/>
                <w:rtl w:val="true"/>
              </w:rPr>
              <w:t>توطئة</w:t>
            </w:r>
            <w:r>
              <w:rPr>
                <w:rStyle w:val="IndexLink"/>
                <w:rtl w:val="true"/>
              </w:rPr>
              <w:tab/>
            </w:r>
            <w:r>
              <w:rPr>
                <w:rStyle w:val="IndexLink"/>
              </w:rPr>
              <w:t>144</w:t>
            </w:r>
          </w:hyperlink>
        </w:p>
        <w:p>
          <w:pPr>
            <w:pStyle w:val="Contents4"/>
            <w:tabs>
              <w:tab w:val="clear" w:pos="8176"/>
              <w:tab w:val="right" w:pos="9026" w:leader="dot"/>
            </w:tabs>
            <w:rPr/>
          </w:pPr>
          <w:hyperlink w:anchor="__RefHeading___Toc1936838_1051229030">
            <w:r>
              <w:rPr>
                <w:webHidden/>
                <w:rStyle w:val="IndexLink"/>
                <w:rtl w:val="true"/>
              </w:rPr>
              <w:t>بين يدي الشهيد زهير بن القين</w:t>
            </w:r>
            <w:r>
              <w:rPr>
                <w:rStyle w:val="IndexLink"/>
                <w:rtl w:val="true"/>
              </w:rPr>
              <w:tab/>
            </w:r>
            <w:r>
              <w:rPr>
                <w:rStyle w:val="IndexLink"/>
              </w:rPr>
              <w:t>145</w:t>
            </w:r>
          </w:hyperlink>
        </w:p>
        <w:p>
          <w:pPr>
            <w:pStyle w:val="Contents4"/>
            <w:tabs>
              <w:tab w:val="clear" w:pos="8176"/>
              <w:tab w:val="right" w:pos="9026" w:leader="dot"/>
            </w:tabs>
            <w:rPr/>
          </w:pPr>
          <w:hyperlink w:anchor="__RefHeading___Toc1936840_1051229030">
            <w:r>
              <w:rPr>
                <w:webHidden/>
                <w:rStyle w:val="IndexLink"/>
                <w:rtl w:val="true"/>
              </w:rPr>
              <w:t>زهير بن القين قبل واقعة عاشوراء</w:t>
            </w:r>
            <w:r>
              <w:rPr>
                <w:rStyle w:val="IndexLink"/>
                <w:rtl w:val="true"/>
              </w:rPr>
              <w:tab/>
            </w:r>
            <w:r>
              <w:rPr>
                <w:rStyle w:val="IndexLink"/>
              </w:rPr>
              <w:t>146</w:t>
            </w:r>
          </w:hyperlink>
        </w:p>
        <w:p>
          <w:pPr>
            <w:pStyle w:val="Contents4"/>
            <w:tabs>
              <w:tab w:val="clear" w:pos="8176"/>
              <w:tab w:val="right" w:pos="9026" w:leader="dot"/>
            </w:tabs>
            <w:rPr/>
          </w:pPr>
          <w:hyperlink w:anchor="__RefHeading___Toc1936842_1051229030">
            <w:r>
              <w:rPr>
                <w:webHidden/>
                <w:rStyle w:val="IndexLink"/>
                <w:rtl w:val="true"/>
              </w:rPr>
              <w:t>زهير بن القين والهوى العثماني</w:t>
            </w:r>
            <w:r>
              <w:rPr>
                <w:rStyle w:val="IndexLink"/>
                <w:rtl w:val="true"/>
              </w:rPr>
              <w:tab/>
            </w:r>
            <w:r>
              <w:rPr>
                <w:rStyle w:val="IndexLink"/>
              </w:rPr>
              <w:t>148</w:t>
            </w:r>
          </w:hyperlink>
        </w:p>
        <w:p>
          <w:pPr>
            <w:pStyle w:val="Contents4"/>
            <w:tabs>
              <w:tab w:val="clear" w:pos="8176"/>
              <w:tab w:val="right" w:pos="9026" w:leader="dot"/>
            </w:tabs>
            <w:rPr/>
          </w:pPr>
          <w:hyperlink w:anchor="__RefHeading___Toc1936844_1051229030">
            <w:r>
              <w:rPr>
                <w:webHidden/>
                <w:rStyle w:val="IndexLink"/>
                <w:rtl w:val="true"/>
              </w:rPr>
              <w:t>الحالة الأُولى</w:t>
            </w:r>
            <w:r>
              <w:rPr>
                <w:rStyle w:val="IndexLink"/>
                <w:rtl w:val="true"/>
              </w:rPr>
              <w:t xml:space="preserve">: </w:t>
            </w:r>
            <w:r>
              <w:rPr>
                <w:rStyle w:val="IndexLink"/>
                <w:rtl w:val="true"/>
              </w:rPr>
              <w:t>نفي اتّهام زهير بن القين بالعثمانيّة</w:t>
            </w:r>
            <w:r>
              <w:rPr>
                <w:rStyle w:val="IndexLink"/>
                <w:rtl w:val="true"/>
              </w:rPr>
              <w:tab/>
            </w:r>
            <w:r>
              <w:rPr>
                <w:rStyle w:val="IndexLink"/>
              </w:rPr>
              <w:t>151</w:t>
            </w:r>
          </w:hyperlink>
        </w:p>
        <w:p>
          <w:pPr>
            <w:pStyle w:val="Contents4"/>
            <w:tabs>
              <w:tab w:val="clear" w:pos="8176"/>
              <w:tab w:val="right" w:pos="9026" w:leader="dot"/>
            </w:tabs>
            <w:rPr/>
          </w:pPr>
          <w:hyperlink w:anchor="__RefHeading___Toc1936846_1051229030">
            <w:r>
              <w:rPr>
                <w:webHidden/>
                <w:rStyle w:val="IndexLink"/>
                <w:rtl w:val="true"/>
              </w:rPr>
              <w:t>الحالة الثانية</w:t>
            </w:r>
            <w:r>
              <w:rPr>
                <w:rStyle w:val="IndexLink"/>
                <w:rtl w:val="true"/>
              </w:rPr>
              <w:t xml:space="preserve">: </w:t>
            </w:r>
            <w:r>
              <w:rPr>
                <w:rStyle w:val="IndexLink"/>
                <w:rtl w:val="true"/>
              </w:rPr>
              <w:t>أن يكون زهير عثماني الهوى</w:t>
            </w:r>
            <w:r>
              <w:rPr>
                <w:rStyle w:val="IndexLink"/>
                <w:rtl w:val="true"/>
              </w:rPr>
              <w:tab/>
            </w:r>
            <w:r>
              <w:rPr>
                <w:rStyle w:val="IndexLink"/>
              </w:rPr>
              <w:t>157</w:t>
            </w:r>
          </w:hyperlink>
        </w:p>
        <w:p>
          <w:pPr>
            <w:pStyle w:val="Contents4"/>
            <w:tabs>
              <w:tab w:val="clear" w:pos="8176"/>
              <w:tab w:val="right" w:pos="9026" w:leader="dot"/>
            </w:tabs>
            <w:rPr/>
          </w:pPr>
          <w:hyperlink w:anchor="__RefHeading___Toc1936848_1051229030">
            <w:r>
              <w:rPr>
                <w:webHidden/>
                <w:rStyle w:val="IndexLink"/>
                <w:rtl w:val="true"/>
              </w:rPr>
              <w:t>في ركب الخلود</w:t>
            </w:r>
            <w:r>
              <w:rPr>
                <w:rStyle w:val="IndexLink"/>
                <w:rtl w:val="true"/>
              </w:rPr>
              <w:tab/>
            </w:r>
            <w:r>
              <w:rPr>
                <w:rStyle w:val="IndexLink"/>
              </w:rPr>
              <w:t>161</w:t>
            </w:r>
          </w:hyperlink>
        </w:p>
        <w:p>
          <w:pPr>
            <w:pStyle w:val="Contents4"/>
            <w:tabs>
              <w:tab w:val="clear" w:pos="8176"/>
              <w:tab w:val="right" w:pos="9026" w:leader="dot"/>
            </w:tabs>
            <w:rPr/>
          </w:pPr>
          <w:hyperlink w:anchor="__RefHeading___Toc1936850_1051229030">
            <w:r>
              <w:rPr>
                <w:webHidden/>
                <w:rStyle w:val="IndexLink"/>
                <w:rtl w:val="true"/>
              </w:rPr>
              <w:t>زهير بن القين</w:t>
            </w:r>
            <w:r>
              <w:rPr>
                <w:rStyle w:val="IndexLink"/>
                <w:rtl w:val="true"/>
              </w:rPr>
              <w:t xml:space="preserve">.. </w:t>
            </w:r>
            <w:r>
              <w:rPr>
                <w:rStyle w:val="IndexLink"/>
                <w:rtl w:val="true"/>
              </w:rPr>
              <w:t>إيمان راسخ ولسان ناصح</w:t>
            </w:r>
            <w:r>
              <w:rPr>
                <w:rStyle w:val="IndexLink"/>
                <w:rtl w:val="true"/>
              </w:rPr>
              <w:tab/>
            </w:r>
            <w:r>
              <w:rPr>
                <w:rStyle w:val="IndexLink"/>
              </w:rPr>
              <w:t>162</w:t>
            </w:r>
          </w:hyperlink>
        </w:p>
        <w:p>
          <w:pPr>
            <w:pStyle w:val="Contents4"/>
            <w:tabs>
              <w:tab w:val="clear" w:pos="8176"/>
              <w:tab w:val="right" w:pos="9026" w:leader="dot"/>
            </w:tabs>
            <w:rPr/>
          </w:pPr>
          <w:hyperlink w:anchor="__RefHeading___Toc1936852_1051229030">
            <w:r>
              <w:rPr>
                <w:webHidden/>
                <w:rStyle w:val="IndexLink"/>
                <w:rtl w:val="true"/>
              </w:rPr>
              <w:t>رجل المهمّات وصاحب الصولات</w:t>
            </w:r>
            <w:r>
              <w:rPr>
                <w:rStyle w:val="IndexLink"/>
                <w:rtl w:val="true"/>
              </w:rPr>
              <w:tab/>
            </w:r>
            <w:r>
              <w:rPr>
                <w:rStyle w:val="IndexLink"/>
              </w:rPr>
              <w:t>164</w:t>
            </w:r>
          </w:hyperlink>
        </w:p>
        <w:p>
          <w:pPr>
            <w:pStyle w:val="Contents4"/>
            <w:tabs>
              <w:tab w:val="clear" w:pos="8176"/>
              <w:tab w:val="right" w:pos="9026" w:leader="dot"/>
            </w:tabs>
            <w:rPr/>
          </w:pPr>
          <w:hyperlink w:anchor="__RefHeading___Toc1936854_1051229030">
            <w:r>
              <w:rPr>
                <w:webHidden/>
                <w:rStyle w:val="IndexLink"/>
                <w:rtl w:val="true"/>
              </w:rPr>
              <w:t>وسام الشهادة</w:t>
            </w:r>
            <w:r>
              <w:rPr>
                <w:rStyle w:val="IndexLink"/>
                <w:rtl w:val="true"/>
              </w:rPr>
              <w:tab/>
            </w:r>
            <w:r>
              <w:rPr>
                <w:rStyle w:val="IndexLink"/>
              </w:rPr>
              <w:t>165</w:t>
            </w:r>
          </w:hyperlink>
        </w:p>
        <w:p>
          <w:pPr>
            <w:pStyle w:val="Contents3"/>
            <w:tabs>
              <w:tab w:val="clear" w:pos="8459"/>
              <w:tab w:val="right" w:pos="9026" w:leader="dot"/>
            </w:tabs>
            <w:rPr/>
          </w:pPr>
          <w:hyperlink w:anchor="__RefHeading___Toc1936856_1051229030">
            <w:r>
              <w:rPr>
                <w:webHidden/>
                <w:rStyle w:val="IndexLink"/>
                <w:rtl w:val="true"/>
              </w:rPr>
              <w:t>مَقتَلُ أبي مِخنَفَ الَأزدي الكُوفيّ</w:t>
            </w:r>
            <w:r>
              <w:rPr>
                <w:rStyle w:val="IndexLink"/>
                <w:rtl w:val="true"/>
              </w:rPr>
              <w:tab/>
            </w:r>
            <w:r>
              <w:rPr>
                <w:rStyle w:val="IndexLink"/>
              </w:rPr>
              <w:t>166</w:t>
            </w:r>
          </w:hyperlink>
        </w:p>
        <w:p>
          <w:pPr>
            <w:pStyle w:val="Contents4"/>
            <w:tabs>
              <w:tab w:val="clear" w:pos="8176"/>
              <w:tab w:val="right" w:pos="9026" w:leader="dot"/>
            </w:tabs>
            <w:rPr/>
          </w:pPr>
          <w:hyperlink w:anchor="__RefHeading___Toc1936858_105122903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936860_1051229030">
            <w:r>
              <w:rPr>
                <w:webHidden/>
                <w:rStyle w:val="IndexLink"/>
                <w:rtl w:val="true"/>
              </w:rPr>
              <w:t>أشهرُ المَقَاتِل الحُسَينيَّة</w:t>
            </w:r>
            <w:r>
              <w:rPr>
                <w:rStyle w:val="IndexLink"/>
                <w:rtl w:val="true"/>
              </w:rPr>
              <w:tab/>
            </w:r>
            <w:r>
              <w:rPr>
                <w:rStyle w:val="IndexLink"/>
              </w:rPr>
              <w:t>166</w:t>
            </w:r>
          </w:hyperlink>
        </w:p>
        <w:p>
          <w:pPr>
            <w:pStyle w:val="Contents5"/>
            <w:tabs>
              <w:tab w:val="clear" w:pos="7892"/>
              <w:tab w:val="right" w:pos="9026" w:leader="dot"/>
            </w:tabs>
            <w:rPr/>
          </w:pPr>
          <w:hyperlink w:anchor="__RefHeading___Toc1936862_105122903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936864_1051229030">
            <w:r>
              <w:rPr>
                <w:webHidden/>
                <w:rStyle w:val="IndexLink"/>
                <w:rtl w:val="true"/>
              </w:rPr>
              <w:t>تقديم</w:t>
            </w:r>
            <w:r>
              <w:rPr>
                <w:rStyle w:val="IndexLink"/>
                <w:rtl w:val="true"/>
              </w:rPr>
              <w:tab/>
            </w:r>
            <w:r>
              <w:rPr>
                <w:rStyle w:val="IndexLink"/>
              </w:rPr>
              <w:t>166</w:t>
            </w:r>
          </w:hyperlink>
        </w:p>
        <w:p>
          <w:pPr>
            <w:pStyle w:val="Contents5"/>
            <w:tabs>
              <w:tab w:val="clear" w:pos="7892"/>
              <w:tab w:val="right" w:pos="9026" w:leader="dot"/>
            </w:tabs>
            <w:rPr/>
          </w:pPr>
          <w:hyperlink w:anchor="__RefHeading___Toc1936866_1051229030">
            <w:r>
              <w:rPr>
                <w:webHidden/>
                <w:rStyle w:val="IndexLink"/>
                <w:rtl w:val="true"/>
              </w:rPr>
              <w:t>البحث الأول</w:t>
            </w:r>
            <w:r>
              <w:rPr>
                <w:rStyle w:val="IndexLink"/>
                <w:rtl w:val="true"/>
              </w:rPr>
              <w:t xml:space="preserve">: </w:t>
            </w:r>
            <w:r>
              <w:rPr>
                <w:rStyle w:val="IndexLink"/>
                <w:rtl w:val="true"/>
              </w:rPr>
              <w:t>ترجمته</w:t>
            </w:r>
            <w:r>
              <w:rPr>
                <w:rStyle w:val="IndexLink"/>
                <w:rtl w:val="true"/>
              </w:rPr>
              <w:tab/>
            </w:r>
            <w:r>
              <w:rPr>
                <w:rStyle w:val="IndexLink"/>
              </w:rPr>
              <w:t>168</w:t>
            </w:r>
          </w:hyperlink>
        </w:p>
        <w:p>
          <w:pPr>
            <w:pStyle w:val="Contents6"/>
            <w:tabs>
              <w:tab w:val="clear" w:pos="7609"/>
              <w:tab w:val="right" w:pos="9026" w:leader="dot"/>
            </w:tabs>
            <w:rPr/>
          </w:pPr>
          <w:hyperlink w:anchor="__RefHeading___Toc1936868_1051229030">
            <w:r>
              <w:rPr>
                <w:webHidden/>
                <w:rStyle w:val="IndexLink"/>
              </w:rPr>
              <w:t>١</w:t>
            </w:r>
            <w:r>
              <w:rPr>
                <w:rStyle w:val="IndexLink"/>
                <w:rtl w:val="true"/>
              </w:rPr>
              <w:t>ـ اسمه، نسبه، كُنيته</w:t>
            </w:r>
            <w:r>
              <w:rPr>
                <w:rStyle w:val="IndexLink"/>
                <w:rtl w:val="true"/>
              </w:rPr>
              <w:tab/>
            </w:r>
            <w:r>
              <w:rPr>
                <w:rStyle w:val="IndexLink"/>
              </w:rPr>
              <w:t>168</w:t>
            </w:r>
          </w:hyperlink>
        </w:p>
        <w:p>
          <w:pPr>
            <w:pStyle w:val="Contents6"/>
            <w:tabs>
              <w:tab w:val="clear" w:pos="7609"/>
              <w:tab w:val="right" w:pos="9026" w:leader="dot"/>
            </w:tabs>
            <w:rPr/>
          </w:pPr>
          <w:hyperlink w:anchor="__RefHeading___Toc1936870_1051229030">
            <w:r>
              <w:rPr>
                <w:webHidden/>
                <w:rStyle w:val="IndexLink"/>
                <w:rtl w:val="true"/>
              </w:rPr>
              <w:t>آل مخنف بن سليم زعماء الأزد في الكوفة</w:t>
            </w:r>
            <w:r>
              <w:rPr>
                <w:rStyle w:val="IndexLink"/>
                <w:rtl w:val="true"/>
              </w:rPr>
              <w:tab/>
            </w:r>
            <w:r>
              <w:rPr>
                <w:rStyle w:val="IndexLink"/>
              </w:rPr>
              <w:t>169</w:t>
            </w:r>
          </w:hyperlink>
        </w:p>
        <w:p>
          <w:pPr>
            <w:pStyle w:val="Contents6"/>
            <w:tabs>
              <w:tab w:val="clear" w:pos="7609"/>
              <w:tab w:val="right" w:pos="9026" w:leader="dot"/>
            </w:tabs>
            <w:rPr/>
          </w:pPr>
          <w:hyperlink w:anchor="__RefHeading___Toc1936872_1051229030">
            <w:r>
              <w:rPr>
                <w:webHidden/>
                <w:rStyle w:val="IndexLink"/>
              </w:rPr>
              <w:t>٢</w:t>
            </w:r>
            <w:r>
              <w:rPr>
                <w:rStyle w:val="IndexLink"/>
                <w:rtl w:val="true"/>
              </w:rPr>
              <w:t>ـ ولادته ونشأته</w:t>
            </w:r>
            <w:r>
              <w:rPr>
                <w:rStyle w:val="IndexLink"/>
                <w:rtl w:val="true"/>
              </w:rPr>
              <w:tab/>
            </w:r>
            <w:r>
              <w:rPr>
                <w:rStyle w:val="IndexLink"/>
              </w:rPr>
              <w:t>174</w:t>
            </w:r>
          </w:hyperlink>
        </w:p>
        <w:p>
          <w:pPr>
            <w:pStyle w:val="Contents6"/>
            <w:tabs>
              <w:tab w:val="clear" w:pos="7609"/>
              <w:tab w:val="right" w:pos="9026" w:leader="dot"/>
            </w:tabs>
            <w:rPr/>
          </w:pPr>
          <w:hyperlink w:anchor="__RefHeading___Toc1936874_1051229030">
            <w:r>
              <w:rPr>
                <w:webHidden/>
                <w:rStyle w:val="IndexLink"/>
              </w:rPr>
              <w:t>٣</w:t>
            </w:r>
            <w:r>
              <w:rPr>
                <w:rStyle w:val="IndexLink"/>
                <w:rtl w:val="true"/>
              </w:rPr>
              <w:t>ـ مكانته العلمية، طبقته، مصنفاته</w:t>
            </w:r>
            <w:r>
              <w:rPr>
                <w:rStyle w:val="IndexLink"/>
                <w:rtl w:val="true"/>
              </w:rPr>
              <w:tab/>
            </w:r>
            <w:r>
              <w:rPr>
                <w:rStyle w:val="IndexLink"/>
              </w:rPr>
              <w:t>176</w:t>
            </w:r>
          </w:hyperlink>
        </w:p>
        <w:p>
          <w:pPr>
            <w:pStyle w:val="Contents6"/>
            <w:tabs>
              <w:tab w:val="clear" w:pos="7609"/>
              <w:tab w:val="right" w:pos="9026" w:leader="dot"/>
            </w:tabs>
            <w:rPr/>
          </w:pPr>
          <w:hyperlink w:anchor="__RefHeading___Toc1936876_1051229030">
            <w:r>
              <w:rPr>
                <w:webHidden/>
                <w:rStyle w:val="IndexLink"/>
              </w:rPr>
              <w:t>٤</w:t>
            </w:r>
            <w:r>
              <w:rPr>
                <w:rStyle w:val="IndexLink"/>
                <w:rtl w:val="true"/>
              </w:rPr>
              <w:t xml:space="preserve"> ـ مذهبه ومعتقده</w:t>
            </w:r>
            <w:r>
              <w:rPr>
                <w:rStyle w:val="IndexLink"/>
                <w:rtl w:val="true"/>
              </w:rPr>
              <w:tab/>
            </w:r>
            <w:r>
              <w:rPr>
                <w:rStyle w:val="IndexLink"/>
              </w:rPr>
              <w:t>179</w:t>
            </w:r>
          </w:hyperlink>
        </w:p>
        <w:p>
          <w:pPr>
            <w:pStyle w:val="Contents6"/>
            <w:tabs>
              <w:tab w:val="clear" w:pos="7609"/>
              <w:tab w:val="right" w:pos="9026" w:leader="dot"/>
            </w:tabs>
            <w:rPr/>
          </w:pPr>
          <w:hyperlink w:anchor="__RefHeading___Toc1936878_1051229030">
            <w:r>
              <w:rPr>
                <w:webHidden/>
                <w:rStyle w:val="IndexLink"/>
              </w:rPr>
              <w:t>٥</w:t>
            </w:r>
            <w:r>
              <w:rPr>
                <w:rStyle w:val="IndexLink"/>
                <w:rtl w:val="true"/>
              </w:rPr>
              <w:t xml:space="preserve"> ـ وثاقته وعدالته</w:t>
            </w:r>
            <w:r>
              <w:rPr>
                <w:rStyle w:val="IndexLink"/>
                <w:rtl w:val="true"/>
              </w:rPr>
              <w:tab/>
            </w:r>
            <w:r>
              <w:rPr>
                <w:rStyle w:val="IndexLink"/>
              </w:rPr>
              <w:t>183</w:t>
            </w:r>
          </w:hyperlink>
        </w:p>
        <w:p>
          <w:pPr>
            <w:pStyle w:val="Contents6"/>
            <w:tabs>
              <w:tab w:val="clear" w:pos="7609"/>
              <w:tab w:val="right" w:pos="9026" w:leader="dot"/>
            </w:tabs>
            <w:rPr/>
          </w:pPr>
          <w:hyperlink w:anchor="__RefHeading___Toc1936880_1051229030">
            <w:r>
              <w:rPr>
                <w:webHidden/>
                <w:rStyle w:val="IndexLink"/>
              </w:rPr>
              <w:t>٦</w:t>
            </w:r>
            <w:r>
              <w:rPr>
                <w:rStyle w:val="IndexLink"/>
                <w:rtl w:val="true"/>
              </w:rPr>
              <w:t>ـ وفاته</w:t>
            </w:r>
            <w:r>
              <w:rPr>
                <w:rStyle w:val="IndexLink"/>
                <w:rtl w:val="true"/>
              </w:rPr>
              <w:tab/>
            </w:r>
            <w:r>
              <w:rPr>
                <w:rStyle w:val="IndexLink"/>
              </w:rPr>
              <w:t>186</w:t>
            </w:r>
          </w:hyperlink>
        </w:p>
        <w:p>
          <w:pPr>
            <w:pStyle w:val="Contents5"/>
            <w:tabs>
              <w:tab w:val="clear" w:pos="7892"/>
              <w:tab w:val="right" w:pos="9026" w:leader="dot"/>
            </w:tabs>
            <w:rPr/>
          </w:pPr>
          <w:hyperlink w:anchor="__RefHeading___Toc1936882_1051229030">
            <w:r>
              <w:rPr>
                <w:webHidden/>
                <w:rStyle w:val="IndexLink"/>
                <w:rtl w:val="true"/>
              </w:rPr>
              <w:t>البحث الثاني</w:t>
            </w:r>
            <w:r>
              <w:rPr>
                <w:rStyle w:val="IndexLink"/>
                <w:rtl w:val="true"/>
              </w:rPr>
              <w:t xml:space="preserve">: </w:t>
            </w:r>
            <w:r>
              <w:rPr>
                <w:rStyle w:val="IndexLink"/>
                <w:rtl w:val="true"/>
              </w:rPr>
              <w:t xml:space="preserve">كتابه </w:t>
            </w:r>
            <w:r>
              <w:rPr>
                <w:rStyle w:val="IndexLink"/>
                <w:rtl w:val="true"/>
              </w:rPr>
              <w:t>(</w:t>
            </w:r>
            <w:r>
              <w:rPr>
                <w:rStyle w:val="IndexLink"/>
                <w:rtl w:val="true"/>
              </w:rPr>
              <w:t xml:space="preserve">مقتل الحسين علیه السلام </w:t>
            </w:r>
            <w:r>
              <w:rPr>
                <w:rStyle w:val="IndexLink"/>
                <w:rtl w:val="true"/>
              </w:rPr>
              <w:t>)</w:t>
              <w:tab/>
            </w:r>
            <w:r>
              <w:rPr>
                <w:rStyle w:val="IndexLink"/>
              </w:rPr>
              <w:t>188</w:t>
            </w:r>
          </w:hyperlink>
        </w:p>
        <w:p>
          <w:pPr>
            <w:pStyle w:val="Contents5"/>
            <w:tabs>
              <w:tab w:val="clear" w:pos="7892"/>
              <w:tab w:val="right" w:pos="9026" w:leader="dot"/>
            </w:tabs>
            <w:rPr/>
          </w:pPr>
          <w:hyperlink w:anchor="__RefHeading___Toc1936884_1051229030">
            <w:r>
              <w:rPr>
                <w:webHidden/>
                <w:rStyle w:val="IndexLink"/>
                <w:rtl w:val="true"/>
              </w:rPr>
              <w:t>طريق الطبري إلى مقتل أبي مخنف</w:t>
            </w:r>
            <w:r>
              <w:rPr>
                <w:rStyle w:val="IndexLink"/>
                <w:rtl w:val="true"/>
              </w:rPr>
              <w:tab/>
            </w:r>
            <w:r>
              <w:rPr>
                <w:rStyle w:val="IndexLink"/>
              </w:rPr>
              <w:t>193</w:t>
            </w:r>
          </w:hyperlink>
        </w:p>
        <w:p>
          <w:pPr>
            <w:pStyle w:val="Contents5"/>
            <w:tabs>
              <w:tab w:val="clear" w:pos="7892"/>
              <w:tab w:val="right" w:pos="9026" w:leader="dot"/>
            </w:tabs>
            <w:rPr/>
          </w:pPr>
          <w:hyperlink w:anchor="__RefHeading___Toc1936886_1051229030">
            <w:r>
              <w:rPr>
                <w:webHidden/>
                <w:rStyle w:val="IndexLink"/>
                <w:rtl w:val="true"/>
              </w:rPr>
              <w:t>خاتمة بأهم نتائج البحث</w:t>
            </w:r>
            <w:r>
              <w:rPr>
                <w:rStyle w:val="IndexLink"/>
                <w:rtl w:val="true"/>
              </w:rPr>
              <w:tab/>
            </w:r>
            <w:r>
              <w:rPr>
                <w:rStyle w:val="IndexLink"/>
              </w:rPr>
              <w:t>198</w:t>
            </w:r>
          </w:hyperlink>
        </w:p>
        <w:p>
          <w:pPr>
            <w:pStyle w:val="Contents2"/>
            <w:tabs>
              <w:tab w:val="clear" w:pos="8743"/>
              <w:tab w:val="right" w:pos="9026" w:leader="dot"/>
            </w:tabs>
            <w:rPr/>
          </w:pPr>
          <w:hyperlink w:anchor="__RefHeading___Toc1936888_1051229030">
            <w:r>
              <w:rPr>
                <w:webHidden/>
                <w:rStyle w:val="IndexLink"/>
                <w:rtl w:val="true"/>
              </w:rPr>
              <w:t>فِقهُ النَهضَةِ الحُسَينيَّة</w:t>
            </w:r>
            <w:r>
              <w:rPr>
                <w:rStyle w:val="IndexLink"/>
                <w:rtl w:val="true"/>
              </w:rPr>
              <w:tab/>
            </w:r>
            <w:r>
              <w:rPr>
                <w:rStyle w:val="IndexLink"/>
              </w:rPr>
              <w:t>200</w:t>
            </w:r>
          </w:hyperlink>
        </w:p>
        <w:p>
          <w:pPr>
            <w:pStyle w:val="Contents3"/>
            <w:tabs>
              <w:tab w:val="clear" w:pos="8459"/>
              <w:tab w:val="right" w:pos="9026" w:leader="dot"/>
            </w:tabs>
            <w:rPr/>
          </w:pPr>
          <w:hyperlink w:anchor="__RefHeading___Toc1936890_1051229030">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1936892_1051229030">
            <w:r>
              <w:rPr>
                <w:webHidden/>
                <w:rStyle w:val="IndexLink"/>
                <w:rtl w:val="true"/>
              </w:rPr>
              <w:t>أفضل البقاع</w:t>
            </w:r>
            <w:r>
              <w:rPr>
                <w:rStyle w:val="IndexLink"/>
                <w:rtl w:val="true"/>
              </w:rPr>
              <w:tab/>
            </w:r>
            <w:r>
              <w:rPr>
                <w:rStyle w:val="IndexLink"/>
              </w:rPr>
              <w:t>202</w:t>
            </w:r>
          </w:hyperlink>
        </w:p>
        <w:p>
          <w:pPr>
            <w:pStyle w:val="Contents4"/>
            <w:tabs>
              <w:tab w:val="clear" w:pos="8176"/>
              <w:tab w:val="right" w:pos="9026" w:leader="dot"/>
            </w:tabs>
            <w:rPr/>
          </w:pPr>
          <w:hyperlink w:anchor="__RefHeading___Toc1936894_1051229030">
            <w:r>
              <w:rPr>
                <w:webHidden/>
                <w:rStyle w:val="IndexLink"/>
                <w:rtl w:val="true"/>
              </w:rPr>
              <w:t>القسم الثاني</w:t>
            </w:r>
            <w:r>
              <w:rPr>
                <w:rStyle w:val="IndexLink"/>
                <w:rtl w:val="true"/>
              </w:rPr>
              <w:tab/>
            </w:r>
            <w:r>
              <w:rPr>
                <w:rStyle w:val="IndexLink"/>
              </w:rPr>
              <w:t>202</w:t>
            </w:r>
          </w:hyperlink>
        </w:p>
        <w:p>
          <w:pPr>
            <w:pStyle w:val="Contents4"/>
            <w:tabs>
              <w:tab w:val="clear" w:pos="8176"/>
              <w:tab w:val="right" w:pos="9026" w:leader="dot"/>
            </w:tabs>
            <w:rPr/>
          </w:pPr>
          <w:hyperlink w:anchor="__RefHeading___Toc1936896_1051229030">
            <w:r>
              <w:rPr>
                <w:webHidden/>
                <w:rStyle w:val="IndexLink"/>
                <w:rtl w:val="true"/>
              </w:rPr>
              <w:t>النقطة الأُولى</w:t>
            </w:r>
            <w:r>
              <w:rPr>
                <w:rStyle w:val="IndexLink"/>
                <w:rtl w:val="true"/>
              </w:rPr>
              <w:t xml:space="preserve">: </w:t>
            </w:r>
            <w:r>
              <w:rPr>
                <w:rStyle w:val="IndexLink"/>
                <w:rtl w:val="true"/>
              </w:rPr>
              <w:t>ما هي البقاع المفضَّلة؟</w:t>
            </w:r>
            <w:r>
              <w:rPr>
                <w:rStyle w:val="IndexLink"/>
                <w:rtl w:val="true"/>
              </w:rPr>
              <w:tab/>
            </w:r>
            <w:r>
              <w:rPr>
                <w:rStyle w:val="IndexLink"/>
              </w:rPr>
              <w:t>203</w:t>
            </w:r>
          </w:hyperlink>
        </w:p>
        <w:p>
          <w:pPr>
            <w:pStyle w:val="Contents5"/>
            <w:tabs>
              <w:tab w:val="clear" w:pos="7892"/>
              <w:tab w:val="right" w:pos="9026" w:leader="dot"/>
            </w:tabs>
            <w:rPr/>
          </w:pPr>
          <w:hyperlink w:anchor="__RefHeading___Toc1936898_105122903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936900_1051229030">
            <w:r>
              <w:rPr>
                <w:webHidden/>
                <w:rStyle w:val="IndexLink"/>
                <w:rtl w:val="true"/>
              </w:rPr>
              <w:t>أولاً</w:t>
            </w:r>
            <w:r>
              <w:rPr>
                <w:rStyle w:val="IndexLink"/>
                <w:rtl w:val="true"/>
              </w:rPr>
              <w:t xml:space="preserve">: </w:t>
            </w:r>
            <w:r>
              <w:rPr>
                <w:rStyle w:val="IndexLink"/>
                <w:rtl w:val="true"/>
              </w:rPr>
              <w:t>مكة المكرّمة</w:t>
            </w:r>
            <w:r>
              <w:rPr>
                <w:rStyle w:val="IndexLink"/>
                <w:rtl w:val="true"/>
              </w:rPr>
              <w:tab/>
            </w:r>
            <w:r>
              <w:rPr>
                <w:rStyle w:val="IndexLink"/>
              </w:rPr>
              <w:t>203</w:t>
            </w:r>
          </w:hyperlink>
        </w:p>
        <w:p>
          <w:pPr>
            <w:pStyle w:val="Contents6"/>
            <w:tabs>
              <w:tab w:val="clear" w:pos="7609"/>
              <w:tab w:val="right" w:pos="9026" w:leader="dot"/>
            </w:tabs>
            <w:rPr/>
          </w:pPr>
          <w:hyperlink w:anchor="__RefHeading___Toc1936902_1051229030">
            <w:r>
              <w:rPr>
                <w:webHidden/>
                <w:rStyle w:val="IndexLink"/>
                <w:rtl w:val="true"/>
              </w:rPr>
              <w:t>أ</w:t>
            </w:r>
            <w:r>
              <w:rPr>
                <w:rStyle w:val="IndexLink"/>
                <w:rtl w:val="true"/>
              </w:rPr>
              <w:t xml:space="preserve">) </w:t>
            </w:r>
            <w:r>
              <w:rPr>
                <w:rStyle w:val="IndexLink"/>
                <w:rtl w:val="true"/>
              </w:rPr>
              <w:t>سبب التسمية</w:t>
            </w:r>
            <w:r>
              <w:rPr>
                <w:rStyle w:val="IndexLink"/>
                <w:rtl w:val="true"/>
              </w:rPr>
              <w:tab/>
            </w:r>
            <w:r>
              <w:rPr>
                <w:rStyle w:val="IndexLink"/>
              </w:rPr>
              <w:t>203</w:t>
            </w:r>
          </w:hyperlink>
        </w:p>
        <w:p>
          <w:pPr>
            <w:pStyle w:val="Contents6"/>
            <w:tabs>
              <w:tab w:val="clear" w:pos="7609"/>
              <w:tab w:val="right" w:pos="9026" w:leader="dot"/>
            </w:tabs>
            <w:rPr/>
          </w:pPr>
          <w:hyperlink w:anchor="__RefHeading___Toc1936904_1051229030">
            <w:r>
              <w:rPr>
                <w:webHidden/>
                <w:rStyle w:val="IndexLink"/>
                <w:rtl w:val="true"/>
              </w:rPr>
              <w:t>ب</w:t>
            </w:r>
            <w:r>
              <w:rPr>
                <w:rStyle w:val="IndexLink"/>
                <w:rtl w:val="true"/>
              </w:rPr>
              <w:t xml:space="preserve">) </w:t>
            </w:r>
            <w:r>
              <w:rPr>
                <w:rStyle w:val="IndexLink"/>
                <w:rtl w:val="true"/>
              </w:rPr>
              <w:t>الموقع الجغرافي والمساحة</w:t>
            </w:r>
            <w:r>
              <w:rPr>
                <w:rStyle w:val="IndexLink"/>
                <w:rtl w:val="true"/>
              </w:rPr>
              <w:tab/>
            </w:r>
            <w:r>
              <w:rPr>
                <w:rStyle w:val="IndexLink"/>
              </w:rPr>
              <w:t>204</w:t>
            </w:r>
          </w:hyperlink>
        </w:p>
        <w:p>
          <w:pPr>
            <w:pStyle w:val="Contents5"/>
            <w:tabs>
              <w:tab w:val="clear" w:pos="7892"/>
              <w:tab w:val="right" w:pos="9026" w:leader="dot"/>
            </w:tabs>
            <w:rPr/>
          </w:pPr>
          <w:hyperlink w:anchor="__RefHeading___Toc1936906_1051229030">
            <w:r>
              <w:rPr>
                <w:webHidden/>
                <w:rStyle w:val="IndexLink"/>
                <w:rtl w:val="true"/>
              </w:rPr>
              <w:t>ثانياً</w:t>
            </w:r>
            <w:r>
              <w:rPr>
                <w:rStyle w:val="IndexLink"/>
                <w:rtl w:val="true"/>
              </w:rPr>
              <w:t xml:space="preserve">: </w:t>
            </w:r>
            <w:r>
              <w:rPr>
                <w:rStyle w:val="IndexLink"/>
                <w:rtl w:val="true"/>
              </w:rPr>
              <w:t>المدينة المنوّرة</w:t>
            </w:r>
            <w:r>
              <w:rPr>
                <w:rStyle w:val="IndexLink"/>
                <w:rtl w:val="true"/>
              </w:rPr>
              <w:tab/>
            </w:r>
            <w:r>
              <w:rPr>
                <w:rStyle w:val="IndexLink"/>
              </w:rPr>
              <w:t>204</w:t>
            </w:r>
          </w:hyperlink>
        </w:p>
        <w:p>
          <w:pPr>
            <w:pStyle w:val="Contents6"/>
            <w:tabs>
              <w:tab w:val="clear" w:pos="7609"/>
              <w:tab w:val="right" w:pos="9026" w:leader="dot"/>
            </w:tabs>
            <w:rPr/>
          </w:pPr>
          <w:hyperlink w:anchor="__RefHeading___Toc1936908_1051229030">
            <w:r>
              <w:rPr>
                <w:webHidden/>
                <w:rStyle w:val="IndexLink"/>
                <w:rtl w:val="true"/>
              </w:rPr>
              <w:t>أ</w:t>
            </w:r>
            <w:r>
              <w:rPr>
                <w:rStyle w:val="IndexLink"/>
                <w:rtl w:val="true"/>
              </w:rPr>
              <w:t xml:space="preserve">) </w:t>
            </w:r>
            <w:r>
              <w:rPr>
                <w:rStyle w:val="IndexLink"/>
                <w:rtl w:val="true"/>
              </w:rPr>
              <w:t>سبب التسمية</w:t>
            </w:r>
            <w:r>
              <w:rPr>
                <w:rStyle w:val="IndexLink"/>
                <w:rtl w:val="true"/>
              </w:rPr>
              <w:tab/>
            </w:r>
            <w:r>
              <w:rPr>
                <w:rStyle w:val="IndexLink"/>
              </w:rPr>
              <w:t>204</w:t>
            </w:r>
          </w:hyperlink>
        </w:p>
        <w:p>
          <w:pPr>
            <w:pStyle w:val="Contents6"/>
            <w:tabs>
              <w:tab w:val="clear" w:pos="7609"/>
              <w:tab w:val="right" w:pos="9026" w:leader="dot"/>
            </w:tabs>
            <w:rPr/>
          </w:pPr>
          <w:hyperlink w:anchor="__RefHeading___Toc1936910_1051229030">
            <w:r>
              <w:rPr>
                <w:webHidden/>
                <w:rStyle w:val="IndexLink"/>
                <w:rtl w:val="true"/>
              </w:rPr>
              <w:t>ب</w:t>
            </w:r>
            <w:r>
              <w:rPr>
                <w:rStyle w:val="IndexLink"/>
                <w:rtl w:val="true"/>
              </w:rPr>
              <w:t xml:space="preserve">) </w:t>
            </w:r>
            <w:r>
              <w:rPr>
                <w:rStyle w:val="IndexLink"/>
                <w:rtl w:val="true"/>
              </w:rPr>
              <w:t>الموقع الجغرافي والمساحة</w:t>
            </w:r>
            <w:r>
              <w:rPr>
                <w:rStyle w:val="IndexLink"/>
                <w:rtl w:val="true"/>
              </w:rPr>
              <w:tab/>
            </w:r>
            <w:r>
              <w:rPr>
                <w:rStyle w:val="IndexLink"/>
              </w:rPr>
              <w:t>205</w:t>
            </w:r>
          </w:hyperlink>
        </w:p>
        <w:p>
          <w:pPr>
            <w:pStyle w:val="Contents5"/>
            <w:tabs>
              <w:tab w:val="clear" w:pos="7892"/>
              <w:tab w:val="right" w:pos="9026" w:leader="dot"/>
            </w:tabs>
            <w:rPr/>
          </w:pPr>
          <w:hyperlink w:anchor="__RefHeading___Toc1936912_1051229030">
            <w:r>
              <w:rPr>
                <w:webHidden/>
                <w:rStyle w:val="IndexLink"/>
                <w:rtl w:val="true"/>
              </w:rPr>
              <w:t>ثالثاً</w:t>
            </w:r>
            <w:r>
              <w:rPr>
                <w:rStyle w:val="IndexLink"/>
                <w:rtl w:val="true"/>
              </w:rPr>
              <w:t xml:space="preserve">: </w:t>
            </w:r>
            <w:r>
              <w:rPr>
                <w:rStyle w:val="IndexLink"/>
                <w:rtl w:val="true"/>
              </w:rPr>
              <w:t>كربلاء المقدّسة</w:t>
            </w:r>
            <w:r>
              <w:rPr>
                <w:rStyle w:val="IndexLink"/>
                <w:rtl w:val="true"/>
              </w:rPr>
              <w:tab/>
            </w:r>
            <w:r>
              <w:rPr>
                <w:rStyle w:val="IndexLink"/>
              </w:rPr>
              <w:t>205</w:t>
            </w:r>
          </w:hyperlink>
        </w:p>
        <w:p>
          <w:pPr>
            <w:pStyle w:val="Contents6"/>
            <w:tabs>
              <w:tab w:val="clear" w:pos="7609"/>
              <w:tab w:val="right" w:pos="9026" w:leader="dot"/>
            </w:tabs>
            <w:rPr/>
          </w:pPr>
          <w:hyperlink w:anchor="__RefHeading___Toc1936914_1051229030">
            <w:r>
              <w:rPr>
                <w:webHidden/>
                <w:rStyle w:val="IndexLink"/>
                <w:rtl w:val="true"/>
              </w:rPr>
              <w:t>أ</w:t>
            </w:r>
            <w:r>
              <w:rPr>
                <w:rStyle w:val="IndexLink"/>
                <w:rtl w:val="true"/>
              </w:rPr>
              <w:t xml:space="preserve">) </w:t>
            </w:r>
            <w:r>
              <w:rPr>
                <w:rStyle w:val="IndexLink"/>
                <w:rtl w:val="true"/>
              </w:rPr>
              <w:t>سبب التسمية</w:t>
            </w:r>
            <w:r>
              <w:rPr>
                <w:rStyle w:val="IndexLink"/>
                <w:rtl w:val="true"/>
              </w:rPr>
              <w:tab/>
            </w:r>
            <w:r>
              <w:rPr>
                <w:rStyle w:val="IndexLink"/>
              </w:rPr>
              <w:t>205</w:t>
            </w:r>
          </w:hyperlink>
        </w:p>
        <w:p>
          <w:pPr>
            <w:pStyle w:val="Contents6"/>
            <w:tabs>
              <w:tab w:val="clear" w:pos="7609"/>
              <w:tab w:val="right" w:pos="9026" w:leader="dot"/>
            </w:tabs>
            <w:rPr/>
          </w:pPr>
          <w:hyperlink w:anchor="__RefHeading___Toc1936916_1051229030">
            <w:r>
              <w:rPr>
                <w:webHidden/>
                <w:rStyle w:val="IndexLink"/>
                <w:rtl w:val="true"/>
              </w:rPr>
              <w:t>ب</w:t>
            </w:r>
            <w:r>
              <w:rPr>
                <w:rStyle w:val="IndexLink"/>
                <w:rtl w:val="true"/>
              </w:rPr>
              <w:t xml:space="preserve">) </w:t>
            </w:r>
            <w:r>
              <w:rPr>
                <w:rStyle w:val="IndexLink"/>
                <w:rtl w:val="true"/>
              </w:rPr>
              <w:t>الموقع الجغرافي والمساحة</w:t>
            </w:r>
            <w:r>
              <w:rPr>
                <w:rStyle w:val="IndexLink"/>
                <w:rtl w:val="true"/>
              </w:rPr>
              <w:tab/>
            </w:r>
            <w:r>
              <w:rPr>
                <w:rStyle w:val="IndexLink"/>
              </w:rPr>
              <w:t>206</w:t>
            </w:r>
          </w:hyperlink>
        </w:p>
        <w:p>
          <w:pPr>
            <w:pStyle w:val="Contents5"/>
            <w:tabs>
              <w:tab w:val="clear" w:pos="7892"/>
              <w:tab w:val="right" w:pos="9026" w:leader="dot"/>
            </w:tabs>
            <w:rPr/>
          </w:pPr>
          <w:hyperlink w:anchor="__RefHeading___Toc1936918_1051229030">
            <w:r>
              <w:rPr>
                <w:webHidden/>
                <w:rStyle w:val="IndexLink"/>
                <w:rtl w:val="true"/>
              </w:rPr>
              <w:t>رابعاً</w:t>
            </w:r>
            <w:r>
              <w:rPr>
                <w:rStyle w:val="IndexLink"/>
                <w:rtl w:val="true"/>
              </w:rPr>
              <w:t xml:space="preserve">: </w:t>
            </w:r>
            <w:r>
              <w:rPr>
                <w:rStyle w:val="IndexLink"/>
                <w:rtl w:val="true"/>
              </w:rPr>
              <w:t>عرفات</w:t>
            </w:r>
            <w:r>
              <w:rPr>
                <w:rStyle w:val="IndexLink"/>
                <w:rtl w:val="true"/>
              </w:rPr>
              <w:tab/>
            </w:r>
            <w:r>
              <w:rPr>
                <w:rStyle w:val="IndexLink"/>
              </w:rPr>
              <w:t>206</w:t>
            </w:r>
          </w:hyperlink>
        </w:p>
        <w:p>
          <w:pPr>
            <w:pStyle w:val="Contents6"/>
            <w:tabs>
              <w:tab w:val="clear" w:pos="7609"/>
              <w:tab w:val="right" w:pos="9026" w:leader="dot"/>
            </w:tabs>
            <w:rPr/>
          </w:pPr>
          <w:hyperlink w:anchor="__RefHeading___Toc1936920_1051229030">
            <w:r>
              <w:rPr>
                <w:webHidden/>
                <w:rStyle w:val="IndexLink"/>
                <w:rtl w:val="true"/>
              </w:rPr>
              <w:t>أ</w:t>
            </w:r>
            <w:r>
              <w:rPr>
                <w:rStyle w:val="IndexLink"/>
                <w:rtl w:val="true"/>
              </w:rPr>
              <w:t xml:space="preserve">) </w:t>
            </w:r>
            <w:r>
              <w:rPr>
                <w:rStyle w:val="IndexLink"/>
                <w:rtl w:val="true"/>
              </w:rPr>
              <w:t>سبب التسمية</w:t>
            </w:r>
            <w:r>
              <w:rPr>
                <w:rStyle w:val="IndexLink"/>
                <w:rtl w:val="true"/>
              </w:rPr>
              <w:tab/>
            </w:r>
            <w:r>
              <w:rPr>
                <w:rStyle w:val="IndexLink"/>
              </w:rPr>
              <w:t>206</w:t>
            </w:r>
          </w:hyperlink>
        </w:p>
        <w:p>
          <w:pPr>
            <w:pStyle w:val="Contents6"/>
            <w:tabs>
              <w:tab w:val="clear" w:pos="7609"/>
              <w:tab w:val="right" w:pos="9026" w:leader="dot"/>
            </w:tabs>
            <w:rPr/>
          </w:pPr>
          <w:hyperlink w:anchor="__RefHeading___Toc1936922_1051229030">
            <w:r>
              <w:rPr>
                <w:webHidden/>
                <w:rStyle w:val="IndexLink"/>
                <w:rtl w:val="true"/>
              </w:rPr>
              <w:t>ب</w:t>
            </w:r>
            <w:r>
              <w:rPr>
                <w:rStyle w:val="IndexLink"/>
                <w:rtl w:val="true"/>
              </w:rPr>
              <w:t xml:space="preserve">) </w:t>
            </w:r>
            <w:r>
              <w:rPr>
                <w:rStyle w:val="IndexLink"/>
                <w:rtl w:val="true"/>
              </w:rPr>
              <w:t>الموقع الجغرافي والمساحة</w:t>
            </w:r>
            <w:r>
              <w:rPr>
                <w:rStyle w:val="IndexLink"/>
                <w:rtl w:val="true"/>
              </w:rPr>
              <w:tab/>
            </w:r>
            <w:r>
              <w:rPr>
                <w:rStyle w:val="IndexLink"/>
              </w:rPr>
              <w:t>207</w:t>
            </w:r>
          </w:hyperlink>
        </w:p>
        <w:p>
          <w:pPr>
            <w:pStyle w:val="Contents4"/>
            <w:tabs>
              <w:tab w:val="clear" w:pos="8176"/>
              <w:tab w:val="right" w:pos="9026" w:leader="dot"/>
            </w:tabs>
            <w:rPr/>
          </w:pPr>
          <w:hyperlink w:anchor="__RefHeading___Toc1936924_1051229030">
            <w:r>
              <w:rPr>
                <w:webHidden/>
                <w:rStyle w:val="IndexLink"/>
                <w:rtl w:val="true"/>
              </w:rPr>
              <w:t>النقطة الثانية</w:t>
            </w:r>
            <w:r>
              <w:rPr>
                <w:rStyle w:val="IndexLink"/>
                <w:rtl w:val="true"/>
              </w:rPr>
              <w:t xml:space="preserve">: </w:t>
            </w:r>
            <w:r>
              <w:rPr>
                <w:rStyle w:val="IndexLink"/>
                <w:rtl w:val="true"/>
              </w:rPr>
              <w:t>ما هي البقعة الأفضل؟</w:t>
            </w:r>
            <w:r>
              <w:rPr>
                <w:rStyle w:val="IndexLink"/>
                <w:rtl w:val="true"/>
              </w:rPr>
              <w:tab/>
            </w:r>
            <w:r>
              <w:rPr>
                <w:rStyle w:val="IndexLink"/>
              </w:rPr>
              <w:t>208</w:t>
            </w:r>
          </w:hyperlink>
        </w:p>
        <w:p>
          <w:pPr>
            <w:pStyle w:val="Contents5"/>
            <w:tabs>
              <w:tab w:val="clear" w:pos="7892"/>
              <w:tab w:val="right" w:pos="9026" w:leader="dot"/>
            </w:tabs>
            <w:rPr/>
          </w:pPr>
          <w:hyperlink w:anchor="__RefHeading___Toc1936926_105122903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936928_1051229030">
            <w:r>
              <w:rPr>
                <w:webHidden/>
                <w:rStyle w:val="IndexLink"/>
                <w:rtl w:val="true"/>
              </w:rPr>
              <w:t>أولاً</w:t>
            </w:r>
            <w:r>
              <w:rPr>
                <w:rStyle w:val="IndexLink"/>
                <w:rtl w:val="true"/>
              </w:rPr>
              <w:t xml:space="preserve">: </w:t>
            </w:r>
            <w:r>
              <w:rPr>
                <w:rStyle w:val="IndexLink"/>
                <w:rtl w:val="true"/>
              </w:rPr>
              <w:t>مكة المكرّمة</w:t>
            </w:r>
            <w:r>
              <w:rPr>
                <w:rStyle w:val="IndexLink"/>
                <w:rtl w:val="true"/>
              </w:rPr>
              <w:tab/>
            </w:r>
            <w:r>
              <w:rPr>
                <w:rStyle w:val="IndexLink"/>
              </w:rPr>
              <w:t>208</w:t>
            </w:r>
          </w:hyperlink>
        </w:p>
        <w:p>
          <w:pPr>
            <w:pStyle w:val="Contents6"/>
            <w:tabs>
              <w:tab w:val="clear" w:pos="7609"/>
              <w:tab w:val="right" w:pos="9026" w:leader="dot"/>
            </w:tabs>
            <w:rPr/>
          </w:pPr>
          <w:hyperlink w:anchor="__RefHeading___Toc1936930_1051229030">
            <w:r>
              <w:rPr>
                <w:webHidden/>
                <w:rStyle w:val="IndexLink"/>
              </w:rPr>
              <w:t>١</w:t>
            </w:r>
            <w:r>
              <w:rPr>
                <w:rStyle w:val="IndexLink"/>
                <w:rtl w:val="true"/>
              </w:rPr>
              <w:t>ـ من الكتاب العزيز</w:t>
            </w:r>
            <w:r>
              <w:rPr>
                <w:rStyle w:val="IndexLink"/>
                <w:rtl w:val="true"/>
              </w:rPr>
              <w:tab/>
            </w:r>
            <w:r>
              <w:rPr>
                <w:rStyle w:val="IndexLink"/>
              </w:rPr>
              <w:t>208</w:t>
            </w:r>
          </w:hyperlink>
        </w:p>
        <w:p>
          <w:pPr>
            <w:pStyle w:val="Contents6"/>
            <w:tabs>
              <w:tab w:val="clear" w:pos="7609"/>
              <w:tab w:val="right" w:pos="9026" w:leader="dot"/>
            </w:tabs>
            <w:rPr/>
          </w:pPr>
          <w:hyperlink w:anchor="__RefHeading___Toc1936932_1051229030">
            <w:r>
              <w:rPr>
                <w:webHidden/>
                <w:rStyle w:val="IndexLink"/>
                <w:rtl w:val="true"/>
              </w:rPr>
              <w:t>أ</w:t>
            </w:r>
            <w:r>
              <w:rPr>
                <w:rStyle w:val="IndexLink"/>
                <w:rtl w:val="true"/>
              </w:rPr>
              <w:t xml:space="preserve">) </w:t>
            </w:r>
            <w:r>
              <w:rPr>
                <w:rStyle w:val="IndexLink"/>
                <w:rtl w:val="true"/>
              </w:rPr>
              <w:t>مكة البلد الحرام</w:t>
            </w:r>
            <w:r>
              <w:rPr>
                <w:rStyle w:val="IndexLink"/>
                <w:rtl w:val="true"/>
              </w:rPr>
              <w:tab/>
            </w:r>
            <w:r>
              <w:rPr>
                <w:rStyle w:val="IndexLink"/>
              </w:rPr>
              <w:t>208</w:t>
            </w:r>
          </w:hyperlink>
        </w:p>
        <w:p>
          <w:pPr>
            <w:pStyle w:val="Contents6"/>
            <w:tabs>
              <w:tab w:val="clear" w:pos="7609"/>
              <w:tab w:val="right" w:pos="9026" w:leader="dot"/>
            </w:tabs>
            <w:rPr/>
          </w:pPr>
          <w:hyperlink w:anchor="__RefHeading___Toc1936934_1051229030">
            <w:r>
              <w:rPr>
                <w:webHidden/>
                <w:rStyle w:val="IndexLink"/>
                <w:rtl w:val="true"/>
              </w:rPr>
              <w:t>ب</w:t>
            </w:r>
            <w:r>
              <w:rPr>
                <w:rStyle w:val="IndexLink"/>
                <w:rtl w:val="true"/>
              </w:rPr>
              <w:t xml:space="preserve">) </w:t>
            </w:r>
            <w:r>
              <w:rPr>
                <w:rStyle w:val="IndexLink"/>
                <w:rtl w:val="true"/>
              </w:rPr>
              <w:t>مكة أُمُّ القرى</w:t>
            </w:r>
            <w:r>
              <w:rPr>
                <w:rStyle w:val="IndexLink"/>
                <w:rtl w:val="true"/>
              </w:rPr>
              <w:tab/>
            </w:r>
            <w:r>
              <w:rPr>
                <w:rStyle w:val="IndexLink"/>
              </w:rPr>
              <w:t>208</w:t>
            </w:r>
          </w:hyperlink>
        </w:p>
        <w:p>
          <w:pPr>
            <w:pStyle w:val="Contents6"/>
            <w:tabs>
              <w:tab w:val="clear" w:pos="7609"/>
              <w:tab w:val="right" w:pos="9026" w:leader="dot"/>
            </w:tabs>
            <w:rPr/>
          </w:pPr>
          <w:hyperlink w:anchor="__RefHeading___Toc1936936_1051229030">
            <w:r>
              <w:rPr>
                <w:webHidden/>
                <w:rStyle w:val="IndexLink"/>
              </w:rPr>
              <w:t>٢</w:t>
            </w:r>
            <w:r>
              <w:rPr>
                <w:rStyle w:val="IndexLink"/>
                <w:rtl w:val="true"/>
              </w:rPr>
              <w:t>ـ من السنة المطهرة</w:t>
            </w:r>
            <w:r>
              <w:rPr>
                <w:rStyle w:val="IndexLink"/>
                <w:rtl w:val="true"/>
              </w:rPr>
              <w:tab/>
            </w:r>
            <w:r>
              <w:rPr>
                <w:rStyle w:val="IndexLink"/>
              </w:rPr>
              <w:t>210</w:t>
            </w:r>
          </w:hyperlink>
        </w:p>
        <w:p>
          <w:pPr>
            <w:pStyle w:val="Contents5"/>
            <w:tabs>
              <w:tab w:val="clear" w:pos="7892"/>
              <w:tab w:val="right" w:pos="9026" w:leader="dot"/>
            </w:tabs>
            <w:rPr/>
          </w:pPr>
          <w:hyperlink w:anchor="__RefHeading___Toc1936938_1051229030">
            <w:r>
              <w:rPr>
                <w:webHidden/>
                <w:rStyle w:val="IndexLink"/>
                <w:rtl w:val="true"/>
              </w:rPr>
              <w:t>مواضع مكة</w:t>
            </w:r>
            <w:r>
              <w:rPr>
                <w:rStyle w:val="IndexLink"/>
                <w:rtl w:val="true"/>
              </w:rPr>
              <w:tab/>
            </w:r>
            <w:r>
              <w:rPr>
                <w:rStyle w:val="IndexLink"/>
              </w:rPr>
              <w:t>214</w:t>
            </w:r>
          </w:hyperlink>
        </w:p>
        <w:p>
          <w:pPr>
            <w:pStyle w:val="Contents6"/>
            <w:tabs>
              <w:tab w:val="clear" w:pos="7609"/>
              <w:tab w:val="right" w:pos="9026" w:leader="dot"/>
            </w:tabs>
            <w:rPr/>
          </w:pPr>
          <w:hyperlink w:anchor="__RefHeading___Toc1936940_1051229030">
            <w:r>
              <w:rPr>
                <w:webHidden/>
                <w:rStyle w:val="IndexLink"/>
                <w:rtl w:val="true"/>
              </w:rPr>
              <w:t>اشارة</w:t>
            </w:r>
            <w:r>
              <w:rPr>
                <w:rStyle w:val="IndexLink"/>
                <w:rtl w:val="true"/>
              </w:rPr>
              <w:tab/>
            </w:r>
            <w:r>
              <w:rPr>
                <w:rStyle w:val="IndexLink"/>
              </w:rPr>
              <w:t>214</w:t>
            </w:r>
          </w:hyperlink>
        </w:p>
        <w:p>
          <w:pPr>
            <w:pStyle w:val="Contents6"/>
            <w:tabs>
              <w:tab w:val="clear" w:pos="7609"/>
              <w:tab w:val="right" w:pos="9026" w:leader="dot"/>
            </w:tabs>
            <w:rPr/>
          </w:pPr>
          <w:hyperlink w:anchor="__RefHeading___Toc1936942_1051229030">
            <w:r>
              <w:rPr>
                <w:webHidden/>
                <w:rStyle w:val="IndexLink"/>
                <w:rtl w:val="true"/>
              </w:rPr>
              <w:t>أ</w:t>
            </w:r>
            <w:r>
              <w:rPr>
                <w:rStyle w:val="IndexLink"/>
                <w:rtl w:val="true"/>
              </w:rPr>
              <w:t xml:space="preserve">) </w:t>
            </w:r>
            <w:r>
              <w:rPr>
                <w:rStyle w:val="IndexLink"/>
                <w:rtl w:val="true"/>
              </w:rPr>
              <w:t>الكعبة الشريفة</w:t>
            </w:r>
            <w:r>
              <w:rPr>
                <w:rStyle w:val="IndexLink"/>
                <w:rtl w:val="true"/>
              </w:rPr>
              <w:tab/>
            </w:r>
            <w:r>
              <w:rPr>
                <w:rStyle w:val="IndexLink"/>
              </w:rPr>
              <w:t>214</w:t>
            </w:r>
          </w:hyperlink>
        </w:p>
        <w:p>
          <w:pPr>
            <w:pStyle w:val="Contents6"/>
            <w:tabs>
              <w:tab w:val="clear" w:pos="7609"/>
              <w:tab w:val="right" w:pos="9026" w:leader="dot"/>
            </w:tabs>
            <w:rPr/>
          </w:pPr>
          <w:hyperlink w:anchor="__RefHeading___Toc1936944_1051229030">
            <w:r>
              <w:rPr>
                <w:webHidden/>
                <w:rStyle w:val="IndexLink"/>
                <w:rtl w:val="true"/>
              </w:rPr>
              <w:t>ب</w:t>
            </w:r>
            <w:r>
              <w:rPr>
                <w:rStyle w:val="IndexLink"/>
                <w:rtl w:val="true"/>
              </w:rPr>
              <w:t xml:space="preserve">) </w:t>
            </w:r>
            <w:r>
              <w:rPr>
                <w:rStyle w:val="IndexLink"/>
                <w:rtl w:val="true"/>
              </w:rPr>
              <w:t>الحطيم</w:t>
            </w:r>
            <w:r>
              <w:rPr>
                <w:rStyle w:val="IndexLink"/>
                <w:rtl w:val="true"/>
              </w:rPr>
              <w:tab/>
            </w:r>
            <w:r>
              <w:rPr>
                <w:rStyle w:val="IndexLink"/>
              </w:rPr>
              <w:t>215</w:t>
            </w:r>
          </w:hyperlink>
        </w:p>
        <w:p>
          <w:pPr>
            <w:pStyle w:val="Contents6"/>
            <w:tabs>
              <w:tab w:val="clear" w:pos="7609"/>
              <w:tab w:val="right" w:pos="9026" w:leader="dot"/>
            </w:tabs>
            <w:rPr/>
          </w:pPr>
          <w:hyperlink w:anchor="__RefHeading___Toc1936946_1051229030">
            <w:r>
              <w:rPr>
                <w:webHidden/>
                <w:rStyle w:val="IndexLink"/>
                <w:rtl w:val="true"/>
              </w:rPr>
              <w:t>ج</w:t>
            </w:r>
            <w:r>
              <w:rPr>
                <w:rStyle w:val="IndexLink"/>
                <w:rtl w:val="true"/>
              </w:rPr>
              <w:t xml:space="preserve">) </w:t>
            </w:r>
            <w:r>
              <w:rPr>
                <w:rStyle w:val="IndexLink"/>
                <w:rtl w:val="true"/>
              </w:rPr>
              <w:t>الركن اليماني</w:t>
            </w:r>
            <w:r>
              <w:rPr>
                <w:rStyle w:val="IndexLink"/>
                <w:rtl w:val="true"/>
              </w:rPr>
              <w:tab/>
            </w:r>
            <w:r>
              <w:rPr>
                <w:rStyle w:val="IndexLink"/>
              </w:rPr>
              <w:t>216</w:t>
            </w:r>
          </w:hyperlink>
        </w:p>
        <w:p>
          <w:pPr>
            <w:pStyle w:val="Contents5"/>
            <w:tabs>
              <w:tab w:val="clear" w:pos="7892"/>
              <w:tab w:val="right" w:pos="9026" w:leader="dot"/>
            </w:tabs>
            <w:rPr/>
          </w:pPr>
          <w:hyperlink w:anchor="__RefHeading___Toc1936948_1051229030">
            <w:r>
              <w:rPr>
                <w:webHidden/>
                <w:rStyle w:val="IndexLink"/>
                <w:rtl w:val="true"/>
              </w:rPr>
              <w:t>ثانياً</w:t>
            </w:r>
            <w:r>
              <w:rPr>
                <w:rStyle w:val="IndexLink"/>
                <w:rtl w:val="true"/>
              </w:rPr>
              <w:t xml:space="preserve">: </w:t>
            </w:r>
            <w:r>
              <w:rPr>
                <w:rStyle w:val="IndexLink"/>
                <w:rtl w:val="true"/>
              </w:rPr>
              <w:t>المدينة المنورة</w:t>
            </w:r>
            <w:r>
              <w:rPr>
                <w:rStyle w:val="IndexLink"/>
                <w:rtl w:val="true"/>
              </w:rPr>
              <w:tab/>
            </w:r>
            <w:r>
              <w:rPr>
                <w:rStyle w:val="IndexLink"/>
              </w:rPr>
              <w:t>216</w:t>
            </w:r>
          </w:hyperlink>
        </w:p>
        <w:p>
          <w:pPr>
            <w:pStyle w:val="Contents5"/>
            <w:tabs>
              <w:tab w:val="clear" w:pos="7892"/>
              <w:tab w:val="right" w:pos="9026" w:leader="dot"/>
            </w:tabs>
            <w:rPr/>
          </w:pPr>
          <w:hyperlink w:anchor="__RefHeading___Toc1936950_1051229030">
            <w:r>
              <w:rPr>
                <w:webHidden/>
                <w:rStyle w:val="IndexLink"/>
                <w:rtl w:val="true"/>
              </w:rPr>
              <w:t>ثالثاً</w:t>
            </w:r>
            <w:r>
              <w:rPr>
                <w:rStyle w:val="IndexLink"/>
                <w:rtl w:val="true"/>
              </w:rPr>
              <w:t xml:space="preserve">: </w:t>
            </w:r>
            <w:r>
              <w:rPr>
                <w:rStyle w:val="IndexLink"/>
                <w:rtl w:val="true"/>
              </w:rPr>
              <w:t>عرفات</w:t>
            </w:r>
            <w:r>
              <w:rPr>
                <w:rStyle w:val="IndexLink"/>
                <w:rtl w:val="true"/>
              </w:rPr>
              <w:tab/>
            </w:r>
            <w:r>
              <w:rPr>
                <w:rStyle w:val="IndexLink"/>
              </w:rPr>
              <w:t>220</w:t>
            </w:r>
          </w:hyperlink>
        </w:p>
        <w:p>
          <w:pPr>
            <w:pStyle w:val="Contents5"/>
            <w:tabs>
              <w:tab w:val="clear" w:pos="7892"/>
              <w:tab w:val="right" w:pos="9026" w:leader="dot"/>
            </w:tabs>
            <w:rPr/>
          </w:pPr>
          <w:hyperlink w:anchor="__RefHeading___Toc1936952_1051229030">
            <w:r>
              <w:rPr>
                <w:webHidden/>
                <w:rStyle w:val="IndexLink"/>
                <w:rtl w:val="true"/>
              </w:rPr>
              <w:t>رابعاً</w:t>
            </w:r>
            <w:r>
              <w:rPr>
                <w:rStyle w:val="IndexLink"/>
                <w:rtl w:val="true"/>
              </w:rPr>
              <w:t xml:space="preserve">: </w:t>
            </w:r>
            <w:r>
              <w:rPr>
                <w:rStyle w:val="IndexLink"/>
                <w:rtl w:val="true"/>
              </w:rPr>
              <w:t>كربلاء المقدّسة</w:t>
            </w:r>
            <w:r>
              <w:rPr>
                <w:rStyle w:val="IndexLink"/>
                <w:rtl w:val="true"/>
              </w:rPr>
              <w:tab/>
            </w:r>
            <w:r>
              <w:rPr>
                <w:rStyle w:val="IndexLink"/>
              </w:rPr>
              <w:t>221</w:t>
            </w:r>
          </w:hyperlink>
        </w:p>
        <w:p>
          <w:pPr>
            <w:pStyle w:val="Contents5"/>
            <w:tabs>
              <w:tab w:val="clear" w:pos="7892"/>
              <w:tab w:val="right" w:pos="9026" w:leader="dot"/>
            </w:tabs>
            <w:rPr/>
          </w:pPr>
          <w:hyperlink w:anchor="__RefHeading___Toc1936954_1051229030">
            <w:r>
              <w:rPr>
                <w:webHidden/>
                <w:rStyle w:val="IndexLink"/>
                <w:rtl w:val="true"/>
              </w:rPr>
              <w:t>معالجة التعارض بين المجموعتين أو ترجيح إحداهما على الأُخرى</w:t>
            </w:r>
            <w:r>
              <w:rPr>
                <w:rStyle w:val="IndexLink"/>
                <w:rtl w:val="true"/>
              </w:rPr>
              <w:tab/>
            </w:r>
            <w:r>
              <w:rPr>
                <w:rStyle w:val="IndexLink"/>
              </w:rPr>
              <w:t>225</w:t>
            </w:r>
          </w:hyperlink>
        </w:p>
        <w:p>
          <w:pPr>
            <w:pStyle w:val="Contents5"/>
            <w:tabs>
              <w:tab w:val="clear" w:pos="7892"/>
              <w:tab w:val="right" w:pos="9026" w:leader="dot"/>
            </w:tabs>
            <w:rPr/>
          </w:pPr>
          <w:hyperlink w:anchor="__RefHeading___Toc1936956_1051229030">
            <w:r>
              <w:rPr>
                <w:webHidden/>
                <w:rStyle w:val="IndexLink"/>
                <w:rtl w:val="true"/>
              </w:rPr>
              <w:t>الإجابة عن السؤال الأوّل</w:t>
            </w:r>
            <w:r>
              <w:rPr>
                <w:rStyle w:val="IndexLink"/>
                <w:rtl w:val="true"/>
              </w:rPr>
              <w:t>:</w:t>
              <w:tab/>
            </w:r>
            <w:r>
              <w:rPr>
                <w:rStyle w:val="IndexLink"/>
              </w:rPr>
              <w:t>226</w:t>
            </w:r>
          </w:hyperlink>
        </w:p>
        <w:p>
          <w:pPr>
            <w:pStyle w:val="Contents5"/>
            <w:tabs>
              <w:tab w:val="clear" w:pos="7892"/>
              <w:tab w:val="right" w:pos="9026" w:leader="dot"/>
            </w:tabs>
            <w:rPr/>
          </w:pPr>
          <w:hyperlink w:anchor="__RefHeading___Toc1936958_1051229030">
            <w:r>
              <w:rPr>
                <w:webHidden/>
                <w:rStyle w:val="IndexLink"/>
                <w:rtl w:val="true"/>
              </w:rPr>
              <w:t>الإجابة عن السؤال الثاني</w:t>
            </w:r>
            <w:r>
              <w:rPr>
                <w:rStyle w:val="IndexLink"/>
                <w:rtl w:val="true"/>
              </w:rPr>
              <w:tab/>
            </w:r>
            <w:r>
              <w:rPr>
                <w:rStyle w:val="IndexLink"/>
              </w:rPr>
              <w:t>232</w:t>
            </w:r>
          </w:hyperlink>
        </w:p>
        <w:p>
          <w:pPr>
            <w:pStyle w:val="Contents5"/>
            <w:tabs>
              <w:tab w:val="clear" w:pos="7892"/>
              <w:tab w:val="right" w:pos="9026" w:leader="dot"/>
            </w:tabs>
            <w:rPr/>
          </w:pPr>
          <w:hyperlink w:anchor="__RefHeading___Toc1936960_1051229030">
            <w:r>
              <w:rPr>
                <w:webHidden/>
                <w:rStyle w:val="IndexLink"/>
                <w:rtl w:val="true"/>
              </w:rPr>
              <w:t>الإجابة عن السؤال الثالث</w:t>
            </w:r>
            <w:r>
              <w:rPr>
                <w:rStyle w:val="IndexLink"/>
                <w:rtl w:val="true"/>
              </w:rPr>
              <w:t>:</w:t>
              <w:tab/>
            </w:r>
            <w:r>
              <w:rPr>
                <w:rStyle w:val="IndexLink"/>
              </w:rPr>
              <w:t>232</w:t>
            </w:r>
          </w:hyperlink>
        </w:p>
        <w:p>
          <w:pPr>
            <w:pStyle w:val="Contents3"/>
            <w:tabs>
              <w:tab w:val="clear" w:pos="8459"/>
              <w:tab w:val="right" w:pos="9026" w:leader="dot"/>
            </w:tabs>
            <w:rPr/>
          </w:pPr>
          <w:hyperlink w:anchor="__RefHeading___Toc1936962_1051229030">
            <w:r>
              <w:rPr>
                <w:webHidden/>
                <w:rStyle w:val="IndexLink"/>
                <w:rtl w:val="true"/>
              </w:rPr>
              <w:t>تَعظِيمُ الشَعَائِرَ الحُسَينِيَّة تَعظِيمٌ لحُرُمَاتِ اللهِ تَعَالى</w:t>
            </w:r>
            <w:r>
              <w:rPr>
                <w:rStyle w:val="IndexLink"/>
                <w:rtl w:val="true"/>
              </w:rPr>
              <w:tab/>
            </w:r>
            <w:r>
              <w:rPr>
                <w:rStyle w:val="IndexLink"/>
              </w:rPr>
              <w:t>236</w:t>
            </w:r>
          </w:hyperlink>
        </w:p>
        <w:p>
          <w:pPr>
            <w:pStyle w:val="Contents4"/>
            <w:tabs>
              <w:tab w:val="clear" w:pos="8176"/>
              <w:tab w:val="right" w:pos="9026" w:leader="dot"/>
            </w:tabs>
            <w:rPr/>
          </w:pPr>
          <w:hyperlink w:anchor="__RefHeading___Toc1936964_1051229030">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1936966_1051229030">
            <w:r>
              <w:rPr>
                <w:webHidden/>
                <w:rStyle w:val="IndexLink"/>
              </w:rPr>
              <w:t>١</w:t>
            </w:r>
            <w:r>
              <w:rPr>
                <w:rStyle w:val="IndexLink"/>
                <w:rtl w:val="true"/>
              </w:rPr>
              <w:t>ـ الحرمات الزمانية</w:t>
            </w:r>
            <w:r>
              <w:rPr>
                <w:rStyle w:val="IndexLink"/>
                <w:rtl w:val="true"/>
              </w:rPr>
              <w:tab/>
            </w:r>
            <w:r>
              <w:rPr>
                <w:rStyle w:val="IndexLink"/>
              </w:rPr>
              <w:t>237</w:t>
            </w:r>
          </w:hyperlink>
        </w:p>
        <w:p>
          <w:pPr>
            <w:pStyle w:val="Contents4"/>
            <w:tabs>
              <w:tab w:val="clear" w:pos="8176"/>
              <w:tab w:val="right" w:pos="9026" w:leader="dot"/>
            </w:tabs>
            <w:rPr/>
          </w:pPr>
          <w:hyperlink w:anchor="__RefHeading___Toc1936968_1051229030">
            <w:r>
              <w:rPr>
                <w:webHidden/>
                <w:rStyle w:val="IndexLink"/>
              </w:rPr>
              <w:t>٢</w:t>
            </w:r>
            <w:r>
              <w:rPr>
                <w:rStyle w:val="IndexLink"/>
                <w:rtl w:val="true"/>
              </w:rPr>
              <w:t>ـ الحرُمات المكانيّة</w:t>
            </w:r>
            <w:r>
              <w:rPr>
                <w:rStyle w:val="IndexLink"/>
                <w:rtl w:val="true"/>
              </w:rPr>
              <w:tab/>
            </w:r>
            <w:r>
              <w:rPr>
                <w:rStyle w:val="IndexLink"/>
              </w:rPr>
              <w:t>237</w:t>
            </w:r>
          </w:hyperlink>
        </w:p>
        <w:p>
          <w:pPr>
            <w:pStyle w:val="Contents4"/>
            <w:tabs>
              <w:tab w:val="clear" w:pos="8176"/>
              <w:tab w:val="right" w:pos="9026" w:leader="dot"/>
            </w:tabs>
            <w:rPr/>
          </w:pPr>
          <w:hyperlink w:anchor="__RefHeading___Toc1936970_1051229030">
            <w:r>
              <w:rPr>
                <w:webHidden/>
                <w:rStyle w:val="IndexLink"/>
              </w:rPr>
              <w:t>٣</w:t>
            </w:r>
            <w:r>
              <w:rPr>
                <w:rStyle w:val="IndexLink"/>
                <w:rtl w:val="true"/>
              </w:rPr>
              <w:t>ـ الحرمات الشعائريّة</w:t>
            </w:r>
            <w:r>
              <w:rPr>
                <w:rStyle w:val="IndexLink"/>
                <w:rtl w:val="true"/>
              </w:rPr>
              <w:tab/>
            </w:r>
            <w:r>
              <w:rPr>
                <w:rStyle w:val="IndexLink"/>
              </w:rPr>
              <w:t>238</w:t>
            </w:r>
          </w:hyperlink>
        </w:p>
        <w:p>
          <w:pPr>
            <w:pStyle w:val="Contents4"/>
            <w:tabs>
              <w:tab w:val="clear" w:pos="8176"/>
              <w:tab w:val="right" w:pos="9026" w:leader="dot"/>
            </w:tabs>
            <w:rPr/>
          </w:pPr>
          <w:hyperlink w:anchor="__RefHeading___Toc1936972_1051229030">
            <w:r>
              <w:rPr>
                <w:webHidden/>
                <w:rStyle w:val="IndexLink"/>
              </w:rPr>
              <w:t>٤</w:t>
            </w:r>
            <w:r>
              <w:rPr>
                <w:rStyle w:val="IndexLink"/>
                <w:rtl w:val="true"/>
              </w:rPr>
              <w:t>ـ الحرمات البشريّة</w:t>
            </w:r>
            <w:r>
              <w:rPr>
                <w:rStyle w:val="IndexLink"/>
                <w:rtl w:val="true"/>
              </w:rPr>
              <w:tab/>
            </w:r>
            <w:r>
              <w:rPr>
                <w:rStyle w:val="IndexLink"/>
              </w:rPr>
              <w:t>238</w:t>
            </w:r>
          </w:hyperlink>
        </w:p>
        <w:p>
          <w:pPr>
            <w:pStyle w:val="Contents4"/>
            <w:tabs>
              <w:tab w:val="clear" w:pos="8176"/>
              <w:tab w:val="right" w:pos="9026" w:leader="dot"/>
            </w:tabs>
            <w:rPr/>
          </w:pPr>
          <w:hyperlink w:anchor="__RefHeading___Toc1936974_1051229030">
            <w:r>
              <w:rPr>
                <w:webHidden/>
                <w:rStyle w:val="IndexLink"/>
              </w:rPr>
              <w:t>١</w:t>
            </w:r>
            <w:r>
              <w:rPr>
                <w:rStyle w:val="IndexLink"/>
                <w:rtl w:val="true"/>
              </w:rPr>
              <w:t>ـ تعظيم أهل البيت علیهم السلام من خلال إحياء أمرهم</w:t>
            </w:r>
            <w:r>
              <w:rPr>
                <w:rStyle w:val="IndexLink"/>
                <w:rtl w:val="true"/>
              </w:rPr>
              <w:tab/>
            </w:r>
            <w:r>
              <w:rPr>
                <w:rStyle w:val="IndexLink"/>
              </w:rPr>
              <w:t>241</w:t>
            </w:r>
          </w:hyperlink>
        </w:p>
        <w:p>
          <w:pPr>
            <w:pStyle w:val="Contents4"/>
            <w:tabs>
              <w:tab w:val="clear" w:pos="8176"/>
              <w:tab w:val="right" w:pos="9026" w:leader="dot"/>
            </w:tabs>
            <w:rPr/>
          </w:pPr>
          <w:hyperlink w:anchor="__RefHeading___Toc1936976_1051229030">
            <w:r>
              <w:rPr>
                <w:webHidden/>
                <w:rStyle w:val="IndexLink"/>
              </w:rPr>
              <w:t>٢</w:t>
            </w:r>
            <w:r>
              <w:rPr>
                <w:rStyle w:val="IndexLink"/>
                <w:rtl w:val="true"/>
              </w:rPr>
              <w:t>ـ تعظيمهم علیهم السلام باتّباعهم وحمل أهدافهم</w:t>
            </w:r>
            <w:r>
              <w:rPr>
                <w:rStyle w:val="IndexLink"/>
                <w:rtl w:val="true"/>
              </w:rPr>
              <w:tab/>
            </w:r>
            <w:r>
              <w:rPr>
                <w:rStyle w:val="IndexLink"/>
              </w:rPr>
              <w:t>241</w:t>
            </w:r>
          </w:hyperlink>
        </w:p>
        <w:p>
          <w:pPr>
            <w:pStyle w:val="Contents4"/>
            <w:tabs>
              <w:tab w:val="clear" w:pos="8176"/>
              <w:tab w:val="right" w:pos="9026" w:leader="dot"/>
            </w:tabs>
            <w:rPr/>
          </w:pPr>
          <w:hyperlink w:anchor="__RefHeading___Toc1936978_1051229030">
            <w:r>
              <w:rPr>
                <w:webHidden/>
                <w:rStyle w:val="IndexLink"/>
              </w:rPr>
              <w:t>٣</w:t>
            </w:r>
            <w:r>
              <w:rPr>
                <w:rStyle w:val="IndexLink"/>
                <w:rtl w:val="true"/>
              </w:rPr>
              <w:t>ـ التعظيم بزيارتهم علیهم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936980_1051229030">
            <w:r>
              <w:rPr>
                <w:webHidden/>
                <w:rStyle w:val="IndexLink"/>
              </w:rPr>
              <w:t>٤</w:t>
            </w:r>
            <w:r>
              <w:rPr>
                <w:rStyle w:val="IndexLink"/>
                <w:rtl w:val="true"/>
              </w:rPr>
              <w:t>ـ التعظيم بالفرح لفرحهم والحزن لحزنهم علیهم السلام</w:t>
            </w:r>
            <w:r>
              <w:rPr>
                <w:rStyle w:val="IndexLink"/>
                <w:rtl w:val="true"/>
              </w:rPr>
              <w:tab/>
            </w:r>
            <w:r>
              <w:rPr>
                <w:rStyle w:val="IndexLink"/>
              </w:rPr>
              <w:t>242</w:t>
            </w:r>
          </w:hyperlink>
        </w:p>
        <w:p>
          <w:pPr>
            <w:pStyle w:val="Contents4"/>
            <w:tabs>
              <w:tab w:val="clear" w:pos="8176"/>
              <w:tab w:val="right" w:pos="9026" w:leader="dot"/>
            </w:tabs>
            <w:rPr/>
          </w:pPr>
          <w:hyperlink w:anchor="__RefHeading___Toc1936982_1051229030">
            <w:r>
              <w:rPr>
                <w:webHidden/>
                <w:rStyle w:val="IndexLink"/>
                <w:rtl w:val="true"/>
              </w:rPr>
              <w:t>الأدلّة على مشروعيّة الشعائر الحسينيّة</w:t>
            </w:r>
            <w:r>
              <w:rPr>
                <w:rStyle w:val="IndexLink"/>
                <w:rtl w:val="true"/>
              </w:rPr>
              <w:tab/>
            </w:r>
            <w:r>
              <w:rPr>
                <w:rStyle w:val="IndexLink"/>
              </w:rPr>
              <w:t>243</w:t>
            </w:r>
          </w:hyperlink>
        </w:p>
        <w:p>
          <w:pPr>
            <w:pStyle w:val="Contents5"/>
            <w:tabs>
              <w:tab w:val="clear" w:pos="7892"/>
              <w:tab w:val="right" w:pos="9026" w:leader="dot"/>
            </w:tabs>
            <w:rPr/>
          </w:pPr>
          <w:hyperlink w:anchor="__RefHeading___Toc1936984_1051229030">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936986_1051229030">
            <w:r>
              <w:rPr>
                <w:webHidden/>
                <w:rStyle w:val="IndexLink"/>
                <w:rtl w:val="true"/>
              </w:rPr>
              <w:t>الدليل الأوّل</w:t>
            </w:r>
            <w:r>
              <w:rPr>
                <w:rStyle w:val="IndexLink"/>
                <w:rtl w:val="true"/>
              </w:rPr>
              <w:t xml:space="preserve">: </w:t>
            </w:r>
            <w:r>
              <w:rPr>
                <w:rStyle w:val="IndexLink"/>
                <w:rtl w:val="true"/>
              </w:rPr>
              <w:t>من الكتاب العزيز</w:t>
            </w:r>
            <w:r>
              <w:rPr>
                <w:rStyle w:val="IndexLink"/>
                <w:rtl w:val="true"/>
              </w:rPr>
              <w:tab/>
            </w:r>
            <w:r>
              <w:rPr>
                <w:rStyle w:val="IndexLink"/>
              </w:rPr>
              <w:t>243</w:t>
            </w:r>
          </w:hyperlink>
        </w:p>
        <w:p>
          <w:pPr>
            <w:pStyle w:val="Contents5"/>
            <w:tabs>
              <w:tab w:val="clear" w:pos="7892"/>
              <w:tab w:val="right" w:pos="9026" w:leader="dot"/>
            </w:tabs>
            <w:rPr/>
          </w:pPr>
          <w:hyperlink w:anchor="__RefHeading___Toc1936988_1051229030">
            <w:r>
              <w:rPr>
                <w:webHidden/>
                <w:rStyle w:val="IndexLink"/>
                <w:rtl w:val="true"/>
              </w:rPr>
              <w:t>الدليل الثاني</w:t>
            </w:r>
            <w:r>
              <w:rPr>
                <w:rStyle w:val="IndexLink"/>
                <w:rtl w:val="true"/>
              </w:rPr>
              <w:t xml:space="preserve">: </w:t>
            </w:r>
            <w:r>
              <w:rPr>
                <w:rStyle w:val="IndexLink"/>
                <w:rtl w:val="true"/>
              </w:rPr>
              <w:t>من السنّة الشريفة</w:t>
            </w:r>
            <w:r>
              <w:rPr>
                <w:rStyle w:val="IndexLink"/>
                <w:rtl w:val="true"/>
              </w:rPr>
              <w:tab/>
            </w:r>
            <w:r>
              <w:rPr>
                <w:rStyle w:val="IndexLink"/>
              </w:rPr>
              <w:t>244</w:t>
            </w:r>
          </w:hyperlink>
        </w:p>
        <w:p>
          <w:pPr>
            <w:pStyle w:val="Contents6"/>
            <w:tabs>
              <w:tab w:val="clear" w:pos="7609"/>
              <w:tab w:val="right" w:pos="9026" w:leader="dot"/>
            </w:tabs>
            <w:rPr/>
          </w:pPr>
          <w:hyperlink w:anchor="__RefHeading___Toc1936990_1051229030">
            <w:r>
              <w:rPr>
                <w:webHidden/>
                <w:rStyle w:val="IndexLink"/>
                <w:rtl w:val="true"/>
              </w:rPr>
              <w:t>اشارة</w:t>
            </w:r>
            <w:r>
              <w:rPr>
                <w:rStyle w:val="IndexLink"/>
                <w:rtl w:val="true"/>
              </w:rPr>
              <w:tab/>
            </w:r>
            <w:r>
              <w:rPr>
                <w:rStyle w:val="IndexLink"/>
              </w:rPr>
              <w:t>244</w:t>
            </w:r>
          </w:hyperlink>
        </w:p>
        <w:p>
          <w:pPr>
            <w:pStyle w:val="Contents6"/>
            <w:tabs>
              <w:tab w:val="clear" w:pos="7609"/>
              <w:tab w:val="right" w:pos="9026" w:leader="dot"/>
            </w:tabs>
            <w:rPr/>
          </w:pPr>
          <w:hyperlink w:anchor="__RefHeading___Toc1936992_1051229030">
            <w:r>
              <w:rPr>
                <w:webHidden/>
                <w:rStyle w:val="IndexLink"/>
                <w:rtl w:val="true"/>
              </w:rPr>
              <w:t>أولاً</w:t>
            </w:r>
            <w:r>
              <w:rPr>
                <w:rStyle w:val="IndexLink"/>
                <w:rtl w:val="true"/>
              </w:rPr>
              <w:t xml:space="preserve">: </w:t>
            </w:r>
            <w:r>
              <w:rPr>
                <w:rStyle w:val="IndexLink"/>
                <w:rtl w:val="true"/>
              </w:rPr>
              <w:t>شعيرة البكاء</w:t>
            </w:r>
            <w:r>
              <w:rPr>
                <w:rStyle w:val="IndexLink"/>
                <w:rtl w:val="true"/>
              </w:rPr>
              <w:tab/>
            </w:r>
            <w:r>
              <w:rPr>
                <w:rStyle w:val="IndexLink"/>
              </w:rPr>
              <w:t>244</w:t>
            </w:r>
          </w:hyperlink>
        </w:p>
        <w:p>
          <w:pPr>
            <w:pStyle w:val="Contents6"/>
            <w:tabs>
              <w:tab w:val="clear" w:pos="7609"/>
              <w:tab w:val="right" w:pos="9026" w:leader="dot"/>
            </w:tabs>
            <w:rPr/>
          </w:pPr>
          <w:hyperlink w:anchor="__RefHeading___Toc1936994_1051229030">
            <w:r>
              <w:rPr>
                <w:webHidden/>
                <w:rStyle w:val="IndexLink"/>
                <w:rtl w:val="true"/>
              </w:rPr>
              <w:t>ثانياً</w:t>
            </w:r>
            <w:r>
              <w:rPr>
                <w:rStyle w:val="IndexLink"/>
                <w:rtl w:val="true"/>
              </w:rPr>
              <w:t xml:space="preserve">: </w:t>
            </w:r>
            <w:r>
              <w:rPr>
                <w:rStyle w:val="IndexLink"/>
                <w:rtl w:val="true"/>
              </w:rPr>
              <w:t>لبس السواد</w:t>
            </w:r>
            <w:r>
              <w:rPr>
                <w:rStyle w:val="IndexLink"/>
                <w:rtl w:val="true"/>
              </w:rPr>
              <w:tab/>
            </w:r>
            <w:r>
              <w:rPr>
                <w:rStyle w:val="IndexLink"/>
              </w:rPr>
              <w:t>245</w:t>
            </w:r>
          </w:hyperlink>
        </w:p>
        <w:p>
          <w:pPr>
            <w:pStyle w:val="Contents6"/>
            <w:tabs>
              <w:tab w:val="clear" w:pos="7609"/>
              <w:tab w:val="right" w:pos="9026" w:leader="dot"/>
            </w:tabs>
            <w:rPr/>
          </w:pPr>
          <w:hyperlink w:anchor="__RefHeading___Toc1936996_1051229030">
            <w:r>
              <w:rPr>
                <w:webHidden/>
                <w:rStyle w:val="IndexLink"/>
                <w:rtl w:val="true"/>
              </w:rPr>
              <w:t>ثالثاً</w:t>
            </w:r>
            <w:r>
              <w:rPr>
                <w:rStyle w:val="IndexLink"/>
                <w:rtl w:val="true"/>
              </w:rPr>
              <w:t xml:space="preserve">: </w:t>
            </w:r>
            <w:r>
              <w:rPr>
                <w:rStyle w:val="IndexLink"/>
                <w:rtl w:val="true"/>
              </w:rPr>
              <w:t>إقامة مجالس العزاء بما تتضمّنها من المراثي وبذلٍ للمال</w:t>
            </w:r>
            <w:r>
              <w:rPr>
                <w:rStyle w:val="IndexLink"/>
                <w:rtl w:val="true"/>
              </w:rPr>
              <w:tab/>
            </w:r>
            <w:r>
              <w:rPr>
                <w:rStyle w:val="IndexLink"/>
              </w:rPr>
              <w:t>246</w:t>
            </w:r>
          </w:hyperlink>
        </w:p>
        <w:p>
          <w:pPr>
            <w:pStyle w:val="Contents6"/>
            <w:tabs>
              <w:tab w:val="clear" w:pos="7609"/>
              <w:tab w:val="right" w:pos="9026" w:leader="dot"/>
            </w:tabs>
            <w:rPr/>
          </w:pPr>
          <w:hyperlink w:anchor="__RefHeading___Toc1936998_1051229030">
            <w:r>
              <w:rPr>
                <w:webHidden/>
                <w:rStyle w:val="IndexLink"/>
                <w:rtl w:val="true"/>
              </w:rPr>
              <w:t>رابعاً</w:t>
            </w:r>
            <w:r>
              <w:rPr>
                <w:rStyle w:val="IndexLink"/>
                <w:rtl w:val="true"/>
              </w:rPr>
              <w:t xml:space="preserve">: </w:t>
            </w:r>
            <w:r>
              <w:rPr>
                <w:rStyle w:val="IndexLink"/>
                <w:rtl w:val="true"/>
              </w:rPr>
              <w:t>اللطم</w:t>
            </w:r>
            <w:r>
              <w:rPr>
                <w:rStyle w:val="IndexLink"/>
                <w:rtl w:val="true"/>
              </w:rPr>
              <w:tab/>
            </w:r>
            <w:r>
              <w:rPr>
                <w:rStyle w:val="IndexLink"/>
              </w:rPr>
              <w:t>247</w:t>
            </w:r>
          </w:hyperlink>
        </w:p>
        <w:p>
          <w:pPr>
            <w:pStyle w:val="Contents6"/>
            <w:tabs>
              <w:tab w:val="clear" w:pos="7609"/>
              <w:tab w:val="right" w:pos="9026" w:leader="dot"/>
            </w:tabs>
            <w:rPr/>
          </w:pPr>
          <w:hyperlink w:anchor="__RefHeading___Toc1937000_1051229030">
            <w:r>
              <w:rPr>
                <w:webHidden/>
                <w:rStyle w:val="IndexLink"/>
                <w:rtl w:val="true"/>
              </w:rPr>
              <w:t>خامساً</w:t>
            </w:r>
            <w:r>
              <w:rPr>
                <w:rStyle w:val="IndexLink"/>
                <w:rtl w:val="true"/>
              </w:rPr>
              <w:t xml:space="preserve">: </w:t>
            </w:r>
            <w:r>
              <w:rPr>
                <w:rStyle w:val="IndexLink"/>
                <w:rtl w:val="true"/>
              </w:rPr>
              <w:t>مراسم الشبيه</w:t>
            </w:r>
            <w:r>
              <w:rPr>
                <w:rStyle w:val="IndexLink"/>
                <w:rtl w:val="true"/>
              </w:rPr>
              <w:tab/>
            </w:r>
            <w:r>
              <w:rPr>
                <w:rStyle w:val="IndexLink"/>
              </w:rPr>
              <w:t>248</w:t>
            </w:r>
          </w:hyperlink>
        </w:p>
        <w:p>
          <w:pPr>
            <w:pStyle w:val="Contents5"/>
            <w:tabs>
              <w:tab w:val="clear" w:pos="7892"/>
              <w:tab w:val="right" w:pos="9026" w:leader="dot"/>
            </w:tabs>
            <w:rPr/>
          </w:pPr>
          <w:hyperlink w:anchor="__RefHeading___Toc1937002_1051229030">
            <w:r>
              <w:rPr>
                <w:webHidden/>
                <w:rStyle w:val="IndexLink"/>
                <w:rtl w:val="true"/>
              </w:rPr>
              <w:t>الدليل الثالث</w:t>
            </w:r>
            <w:r>
              <w:rPr>
                <w:rStyle w:val="IndexLink"/>
                <w:rtl w:val="true"/>
              </w:rPr>
              <w:t xml:space="preserve">: </w:t>
            </w:r>
            <w:r>
              <w:rPr>
                <w:rStyle w:val="IndexLink"/>
                <w:rtl w:val="true"/>
              </w:rPr>
              <w:t>الشواهد العامّة</w:t>
            </w:r>
            <w:r>
              <w:rPr>
                <w:rStyle w:val="IndexLink"/>
                <w:rtl w:val="true"/>
              </w:rPr>
              <w:tab/>
            </w:r>
            <w:r>
              <w:rPr>
                <w:rStyle w:val="IndexLink"/>
              </w:rPr>
              <w:t>248</w:t>
            </w:r>
          </w:hyperlink>
        </w:p>
        <w:p>
          <w:pPr>
            <w:pStyle w:val="Contents6"/>
            <w:tabs>
              <w:tab w:val="clear" w:pos="7609"/>
              <w:tab w:val="right" w:pos="9026" w:leader="dot"/>
            </w:tabs>
            <w:rPr/>
          </w:pPr>
          <w:hyperlink w:anchor="__RefHeading___Toc1937004_1051229030">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1937006_1051229030">
            <w:r>
              <w:rPr>
                <w:webHidden/>
                <w:rStyle w:val="IndexLink"/>
              </w:rPr>
              <w:t>١</w:t>
            </w:r>
            <w:r>
              <w:rPr>
                <w:rStyle w:val="IndexLink"/>
                <w:rtl w:val="true"/>
              </w:rPr>
              <w:t>ـ أصالة الإباحة حال الشكّ في الحرمة</w:t>
            </w:r>
            <w:r>
              <w:rPr>
                <w:rStyle w:val="IndexLink"/>
                <w:rtl w:val="true"/>
              </w:rPr>
              <w:tab/>
            </w:r>
            <w:r>
              <w:rPr>
                <w:rStyle w:val="IndexLink"/>
              </w:rPr>
              <w:t>248</w:t>
            </w:r>
          </w:hyperlink>
        </w:p>
        <w:p>
          <w:pPr>
            <w:pStyle w:val="Contents6"/>
            <w:tabs>
              <w:tab w:val="clear" w:pos="7609"/>
              <w:tab w:val="right" w:pos="9026" w:leader="dot"/>
            </w:tabs>
            <w:rPr/>
          </w:pPr>
          <w:hyperlink w:anchor="__RefHeading___Toc1937008_1051229030">
            <w:r>
              <w:rPr>
                <w:webHidden/>
                <w:rStyle w:val="IndexLink"/>
              </w:rPr>
              <w:t>٢</w:t>
            </w:r>
            <w:r>
              <w:rPr>
                <w:rStyle w:val="IndexLink"/>
                <w:rtl w:val="true"/>
              </w:rPr>
              <w:t>ـ الشعائر الحسينيّة مواساة لسيد الشهداء ولأهل البيت علیهم السلام</w:t>
            </w:r>
            <w:r>
              <w:rPr>
                <w:rStyle w:val="IndexLink"/>
                <w:rtl w:val="true"/>
              </w:rPr>
              <w:tab/>
            </w:r>
            <w:r>
              <w:rPr>
                <w:rStyle w:val="IndexLink"/>
              </w:rPr>
              <w:t>249</w:t>
            </w:r>
          </w:hyperlink>
        </w:p>
        <w:p>
          <w:pPr>
            <w:pStyle w:val="Contents6"/>
            <w:tabs>
              <w:tab w:val="clear" w:pos="7609"/>
              <w:tab w:val="right" w:pos="9026" w:leader="dot"/>
            </w:tabs>
            <w:rPr/>
          </w:pPr>
          <w:hyperlink w:anchor="__RefHeading___Toc1937010_1051229030">
            <w:r>
              <w:rPr>
                <w:webHidden/>
                <w:rStyle w:val="IndexLink"/>
              </w:rPr>
              <w:t>٣</w:t>
            </w:r>
            <w:r>
              <w:rPr>
                <w:rStyle w:val="IndexLink"/>
                <w:rtl w:val="true"/>
              </w:rPr>
              <w:t>ـ إحياء الشعائر الحسينيّة لإظهار الجزع على مصيبة الحسين علیه السلام</w:t>
            </w:r>
            <w:r>
              <w:rPr>
                <w:rStyle w:val="IndexLink"/>
                <w:rtl w:val="true"/>
              </w:rPr>
              <w:tab/>
            </w:r>
            <w:r>
              <w:rPr>
                <w:rStyle w:val="IndexLink"/>
              </w:rPr>
              <w:t>253</w:t>
            </w:r>
          </w:hyperlink>
        </w:p>
        <w:p>
          <w:pPr>
            <w:pStyle w:val="Contents6"/>
            <w:tabs>
              <w:tab w:val="clear" w:pos="7609"/>
              <w:tab w:val="right" w:pos="9026" w:leader="dot"/>
            </w:tabs>
            <w:rPr/>
          </w:pPr>
          <w:hyperlink w:anchor="__RefHeading___Toc1937012_1051229030">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937014_1051229030">
            <w:r>
              <w:rPr>
                <w:webHidden/>
                <w:rStyle w:val="IndexLink"/>
                <w:rtl w:val="true"/>
              </w:rPr>
              <w:t>أ</w:t>
            </w:r>
            <w:r>
              <w:rPr>
                <w:rStyle w:val="IndexLink"/>
                <w:rtl w:val="true"/>
              </w:rPr>
              <w:t xml:space="preserve">) </w:t>
            </w:r>
            <w:r>
              <w:rPr>
                <w:rStyle w:val="IndexLink"/>
                <w:rtl w:val="true"/>
              </w:rPr>
              <w:t>الآيات القرآنية التي بيّنت جزع نبي الله يعقوب على ولده يوسف</w:t>
            </w:r>
            <w:r>
              <w:rPr>
                <w:rStyle w:val="IndexLink"/>
                <w:rtl w:val="true"/>
              </w:rPr>
              <w:tab/>
            </w:r>
            <w:r>
              <w:rPr>
                <w:rStyle w:val="IndexLink"/>
              </w:rPr>
              <w:t>253</w:t>
            </w:r>
          </w:hyperlink>
        </w:p>
        <w:p>
          <w:pPr>
            <w:pStyle w:val="Contents6"/>
            <w:tabs>
              <w:tab w:val="clear" w:pos="7609"/>
              <w:tab w:val="right" w:pos="9026" w:leader="dot"/>
            </w:tabs>
            <w:rPr/>
          </w:pPr>
          <w:hyperlink w:anchor="__RefHeading___Toc1937016_1051229030">
            <w:r>
              <w:rPr>
                <w:webHidden/>
                <w:rStyle w:val="IndexLink"/>
                <w:rtl w:val="true"/>
              </w:rPr>
              <w:t>ب</w:t>
            </w:r>
            <w:r>
              <w:rPr>
                <w:rStyle w:val="IndexLink"/>
                <w:rtl w:val="true"/>
              </w:rPr>
              <w:t xml:space="preserve">) </w:t>
            </w:r>
            <w:r>
              <w:rPr>
                <w:rStyle w:val="IndexLink"/>
                <w:rtl w:val="true"/>
              </w:rPr>
              <w:t>الروايات الدالّة على جواز الجزع على الحسين علیه السلام</w:t>
            </w:r>
            <w:r>
              <w:rPr>
                <w:rStyle w:val="IndexLink"/>
                <w:rtl w:val="true"/>
              </w:rPr>
              <w:tab/>
            </w:r>
            <w:r>
              <w:rPr>
                <w:rStyle w:val="IndexLink"/>
              </w:rPr>
              <w:t>254</w:t>
            </w:r>
          </w:hyperlink>
        </w:p>
        <w:p>
          <w:pPr>
            <w:pStyle w:val="Contents6"/>
            <w:tabs>
              <w:tab w:val="clear" w:pos="7609"/>
              <w:tab w:val="right" w:pos="9026" w:leader="dot"/>
            </w:tabs>
            <w:rPr/>
          </w:pPr>
          <w:hyperlink w:anchor="__RefHeading___Toc1937018_1051229030">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937020_1051229030">
            <w:r>
              <w:rPr>
                <w:webHidden/>
                <w:rStyle w:val="IndexLink"/>
              </w:rPr>
              <w:t>١</w:t>
            </w:r>
            <w:r>
              <w:rPr>
                <w:rStyle w:val="IndexLink"/>
                <w:rtl w:val="true"/>
              </w:rPr>
              <w:t>ـ لكلّ قاعدة استثناء</w:t>
            </w:r>
            <w:r>
              <w:rPr>
                <w:rStyle w:val="IndexLink"/>
                <w:rtl w:val="true"/>
              </w:rPr>
              <w:tab/>
            </w:r>
            <w:r>
              <w:rPr>
                <w:rStyle w:val="IndexLink"/>
              </w:rPr>
              <w:t>255</w:t>
            </w:r>
          </w:hyperlink>
        </w:p>
        <w:p>
          <w:pPr>
            <w:pStyle w:val="Contents6"/>
            <w:tabs>
              <w:tab w:val="clear" w:pos="7609"/>
              <w:tab w:val="right" w:pos="9026" w:leader="dot"/>
            </w:tabs>
            <w:rPr/>
          </w:pPr>
          <w:hyperlink w:anchor="__RefHeading___Toc1937022_1051229030">
            <w:r>
              <w:rPr>
                <w:webHidden/>
                <w:rStyle w:val="IndexLink"/>
              </w:rPr>
              <w:t>٢</w:t>
            </w:r>
            <w:r>
              <w:rPr>
                <w:rStyle w:val="IndexLink"/>
                <w:rtl w:val="true"/>
              </w:rPr>
              <w:t>ـ اختلاف الأحكام بحسب عناوينها</w:t>
            </w:r>
            <w:r>
              <w:rPr>
                <w:rStyle w:val="IndexLink"/>
                <w:rtl w:val="true"/>
              </w:rPr>
              <w:tab/>
            </w:r>
            <w:r>
              <w:rPr>
                <w:rStyle w:val="IndexLink"/>
              </w:rPr>
              <w:t>255</w:t>
            </w:r>
          </w:hyperlink>
        </w:p>
        <w:p>
          <w:pPr>
            <w:pStyle w:val="Contents4"/>
            <w:tabs>
              <w:tab w:val="clear" w:pos="8176"/>
              <w:tab w:val="right" w:pos="9026" w:leader="dot"/>
            </w:tabs>
            <w:rPr/>
          </w:pPr>
          <w:hyperlink w:anchor="__RefHeading___Toc1937024_1051229030">
            <w:r>
              <w:rPr>
                <w:webHidden/>
                <w:rStyle w:val="IndexLink"/>
                <w:rtl w:val="true"/>
              </w:rPr>
              <w:t>خلاصة البحث</w:t>
            </w:r>
            <w:r>
              <w:rPr>
                <w:rStyle w:val="IndexLink"/>
                <w:rtl w:val="true"/>
              </w:rPr>
              <w:t>:</w:t>
              <w:tab/>
            </w:r>
            <w:r>
              <w:rPr>
                <w:rStyle w:val="IndexLink"/>
              </w:rPr>
              <w:t>256</w:t>
            </w:r>
          </w:hyperlink>
        </w:p>
        <w:p>
          <w:pPr>
            <w:pStyle w:val="Contents3"/>
            <w:tabs>
              <w:tab w:val="clear" w:pos="8459"/>
              <w:tab w:val="right" w:pos="9026" w:leader="dot"/>
            </w:tabs>
            <w:rPr/>
          </w:pPr>
          <w:hyperlink w:anchor="__RefHeading___Toc1937026_1051229030">
            <w:r>
              <w:rPr>
                <w:webHidden/>
                <w:rStyle w:val="IndexLink"/>
                <w:rtl w:val="true"/>
              </w:rPr>
              <w:t>مَشيُ النِسَاءِ إلى كَربلاءقِراءَةً في الأدلة وَالنُصُوص الشَّرعِيَّة</w:t>
            </w:r>
            <w:r>
              <w:rPr>
                <w:rStyle w:val="IndexLink"/>
                <w:rtl w:val="true"/>
              </w:rPr>
              <w:tab/>
            </w:r>
            <w:r>
              <w:rPr>
                <w:rStyle w:val="IndexLink"/>
              </w:rPr>
              <w:t>258</w:t>
            </w:r>
          </w:hyperlink>
        </w:p>
        <w:p>
          <w:pPr>
            <w:pStyle w:val="Contents4"/>
            <w:tabs>
              <w:tab w:val="clear" w:pos="8176"/>
              <w:tab w:val="right" w:pos="9026" w:leader="dot"/>
            </w:tabs>
            <w:rPr/>
          </w:pPr>
          <w:hyperlink w:anchor="__RefHeading___Toc1937028_1051229030">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1937030_1051229030">
            <w:r>
              <w:rPr>
                <w:webHidden/>
                <w:rStyle w:val="IndexLink"/>
                <w:rtl w:val="true"/>
              </w:rPr>
              <w:t>توطئة</w:t>
            </w:r>
            <w:r>
              <w:rPr>
                <w:rStyle w:val="IndexLink"/>
                <w:rtl w:val="true"/>
              </w:rPr>
              <w:tab/>
            </w:r>
            <w:r>
              <w:rPr>
                <w:rStyle w:val="IndexLink"/>
              </w:rPr>
              <w:t>258</w:t>
            </w:r>
          </w:hyperlink>
        </w:p>
        <w:p>
          <w:pPr>
            <w:pStyle w:val="Contents4"/>
            <w:tabs>
              <w:tab w:val="clear" w:pos="8176"/>
              <w:tab w:val="right" w:pos="9026" w:leader="dot"/>
            </w:tabs>
            <w:rPr/>
          </w:pPr>
          <w:hyperlink w:anchor="__RefHeading___Toc1937032_1051229030">
            <w:r>
              <w:rPr>
                <w:webHidden/>
                <w:rStyle w:val="IndexLink"/>
                <w:rtl w:val="true"/>
              </w:rPr>
              <w:t>تنويع البحث</w:t>
            </w:r>
            <w:r>
              <w:rPr>
                <w:rStyle w:val="IndexLink"/>
                <w:rtl w:val="true"/>
              </w:rPr>
              <w:tab/>
            </w:r>
            <w:r>
              <w:rPr>
                <w:rStyle w:val="IndexLink"/>
              </w:rPr>
              <w:t>259</w:t>
            </w:r>
          </w:hyperlink>
        </w:p>
        <w:p>
          <w:pPr>
            <w:pStyle w:val="Contents4"/>
            <w:tabs>
              <w:tab w:val="clear" w:pos="8176"/>
              <w:tab w:val="right" w:pos="9026" w:leader="dot"/>
            </w:tabs>
            <w:rPr/>
          </w:pPr>
          <w:hyperlink w:anchor="__RefHeading___Toc1937034_1051229030">
            <w:r>
              <w:rPr>
                <w:webHidden/>
                <w:rStyle w:val="IndexLink"/>
                <w:rtl w:val="true"/>
              </w:rPr>
              <w:t>المشي لغة</w:t>
            </w:r>
            <w:r>
              <w:rPr>
                <w:rStyle w:val="IndexLink"/>
                <w:rtl w:val="true"/>
              </w:rPr>
              <w:tab/>
            </w:r>
            <w:r>
              <w:rPr>
                <w:rStyle w:val="IndexLink"/>
              </w:rPr>
              <w:t>260</w:t>
            </w:r>
          </w:hyperlink>
        </w:p>
        <w:p>
          <w:pPr>
            <w:pStyle w:val="Contents4"/>
            <w:tabs>
              <w:tab w:val="clear" w:pos="8176"/>
              <w:tab w:val="right" w:pos="9026" w:leader="dot"/>
            </w:tabs>
            <w:rPr/>
          </w:pPr>
          <w:hyperlink w:anchor="__RefHeading___Toc1937036_1051229030">
            <w:r>
              <w:rPr>
                <w:webHidden/>
                <w:rStyle w:val="IndexLink"/>
                <w:rtl w:val="true"/>
              </w:rPr>
              <w:t>الحكم الشرعي واستحقاق الثواب عند بذل الجهد</w:t>
            </w:r>
            <w:r>
              <w:rPr>
                <w:rStyle w:val="IndexLink"/>
                <w:rtl w:val="true"/>
              </w:rPr>
              <w:tab/>
            </w:r>
            <w:r>
              <w:rPr>
                <w:rStyle w:val="IndexLink"/>
              </w:rPr>
              <w:t>260</w:t>
            </w:r>
          </w:hyperlink>
        </w:p>
        <w:p>
          <w:pPr>
            <w:pStyle w:val="Contents4"/>
            <w:tabs>
              <w:tab w:val="clear" w:pos="8176"/>
              <w:tab w:val="right" w:pos="9026" w:leader="dot"/>
            </w:tabs>
            <w:rPr/>
          </w:pPr>
          <w:hyperlink w:anchor="__RefHeading___Toc1937038_1051229030">
            <w:r>
              <w:rPr>
                <w:webHidden/>
                <w:rStyle w:val="IndexLink"/>
                <w:rtl w:val="true"/>
              </w:rPr>
              <w:t>حرص المسلمين على أحمز الأعمال</w:t>
            </w:r>
            <w:r>
              <w:rPr>
                <w:rStyle w:val="IndexLink"/>
                <w:rtl w:val="true"/>
              </w:rPr>
              <w:tab/>
            </w:r>
            <w:r>
              <w:rPr>
                <w:rStyle w:val="IndexLink"/>
              </w:rPr>
              <w:t>261</w:t>
            </w:r>
          </w:hyperlink>
        </w:p>
        <w:p>
          <w:pPr>
            <w:pStyle w:val="Contents4"/>
            <w:tabs>
              <w:tab w:val="clear" w:pos="8176"/>
              <w:tab w:val="right" w:pos="9026" w:leader="dot"/>
            </w:tabs>
            <w:rPr/>
          </w:pPr>
          <w:hyperlink w:anchor="__RefHeading___Toc1937040_1051229030">
            <w:r>
              <w:rPr>
                <w:webHidden/>
                <w:rStyle w:val="IndexLink"/>
                <w:rtl w:val="true"/>
              </w:rPr>
              <w:t>المشي في النصوص الشرعية</w:t>
            </w:r>
            <w:r>
              <w:rPr>
                <w:rStyle w:val="IndexLink"/>
                <w:rtl w:val="true"/>
              </w:rPr>
              <w:tab/>
            </w:r>
            <w:r>
              <w:rPr>
                <w:rStyle w:val="IndexLink"/>
              </w:rPr>
              <w:t>262</w:t>
            </w:r>
          </w:hyperlink>
        </w:p>
        <w:p>
          <w:pPr>
            <w:pStyle w:val="Contents5"/>
            <w:tabs>
              <w:tab w:val="clear" w:pos="7892"/>
              <w:tab w:val="right" w:pos="9026" w:leader="dot"/>
            </w:tabs>
            <w:rPr/>
          </w:pPr>
          <w:hyperlink w:anchor="__RefHeading___Toc1937042_1051229030">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1937044_1051229030">
            <w:r>
              <w:rPr>
                <w:webHidden/>
                <w:rStyle w:val="IndexLink"/>
                <w:rtl w:val="true"/>
              </w:rPr>
              <w:t>أولاً</w:t>
            </w:r>
            <w:r>
              <w:rPr>
                <w:rStyle w:val="IndexLink"/>
                <w:rtl w:val="true"/>
              </w:rPr>
              <w:t xml:space="preserve">: </w:t>
            </w:r>
            <w:r>
              <w:rPr>
                <w:rStyle w:val="IndexLink"/>
                <w:rtl w:val="true"/>
              </w:rPr>
              <w:t>المشي في النصوص القرآنية</w:t>
            </w:r>
            <w:r>
              <w:rPr>
                <w:rStyle w:val="IndexLink"/>
                <w:rtl w:val="true"/>
              </w:rPr>
              <w:tab/>
            </w:r>
            <w:r>
              <w:rPr>
                <w:rStyle w:val="IndexLink"/>
              </w:rPr>
              <w:t>262</w:t>
            </w:r>
          </w:hyperlink>
        </w:p>
        <w:p>
          <w:pPr>
            <w:pStyle w:val="Contents5"/>
            <w:tabs>
              <w:tab w:val="clear" w:pos="7892"/>
              <w:tab w:val="right" w:pos="9026" w:leader="dot"/>
            </w:tabs>
            <w:rPr/>
          </w:pPr>
          <w:hyperlink w:anchor="__RefHeading___Toc1937046_1051229030">
            <w:r>
              <w:rPr>
                <w:webHidden/>
                <w:rStyle w:val="IndexLink"/>
                <w:rtl w:val="true"/>
              </w:rPr>
              <w:t>ثانياً</w:t>
            </w:r>
            <w:r>
              <w:rPr>
                <w:rStyle w:val="IndexLink"/>
                <w:rtl w:val="true"/>
              </w:rPr>
              <w:t xml:space="preserve">: </w:t>
            </w:r>
            <w:r>
              <w:rPr>
                <w:rStyle w:val="IndexLink"/>
                <w:rtl w:val="true"/>
              </w:rPr>
              <w:t>المشي في الروايات</w:t>
            </w:r>
            <w:r>
              <w:rPr>
                <w:rStyle w:val="IndexLink"/>
                <w:rtl w:val="true"/>
              </w:rPr>
              <w:tab/>
            </w:r>
            <w:r>
              <w:rPr>
                <w:rStyle w:val="IndexLink"/>
              </w:rPr>
              <w:t>263</w:t>
            </w:r>
          </w:hyperlink>
        </w:p>
        <w:p>
          <w:pPr>
            <w:pStyle w:val="Contents6"/>
            <w:tabs>
              <w:tab w:val="clear" w:pos="7609"/>
              <w:tab w:val="right" w:pos="9026" w:leader="dot"/>
            </w:tabs>
            <w:rPr/>
          </w:pPr>
          <w:hyperlink w:anchor="__RefHeading___Toc1937048_105122903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1937050_1051229030">
            <w:r>
              <w:rPr>
                <w:webHidden/>
                <w:rStyle w:val="IndexLink"/>
              </w:rPr>
              <w:t>١</w:t>
            </w:r>
            <w:r>
              <w:rPr>
                <w:rStyle w:val="IndexLink"/>
                <w:rtl w:val="true"/>
              </w:rPr>
              <w:t xml:space="preserve"> ـ ما دل على استحباب مطلق السفر</w:t>
            </w:r>
            <w:r>
              <w:rPr>
                <w:rStyle w:val="IndexLink"/>
                <w:rtl w:val="true"/>
              </w:rPr>
              <w:tab/>
            </w:r>
            <w:r>
              <w:rPr>
                <w:rStyle w:val="IndexLink"/>
              </w:rPr>
              <w:t>263</w:t>
            </w:r>
          </w:hyperlink>
        </w:p>
        <w:p>
          <w:pPr>
            <w:pStyle w:val="Contents6"/>
            <w:tabs>
              <w:tab w:val="clear" w:pos="7609"/>
              <w:tab w:val="right" w:pos="9026" w:leader="dot"/>
            </w:tabs>
            <w:rPr/>
          </w:pPr>
          <w:hyperlink w:anchor="__RefHeading___Toc1937052_1051229030">
            <w:r>
              <w:rPr>
                <w:webHidden/>
                <w:rStyle w:val="IndexLink"/>
              </w:rPr>
              <w:t>٢</w:t>
            </w:r>
            <w:r>
              <w:rPr>
                <w:rStyle w:val="IndexLink"/>
                <w:rtl w:val="true"/>
              </w:rPr>
              <w:t xml:space="preserve"> ـ ما تضمن الحث على المشي للتواصل والتزاور الاجتماعي</w:t>
            </w:r>
            <w:r>
              <w:rPr>
                <w:rStyle w:val="IndexLink"/>
                <w:rtl w:val="true"/>
              </w:rPr>
              <w:tab/>
            </w:r>
            <w:r>
              <w:rPr>
                <w:rStyle w:val="IndexLink"/>
              </w:rPr>
              <w:t>264</w:t>
            </w:r>
          </w:hyperlink>
        </w:p>
        <w:p>
          <w:pPr>
            <w:pStyle w:val="Contents6"/>
            <w:tabs>
              <w:tab w:val="clear" w:pos="7609"/>
              <w:tab w:val="right" w:pos="9026" w:leader="dot"/>
            </w:tabs>
            <w:rPr/>
          </w:pPr>
          <w:hyperlink w:anchor="__RefHeading___Toc1937054_1051229030">
            <w:r>
              <w:rPr>
                <w:webHidden/>
                <w:rStyle w:val="IndexLink"/>
              </w:rPr>
              <w:t>٣</w:t>
            </w:r>
            <w:r>
              <w:rPr>
                <w:rStyle w:val="IndexLink"/>
                <w:rtl w:val="true"/>
              </w:rPr>
              <w:t>ـ ما دل على خروج النّساء في المأتم لقضاء الحقوق</w:t>
            </w:r>
            <w:r>
              <w:rPr>
                <w:rStyle w:val="IndexLink"/>
                <w:rtl w:val="true"/>
              </w:rPr>
              <w:tab/>
            </w:r>
            <w:r>
              <w:rPr>
                <w:rStyle w:val="IndexLink"/>
              </w:rPr>
              <w:t>264</w:t>
            </w:r>
          </w:hyperlink>
        </w:p>
        <w:p>
          <w:pPr>
            <w:pStyle w:val="Contents5"/>
            <w:tabs>
              <w:tab w:val="clear" w:pos="7892"/>
              <w:tab w:val="right" w:pos="9026" w:leader="dot"/>
            </w:tabs>
            <w:rPr/>
          </w:pPr>
          <w:hyperlink w:anchor="__RefHeading___Toc1937056_1051229030">
            <w:r>
              <w:rPr>
                <w:webHidden/>
                <w:rStyle w:val="IndexLink"/>
                <w:rtl w:val="true"/>
              </w:rPr>
              <w:t>المشي إلى الحج</w:t>
            </w:r>
            <w:r>
              <w:rPr>
                <w:rStyle w:val="IndexLink"/>
                <w:rtl w:val="true"/>
              </w:rPr>
              <w:tab/>
            </w:r>
            <w:r>
              <w:rPr>
                <w:rStyle w:val="IndexLink"/>
              </w:rPr>
              <w:t>264</w:t>
            </w:r>
          </w:hyperlink>
        </w:p>
        <w:p>
          <w:pPr>
            <w:pStyle w:val="Contents5"/>
            <w:tabs>
              <w:tab w:val="clear" w:pos="7892"/>
              <w:tab w:val="right" w:pos="9026" w:leader="dot"/>
            </w:tabs>
            <w:rPr/>
          </w:pPr>
          <w:hyperlink w:anchor="__RefHeading___Toc1937058_1051229030">
            <w:r>
              <w:rPr>
                <w:webHidden/>
                <w:rStyle w:val="IndexLink"/>
                <w:rtl w:val="true"/>
              </w:rPr>
              <w:t>الروايات الحاثة على المشي</w:t>
            </w:r>
            <w:r>
              <w:rPr>
                <w:rStyle w:val="IndexLink"/>
                <w:rtl w:val="true"/>
              </w:rPr>
              <w:tab/>
            </w:r>
            <w:r>
              <w:rPr>
                <w:rStyle w:val="IndexLink"/>
              </w:rPr>
              <w:t>264</w:t>
            </w:r>
          </w:hyperlink>
        </w:p>
        <w:p>
          <w:pPr>
            <w:pStyle w:val="Contents5"/>
            <w:tabs>
              <w:tab w:val="clear" w:pos="7892"/>
              <w:tab w:val="right" w:pos="9026" w:leader="dot"/>
            </w:tabs>
            <w:rPr/>
          </w:pPr>
          <w:hyperlink w:anchor="__RefHeading___Toc1937060_1051229030">
            <w:r>
              <w:rPr>
                <w:webHidden/>
                <w:rStyle w:val="IndexLink"/>
                <w:rtl w:val="true"/>
              </w:rPr>
              <w:t>الروايات الحاثة على الركوب</w:t>
            </w:r>
            <w:r>
              <w:rPr>
                <w:rStyle w:val="IndexLink"/>
                <w:rtl w:val="true"/>
              </w:rPr>
              <w:tab/>
            </w:r>
            <w:r>
              <w:rPr>
                <w:rStyle w:val="IndexLink"/>
              </w:rPr>
              <w:t>266</w:t>
            </w:r>
          </w:hyperlink>
        </w:p>
        <w:p>
          <w:pPr>
            <w:pStyle w:val="Contents5"/>
            <w:tabs>
              <w:tab w:val="clear" w:pos="7892"/>
              <w:tab w:val="right" w:pos="9026" w:leader="dot"/>
            </w:tabs>
            <w:rPr/>
          </w:pPr>
          <w:hyperlink w:anchor="__RefHeading___Toc1937062_1051229030">
            <w:r>
              <w:rPr>
                <w:webHidden/>
                <w:rStyle w:val="IndexLink"/>
                <w:rtl w:val="true"/>
              </w:rPr>
              <w:t>الجمع بين روايات المشي والركوب</w:t>
            </w:r>
            <w:r>
              <w:rPr>
                <w:rStyle w:val="IndexLink"/>
                <w:rtl w:val="true"/>
              </w:rPr>
              <w:tab/>
            </w:r>
            <w:r>
              <w:rPr>
                <w:rStyle w:val="IndexLink"/>
              </w:rPr>
              <w:t>266</w:t>
            </w:r>
          </w:hyperlink>
        </w:p>
        <w:p>
          <w:pPr>
            <w:pStyle w:val="Contents5"/>
            <w:tabs>
              <w:tab w:val="clear" w:pos="7892"/>
              <w:tab w:val="right" w:pos="9026" w:leader="dot"/>
            </w:tabs>
            <w:rPr/>
          </w:pPr>
          <w:hyperlink w:anchor="__RefHeading___Toc1937064_1051229030">
            <w:r>
              <w:rPr>
                <w:webHidden/>
                <w:rStyle w:val="IndexLink"/>
                <w:rtl w:val="true"/>
              </w:rPr>
              <w:t>تاريخية مشي النساء</w:t>
            </w:r>
            <w:r>
              <w:rPr>
                <w:rStyle w:val="IndexLink"/>
                <w:rtl w:val="true"/>
              </w:rPr>
              <w:tab/>
            </w:r>
            <w:r>
              <w:rPr>
                <w:rStyle w:val="IndexLink"/>
              </w:rPr>
              <w:t>267</w:t>
            </w:r>
          </w:hyperlink>
        </w:p>
        <w:p>
          <w:pPr>
            <w:pStyle w:val="Contents5"/>
            <w:tabs>
              <w:tab w:val="clear" w:pos="7892"/>
              <w:tab w:val="right" w:pos="9026" w:leader="dot"/>
            </w:tabs>
            <w:rPr/>
          </w:pPr>
          <w:hyperlink w:anchor="__RefHeading___Toc1937066_1051229030">
            <w:r>
              <w:rPr>
                <w:webHidden/>
                <w:rStyle w:val="IndexLink"/>
                <w:rtl w:val="true"/>
              </w:rPr>
              <w:t>أدلة مشي النساء إلى كربلاء</w:t>
            </w:r>
            <w:r>
              <w:rPr>
                <w:rStyle w:val="IndexLink"/>
                <w:rtl w:val="true"/>
              </w:rPr>
              <w:tab/>
            </w:r>
            <w:r>
              <w:rPr>
                <w:rStyle w:val="IndexLink"/>
              </w:rPr>
              <w:t>269</w:t>
            </w:r>
          </w:hyperlink>
        </w:p>
        <w:p>
          <w:pPr>
            <w:pStyle w:val="Contents6"/>
            <w:tabs>
              <w:tab w:val="clear" w:pos="7609"/>
              <w:tab w:val="right" w:pos="9026" w:leader="dot"/>
            </w:tabs>
            <w:rPr/>
          </w:pPr>
          <w:hyperlink w:anchor="__RefHeading___Toc1937068_1051229030">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937070_1051229030">
            <w:r>
              <w:rPr>
                <w:webHidden/>
                <w:rStyle w:val="IndexLink"/>
                <w:rtl w:val="true"/>
              </w:rPr>
              <w:t>الدليل الأول</w:t>
            </w:r>
            <w:r>
              <w:rPr>
                <w:rStyle w:val="IndexLink"/>
                <w:rtl w:val="true"/>
              </w:rPr>
              <w:t xml:space="preserve">: </w:t>
            </w:r>
            <w:r>
              <w:rPr>
                <w:rStyle w:val="IndexLink"/>
                <w:rtl w:val="true"/>
              </w:rPr>
              <w:t>قاعدة الاشتراك</w:t>
            </w:r>
            <w:r>
              <w:rPr>
                <w:rStyle w:val="IndexLink"/>
                <w:rtl w:val="true"/>
              </w:rPr>
              <w:tab/>
            </w:r>
            <w:r>
              <w:rPr>
                <w:rStyle w:val="IndexLink"/>
              </w:rPr>
              <w:t>270</w:t>
            </w:r>
          </w:hyperlink>
        </w:p>
        <w:p>
          <w:pPr>
            <w:pStyle w:val="Contents6"/>
            <w:tabs>
              <w:tab w:val="clear" w:pos="7609"/>
              <w:tab w:val="right" w:pos="9026" w:leader="dot"/>
            </w:tabs>
            <w:rPr/>
          </w:pPr>
          <w:hyperlink w:anchor="__RefHeading___Toc1937072_1051229030">
            <w:r>
              <w:rPr>
                <w:webHidden/>
                <w:rStyle w:val="IndexLink"/>
                <w:rtl w:val="true"/>
              </w:rPr>
              <w:t>الدليل الثاني</w:t>
            </w:r>
            <w:r>
              <w:rPr>
                <w:rStyle w:val="IndexLink"/>
                <w:rtl w:val="true"/>
              </w:rPr>
              <w:t xml:space="preserve">: </w:t>
            </w:r>
            <w:r>
              <w:rPr>
                <w:rStyle w:val="IndexLink"/>
                <w:rtl w:val="true"/>
              </w:rPr>
              <w:t>إطلاق الروايات</w:t>
            </w:r>
            <w:r>
              <w:rPr>
                <w:rStyle w:val="IndexLink"/>
                <w:rtl w:val="true"/>
              </w:rPr>
              <w:tab/>
            </w:r>
            <w:r>
              <w:rPr>
                <w:rStyle w:val="IndexLink"/>
              </w:rPr>
              <w:t>270</w:t>
            </w:r>
          </w:hyperlink>
        </w:p>
        <w:p>
          <w:pPr>
            <w:pStyle w:val="Contents5"/>
            <w:tabs>
              <w:tab w:val="clear" w:pos="7892"/>
              <w:tab w:val="right" w:pos="9026" w:leader="dot"/>
            </w:tabs>
            <w:rPr/>
          </w:pPr>
          <w:hyperlink w:anchor="__RefHeading___Toc1937074_1051229030">
            <w:r>
              <w:rPr>
                <w:webHidden/>
                <w:rStyle w:val="IndexLink"/>
                <w:rtl w:val="true"/>
              </w:rPr>
              <w:t>الدليل الثالث</w:t>
            </w:r>
            <w:r>
              <w:rPr>
                <w:rStyle w:val="IndexLink"/>
                <w:rtl w:val="true"/>
              </w:rPr>
              <w:t xml:space="preserve">: </w:t>
            </w:r>
            <w:r>
              <w:rPr>
                <w:rStyle w:val="IndexLink"/>
                <w:rtl w:val="true"/>
              </w:rPr>
              <w:t>الروايات التي تخص النساء بالذكر</w:t>
            </w:r>
            <w:r>
              <w:rPr>
                <w:rStyle w:val="IndexLink"/>
                <w:rtl w:val="true"/>
              </w:rPr>
              <w:tab/>
            </w:r>
            <w:r>
              <w:rPr>
                <w:rStyle w:val="IndexLink"/>
              </w:rPr>
              <w:t>272</w:t>
            </w:r>
          </w:hyperlink>
        </w:p>
        <w:p>
          <w:pPr>
            <w:pStyle w:val="Contents5"/>
            <w:tabs>
              <w:tab w:val="clear" w:pos="7892"/>
              <w:tab w:val="right" w:pos="9026" w:leader="dot"/>
            </w:tabs>
            <w:rPr/>
          </w:pPr>
          <w:hyperlink w:anchor="__RefHeading___Toc1937076_1051229030">
            <w:r>
              <w:rPr>
                <w:webHidden/>
                <w:rStyle w:val="IndexLink"/>
                <w:rtl w:val="true"/>
              </w:rPr>
              <w:t>الدليل الرابع</w:t>
            </w:r>
            <w:r>
              <w:rPr>
                <w:rStyle w:val="IndexLink"/>
                <w:rtl w:val="true"/>
              </w:rPr>
              <w:t xml:space="preserve">: </w:t>
            </w:r>
            <w:r>
              <w:rPr>
                <w:rStyle w:val="IndexLink"/>
                <w:rtl w:val="true"/>
              </w:rPr>
              <w:t>سيرة الزهراء علیهاالسلام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1937078_1051229030">
            <w:r>
              <w:rPr>
                <w:webHidden/>
                <w:rStyle w:val="IndexLink"/>
                <w:rtl w:val="true"/>
              </w:rPr>
              <w:t>الدليل الخامس</w:t>
            </w:r>
            <w:r>
              <w:rPr>
                <w:rStyle w:val="IndexLink"/>
                <w:rtl w:val="true"/>
              </w:rPr>
              <w:t xml:space="preserve">: </w:t>
            </w:r>
            <w:r>
              <w:rPr>
                <w:rStyle w:val="IndexLink"/>
                <w:rtl w:val="true"/>
              </w:rPr>
              <w:t>قاعدة الشعائر العامة</w:t>
            </w:r>
            <w:r>
              <w:rPr>
                <w:rStyle w:val="IndexLink"/>
                <w:rtl w:val="true"/>
              </w:rPr>
              <w:tab/>
            </w:r>
            <w:r>
              <w:rPr>
                <w:rStyle w:val="IndexLink"/>
              </w:rPr>
              <w:t>275</w:t>
            </w:r>
          </w:hyperlink>
        </w:p>
        <w:p>
          <w:pPr>
            <w:pStyle w:val="Contents5"/>
            <w:tabs>
              <w:tab w:val="clear" w:pos="7892"/>
              <w:tab w:val="right" w:pos="9026" w:leader="dot"/>
            </w:tabs>
            <w:rPr/>
          </w:pPr>
          <w:hyperlink w:anchor="__RefHeading___Toc1937080_1051229030">
            <w:r>
              <w:rPr>
                <w:webHidden/>
                <w:rStyle w:val="IndexLink"/>
                <w:rtl w:val="true"/>
              </w:rPr>
              <w:t>الدليل السادس</w:t>
            </w:r>
            <w:r>
              <w:rPr>
                <w:rStyle w:val="IndexLink"/>
                <w:rtl w:val="true"/>
              </w:rPr>
              <w:t xml:space="preserve">: </w:t>
            </w:r>
            <w:r>
              <w:rPr>
                <w:rStyle w:val="IndexLink"/>
                <w:rtl w:val="true"/>
              </w:rPr>
              <w:t>ما ورد من الحث على المشي إلى بعض المواطن مع اشتمالها على الاختلاط</w:t>
            </w:r>
            <w:r>
              <w:rPr>
                <w:rStyle w:val="IndexLink"/>
                <w:rtl w:val="true"/>
              </w:rPr>
              <w:tab/>
            </w:r>
            <w:r>
              <w:rPr>
                <w:rStyle w:val="IndexLink"/>
              </w:rPr>
              <w:t>275</w:t>
            </w:r>
          </w:hyperlink>
        </w:p>
        <w:p>
          <w:pPr>
            <w:pStyle w:val="Contents4"/>
            <w:tabs>
              <w:tab w:val="clear" w:pos="8176"/>
              <w:tab w:val="right" w:pos="9026" w:leader="dot"/>
            </w:tabs>
            <w:rPr/>
          </w:pPr>
          <w:hyperlink w:anchor="__RefHeading___Toc1937082_1051229030">
            <w:r>
              <w:rPr>
                <w:webHidden/>
                <w:rStyle w:val="IndexLink"/>
                <w:rtl w:val="true"/>
              </w:rPr>
              <w:t>أدلة المانعين لخروج النساء مشياً للزيارة</w:t>
            </w:r>
            <w:r>
              <w:rPr>
                <w:rStyle w:val="IndexLink"/>
                <w:rtl w:val="true"/>
              </w:rPr>
              <w:tab/>
            </w:r>
            <w:r>
              <w:rPr>
                <w:rStyle w:val="IndexLink"/>
              </w:rPr>
              <w:t>279</w:t>
            </w:r>
          </w:hyperlink>
        </w:p>
        <w:p>
          <w:pPr>
            <w:pStyle w:val="Contents5"/>
            <w:tabs>
              <w:tab w:val="clear" w:pos="7892"/>
              <w:tab w:val="right" w:pos="9026" w:leader="dot"/>
            </w:tabs>
            <w:rPr/>
          </w:pPr>
          <w:hyperlink w:anchor="__RefHeading___Toc1937084_105122903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937086_1051229030">
            <w:r>
              <w:rPr>
                <w:webHidden/>
                <w:rStyle w:val="IndexLink"/>
                <w:rtl w:val="true"/>
              </w:rPr>
              <w:t>الدليل الأول</w:t>
            </w:r>
            <w:r>
              <w:rPr>
                <w:rStyle w:val="IndexLink"/>
                <w:rtl w:val="true"/>
              </w:rPr>
              <w:t xml:space="preserve">: </w:t>
            </w:r>
            <w:r>
              <w:rPr>
                <w:rStyle w:val="IndexLink"/>
                <w:rtl w:val="true"/>
              </w:rPr>
              <w:t>ممنوعية خروج النساء مطلقاً</w:t>
            </w:r>
            <w:r>
              <w:rPr>
                <w:rStyle w:val="IndexLink"/>
                <w:rtl w:val="true"/>
              </w:rPr>
              <w:tab/>
            </w:r>
            <w:r>
              <w:rPr>
                <w:rStyle w:val="IndexLink"/>
              </w:rPr>
              <w:t>279</w:t>
            </w:r>
          </w:hyperlink>
        </w:p>
        <w:p>
          <w:pPr>
            <w:pStyle w:val="Contents5"/>
            <w:tabs>
              <w:tab w:val="clear" w:pos="7892"/>
              <w:tab w:val="right" w:pos="9026" w:leader="dot"/>
            </w:tabs>
            <w:rPr/>
          </w:pPr>
          <w:hyperlink w:anchor="__RefHeading___Toc1937088_1051229030">
            <w:r>
              <w:rPr>
                <w:webHidden/>
                <w:rStyle w:val="IndexLink"/>
                <w:rtl w:val="true"/>
              </w:rPr>
              <w:t>تقريب الاستدلال</w:t>
            </w:r>
            <w:r>
              <w:rPr>
                <w:rStyle w:val="IndexLink"/>
                <w:rtl w:val="true"/>
              </w:rPr>
              <w:tab/>
            </w:r>
            <w:r>
              <w:rPr>
                <w:rStyle w:val="IndexLink"/>
              </w:rPr>
              <w:t>279</w:t>
            </w:r>
          </w:hyperlink>
        </w:p>
        <w:p>
          <w:pPr>
            <w:pStyle w:val="Contents5"/>
            <w:tabs>
              <w:tab w:val="clear" w:pos="7892"/>
              <w:tab w:val="right" w:pos="9026" w:leader="dot"/>
            </w:tabs>
            <w:rPr/>
          </w:pPr>
          <w:hyperlink w:anchor="__RefHeading___Toc1937090_1051229030">
            <w:r>
              <w:rPr>
                <w:webHidden/>
                <w:rStyle w:val="IndexLink"/>
                <w:rtl w:val="true"/>
              </w:rPr>
              <w:t>مناقشة الدليل الأول</w:t>
            </w:r>
            <w:r>
              <w:rPr>
                <w:rStyle w:val="IndexLink"/>
                <w:rtl w:val="true"/>
              </w:rPr>
              <w:tab/>
            </w:r>
            <w:r>
              <w:rPr>
                <w:rStyle w:val="IndexLink"/>
              </w:rPr>
              <w:t>279</w:t>
            </w:r>
          </w:hyperlink>
        </w:p>
        <w:p>
          <w:pPr>
            <w:pStyle w:val="Contents5"/>
            <w:tabs>
              <w:tab w:val="clear" w:pos="7892"/>
              <w:tab w:val="right" w:pos="9026" w:leader="dot"/>
            </w:tabs>
            <w:rPr/>
          </w:pPr>
          <w:hyperlink w:anchor="__RefHeading___Toc1937092_1051229030">
            <w:r>
              <w:rPr>
                <w:webHidden/>
                <w:rStyle w:val="IndexLink"/>
                <w:rtl w:val="true"/>
              </w:rPr>
              <w:t>الدليل الثاني</w:t>
            </w:r>
            <w:r>
              <w:rPr>
                <w:rStyle w:val="IndexLink"/>
                <w:rtl w:val="true"/>
              </w:rPr>
              <w:t xml:space="preserve">: </w:t>
            </w:r>
            <w:r>
              <w:rPr>
                <w:rStyle w:val="IndexLink"/>
                <w:rtl w:val="true"/>
              </w:rPr>
              <w:t>المنع من الاختلاط</w:t>
            </w:r>
            <w:r>
              <w:rPr>
                <w:rStyle w:val="IndexLink"/>
                <w:rtl w:val="true"/>
              </w:rPr>
              <w:tab/>
            </w:r>
            <w:r>
              <w:rPr>
                <w:rStyle w:val="IndexLink"/>
              </w:rPr>
              <w:t>281</w:t>
            </w:r>
          </w:hyperlink>
        </w:p>
        <w:p>
          <w:pPr>
            <w:pStyle w:val="Contents5"/>
            <w:tabs>
              <w:tab w:val="clear" w:pos="7892"/>
              <w:tab w:val="right" w:pos="9026" w:leader="dot"/>
            </w:tabs>
            <w:rPr/>
          </w:pPr>
          <w:hyperlink w:anchor="__RefHeading___Toc1937094_1051229030">
            <w:r>
              <w:rPr>
                <w:webHidden/>
                <w:rStyle w:val="IndexLink"/>
                <w:rtl w:val="true"/>
              </w:rPr>
              <w:t>تقريب الاستدلال</w:t>
            </w:r>
            <w:r>
              <w:rPr>
                <w:rStyle w:val="IndexLink"/>
                <w:rtl w:val="true"/>
              </w:rPr>
              <w:tab/>
            </w:r>
            <w:r>
              <w:rPr>
                <w:rStyle w:val="IndexLink"/>
              </w:rPr>
              <w:t>281</w:t>
            </w:r>
          </w:hyperlink>
        </w:p>
        <w:p>
          <w:pPr>
            <w:pStyle w:val="Contents5"/>
            <w:tabs>
              <w:tab w:val="clear" w:pos="7892"/>
              <w:tab w:val="right" w:pos="9026" w:leader="dot"/>
            </w:tabs>
            <w:rPr/>
          </w:pPr>
          <w:hyperlink w:anchor="__RefHeading___Toc1937096_1051229030">
            <w:r>
              <w:rPr>
                <w:webHidden/>
                <w:rStyle w:val="IndexLink"/>
                <w:rtl w:val="true"/>
              </w:rPr>
              <w:t>مناقشة الدليل الثاني</w:t>
            </w:r>
            <w:r>
              <w:rPr>
                <w:rStyle w:val="IndexLink"/>
                <w:rtl w:val="true"/>
              </w:rPr>
              <w:tab/>
            </w:r>
            <w:r>
              <w:rPr>
                <w:rStyle w:val="IndexLink"/>
              </w:rPr>
              <w:t>282</w:t>
            </w:r>
          </w:hyperlink>
        </w:p>
        <w:p>
          <w:pPr>
            <w:pStyle w:val="Contents5"/>
            <w:tabs>
              <w:tab w:val="clear" w:pos="7892"/>
              <w:tab w:val="right" w:pos="9026" w:leader="dot"/>
            </w:tabs>
            <w:rPr/>
          </w:pPr>
          <w:hyperlink w:anchor="__RefHeading___Toc1937098_1051229030">
            <w:r>
              <w:rPr>
                <w:webHidden/>
                <w:rStyle w:val="IndexLink"/>
                <w:rtl w:val="true"/>
              </w:rPr>
              <w:t>قاعدة لا يترك الحق إذا شابه منكر</w:t>
            </w:r>
            <w:r>
              <w:rPr>
                <w:rStyle w:val="IndexLink"/>
                <w:rtl w:val="true"/>
              </w:rPr>
              <w:tab/>
            </w:r>
            <w:r>
              <w:rPr>
                <w:rStyle w:val="IndexLink"/>
              </w:rPr>
              <w:t>284</w:t>
            </w:r>
          </w:hyperlink>
        </w:p>
        <w:p>
          <w:pPr>
            <w:pStyle w:val="Contents5"/>
            <w:tabs>
              <w:tab w:val="clear" w:pos="7892"/>
              <w:tab w:val="right" w:pos="9026" w:leader="dot"/>
            </w:tabs>
            <w:rPr/>
          </w:pPr>
          <w:hyperlink w:anchor="__RefHeading___Toc1937100_1051229030">
            <w:r>
              <w:rPr>
                <w:webHidden/>
                <w:rStyle w:val="IndexLink"/>
                <w:rtl w:val="true"/>
              </w:rPr>
              <w:t>الدليل الثالث</w:t>
            </w:r>
            <w:r>
              <w:rPr>
                <w:rStyle w:val="IndexLink"/>
                <w:rtl w:val="true"/>
              </w:rPr>
              <w:t xml:space="preserve">: </w:t>
            </w:r>
            <w:r>
              <w:rPr>
                <w:rStyle w:val="IndexLink"/>
                <w:rtl w:val="true"/>
              </w:rPr>
              <w:t>الضرر على الزوج أو الأطفال بخروجها</w:t>
            </w:r>
            <w:r>
              <w:rPr>
                <w:rStyle w:val="IndexLink"/>
                <w:rtl w:val="true"/>
              </w:rPr>
              <w:tab/>
            </w:r>
            <w:r>
              <w:rPr>
                <w:rStyle w:val="IndexLink"/>
              </w:rPr>
              <w:t>285</w:t>
            </w:r>
          </w:hyperlink>
        </w:p>
        <w:p>
          <w:pPr>
            <w:pStyle w:val="Contents5"/>
            <w:tabs>
              <w:tab w:val="clear" w:pos="7892"/>
              <w:tab w:val="right" w:pos="9026" w:leader="dot"/>
            </w:tabs>
            <w:rPr/>
          </w:pPr>
          <w:hyperlink w:anchor="__RefHeading___Toc1937102_1051229030">
            <w:r>
              <w:rPr>
                <w:webHidden/>
                <w:rStyle w:val="IndexLink"/>
                <w:rtl w:val="true"/>
              </w:rPr>
              <w:t>مناقشة الدليل الثالث</w:t>
            </w:r>
            <w:r>
              <w:rPr>
                <w:rStyle w:val="IndexLink"/>
                <w:rtl w:val="true"/>
              </w:rPr>
              <w:tab/>
            </w:r>
            <w:r>
              <w:rPr>
                <w:rStyle w:val="IndexLink"/>
              </w:rPr>
              <w:t>286</w:t>
            </w:r>
          </w:hyperlink>
        </w:p>
        <w:p>
          <w:pPr>
            <w:pStyle w:val="Contents4"/>
            <w:tabs>
              <w:tab w:val="clear" w:pos="8176"/>
              <w:tab w:val="right" w:pos="9026" w:leader="dot"/>
            </w:tabs>
            <w:rPr/>
          </w:pPr>
          <w:hyperlink w:anchor="__RefHeading___Toc1937104_1051229030">
            <w:r>
              <w:rPr>
                <w:webHidden/>
                <w:rStyle w:val="IndexLink"/>
                <w:rtl w:val="true"/>
              </w:rPr>
              <w:t>تتمة ونتيجة</w:t>
            </w:r>
            <w:r>
              <w:rPr>
                <w:rStyle w:val="IndexLink"/>
                <w:rtl w:val="true"/>
              </w:rPr>
              <w:tab/>
            </w:r>
            <w:r>
              <w:rPr>
                <w:rStyle w:val="IndexLink"/>
              </w:rPr>
              <w:t>287</w:t>
            </w:r>
          </w:hyperlink>
        </w:p>
        <w:p>
          <w:pPr>
            <w:pStyle w:val="Contents2"/>
            <w:tabs>
              <w:tab w:val="clear" w:pos="8743"/>
              <w:tab w:val="right" w:pos="9026" w:leader="dot"/>
            </w:tabs>
            <w:rPr/>
          </w:pPr>
          <w:hyperlink w:anchor="__RefHeading___Toc1937106_1051229030">
            <w:r>
              <w:rPr>
                <w:webHidden/>
                <w:rStyle w:val="IndexLink"/>
                <w:rtl w:val="true"/>
              </w:rPr>
              <w:t>دِرَاسَاتٌ دينِيَّة</w:t>
            </w:r>
            <w:r>
              <w:rPr>
                <w:rStyle w:val="IndexLink"/>
                <w:rtl w:val="true"/>
              </w:rPr>
              <w:tab/>
            </w:r>
            <w:r>
              <w:rPr>
                <w:rStyle w:val="IndexLink"/>
              </w:rPr>
              <w:t>288</w:t>
            </w:r>
          </w:hyperlink>
        </w:p>
        <w:p>
          <w:pPr>
            <w:pStyle w:val="Contents3"/>
            <w:tabs>
              <w:tab w:val="clear" w:pos="8459"/>
              <w:tab w:val="right" w:pos="9026" w:leader="dot"/>
            </w:tabs>
            <w:rPr/>
          </w:pPr>
          <w:hyperlink w:anchor="__RefHeading___Toc1937108_1051229030">
            <w:r>
              <w:rPr>
                <w:webHidden/>
                <w:rStyle w:val="IndexLink"/>
                <w:rtl w:val="true"/>
              </w:rPr>
              <w:t>اشارة</w:t>
            </w:r>
            <w:r>
              <w:rPr>
                <w:rStyle w:val="IndexLink"/>
                <w:rtl w:val="true"/>
              </w:rPr>
              <w:tab/>
            </w:r>
            <w:r>
              <w:rPr>
                <w:rStyle w:val="IndexLink"/>
              </w:rPr>
              <w:t>288</w:t>
            </w:r>
          </w:hyperlink>
        </w:p>
        <w:p>
          <w:pPr>
            <w:pStyle w:val="Contents3"/>
            <w:tabs>
              <w:tab w:val="clear" w:pos="8459"/>
              <w:tab w:val="right" w:pos="9026" w:leader="dot"/>
            </w:tabs>
            <w:rPr/>
          </w:pPr>
          <w:hyperlink w:anchor="__RefHeading___Toc1937110_1051229030">
            <w:r>
              <w:rPr>
                <w:webHidden/>
                <w:rStyle w:val="IndexLink"/>
                <w:rtl w:val="true"/>
              </w:rPr>
              <w:t>مناهج مقترحة</w:t>
            </w:r>
            <w:r>
              <w:rPr>
                <w:rStyle w:val="IndexLink"/>
                <w:rtl w:val="true"/>
              </w:rPr>
              <w:tab/>
            </w:r>
            <w:r>
              <w:rPr>
                <w:rStyle w:val="IndexLink"/>
              </w:rPr>
              <w:t>290</w:t>
            </w:r>
          </w:hyperlink>
        </w:p>
        <w:p>
          <w:pPr>
            <w:pStyle w:val="Contents4"/>
            <w:tabs>
              <w:tab w:val="clear" w:pos="8176"/>
              <w:tab w:val="right" w:pos="9026" w:leader="dot"/>
            </w:tabs>
            <w:rPr/>
          </w:pPr>
          <w:hyperlink w:anchor="__RefHeading___Toc1937112_1051229030">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937114_1051229030">
            <w:r>
              <w:rPr>
                <w:webHidden/>
                <w:rStyle w:val="IndexLink"/>
                <w:rtl w:val="true"/>
              </w:rPr>
              <w:t>المقترح الأوّل</w:t>
            </w:r>
            <w:r>
              <w:rPr>
                <w:rStyle w:val="IndexLink"/>
                <w:rtl w:val="true"/>
              </w:rPr>
              <w:tab/>
            </w:r>
            <w:r>
              <w:rPr>
                <w:rStyle w:val="IndexLink"/>
              </w:rPr>
              <w:t>290</w:t>
            </w:r>
          </w:hyperlink>
        </w:p>
        <w:p>
          <w:pPr>
            <w:pStyle w:val="Contents4"/>
            <w:tabs>
              <w:tab w:val="clear" w:pos="8176"/>
              <w:tab w:val="right" w:pos="9026" w:leader="dot"/>
            </w:tabs>
            <w:rPr/>
          </w:pPr>
          <w:hyperlink w:anchor="__RefHeading___Toc1937116_1051229030">
            <w:r>
              <w:rPr>
                <w:webHidden/>
                <w:rStyle w:val="IndexLink"/>
                <w:rtl w:val="true"/>
              </w:rPr>
              <w:t>الطريقة الأولى</w:t>
            </w:r>
            <w:r>
              <w:rPr>
                <w:rStyle w:val="IndexLink"/>
                <w:rtl w:val="true"/>
              </w:rPr>
              <w:tab/>
            </w:r>
            <w:r>
              <w:rPr>
                <w:rStyle w:val="IndexLink"/>
              </w:rPr>
              <w:t>291</w:t>
            </w:r>
          </w:hyperlink>
        </w:p>
        <w:p>
          <w:pPr>
            <w:pStyle w:val="Contents4"/>
            <w:tabs>
              <w:tab w:val="clear" w:pos="8176"/>
              <w:tab w:val="right" w:pos="9026" w:leader="dot"/>
            </w:tabs>
            <w:rPr/>
          </w:pPr>
          <w:hyperlink w:anchor="__RefHeading___Toc1937118_1051229030">
            <w:r>
              <w:rPr>
                <w:webHidden/>
                <w:rStyle w:val="IndexLink"/>
                <w:rtl w:val="true"/>
              </w:rPr>
              <w:t>الطريقة الثانية</w:t>
            </w:r>
            <w:r>
              <w:rPr>
                <w:rStyle w:val="IndexLink"/>
                <w:rtl w:val="true"/>
              </w:rPr>
              <w:t>:</w:t>
              <w:tab/>
            </w:r>
            <w:r>
              <w:rPr>
                <w:rStyle w:val="IndexLink"/>
              </w:rPr>
              <w:t>293</w:t>
            </w:r>
          </w:hyperlink>
        </w:p>
        <w:p>
          <w:pPr>
            <w:pStyle w:val="Contents4"/>
            <w:tabs>
              <w:tab w:val="clear" w:pos="8176"/>
              <w:tab w:val="right" w:pos="9026" w:leader="dot"/>
            </w:tabs>
            <w:rPr/>
          </w:pPr>
          <w:hyperlink w:anchor="__RefHeading___Toc1937120_1051229030">
            <w:r>
              <w:rPr>
                <w:webHidden/>
                <w:rStyle w:val="IndexLink"/>
                <w:rtl w:val="true"/>
              </w:rPr>
              <w:t>المقترح الثاني</w:t>
            </w:r>
            <w:r>
              <w:rPr>
                <w:rStyle w:val="IndexLink"/>
                <w:rtl w:val="true"/>
              </w:rPr>
              <w:tab/>
            </w:r>
            <w:r>
              <w:rPr>
                <w:rStyle w:val="IndexLink"/>
              </w:rPr>
              <w:t>294</w:t>
            </w:r>
          </w:hyperlink>
        </w:p>
        <w:p>
          <w:pPr>
            <w:pStyle w:val="Contents4"/>
            <w:tabs>
              <w:tab w:val="clear" w:pos="8176"/>
              <w:tab w:val="right" w:pos="9026" w:leader="dot"/>
            </w:tabs>
            <w:rPr/>
          </w:pPr>
          <w:hyperlink w:anchor="__RefHeading___Toc1937122_1051229030">
            <w:r>
              <w:rPr>
                <w:webHidden/>
                <w:rStyle w:val="IndexLink"/>
                <w:rtl w:val="true"/>
              </w:rPr>
              <w:t>المقترح الثالث</w:t>
            </w:r>
            <w:r>
              <w:rPr>
                <w:rStyle w:val="IndexLink"/>
                <w:rtl w:val="true"/>
              </w:rPr>
              <w:tab/>
            </w:r>
            <w:r>
              <w:rPr>
                <w:rStyle w:val="IndexLink"/>
              </w:rPr>
              <w:t>297</w:t>
            </w:r>
          </w:hyperlink>
        </w:p>
        <w:p>
          <w:pPr>
            <w:pStyle w:val="Contents5"/>
            <w:tabs>
              <w:tab w:val="clear" w:pos="7892"/>
              <w:tab w:val="right" w:pos="9026" w:leader="dot"/>
            </w:tabs>
            <w:rPr/>
          </w:pPr>
          <w:hyperlink w:anchor="__RefHeading___Toc1937124_105122903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937126_1051229030">
            <w:r>
              <w:rPr>
                <w:webHidden/>
                <w:rStyle w:val="IndexLink"/>
                <w:rtl w:val="true"/>
              </w:rPr>
              <w:t>القسم الأول</w:t>
            </w:r>
            <w:r>
              <w:rPr>
                <w:rStyle w:val="IndexLink"/>
                <w:rtl w:val="true"/>
              </w:rPr>
              <w:t xml:space="preserve">: </w:t>
            </w:r>
            <w:r>
              <w:rPr>
                <w:rStyle w:val="IndexLink"/>
                <w:rtl w:val="true"/>
              </w:rPr>
              <w:t>مباحث الدلالة</w:t>
            </w:r>
            <w:r>
              <w:rPr>
                <w:rStyle w:val="IndexLink"/>
                <w:rtl w:val="true"/>
              </w:rPr>
              <w:tab/>
            </w:r>
            <w:r>
              <w:rPr>
                <w:rStyle w:val="IndexLink"/>
              </w:rPr>
              <w:t>297</w:t>
            </w:r>
          </w:hyperlink>
        </w:p>
        <w:p>
          <w:pPr>
            <w:pStyle w:val="Contents5"/>
            <w:tabs>
              <w:tab w:val="clear" w:pos="7892"/>
              <w:tab w:val="right" w:pos="9026" w:leader="dot"/>
            </w:tabs>
            <w:rPr/>
          </w:pPr>
          <w:hyperlink w:anchor="__RefHeading___Toc1937128_1051229030">
            <w:r>
              <w:rPr>
                <w:webHidden/>
                <w:rStyle w:val="IndexLink"/>
                <w:rtl w:val="true"/>
              </w:rPr>
              <w:t>القسم الثاني</w:t>
            </w:r>
            <w:r>
              <w:rPr>
                <w:rStyle w:val="IndexLink"/>
                <w:rtl w:val="true"/>
              </w:rPr>
              <w:t xml:space="preserve">: </w:t>
            </w:r>
            <w:r>
              <w:rPr>
                <w:rStyle w:val="IndexLink"/>
                <w:rtl w:val="true"/>
              </w:rPr>
              <w:t>مباحث الحكم وشؤونه</w:t>
            </w:r>
            <w:r>
              <w:rPr>
                <w:rStyle w:val="IndexLink"/>
                <w:rtl w:val="true"/>
              </w:rPr>
              <w:tab/>
            </w:r>
            <w:r>
              <w:rPr>
                <w:rStyle w:val="IndexLink"/>
              </w:rPr>
              <w:t>297</w:t>
            </w:r>
          </w:hyperlink>
        </w:p>
        <w:p>
          <w:pPr>
            <w:pStyle w:val="Contents4"/>
            <w:tabs>
              <w:tab w:val="clear" w:pos="8176"/>
              <w:tab w:val="right" w:pos="9026" w:leader="dot"/>
            </w:tabs>
            <w:rPr/>
          </w:pPr>
          <w:hyperlink w:anchor="__RefHeading___Toc1937130_1051229030">
            <w:r>
              <w:rPr>
                <w:webHidden/>
                <w:rStyle w:val="IndexLink"/>
                <w:rtl w:val="true"/>
              </w:rPr>
              <w:t>المقترح الرابع</w:t>
            </w:r>
            <w:r>
              <w:rPr>
                <w:rStyle w:val="IndexLink"/>
                <w:rtl w:val="true"/>
              </w:rPr>
              <w:tab/>
            </w:r>
            <w:r>
              <w:rPr>
                <w:rStyle w:val="IndexLink"/>
              </w:rPr>
              <w:t>300</w:t>
            </w:r>
          </w:hyperlink>
        </w:p>
        <w:p>
          <w:pPr>
            <w:pStyle w:val="Contents4"/>
            <w:tabs>
              <w:tab w:val="clear" w:pos="8176"/>
              <w:tab w:val="right" w:pos="9026" w:leader="dot"/>
            </w:tabs>
            <w:rPr/>
          </w:pPr>
          <w:hyperlink w:anchor="__RefHeading___Toc1937132_1051229030">
            <w:r>
              <w:rPr>
                <w:webHidden/>
                <w:rStyle w:val="IndexLink"/>
                <w:rtl w:val="true"/>
              </w:rPr>
              <w:t>وجهة نظر</w:t>
            </w:r>
            <w:r>
              <w:rPr>
                <w:rStyle w:val="IndexLink"/>
                <w:rtl w:val="true"/>
              </w:rPr>
              <w:tab/>
            </w:r>
            <w:r>
              <w:rPr>
                <w:rStyle w:val="IndexLink"/>
              </w:rPr>
              <w:t>306</w:t>
            </w:r>
          </w:hyperlink>
        </w:p>
        <w:p>
          <w:pPr>
            <w:pStyle w:val="Contents3"/>
            <w:tabs>
              <w:tab w:val="clear" w:pos="8459"/>
              <w:tab w:val="right" w:pos="9026" w:leader="dot"/>
            </w:tabs>
            <w:rPr/>
          </w:pPr>
          <w:hyperlink w:anchor="__RefHeading___Toc1937134_1051229030">
            <w:r>
              <w:rPr>
                <w:webHidden/>
                <w:rStyle w:val="IndexLink"/>
                <w:rtl w:val="true"/>
              </w:rPr>
              <w:t>ضَرورَة التَجدِيدِ في مَنهَجَةِ عَلمَ الأُصُول</w:t>
            </w:r>
            <w:r>
              <w:rPr>
                <w:rStyle w:val="IndexLink"/>
                <w:rtl w:val="true"/>
              </w:rPr>
              <w:tab/>
            </w:r>
            <w:r>
              <w:rPr>
                <w:rStyle w:val="IndexLink"/>
              </w:rPr>
              <w:t>308</w:t>
            </w:r>
          </w:hyperlink>
        </w:p>
        <w:p>
          <w:pPr>
            <w:pStyle w:val="Contents4"/>
            <w:tabs>
              <w:tab w:val="clear" w:pos="8176"/>
              <w:tab w:val="right" w:pos="9026" w:leader="dot"/>
            </w:tabs>
            <w:rPr/>
          </w:pPr>
          <w:hyperlink w:anchor="__RefHeading___Toc1937136_1051229030">
            <w:r>
              <w:rPr>
                <w:webHidden/>
                <w:rStyle w:val="IndexLink"/>
                <w:rtl w:val="true"/>
              </w:rPr>
              <w:t>اشارة</w:t>
            </w:r>
            <w:r>
              <w:rPr>
                <w:rStyle w:val="IndexLink"/>
                <w:rtl w:val="true"/>
              </w:rPr>
              <w:tab/>
            </w:r>
            <w:r>
              <w:rPr>
                <w:rStyle w:val="IndexLink"/>
              </w:rPr>
              <w:t>308</w:t>
            </w:r>
          </w:hyperlink>
        </w:p>
        <w:p>
          <w:pPr>
            <w:pStyle w:val="Contents4"/>
            <w:tabs>
              <w:tab w:val="clear" w:pos="8176"/>
              <w:tab w:val="right" w:pos="9026" w:leader="dot"/>
            </w:tabs>
            <w:rPr/>
          </w:pPr>
          <w:hyperlink w:anchor="__RefHeading___Toc1937138_1051229030">
            <w:r>
              <w:rPr>
                <w:webHidden/>
                <w:rStyle w:val="IndexLink"/>
                <w:rtl w:val="true"/>
              </w:rPr>
              <w:t>تمهيد</w:t>
            </w:r>
            <w:r>
              <w:rPr>
                <w:rStyle w:val="IndexLink"/>
                <w:rtl w:val="true"/>
              </w:rPr>
              <w:tab/>
            </w:r>
            <w:r>
              <w:rPr>
                <w:rStyle w:val="IndexLink"/>
              </w:rPr>
              <w:t>308</w:t>
            </w:r>
          </w:hyperlink>
        </w:p>
        <w:p>
          <w:pPr>
            <w:pStyle w:val="Contents4"/>
            <w:tabs>
              <w:tab w:val="clear" w:pos="8176"/>
              <w:tab w:val="right" w:pos="9026" w:leader="dot"/>
            </w:tabs>
            <w:rPr/>
          </w:pPr>
          <w:hyperlink w:anchor="__RefHeading___Toc1937140_1051229030">
            <w:r>
              <w:rPr>
                <w:webHidden/>
                <w:rStyle w:val="IndexLink"/>
                <w:rtl w:val="true"/>
              </w:rPr>
              <w:t>لمحة عن التطور المستمر في علم الأصول</w:t>
            </w:r>
            <w:r>
              <w:rPr>
                <w:rStyle w:val="IndexLink"/>
                <w:rtl w:val="true"/>
              </w:rPr>
              <w:tab/>
            </w:r>
            <w:r>
              <w:rPr>
                <w:rStyle w:val="IndexLink"/>
              </w:rPr>
              <w:t>310</w:t>
            </w:r>
          </w:hyperlink>
        </w:p>
        <w:p>
          <w:pPr>
            <w:pStyle w:val="Contents4"/>
            <w:tabs>
              <w:tab w:val="clear" w:pos="8176"/>
              <w:tab w:val="right" w:pos="9026" w:leader="dot"/>
            </w:tabs>
            <w:rPr/>
          </w:pPr>
          <w:hyperlink w:anchor="__RefHeading___Toc1937142_1051229030">
            <w:r>
              <w:rPr>
                <w:webHidden/>
                <w:rStyle w:val="IndexLink"/>
                <w:rtl w:val="true"/>
              </w:rPr>
              <w:t>مراحل علم الأصول</w:t>
            </w:r>
            <w:r>
              <w:rPr>
                <w:rStyle w:val="IndexLink"/>
                <w:rtl w:val="true"/>
              </w:rPr>
              <w:tab/>
            </w:r>
            <w:r>
              <w:rPr>
                <w:rStyle w:val="IndexLink"/>
              </w:rPr>
              <w:t>311</w:t>
            </w:r>
          </w:hyperlink>
        </w:p>
        <w:p>
          <w:pPr>
            <w:pStyle w:val="Contents4"/>
            <w:tabs>
              <w:tab w:val="clear" w:pos="8176"/>
              <w:tab w:val="right" w:pos="9026" w:leader="dot"/>
            </w:tabs>
            <w:rPr/>
          </w:pPr>
          <w:hyperlink w:anchor="__RefHeading___Toc1937144_1051229030">
            <w:r>
              <w:rPr>
                <w:webHidden/>
                <w:rStyle w:val="IndexLink"/>
                <w:rtl w:val="true"/>
              </w:rPr>
              <w:t>ضرورة التغيير والتجديد في المنهج التعليمي لعلم الأُصول</w:t>
            </w:r>
            <w:r>
              <w:rPr>
                <w:rStyle w:val="IndexLink"/>
                <w:rtl w:val="true"/>
              </w:rPr>
              <w:tab/>
            </w:r>
            <w:r>
              <w:rPr>
                <w:rStyle w:val="IndexLink"/>
              </w:rPr>
              <w:t>312</w:t>
            </w:r>
          </w:hyperlink>
        </w:p>
        <w:p>
          <w:pPr>
            <w:pStyle w:val="Contents3"/>
            <w:tabs>
              <w:tab w:val="clear" w:pos="8459"/>
              <w:tab w:val="right" w:pos="9026" w:leader="dot"/>
            </w:tabs>
            <w:rPr/>
          </w:pPr>
          <w:hyperlink w:anchor="__RefHeading___Toc1937146_1051229030">
            <w:r>
              <w:rPr>
                <w:webHidden/>
                <w:rStyle w:val="IndexLink"/>
                <w:rtl w:val="true"/>
              </w:rPr>
              <w:t>المَعَاد في الرُؤیَةِ القُرآنیَّه</w:t>
            </w:r>
            <w:r>
              <w:rPr>
                <w:rStyle w:val="IndexLink"/>
                <w:rtl w:val="true"/>
              </w:rPr>
              <w:tab/>
            </w:r>
            <w:r>
              <w:rPr>
                <w:rStyle w:val="IndexLink"/>
              </w:rPr>
              <w:t>314</w:t>
            </w:r>
          </w:hyperlink>
        </w:p>
        <w:p>
          <w:pPr>
            <w:pStyle w:val="Contents4"/>
            <w:tabs>
              <w:tab w:val="clear" w:pos="8176"/>
              <w:tab w:val="right" w:pos="9026" w:leader="dot"/>
            </w:tabs>
            <w:rPr/>
          </w:pPr>
          <w:hyperlink w:anchor="__RefHeading___Toc1937148_1051229030">
            <w:r>
              <w:rPr>
                <w:webHidden/>
                <w:rStyle w:val="IndexLink"/>
                <w:rtl w:val="true"/>
              </w:rPr>
              <w:t>اشارة</w:t>
            </w:r>
            <w:r>
              <w:rPr>
                <w:rStyle w:val="IndexLink"/>
                <w:rtl w:val="true"/>
              </w:rPr>
              <w:tab/>
            </w:r>
            <w:r>
              <w:rPr>
                <w:rStyle w:val="IndexLink"/>
              </w:rPr>
              <w:t>314</w:t>
            </w:r>
          </w:hyperlink>
        </w:p>
        <w:p>
          <w:pPr>
            <w:pStyle w:val="Contents4"/>
            <w:tabs>
              <w:tab w:val="clear" w:pos="8176"/>
              <w:tab w:val="right" w:pos="9026" w:leader="dot"/>
            </w:tabs>
            <w:rPr/>
          </w:pPr>
          <w:hyperlink w:anchor="__RefHeading___Toc1937150_1051229030">
            <w:r>
              <w:rPr>
                <w:webHidden/>
                <w:rStyle w:val="IndexLink"/>
                <w:rtl w:val="true"/>
              </w:rPr>
              <w:t>مقدمة</w:t>
            </w:r>
            <w:r>
              <w:rPr>
                <w:rStyle w:val="IndexLink"/>
                <w:rtl w:val="true"/>
              </w:rPr>
              <w:tab/>
            </w:r>
            <w:r>
              <w:rPr>
                <w:rStyle w:val="IndexLink"/>
              </w:rPr>
              <w:t>314</w:t>
            </w:r>
          </w:hyperlink>
        </w:p>
        <w:p>
          <w:pPr>
            <w:pStyle w:val="Contents4"/>
            <w:tabs>
              <w:tab w:val="clear" w:pos="8176"/>
              <w:tab w:val="right" w:pos="9026" w:leader="dot"/>
            </w:tabs>
            <w:rPr/>
          </w:pPr>
          <w:hyperlink w:anchor="__RefHeading___Toc1937152_1051229030">
            <w:r>
              <w:rPr>
                <w:webHidden/>
                <w:rStyle w:val="IndexLink"/>
                <w:rtl w:val="true"/>
              </w:rPr>
              <w:t>الرجوع الكلي</w:t>
            </w:r>
            <w:r>
              <w:rPr>
                <w:rStyle w:val="IndexLink"/>
                <w:rtl w:val="true"/>
              </w:rPr>
              <w:tab/>
            </w:r>
            <w:r>
              <w:rPr>
                <w:rStyle w:val="IndexLink"/>
              </w:rPr>
              <w:t>315</w:t>
            </w:r>
          </w:hyperlink>
        </w:p>
        <w:p>
          <w:pPr>
            <w:pStyle w:val="Contents4"/>
            <w:tabs>
              <w:tab w:val="clear" w:pos="8176"/>
              <w:tab w:val="right" w:pos="9026" w:leader="dot"/>
            </w:tabs>
            <w:rPr/>
          </w:pPr>
          <w:hyperlink w:anchor="__RefHeading___Toc1937154_1051229030">
            <w:r>
              <w:rPr>
                <w:webHidden/>
                <w:rStyle w:val="IndexLink"/>
                <w:rtl w:val="true"/>
              </w:rPr>
              <w:t>المَعَاد الكلي في القرآن</w:t>
            </w:r>
            <w:r>
              <w:rPr>
                <w:rStyle w:val="IndexLink"/>
                <w:rtl w:val="true"/>
              </w:rPr>
              <w:tab/>
            </w:r>
            <w:r>
              <w:rPr>
                <w:rStyle w:val="IndexLink"/>
              </w:rPr>
              <w:t>315</w:t>
            </w:r>
          </w:hyperlink>
        </w:p>
        <w:p>
          <w:pPr>
            <w:pStyle w:val="Contents4"/>
            <w:tabs>
              <w:tab w:val="clear" w:pos="8176"/>
              <w:tab w:val="right" w:pos="9026" w:leader="dot"/>
            </w:tabs>
            <w:rPr/>
          </w:pPr>
          <w:hyperlink w:anchor="__RefHeading___Toc1937156_1051229030">
            <w:r>
              <w:rPr>
                <w:webHidden/>
                <w:rStyle w:val="IndexLink"/>
                <w:rtl w:val="true"/>
              </w:rPr>
              <w:t>إعادة الموجود ملازم للخلقة</w:t>
            </w:r>
            <w:r>
              <w:rPr>
                <w:rStyle w:val="IndexLink"/>
                <w:rtl w:val="true"/>
              </w:rPr>
              <w:tab/>
            </w:r>
            <w:r>
              <w:rPr>
                <w:rStyle w:val="IndexLink"/>
              </w:rPr>
              <w:t>319</w:t>
            </w:r>
          </w:hyperlink>
        </w:p>
        <w:p>
          <w:pPr>
            <w:pStyle w:val="Contents4"/>
            <w:tabs>
              <w:tab w:val="clear" w:pos="8176"/>
              <w:tab w:val="right" w:pos="9026" w:leader="dot"/>
            </w:tabs>
            <w:rPr/>
          </w:pPr>
          <w:hyperlink w:anchor="__RefHeading___Toc1937158_1051229030">
            <w:r>
              <w:rPr>
                <w:webHidden/>
                <w:rStyle w:val="IndexLink"/>
                <w:rtl w:val="true"/>
              </w:rPr>
              <w:t>لكلّ موجود جهاز وجودي خاصّ</w:t>
            </w:r>
            <w:r>
              <w:rPr>
                <w:rStyle w:val="IndexLink"/>
                <w:rtl w:val="true"/>
              </w:rPr>
              <w:tab/>
            </w:r>
            <w:r>
              <w:rPr>
                <w:rStyle w:val="IndexLink"/>
              </w:rPr>
              <w:t>320</w:t>
            </w:r>
          </w:hyperlink>
        </w:p>
        <w:p>
          <w:pPr>
            <w:pStyle w:val="Contents4"/>
            <w:tabs>
              <w:tab w:val="clear" w:pos="8176"/>
              <w:tab w:val="right" w:pos="9026" w:leader="dot"/>
            </w:tabs>
            <w:rPr/>
          </w:pPr>
          <w:hyperlink w:anchor="__RefHeading___Toc1937160_1051229030">
            <w:r>
              <w:rPr>
                <w:webHidden/>
                <w:rStyle w:val="IndexLink"/>
                <w:rtl w:val="true"/>
              </w:rPr>
              <w:t>الموجودات والهداية نحو المبدأ</w:t>
            </w:r>
            <w:r>
              <w:rPr>
                <w:rStyle w:val="IndexLink"/>
                <w:rtl w:val="true"/>
              </w:rPr>
              <w:tab/>
            </w:r>
            <w:r>
              <w:rPr>
                <w:rStyle w:val="IndexLink"/>
              </w:rPr>
              <w:t>320</w:t>
            </w:r>
          </w:hyperlink>
        </w:p>
        <w:p>
          <w:pPr>
            <w:pStyle w:val="Contents4"/>
            <w:tabs>
              <w:tab w:val="clear" w:pos="8176"/>
              <w:tab w:val="right" w:pos="9026" w:leader="dot"/>
            </w:tabs>
            <w:rPr/>
          </w:pPr>
          <w:hyperlink w:anchor="__RefHeading___Toc1937162_1051229030">
            <w:r>
              <w:rPr>
                <w:webHidden/>
                <w:rStyle w:val="IndexLink"/>
                <w:rtl w:val="true"/>
              </w:rPr>
              <w:t>الهندسة الخاصة تُحدد الطريق والمقصد</w:t>
            </w:r>
            <w:r>
              <w:rPr>
                <w:rStyle w:val="IndexLink"/>
                <w:rtl w:val="true"/>
              </w:rPr>
              <w:tab/>
            </w:r>
            <w:r>
              <w:rPr>
                <w:rStyle w:val="IndexLink"/>
              </w:rPr>
              <w:t>321</w:t>
            </w:r>
          </w:hyperlink>
        </w:p>
        <w:p>
          <w:pPr>
            <w:pStyle w:val="Contents4"/>
            <w:tabs>
              <w:tab w:val="clear" w:pos="8176"/>
              <w:tab w:val="right" w:pos="9026" w:leader="dot"/>
            </w:tabs>
            <w:rPr/>
          </w:pPr>
          <w:hyperlink w:anchor="__RefHeading___Toc1937164_1051229030">
            <w:r>
              <w:rPr>
                <w:webHidden/>
                <w:rStyle w:val="IndexLink"/>
                <w:rtl w:val="true"/>
              </w:rPr>
              <w:t>الهندسة الخاصة وموجبات العروج التكاملي</w:t>
            </w:r>
            <w:r>
              <w:rPr>
                <w:rStyle w:val="IndexLink"/>
                <w:rtl w:val="true"/>
              </w:rPr>
              <w:tab/>
            </w:r>
            <w:r>
              <w:rPr>
                <w:rStyle w:val="IndexLink"/>
              </w:rPr>
              <w:t>321</w:t>
            </w:r>
          </w:hyperlink>
        </w:p>
        <w:p>
          <w:pPr>
            <w:pStyle w:val="Contents4"/>
            <w:tabs>
              <w:tab w:val="clear" w:pos="8176"/>
              <w:tab w:val="right" w:pos="9026" w:leader="dot"/>
            </w:tabs>
            <w:rPr/>
          </w:pPr>
          <w:hyperlink w:anchor="__RefHeading___Toc1937166_1051229030">
            <w:r>
              <w:rPr>
                <w:webHidden/>
                <w:rStyle w:val="IndexLink"/>
                <w:rtl w:val="true"/>
              </w:rPr>
              <w:t>المقايسة الخاطئة مانعة من الوصول إلى الحقائق</w:t>
            </w:r>
            <w:r>
              <w:rPr>
                <w:rStyle w:val="IndexLink"/>
                <w:rtl w:val="true"/>
              </w:rPr>
              <w:tab/>
            </w:r>
            <w:r>
              <w:rPr>
                <w:rStyle w:val="IndexLink"/>
              </w:rPr>
              <w:t>322</w:t>
            </w:r>
          </w:hyperlink>
        </w:p>
        <w:p>
          <w:pPr>
            <w:pStyle w:val="Contents4"/>
            <w:tabs>
              <w:tab w:val="clear" w:pos="8176"/>
              <w:tab w:val="right" w:pos="9026" w:leader="dot"/>
            </w:tabs>
            <w:rPr/>
          </w:pPr>
          <w:hyperlink w:anchor="__RefHeading___Toc1937168_1051229030">
            <w:r>
              <w:rPr>
                <w:webHidden/>
                <w:rStyle w:val="IndexLink"/>
                <w:rtl w:val="true"/>
              </w:rPr>
              <w:t>الحيثيات المشكّكة</w:t>
            </w:r>
            <w:r>
              <w:rPr>
                <w:rStyle w:val="IndexLink"/>
                <w:rtl w:val="true"/>
              </w:rPr>
              <w:tab/>
            </w:r>
            <w:r>
              <w:rPr>
                <w:rStyle w:val="IndexLink"/>
              </w:rPr>
              <w:t>323</w:t>
            </w:r>
          </w:hyperlink>
        </w:p>
        <w:p>
          <w:pPr>
            <w:pStyle w:val="Contents4"/>
            <w:tabs>
              <w:tab w:val="clear" w:pos="8176"/>
              <w:tab w:val="right" w:pos="9026" w:leader="dot"/>
            </w:tabs>
            <w:rPr/>
          </w:pPr>
          <w:hyperlink w:anchor="__RefHeading___Toc1937170_1051229030">
            <w:r>
              <w:rPr>
                <w:webHidden/>
                <w:rStyle w:val="IndexLink"/>
                <w:rtl w:val="true"/>
              </w:rPr>
              <w:t>الحركة العبودية تناسب المرتبة الوجودية</w:t>
            </w:r>
            <w:r>
              <w:rPr>
                <w:rStyle w:val="IndexLink"/>
                <w:rtl w:val="true"/>
              </w:rPr>
              <w:tab/>
            </w:r>
            <w:r>
              <w:rPr>
                <w:rStyle w:val="IndexLink"/>
              </w:rPr>
              <w:t>324</w:t>
            </w:r>
          </w:hyperlink>
        </w:p>
        <w:p>
          <w:pPr>
            <w:pStyle w:val="Contents4"/>
            <w:tabs>
              <w:tab w:val="clear" w:pos="8176"/>
              <w:tab w:val="right" w:pos="9026" w:leader="dot"/>
            </w:tabs>
            <w:rPr/>
          </w:pPr>
          <w:hyperlink w:anchor="__RefHeading___Toc1937172_1051229030">
            <w:r>
              <w:rPr>
                <w:webHidden/>
                <w:rStyle w:val="IndexLink"/>
                <w:rtl w:val="true"/>
              </w:rPr>
              <w:t>التسليم بالطريق المحدد ضرورة تكوينية</w:t>
            </w:r>
            <w:r>
              <w:rPr>
                <w:rStyle w:val="IndexLink"/>
                <w:rtl w:val="true"/>
              </w:rPr>
              <w:tab/>
            </w:r>
            <w:r>
              <w:rPr>
                <w:rStyle w:val="IndexLink"/>
              </w:rPr>
              <w:t>325</w:t>
            </w:r>
          </w:hyperlink>
        </w:p>
        <w:p>
          <w:pPr>
            <w:pStyle w:val="Contents4"/>
            <w:tabs>
              <w:tab w:val="clear" w:pos="8176"/>
              <w:tab w:val="right" w:pos="9026" w:leader="dot"/>
            </w:tabs>
            <w:rPr/>
          </w:pPr>
          <w:hyperlink w:anchor="__RefHeading___Toc1937174_1051229030">
            <w:r>
              <w:rPr>
                <w:webHidden/>
                <w:rStyle w:val="IndexLink"/>
                <w:rtl w:val="true"/>
              </w:rPr>
              <w:t xml:space="preserve">إلى الله تصير الأُمور </w:t>
            </w:r>
            <w:r>
              <w:rPr>
                <w:rStyle w:val="IndexLink"/>
                <w:rtl w:val="true"/>
              </w:rPr>
              <w:t>(</w:t>
            </w:r>
            <w:r>
              <w:rPr>
                <w:rStyle w:val="IndexLink"/>
                <w:rtl w:val="true"/>
              </w:rPr>
              <w:t>هو الأوّل والآخر</w:t>
            </w:r>
            <w:r>
              <w:rPr>
                <w:rStyle w:val="IndexLink"/>
                <w:rtl w:val="true"/>
              </w:rPr>
              <w:t>)</w:t>
              <w:tab/>
            </w:r>
            <w:r>
              <w:rPr>
                <w:rStyle w:val="IndexLink"/>
              </w:rPr>
              <w:t>326</w:t>
            </w:r>
          </w:hyperlink>
        </w:p>
        <w:p>
          <w:pPr>
            <w:pStyle w:val="Contents4"/>
            <w:tabs>
              <w:tab w:val="clear" w:pos="8176"/>
              <w:tab w:val="right" w:pos="9026" w:leader="dot"/>
            </w:tabs>
            <w:rPr/>
          </w:pPr>
          <w:hyperlink w:anchor="__RefHeading___Toc1937176_1051229030">
            <w:r>
              <w:rPr>
                <w:webHidden/>
                <w:rStyle w:val="IndexLink"/>
                <w:rtl w:val="true"/>
              </w:rPr>
              <w:t>العود لا يعني البطلان أو لحوق الجزء بالكل</w:t>
            </w:r>
            <w:r>
              <w:rPr>
                <w:rStyle w:val="IndexLink"/>
                <w:rtl w:val="true"/>
              </w:rPr>
              <w:tab/>
            </w:r>
            <w:r>
              <w:rPr>
                <w:rStyle w:val="IndexLink"/>
              </w:rPr>
              <w:t>327</w:t>
            </w:r>
          </w:hyperlink>
        </w:p>
        <w:p>
          <w:pPr>
            <w:pStyle w:val="Contents4"/>
            <w:tabs>
              <w:tab w:val="clear" w:pos="8176"/>
              <w:tab w:val="right" w:pos="9026" w:leader="dot"/>
            </w:tabs>
            <w:rPr/>
          </w:pPr>
          <w:hyperlink w:anchor="__RefHeading___Toc1937178_1051229030">
            <w:r>
              <w:rPr>
                <w:webHidden/>
                <w:rStyle w:val="IndexLink"/>
                <w:rtl w:val="true"/>
              </w:rPr>
              <w:t>النتيجة</w:t>
            </w:r>
            <w:r>
              <w:rPr>
                <w:rStyle w:val="IndexLink"/>
                <w:rtl w:val="true"/>
              </w:rPr>
              <w:tab/>
            </w:r>
            <w:r>
              <w:rPr>
                <w:rStyle w:val="IndexLink"/>
              </w:rPr>
              <w:t>331</w:t>
            </w:r>
          </w:hyperlink>
        </w:p>
        <w:p>
          <w:pPr>
            <w:pStyle w:val="Contents4"/>
            <w:tabs>
              <w:tab w:val="clear" w:pos="8176"/>
              <w:tab w:val="right" w:pos="9026" w:leader="dot"/>
            </w:tabs>
            <w:rPr/>
          </w:pPr>
          <w:hyperlink w:anchor="__RefHeading___Toc1937180_1051229030">
            <w:r>
              <w:rPr>
                <w:webHidden/>
                <w:rStyle w:val="IndexLink"/>
                <w:rtl w:val="true"/>
              </w:rPr>
              <w:t>تسبيح الموجودات</w:t>
            </w:r>
            <w:r>
              <w:rPr>
                <w:rStyle w:val="IndexLink"/>
                <w:rtl w:val="true"/>
              </w:rPr>
              <w:tab/>
            </w:r>
            <w:r>
              <w:rPr>
                <w:rStyle w:val="IndexLink"/>
              </w:rPr>
              <w:t>331</w:t>
            </w:r>
          </w:hyperlink>
        </w:p>
        <w:p>
          <w:pPr>
            <w:pStyle w:val="Contents4"/>
            <w:tabs>
              <w:tab w:val="clear" w:pos="8176"/>
              <w:tab w:val="right" w:pos="9026" w:leader="dot"/>
            </w:tabs>
            <w:rPr/>
          </w:pPr>
          <w:hyperlink w:anchor="__RefHeading___Toc1937182_1051229030">
            <w:r>
              <w:rPr>
                <w:webHidden/>
                <w:rStyle w:val="IndexLink"/>
                <w:rtl w:val="true"/>
              </w:rPr>
              <w:t>معنى التسبيح والحب والمرور السريع نحو الحق تعالى</w:t>
            </w:r>
            <w:r>
              <w:rPr>
                <w:rStyle w:val="IndexLink"/>
                <w:rtl w:val="true"/>
              </w:rPr>
              <w:tab/>
            </w:r>
            <w:r>
              <w:rPr>
                <w:rStyle w:val="IndexLink"/>
              </w:rPr>
              <w:t>334</w:t>
            </w:r>
          </w:hyperlink>
        </w:p>
        <w:p>
          <w:pPr>
            <w:pStyle w:val="Contents4"/>
            <w:tabs>
              <w:tab w:val="clear" w:pos="8176"/>
              <w:tab w:val="right" w:pos="9026" w:leader="dot"/>
            </w:tabs>
            <w:rPr/>
          </w:pPr>
          <w:hyperlink w:anchor="__RefHeading___Toc1937184_1051229030">
            <w:r>
              <w:rPr>
                <w:webHidden/>
                <w:rStyle w:val="IndexLink"/>
                <w:rtl w:val="true"/>
              </w:rPr>
              <w:t>الحركة العبودية حركة تسبيحية</w:t>
            </w:r>
            <w:r>
              <w:rPr>
                <w:rStyle w:val="IndexLink"/>
                <w:rtl w:val="true"/>
              </w:rPr>
              <w:tab/>
            </w:r>
            <w:r>
              <w:rPr>
                <w:rStyle w:val="IndexLink"/>
              </w:rPr>
              <w:t>336</w:t>
            </w:r>
          </w:hyperlink>
        </w:p>
        <w:p>
          <w:pPr>
            <w:pStyle w:val="Contents4"/>
            <w:tabs>
              <w:tab w:val="clear" w:pos="8176"/>
              <w:tab w:val="right" w:pos="9026" w:leader="dot"/>
            </w:tabs>
            <w:rPr/>
          </w:pPr>
          <w:hyperlink w:anchor="__RefHeading___Toc1937186_1051229030">
            <w:r>
              <w:rPr>
                <w:webHidden/>
                <w:rStyle w:val="IndexLink"/>
                <w:rtl w:val="true"/>
              </w:rPr>
              <w:t>النصوص الدالّة على التسبيح الكلّي دالّة على العَود الكلّي</w:t>
            </w:r>
            <w:r>
              <w:rPr>
                <w:rStyle w:val="IndexLink"/>
                <w:rtl w:val="true"/>
              </w:rPr>
              <w:tab/>
            </w:r>
            <w:r>
              <w:rPr>
                <w:rStyle w:val="IndexLink"/>
              </w:rPr>
              <w:t>338</w:t>
            </w:r>
          </w:hyperlink>
        </w:p>
        <w:p>
          <w:pPr>
            <w:pStyle w:val="Contents4"/>
            <w:tabs>
              <w:tab w:val="clear" w:pos="8176"/>
              <w:tab w:val="right" w:pos="9026" w:leader="dot"/>
            </w:tabs>
            <w:rPr/>
          </w:pPr>
          <w:hyperlink w:anchor="__RefHeading___Toc1937188_1051229030">
            <w:r>
              <w:rPr>
                <w:webHidden/>
                <w:rStyle w:val="IndexLink"/>
                <w:rtl w:val="true"/>
              </w:rPr>
              <w:t>دلائل العَود الكلّي أمر عامّ وكلّي</w:t>
            </w:r>
            <w:r>
              <w:rPr>
                <w:rStyle w:val="IndexLink"/>
                <w:rtl w:val="true"/>
              </w:rPr>
              <w:tab/>
            </w:r>
            <w:r>
              <w:rPr>
                <w:rStyle w:val="IndexLink"/>
              </w:rPr>
              <w:t>340</w:t>
            </w:r>
          </w:hyperlink>
        </w:p>
        <w:p>
          <w:pPr>
            <w:pStyle w:val="Contents3"/>
            <w:tabs>
              <w:tab w:val="clear" w:pos="8459"/>
              <w:tab w:val="right" w:pos="9026" w:leader="dot"/>
            </w:tabs>
            <w:rPr/>
          </w:pPr>
          <w:hyperlink w:anchor="__RefHeading___Toc1937190_1051229030">
            <w:r>
              <w:rPr>
                <w:webHidden/>
                <w:rStyle w:val="IndexLink"/>
                <w:rtl w:val="true"/>
              </w:rPr>
              <w:t>الجَهلُ المُرَکَّب الدَاءُ العُضَال</w:t>
            </w:r>
            <w:r>
              <w:rPr>
                <w:rStyle w:val="IndexLink"/>
                <w:rtl w:val="true"/>
              </w:rPr>
              <w:tab/>
            </w:r>
            <w:r>
              <w:rPr>
                <w:rStyle w:val="IndexLink"/>
              </w:rPr>
              <w:t>344</w:t>
            </w:r>
          </w:hyperlink>
        </w:p>
        <w:p>
          <w:pPr>
            <w:pStyle w:val="Contents4"/>
            <w:tabs>
              <w:tab w:val="clear" w:pos="8176"/>
              <w:tab w:val="right" w:pos="9026" w:leader="dot"/>
            </w:tabs>
            <w:rPr/>
          </w:pPr>
          <w:hyperlink w:anchor="__RefHeading___Toc1937192_1051229030">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1937194_1051229030">
            <w:r>
              <w:rPr>
                <w:webHidden/>
                <w:rStyle w:val="IndexLink"/>
                <w:rtl w:val="true"/>
              </w:rPr>
              <w:t>ضمن منهج الإصلاح</w:t>
            </w:r>
            <w:r>
              <w:rPr>
                <w:rStyle w:val="IndexLink"/>
                <w:rtl w:val="true"/>
              </w:rPr>
              <w:tab/>
            </w:r>
            <w:r>
              <w:rPr>
                <w:rStyle w:val="IndexLink"/>
              </w:rPr>
              <w:t>344</w:t>
            </w:r>
          </w:hyperlink>
        </w:p>
        <w:p>
          <w:pPr>
            <w:pStyle w:val="Contents4"/>
            <w:tabs>
              <w:tab w:val="clear" w:pos="8176"/>
              <w:tab w:val="right" w:pos="9026" w:leader="dot"/>
            </w:tabs>
            <w:rPr/>
          </w:pPr>
          <w:hyperlink w:anchor="__RefHeading___Toc1937196_1051229030">
            <w:r>
              <w:rPr>
                <w:webHidden/>
                <w:rStyle w:val="IndexLink"/>
                <w:rtl w:val="true"/>
              </w:rPr>
              <w:t>تعريف الجهل المركب</w:t>
            </w:r>
            <w:r>
              <w:rPr>
                <w:rStyle w:val="IndexLink"/>
                <w:rtl w:val="true"/>
              </w:rPr>
              <w:tab/>
            </w:r>
            <w:r>
              <w:rPr>
                <w:rStyle w:val="IndexLink"/>
              </w:rPr>
              <w:t>345</w:t>
            </w:r>
          </w:hyperlink>
        </w:p>
        <w:p>
          <w:pPr>
            <w:pStyle w:val="Contents4"/>
            <w:tabs>
              <w:tab w:val="clear" w:pos="8176"/>
              <w:tab w:val="right" w:pos="9026" w:leader="dot"/>
            </w:tabs>
            <w:rPr/>
          </w:pPr>
          <w:hyperlink w:anchor="__RefHeading___Toc1937198_1051229030">
            <w:r>
              <w:rPr>
                <w:webHidden/>
                <w:rStyle w:val="IndexLink"/>
                <w:rtl w:val="true"/>
              </w:rPr>
              <w:t>الجهل المركب في القرآن والسنّة</w:t>
            </w:r>
            <w:r>
              <w:rPr>
                <w:rStyle w:val="IndexLink"/>
                <w:rtl w:val="true"/>
              </w:rPr>
              <w:tab/>
            </w:r>
            <w:r>
              <w:rPr>
                <w:rStyle w:val="IndexLink"/>
              </w:rPr>
              <w:t>347</w:t>
            </w:r>
          </w:hyperlink>
        </w:p>
        <w:p>
          <w:pPr>
            <w:pStyle w:val="Contents4"/>
            <w:tabs>
              <w:tab w:val="clear" w:pos="8176"/>
              <w:tab w:val="right" w:pos="9026" w:leader="dot"/>
            </w:tabs>
            <w:rPr/>
          </w:pPr>
          <w:hyperlink w:anchor="__RefHeading___Toc1937200_1051229030">
            <w:r>
              <w:rPr>
                <w:webHidden/>
                <w:rStyle w:val="IndexLink"/>
                <w:rtl w:val="true"/>
              </w:rPr>
              <w:t>مَن هم أكثر الناس إصابةً بهذا المرض؟</w:t>
            </w:r>
            <w:r>
              <w:rPr>
                <w:rStyle w:val="IndexLink"/>
                <w:rtl w:val="true"/>
              </w:rPr>
              <w:tab/>
            </w:r>
            <w:r>
              <w:rPr>
                <w:rStyle w:val="IndexLink"/>
              </w:rPr>
              <w:t>349</w:t>
            </w:r>
          </w:hyperlink>
        </w:p>
        <w:p>
          <w:pPr>
            <w:pStyle w:val="Contents4"/>
            <w:tabs>
              <w:tab w:val="clear" w:pos="8176"/>
              <w:tab w:val="right" w:pos="9026" w:leader="dot"/>
            </w:tabs>
            <w:rPr/>
          </w:pPr>
          <w:hyperlink w:anchor="__RefHeading___Toc1937202_1051229030">
            <w:r>
              <w:rPr>
                <w:webHidden/>
                <w:rStyle w:val="IndexLink"/>
                <w:rtl w:val="true"/>
              </w:rPr>
              <w:t>الخروج عن الاختصاص</w:t>
            </w:r>
            <w:r>
              <w:rPr>
                <w:rStyle w:val="IndexLink"/>
                <w:rtl w:val="true"/>
              </w:rPr>
              <w:tab/>
            </w:r>
            <w:r>
              <w:rPr>
                <w:rStyle w:val="IndexLink"/>
              </w:rPr>
              <w:t>350</w:t>
            </w:r>
          </w:hyperlink>
        </w:p>
        <w:p>
          <w:pPr>
            <w:pStyle w:val="Contents4"/>
            <w:tabs>
              <w:tab w:val="clear" w:pos="8176"/>
              <w:tab w:val="right" w:pos="9026" w:leader="dot"/>
            </w:tabs>
            <w:rPr/>
          </w:pPr>
          <w:hyperlink w:anchor="__RefHeading___Toc1937204_1051229030">
            <w:r>
              <w:rPr>
                <w:webHidden/>
                <w:rStyle w:val="IndexLink"/>
                <w:rtl w:val="true"/>
              </w:rPr>
              <w:t>أعراض الجهل المركب وتبعاته</w:t>
            </w:r>
            <w:r>
              <w:rPr>
                <w:rStyle w:val="IndexLink"/>
                <w:rtl w:val="true"/>
              </w:rPr>
              <w:tab/>
            </w:r>
            <w:r>
              <w:rPr>
                <w:rStyle w:val="IndexLink"/>
              </w:rPr>
              <w:t>352</w:t>
            </w:r>
          </w:hyperlink>
        </w:p>
        <w:p>
          <w:pPr>
            <w:pStyle w:val="Contents4"/>
            <w:tabs>
              <w:tab w:val="clear" w:pos="8176"/>
              <w:tab w:val="right" w:pos="9026" w:leader="dot"/>
            </w:tabs>
            <w:rPr/>
          </w:pPr>
          <w:hyperlink w:anchor="__RefHeading___Toc1937206_1051229030">
            <w:r>
              <w:rPr>
                <w:webHidden/>
                <w:rStyle w:val="IndexLink"/>
                <w:rtl w:val="true"/>
              </w:rPr>
              <w:t>الجهل المركب حالة حيوانية</w:t>
            </w:r>
            <w:r>
              <w:rPr>
                <w:rStyle w:val="IndexLink"/>
                <w:rtl w:val="true"/>
              </w:rPr>
              <w:tab/>
            </w:r>
            <w:r>
              <w:rPr>
                <w:rStyle w:val="IndexLink"/>
              </w:rPr>
              <w:t>354</w:t>
            </w:r>
          </w:hyperlink>
        </w:p>
        <w:p>
          <w:pPr>
            <w:pStyle w:val="Contents4"/>
            <w:tabs>
              <w:tab w:val="clear" w:pos="8176"/>
              <w:tab w:val="right" w:pos="9026" w:leader="dot"/>
            </w:tabs>
            <w:rPr/>
          </w:pPr>
          <w:hyperlink w:anchor="__RefHeading___Toc1937208_1051229030">
            <w:r>
              <w:rPr>
                <w:webHidden/>
                <w:rStyle w:val="IndexLink"/>
                <w:rtl w:val="true"/>
              </w:rPr>
              <w:t>في علاج الجهل المركب</w:t>
            </w:r>
            <w:r>
              <w:rPr>
                <w:rStyle w:val="IndexLink"/>
                <w:rtl w:val="true"/>
              </w:rPr>
              <w:tab/>
            </w:r>
            <w:r>
              <w:rPr>
                <w:rStyle w:val="IndexLink"/>
              </w:rPr>
              <w:t>355</w:t>
            </w:r>
          </w:hyperlink>
        </w:p>
        <w:p>
          <w:pPr>
            <w:pStyle w:val="Contents5"/>
            <w:tabs>
              <w:tab w:val="clear" w:pos="7892"/>
              <w:tab w:val="right" w:pos="9026" w:leader="dot"/>
            </w:tabs>
            <w:rPr/>
          </w:pPr>
          <w:hyperlink w:anchor="__RefHeading___Toc1937210_105122903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937212_1051229030">
            <w:r>
              <w:rPr>
                <w:webHidden/>
                <w:rStyle w:val="IndexLink"/>
                <w:rtl w:val="true"/>
              </w:rPr>
              <w:t>المرحلة الأُولى</w:t>
            </w:r>
            <w:r>
              <w:rPr>
                <w:rStyle w:val="IndexLink"/>
                <w:rtl w:val="true"/>
              </w:rPr>
              <w:t xml:space="preserve">: </w:t>
            </w:r>
            <w:r>
              <w:rPr>
                <w:rStyle w:val="IndexLink"/>
                <w:rtl w:val="true"/>
              </w:rPr>
              <w:t>منع حصول هذا الداء بتجفيف منابعه</w:t>
            </w:r>
            <w:r>
              <w:rPr>
                <w:rStyle w:val="IndexLink"/>
                <w:rtl w:val="true"/>
              </w:rPr>
              <w:tab/>
            </w:r>
            <w:r>
              <w:rPr>
                <w:rStyle w:val="IndexLink"/>
              </w:rPr>
              <w:t>355</w:t>
            </w:r>
          </w:hyperlink>
        </w:p>
        <w:p>
          <w:pPr>
            <w:pStyle w:val="Contents5"/>
            <w:tabs>
              <w:tab w:val="clear" w:pos="7892"/>
              <w:tab w:val="right" w:pos="9026" w:leader="dot"/>
            </w:tabs>
            <w:rPr/>
          </w:pPr>
          <w:hyperlink w:anchor="__RefHeading___Toc1937214_1051229030">
            <w:r>
              <w:rPr>
                <w:webHidden/>
                <w:rStyle w:val="IndexLink"/>
                <w:rtl w:val="true"/>
              </w:rPr>
              <w:t>المرحلة الثانية</w:t>
            </w:r>
            <w:r>
              <w:rPr>
                <w:rStyle w:val="IndexLink"/>
                <w:rtl w:val="true"/>
              </w:rPr>
              <w:t xml:space="preserve">: </w:t>
            </w:r>
            <w:r>
              <w:rPr>
                <w:rStyle w:val="IndexLink"/>
                <w:rtl w:val="true"/>
              </w:rPr>
              <w:t>محاولة علاج هذا الداء بعد حصوله</w:t>
            </w:r>
            <w:r>
              <w:rPr>
                <w:rStyle w:val="IndexLink"/>
                <w:rtl w:val="true"/>
              </w:rPr>
              <w:tab/>
            </w:r>
            <w:r>
              <w:rPr>
                <w:rStyle w:val="IndexLink"/>
              </w:rPr>
              <w:t>358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48_76786"/>
      <w:bookmarkStart w:id="1" w:name="pg7448_76786"/>
      <w:bookmarkEnd w:id="1"/>
    </w:p>
    <w:p>
      <w:pPr>
        <w:pStyle w:val="Heading2"/>
        <w:numPr>
          <w:ilvl w:val="1"/>
          <w:numId w:val="1"/>
        </w:numPr>
        <w:rPr/>
      </w:pPr>
      <w:bookmarkStart w:id="2" w:name="pg7448_76786"/>
      <w:bookmarkStart w:id="3" w:name="__RefHeading___Toc1936632_1051229030"/>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اِنَّما خَرَجْتُ لِطَلَبِ الاِصْلاحِ في اُمّهِ جَدّي</w:t>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مَجَلةٌ فَصلِیّةُ مُتخَصِّصَةُ في النّهضَةِ وَ تُعنیَ بالدِّرَاسَّاتِ الدِّینِیَّةِ</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w:t>
      </w:r>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IRNazanin" w:hAnsi="IRNazanin" w:eastAsia="IRNazanin"/>
          <w:color w:val="111111"/>
          <w:sz w:val="28"/>
          <w:sz w:val="28"/>
          <w:szCs w:val="28"/>
          <w:rtl w:val="true"/>
          <w:lang w:bidi="fa-IR"/>
        </w:rPr>
        <w:t>السنة الثانیة</w:t>
      </w:r>
      <w:r>
        <w:rPr>
          <w:rFonts w:eastAsia="IRNazanin" w:cs="IRNazanin"/>
          <w:color w:val="111111"/>
          <w:sz w:val="28"/>
          <w:szCs w:val="28"/>
          <w:rtl w:val="true"/>
          <w:lang w:bidi="fa-IR"/>
        </w:rPr>
        <w:t>(</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3663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مَجَلةٌ فَصلِیّةُ مُتخَصِّصَةُ في النّهضَةِ وَ تُعنیَ بالدِّرَاسَّاتِ الدِّینِیَّةِ</w:t>
      </w:r>
    </w:p>
    <w:p>
      <w:pPr>
        <w:pStyle w:val="BookText"/>
        <w:rPr/>
      </w:pPr>
      <w:r>
        <w:rPr>
          <w:rFonts w:ascii="Amiri" w:hAnsi="Amiri" w:eastAsia="Amiri" w:cs="Amiri"/>
          <w:color w:val="111111"/>
          <w:sz w:val="28"/>
          <w:sz w:val="28"/>
          <w:szCs w:val="28"/>
          <w:rtl w:val="true"/>
          <w:lang w:bidi="ar-SA"/>
        </w:rPr>
        <w:t>الهَیئَة الاستشَارِیَّة</w:t>
      </w:r>
    </w:p>
    <w:p>
      <w:pPr>
        <w:pStyle w:val="BookText"/>
        <w:rPr/>
      </w:pPr>
      <w:r>
        <w:rPr>
          <w:rFonts w:ascii="IRNazanin" w:hAnsi="IRNazanin" w:eastAsia="IRNazanin"/>
          <w:color w:val="111111"/>
          <w:sz w:val="28"/>
          <w:sz w:val="28"/>
          <w:szCs w:val="28"/>
          <w:rtl w:val="true"/>
          <w:lang w:bidi="fa-IR"/>
        </w:rPr>
        <w:t>آیة الله السید عادل العلوي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السید ریاض الحکیم</w:t>
      </w:r>
    </w:p>
    <w:p>
      <w:pPr>
        <w:pStyle w:val="BookText"/>
        <w:rPr/>
      </w:pPr>
      <w:r>
        <w:rPr>
          <w:rFonts w:ascii="IRNazanin" w:hAnsi="IRNazanin" w:eastAsia="IRNazanin"/>
          <w:color w:val="111111"/>
          <w:sz w:val="28"/>
          <w:sz w:val="28"/>
          <w:szCs w:val="28"/>
          <w:rtl w:val="true"/>
          <w:lang w:bidi="fa-IR"/>
        </w:rPr>
        <w:t>آیة الله الشیخ محمد السنــد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العلامةالدکتور الشیخ محمدباقر المقدسي</w:t>
      </w:r>
    </w:p>
    <w:p>
      <w:pPr>
        <w:pStyle w:val="BookText"/>
        <w:rPr/>
      </w:pPr>
      <w:r>
        <w:rPr>
          <w:rFonts w:ascii="IRNazanin" w:hAnsi="IRNazanin" w:eastAsia="IRNazanin"/>
          <w:color w:val="111111"/>
          <w:sz w:val="28"/>
          <w:sz w:val="28"/>
          <w:szCs w:val="28"/>
          <w:rtl w:val="true"/>
          <w:lang w:bidi="fa-IR"/>
        </w:rPr>
        <w:t>آیة الله الشیخ مهدي الآصفي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المحقق السیدمحمد صادق الخرسان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السید منیر الخبــاز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العلامة الشیخ عبد المهدي الکربلائي </w:t>
      </w:r>
    </w:p>
    <w:p>
      <w:pPr>
        <w:pStyle w:val="BookText"/>
        <w:rPr/>
      </w:pPr>
      <w:r>
        <w:rPr>
          <w:rFonts w:ascii="Amiri" w:hAnsi="Amiri" w:eastAsia="Amiri" w:cs="Amiri"/>
          <w:color w:val="111111"/>
          <w:sz w:val="28"/>
          <w:sz w:val="28"/>
          <w:szCs w:val="28"/>
          <w:rtl w:val="true"/>
          <w:lang w:bidi="ar-SA"/>
        </w:rPr>
        <w:t>الاِصلَاحُ الحُسَینيُّ</w:t>
      </w:r>
    </w:p>
    <w:p>
      <w:pPr>
        <w:pStyle w:val="BookText"/>
        <w:rPr/>
      </w:pPr>
      <w:r>
        <w:rPr>
          <w:rFonts w:ascii="Amiri" w:hAnsi="Amiri" w:eastAsia="Amiri" w:cs="Amiri"/>
          <w:color w:val="111111"/>
          <w:sz w:val="28"/>
          <w:sz w:val="28"/>
          <w:szCs w:val="28"/>
          <w:rtl w:val="true"/>
          <w:lang w:bidi="ar-SA"/>
        </w:rPr>
        <w:t>تصدر عن مركز الدراسات التخصصية</w:t>
      </w:r>
    </w:p>
    <w:p>
      <w:pPr>
        <w:pStyle w:val="BookText"/>
        <w:rPr/>
      </w:pPr>
      <w:r>
        <w:rPr>
          <w:rFonts w:ascii="Amiri" w:hAnsi="Amiri" w:eastAsia="Amiri" w:cs="Amiri"/>
          <w:color w:val="111111"/>
          <w:sz w:val="28"/>
          <w:sz w:val="28"/>
          <w:szCs w:val="28"/>
          <w:rtl w:val="true"/>
          <w:lang w:bidi="ar-SA"/>
        </w:rPr>
        <w:t>في النهضة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قسم الشؤون الفكرية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 xml:space="preserve">رئيس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قيصر التميمي</w:t>
      </w:r>
    </w:p>
    <w:p>
      <w:pPr>
        <w:pStyle w:val="BookText"/>
        <w:rPr/>
      </w:pPr>
      <w:r>
        <w:rPr>
          <w:rFonts w:ascii="Amiri" w:hAnsi="Amiri" w:eastAsia="Amiri" w:cs="Amiri"/>
          <w:color w:val="111111"/>
          <w:sz w:val="28"/>
          <w:sz w:val="28"/>
          <w:szCs w:val="28"/>
          <w:rtl w:val="true"/>
          <w:lang w:bidi="ar-SA"/>
        </w:rPr>
        <w:t>مدير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صباح عباس الساعدي</w:t>
      </w:r>
    </w:p>
    <w:p>
      <w:pPr>
        <w:pStyle w:val="BookText"/>
        <w:rPr/>
      </w:pPr>
      <w:r>
        <w:rPr>
          <w:rFonts w:ascii="Amiri" w:hAnsi="Amiri" w:eastAsia="Amiri" w:cs="Amiri"/>
          <w:color w:val="111111"/>
          <w:sz w:val="28"/>
          <w:sz w:val="28"/>
          <w:szCs w:val="28"/>
          <w:rtl w:val="true"/>
          <w:lang w:bidi="ar-SA"/>
        </w:rPr>
        <w:t>هيئة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حاتم البخاتي</w:t>
      </w:r>
    </w:p>
    <w:p>
      <w:pPr>
        <w:pStyle w:val="BookText"/>
        <w:rPr/>
      </w:pPr>
      <w:r>
        <w:rPr>
          <w:rFonts w:ascii="Amiri" w:hAnsi="Amiri" w:eastAsia="Amiri" w:cs="Amiri"/>
          <w:color w:val="111111"/>
          <w:sz w:val="28"/>
          <w:sz w:val="28"/>
          <w:szCs w:val="28"/>
          <w:rtl w:val="true"/>
          <w:lang w:bidi="ar-SA"/>
        </w:rPr>
        <w:t>الشيخ مشتاق الساعدي</w:t>
      </w:r>
    </w:p>
    <w:p>
      <w:pPr>
        <w:pStyle w:val="BookText"/>
        <w:rPr/>
      </w:pPr>
      <w:r>
        <w:rPr>
          <w:rFonts w:ascii="Amiri" w:hAnsi="Amiri" w:eastAsia="Amiri" w:cs="Amiri"/>
          <w:color w:val="111111"/>
          <w:sz w:val="28"/>
          <w:sz w:val="28"/>
          <w:szCs w:val="28"/>
          <w:rtl w:val="true"/>
          <w:lang w:bidi="ar-SA"/>
        </w:rPr>
        <w:t>الشيخ رافد عساف التميمي</w:t>
      </w:r>
    </w:p>
    <w:p>
      <w:pPr>
        <w:pStyle w:val="BookText"/>
        <w:rPr/>
      </w:pPr>
      <w:r>
        <w:rPr>
          <w:rFonts w:ascii="Amiri" w:hAnsi="Amiri" w:eastAsia="Amiri" w:cs="Amiri"/>
          <w:color w:val="111111"/>
          <w:sz w:val="28"/>
          <w:sz w:val="28"/>
          <w:szCs w:val="28"/>
          <w:rtl w:val="true"/>
          <w:lang w:bidi="ar-SA"/>
        </w:rPr>
        <w:t>المقابلة وتقويم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عدنان الطائي</w:t>
      </w:r>
    </w:p>
    <w:p>
      <w:pPr>
        <w:pStyle w:val="BookText"/>
        <w:rPr/>
      </w:pPr>
      <w:r>
        <w:rPr>
          <w:rFonts w:ascii="Amiri" w:hAnsi="Amiri" w:eastAsia="Amiri" w:cs="Amiri"/>
          <w:color w:val="111111"/>
          <w:sz w:val="28"/>
          <w:sz w:val="28"/>
          <w:szCs w:val="28"/>
          <w:rtl w:val="true"/>
          <w:lang w:bidi="ar-SA"/>
        </w:rPr>
        <w:t>الشيخ عصام السعيد</w:t>
      </w:r>
    </w:p>
    <w:p>
      <w:pPr>
        <w:pStyle w:val="BookText"/>
        <w:rPr/>
      </w:pPr>
      <w:r>
        <w:rPr>
          <w:rFonts w:ascii="Amiri" w:hAnsi="Amiri" w:eastAsia="Amiri" w:cs="Amiri"/>
          <w:color w:val="111111"/>
          <w:sz w:val="28"/>
          <w:sz w:val="28"/>
          <w:szCs w:val="28"/>
          <w:rtl w:val="true"/>
          <w:lang w:bidi="ar-SA"/>
        </w:rPr>
        <w:t>الشيخ مصطفى الدالي</w:t>
      </w:r>
    </w:p>
    <w:p>
      <w:pPr>
        <w:pStyle w:val="BookText"/>
        <w:rPr/>
      </w:pPr>
      <w:r>
        <w:rPr>
          <w:rFonts w:ascii="Amiri" w:hAnsi="Amiri" w:eastAsia="Amiri" w:cs="Amiri"/>
          <w:color w:val="111111"/>
          <w:sz w:val="28"/>
          <w:sz w:val="28"/>
          <w:szCs w:val="28"/>
          <w:rtl w:val="true"/>
          <w:lang w:bidi="ar-SA"/>
        </w:rPr>
        <w:t>التصميم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الزهرة الطائي</w:t>
      </w:r>
    </w:p>
    <w:p>
      <w:pPr>
        <w:pStyle w:val="BookText"/>
        <w:rPr/>
      </w:pPr>
      <w:r>
        <w:rPr>
          <w:rFonts w:ascii="IRNazanin" w:hAnsi="IRNazanin" w:eastAsia="IRNazanin"/>
          <w:color w:val="111111"/>
          <w:sz w:val="28"/>
          <w:sz w:val="28"/>
          <w:szCs w:val="28"/>
          <w:rtl w:val="true"/>
          <w:lang w:bidi="fa-IR"/>
        </w:rPr>
        <w:t>الإشراف العام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سماحة الشيخ علي الفتلاوي</w:t>
      </w:r>
    </w:p>
    <w:p>
      <w:pPr>
        <w:pStyle w:val="BookText"/>
        <w:rPr/>
      </w:pPr>
      <w:r>
        <w:rPr>
          <w:rFonts w:ascii="Amiri" w:hAnsi="Amiri" w:eastAsia="Amiri" w:cs="Amiri"/>
          <w:color w:val="111111"/>
          <w:sz w:val="28"/>
          <w:sz w:val="28"/>
          <w:szCs w:val="28"/>
          <w:rtl w:val="true"/>
          <w:lang w:bidi="ar-SA"/>
        </w:rPr>
        <w:t>إدارة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باقر الساعدي</w:t>
      </w:r>
    </w:p>
    <w:p>
      <w:pPr>
        <w:pStyle w:val="BookText"/>
        <w:rPr/>
      </w:pPr>
      <w:r>
        <w:rPr>
          <w:rFonts w:ascii="Amiri" w:hAnsi="Amiri" w:eastAsia="Amiri" w:cs="Amiri"/>
          <w:color w:val="111111"/>
          <w:sz w:val="28"/>
          <w:sz w:val="28"/>
          <w:szCs w:val="28"/>
          <w:rtl w:val="true"/>
          <w:lang w:bidi="ar-SA"/>
        </w:rPr>
        <w:t>معاونية المركز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الشيخ عباس الحمداوي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السید علي الهاشمي</w:t>
      </w:r>
    </w:p>
    <w:p>
      <w:pPr>
        <w:pStyle w:val="BookText"/>
        <w:rPr/>
      </w:pPr>
      <w:r>
        <w:rPr>
          <w:rFonts w:ascii="IRNazanin" w:hAnsi="IRNazanin" w:eastAsia="IRNazanin"/>
          <w:color w:val="111111"/>
          <w:sz w:val="28"/>
          <w:sz w:val="28"/>
          <w:szCs w:val="28"/>
          <w:rtl w:val="true"/>
          <w:lang w:bidi="fa-IR"/>
        </w:rPr>
        <w:t xml:space="preserve">رقم الإیداع فط دارالکتب و 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الترقیم الدولي </w:t>
      </w:r>
      <w:r>
        <w:rPr>
          <w:rFonts w:eastAsia="Times New Roman" w:cs="Times New Roman" w:ascii="Times New Roman" w:hAnsi="Times New Roman"/>
          <w:color w:val="111111"/>
          <w:sz w:val="28"/>
          <w:szCs w:val="28"/>
          <w:lang w:val="en-US" w:bidi="en-US"/>
        </w:rPr>
        <w:t>ISSN:978-964-984-240-7</w:t>
      </w:r>
      <w:r>
        <w:rPr>
          <w:rFonts w:eastAsia="Times New Roman" w:cs="Times New Roman" w:ascii="Times New Roman" w:hAnsi="Times New Roman"/>
          <w:color w:val="111111"/>
          <w:sz w:val="28"/>
          <w:szCs w:val="28"/>
          <w:rtl w:val="true"/>
          <w:lang w:val="en-US" w:bidi="en-US"/>
        </w:rPr>
        <w:t xml:space="preserve"> </w:t>
      </w:r>
      <w:bookmarkStart w:id="7" w:name="pg7448_76790"/>
    </w:p>
    <w:p>
      <w:pPr>
        <w:pStyle w:val="Heading2"/>
        <w:numPr>
          <w:ilvl w:val="1"/>
          <w:numId w:val="1"/>
        </w:numPr>
        <w:rPr/>
      </w:pPr>
      <w:bookmarkStart w:id="8" w:name="__RefHeading___Toc1936636_1051229030"/>
      <w:bookmarkStart w:id="9" w:name="_Toc3"/>
      <w:bookmarkEnd w:id="7"/>
      <w:bookmarkEnd w:id="8"/>
      <w:r>
        <w:rPr>
          <w:rtl w:val="true"/>
        </w:rPr>
        <w:t>هوية المجلّة</w:t>
      </w:r>
      <w:r>
        <w:rPr>
          <w:rtl w:val="true"/>
        </w:rPr>
        <w:t>:</w:t>
      </w:r>
      <w:bookmarkEnd w:id="9"/>
    </w:p>
    <w:p>
      <w:pPr>
        <w:pStyle w:val="BookText"/>
        <w:rPr/>
      </w:pPr>
      <w:r>
        <w:rPr>
          <w:rFonts w:ascii="Amiri" w:hAnsi="Amiri" w:eastAsia="Amiri" w:cs="Amiri"/>
          <w:color w:val="111111"/>
          <w:sz w:val="28"/>
          <w:sz w:val="28"/>
          <w:szCs w:val="28"/>
          <w:rtl w:val="true"/>
          <w:lang w:bidi="ar-SA"/>
        </w:rPr>
        <w:t>مجلّة علمية فصلية تخصصيّة تعنى بالبحوث المتخصّصة في مجال النهضة الحسينيّة، وكذا الدراسات العلمية في حقول المعرفة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 مركز الدراسات التخصصيّة في النهضة الحسينيّة في النجف الأشرف، التابع لقسم الشؤون الفكريّة في العتبة الحسينيّة المقدّسة</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1936638_1051229030"/>
      <w:bookmarkStart w:id="11" w:name="_Toc4"/>
      <w:bookmarkEnd w:id="10"/>
      <w:r>
        <w:rPr>
          <w:rtl w:val="true"/>
        </w:rPr>
        <w:t>اهتمام المجلّة</w:t>
      </w:r>
      <w:r>
        <w:rPr>
          <w:rtl w:val="true"/>
        </w:rPr>
        <w:t>:</w:t>
      </w:r>
      <w:bookmarkEnd w:id="11"/>
    </w:p>
    <w:p>
      <w:pPr>
        <w:pStyle w:val="BookText"/>
        <w:rPr/>
      </w:pPr>
      <w:r>
        <w:rPr>
          <w:rFonts w:ascii="Amiri" w:hAnsi="Amiri" w:eastAsia="Amiri" w:cs="Amiri"/>
          <w:color w:val="111111"/>
          <w:sz w:val="28"/>
          <w:sz w:val="28"/>
          <w:szCs w:val="28"/>
          <w:rtl w:val="true"/>
          <w:lang w:bidi="ar-SA"/>
        </w:rPr>
        <w:t>تهتمّ المجلّة بنشر معالم وآفاق الفكر الحسيني وتسليط الضوء على تاريخ النهضة الحسينيّة وتراثها، وكذا إبراز الجوانب الإنسانية والاجتماعية والفقهية والأدبية في تلك النهضة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تهتمّ المجلّة أيضاً باستقطاب ونشر البحوث والدراسات الدينيّة التخصّصية ذات الجوانب التجديديّة والإبداعيّة، وذلك في كافّة الحقول والمجالات، فتمتدّ لتشمل الدراسات القرآنية والعقديّة والفكريّة والتاريخيّة والفقهيّة، وكذا ما يرتبط بالتراث الديني، من الأدعية والزيارات والنصوص الدينيّة بشكل عام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فالمجلّة تتطلّع لاستيعاب جميع المجالات المهمّة والحسّاسة في أبواب العلوم والمعارف الدينيّة، شريطة أن تكون البحوث والدراسات متضمّنة لجوانب من الإبداع والحداثة والتجديد، مع حفظ روح الأصالة والتأسيس</w:t>
      </w:r>
      <w:r>
        <w:rPr>
          <w:rFonts w:eastAsia="Amiri" w:cs="Amiri" w:ascii="Amiri" w:hAnsi="Amiri"/>
          <w:color w:val="111111"/>
          <w:sz w:val="28"/>
          <w:szCs w:val="28"/>
          <w:rtl w:val="true"/>
          <w:lang w:bidi="ar-SA"/>
        </w:rPr>
        <w:t xml:space="preserve">. </w:t>
      </w:r>
      <w:bookmarkStart w:id="12" w:name="pg7448_76791"/>
    </w:p>
    <w:p>
      <w:pPr>
        <w:pStyle w:val="Heading2"/>
        <w:numPr>
          <w:ilvl w:val="1"/>
          <w:numId w:val="1"/>
        </w:numPr>
        <w:rPr/>
      </w:pPr>
      <w:bookmarkStart w:id="13" w:name="__RefHeading___Toc1936640_1051229030"/>
      <w:bookmarkStart w:id="14" w:name="_Toc5"/>
      <w:bookmarkEnd w:id="12"/>
      <w:bookmarkEnd w:id="13"/>
      <w:r>
        <w:rPr>
          <w:rtl w:val="true"/>
        </w:rPr>
        <w:t>أهداف المجلّة</w:t>
      </w:r>
      <w:r>
        <w:rPr>
          <w:rtl w:val="true"/>
        </w:rPr>
        <w:t>:</w:t>
      </w:r>
      <w:bookmarkEnd w:id="14"/>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إعطاء رؤية واضحة حول معالم النهضة الحسينيّة من خلال البحوث والدراسات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نشر أهداف وثقافة النهضة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إحياء التراث الديني والحسيني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فتح نافذة علميّة لتفعيل جانب الإبداع والتجديد والتأصيل الفكري في كافة حقول المعرفة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ـ الانفتاح على الواقع العلمي والفكري لدى العلماء والأساتذة والمفكرين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استثمار الأقلام الرائدة، وتطوير الطاقات العلمية الواعدة، واستقطاب البحوث والدراسات والمقالات العلميّة القيّمة لنشرها تعميماً للفائدة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ـ فسح المجال أمام الباحثين والمفكرين لنشر بحوثهم ودراساتهم، لتكون المجلّة رافداً من روافد تزكية العلم والمعرفة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ـ التصدّي للإجابة عن الشبهات والإشكاليات والقراءات غير الموزونة حول الدين بصورة عامّة والنهضة الحسينيّة بصورة خاصّة</w:t>
      </w:r>
      <w:r>
        <w:rPr>
          <w:rFonts w:eastAsia="Amiri" w:cs="Amiri" w:ascii="Amiri" w:hAnsi="Amiri"/>
          <w:color w:val="111111"/>
          <w:sz w:val="28"/>
          <w:szCs w:val="28"/>
          <w:rtl w:val="true"/>
          <w:lang w:bidi="ar-SA"/>
        </w:rPr>
        <w:t xml:space="preserve">. </w:t>
      </w:r>
      <w:bookmarkStart w:id="15" w:name="pg7448_76792"/>
    </w:p>
    <w:p>
      <w:pPr>
        <w:pStyle w:val="Heading2"/>
        <w:numPr>
          <w:ilvl w:val="1"/>
          <w:numId w:val="1"/>
        </w:numPr>
        <w:rPr/>
      </w:pPr>
      <w:bookmarkStart w:id="16" w:name="__RefHeading___Toc1936642_1051229030"/>
      <w:bookmarkStart w:id="17" w:name="_Toc6"/>
      <w:bookmarkEnd w:id="15"/>
      <w:bookmarkEnd w:id="16"/>
      <w:r>
        <w:rPr>
          <w:rtl w:val="true"/>
        </w:rPr>
        <w:t>ضوابط النشر</w:t>
      </w:r>
      <w:bookmarkEnd w:id="17"/>
    </w:p>
    <w:p>
      <w:pPr>
        <w:pStyle w:val="BookText"/>
        <w:rPr/>
      </w:pPr>
      <w:r>
        <w:rPr>
          <w:rFonts w:ascii="Amiri" w:hAnsi="Amiri" w:eastAsia="Amiri" w:cs="Amiri"/>
          <w:color w:val="111111"/>
          <w:sz w:val="28"/>
          <w:sz w:val="28"/>
          <w:szCs w:val="28"/>
          <w:rtl w:val="true"/>
          <w:lang w:bidi="ar-SA"/>
        </w:rPr>
        <w:t>تدعو المجلة العلماء والأساتذة والباحثين وكل من لديه اهتمام في مجال الكتابة والتحقيق إلى رفدها بنتاجاتهم القيّمة، على أمل ملاحظة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البحوث مرتبطة باختصاص المجلّة وأركانها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تكون منشورة أو بصدد النشر في كتاب أو 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ضمن المناهج العلمية المتبعة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بحوثاً مبتكرة وبلغة 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البحث على قرص ليزري فيما لو كان منضداً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حقوق النشر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الأفكار المطروحة لا تعبر بالضرورة عن رأي المجلّة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تعاد البحوث لأصحابها نشرت أم لم تنشر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يخضع ترتيب البحوث لاعتبارات 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إجراء التعديلات والتلخيصات اللازمة من صلاحيات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للمجلة حق إعادة نشر البحث أو المقال في كتاب أو ضمن كتاب منفصل، مع الحفاظ على نصه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w:t>
      </w: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كلمة تحسب صفحة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المجلة تتبع نظام المكافآت لأصحاب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الأولويّة في المجلّة للمقالات والبحوث الحسينية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المجلة غير ملزمة بنشر ما يقل عن </w:t>
      </w: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صفحة أو يزيد عن </w:t>
      </w: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صفحة</w:t>
      </w:r>
      <w:r>
        <w:rPr>
          <w:rFonts w:eastAsia="Amiri" w:cs="Amiri" w:ascii="Amiri" w:hAnsi="Amiri"/>
          <w:color w:val="111111"/>
          <w:sz w:val="28"/>
          <w:szCs w:val="28"/>
          <w:rtl w:val="true"/>
          <w:lang w:bidi="ar-SA"/>
        </w:rPr>
        <w:t xml:space="preserve">. </w:t>
      </w:r>
      <w:bookmarkStart w:id="18" w:name="pg7448_76793"/>
    </w:p>
    <w:p>
      <w:pPr>
        <w:pStyle w:val="Heading2"/>
        <w:numPr>
          <w:ilvl w:val="1"/>
          <w:numId w:val="1"/>
        </w:numPr>
        <w:rPr/>
      </w:pPr>
      <w:bookmarkStart w:id="19" w:name="__RefHeading___Toc1936644_1051229030"/>
      <w:bookmarkStart w:id="20" w:name="_Toc7"/>
      <w:bookmarkEnd w:id="18"/>
      <w:bookmarkEnd w:id="19"/>
      <w:r>
        <w:rPr>
          <w:rtl w:val="true"/>
        </w:rPr>
        <w:t>مراكز النشر</w:t>
      </w:r>
      <w:r>
        <w:rPr>
          <w:rtl w:val="true"/>
        </w:rPr>
        <w:t>:</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مشروع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العراق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المعرض الدائم في العتبة الحسينية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الإمام الهادي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فدك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كذرخان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الهاشمي</w:t>
      </w:r>
      <w:r>
        <w:rPr>
          <w:rFonts w:eastAsia="Amiri" w:cs="Amiri" w:ascii="Amiri" w:hAnsi="Amiri"/>
          <w:color w:val="111111"/>
          <w:sz w:val="28"/>
          <w:szCs w:val="28"/>
          <w:rtl w:val="true"/>
          <w:lang w:bidi="ar-SA"/>
        </w:rPr>
        <w:t xml:space="preserve">. </w:t>
      </w:r>
      <w:bookmarkStart w:id="21" w:name="pg7448_76794"/>
    </w:p>
    <w:p>
      <w:pPr>
        <w:pStyle w:val="Heading2"/>
        <w:numPr>
          <w:ilvl w:val="1"/>
          <w:numId w:val="1"/>
        </w:numPr>
        <w:rPr/>
      </w:pPr>
      <w:bookmarkStart w:id="22" w:name="__RefHeading___Toc1936646_1051229030"/>
      <w:bookmarkStart w:id="23" w:name="_Toc8"/>
      <w:bookmarkEnd w:id="21"/>
      <w:bookmarkEnd w:id="22"/>
      <w:r>
        <w:rPr>
          <w:rtl w:val="true"/>
        </w:rPr>
        <w:t>المُحتَویَات</w:t>
      </w:r>
      <w:bookmarkEnd w:id="23"/>
    </w:p>
    <w:p>
      <w:pPr>
        <w:pStyle w:val="BookText"/>
        <w:rPr/>
      </w:pPr>
      <w:r>
        <w:rPr>
          <w:rFonts w:ascii="Amiri" w:hAnsi="Amiri" w:eastAsia="Amiri" w:cs="Amiri"/>
          <w:color w:val="111111"/>
          <w:sz w:val="28"/>
          <w:sz w:val="28"/>
          <w:szCs w:val="28"/>
          <w:rtl w:val="true"/>
          <w:lang w:bidi="ar-SA"/>
        </w:rPr>
        <w:t>مقال التحرير</w:t>
      </w:r>
    </w:p>
    <w:p>
      <w:pPr>
        <w:pStyle w:val="BookText"/>
        <w:rPr/>
      </w:pPr>
      <w:r>
        <w:rPr>
          <w:rFonts w:ascii="Amiri" w:hAnsi="Amiri" w:eastAsia="Amiri" w:cs="Amiri"/>
          <w:color w:val="111111"/>
          <w:sz w:val="28"/>
          <w:sz w:val="28"/>
          <w:szCs w:val="28"/>
          <w:rtl w:val="true"/>
          <w:lang w:bidi="ar-SA"/>
        </w:rPr>
        <w:t>مجلة الإصلاح الحسيني في عامها الثاني</w:t>
      </w:r>
    </w:p>
    <w:p>
      <w:pPr>
        <w:pStyle w:val="BookText"/>
        <w:rPr/>
      </w:pPr>
      <w:r>
        <w:rPr>
          <w:rFonts w:ascii="Amiri" w:hAnsi="Amiri" w:eastAsia="Amiri" w:cs="Amiri"/>
          <w:color w:val="111111"/>
          <w:sz w:val="28"/>
          <w:sz w:val="28"/>
          <w:szCs w:val="28"/>
          <w:rtl w:val="true"/>
          <w:lang w:bidi="ar-SA"/>
        </w:rPr>
        <w:t>الشيخ قيصر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دراسات في آفاق النهضة الحسينية</w:t>
      </w:r>
    </w:p>
    <w:p>
      <w:pPr>
        <w:pStyle w:val="BookText"/>
        <w:rPr/>
      </w:pPr>
      <w:r>
        <w:rPr>
          <w:rFonts w:ascii="Amiri" w:hAnsi="Amiri" w:eastAsia="Amiri" w:cs="Amiri"/>
          <w:color w:val="111111"/>
          <w:sz w:val="28"/>
          <w:sz w:val="28"/>
          <w:szCs w:val="28"/>
          <w:rtl w:val="true"/>
          <w:lang w:bidi="ar-SA"/>
        </w:rPr>
        <w:t>توسعة حريم الزيارة زماناً ومكاناً</w:t>
      </w:r>
    </w:p>
    <w:p>
      <w:pPr>
        <w:pStyle w:val="BookText"/>
        <w:rPr/>
      </w:pPr>
      <w:r>
        <w:rPr>
          <w:rFonts w:ascii="Amiri" w:hAnsi="Amiri" w:eastAsia="Amiri" w:cs="Amiri"/>
          <w:color w:val="111111"/>
          <w:sz w:val="28"/>
          <w:sz w:val="28"/>
          <w:szCs w:val="28"/>
          <w:rtl w:val="true"/>
          <w:lang w:bidi="ar-SA"/>
        </w:rPr>
        <w:t xml:space="preserve">آية الله الشيخ محمد السند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المباني القرآنية لنهضة عاشوراء</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رضائي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ثورة الإصلاح وظروف المجتمع الإسلامي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الاستحواذ الأموي على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الشوكي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النهضة الحسينية والعناصر الحيويّة للإبداع والتأثير في الأمّة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نعمة جابر آل 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دراسات في تاريخ وتراث النهضة الحسينية</w:t>
      </w:r>
    </w:p>
    <w:p>
      <w:pPr>
        <w:pStyle w:val="BookText"/>
        <w:rPr/>
      </w:pPr>
      <w:r>
        <w:rPr>
          <w:rFonts w:ascii="IRNazanin" w:hAnsi="IRNazanin" w:eastAsia="IRNazanin"/>
          <w:color w:val="111111"/>
          <w:sz w:val="28"/>
          <w:sz w:val="28"/>
          <w:szCs w:val="28"/>
          <w:rtl w:val="true"/>
          <w:lang w:bidi="fa-IR"/>
        </w:rPr>
        <w:t>نجوم في سماء الحسين علیه السلام</w:t>
      </w:r>
    </w:p>
    <w:p>
      <w:pPr>
        <w:pStyle w:val="BookText"/>
        <w:rPr/>
      </w:pP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انعطافة نحو المجد</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حاتم البخاتي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مقتل أبي مخنف الأزدي الكوفي</w:t>
      </w:r>
    </w:p>
    <w:p>
      <w:pPr>
        <w:pStyle w:val="BookText"/>
        <w:rPr/>
      </w:pPr>
      <w:r>
        <w:rPr>
          <w:rFonts w:ascii="Amiri" w:hAnsi="Amiri" w:eastAsia="Amiri" w:cs="Amiri"/>
          <w:color w:val="111111"/>
          <w:sz w:val="28"/>
          <w:sz w:val="28"/>
          <w:szCs w:val="28"/>
          <w:rtl w:val="true"/>
          <w:lang w:bidi="ar-SA"/>
        </w:rPr>
        <w:t>أشهر المقاتل الحسينية</w:t>
      </w:r>
    </w:p>
    <w:p>
      <w:pPr>
        <w:pStyle w:val="BookText"/>
        <w:rPr/>
      </w:pPr>
      <w:r>
        <w:rPr>
          <w:rFonts w:ascii="Amiri" w:hAnsi="Amiri" w:eastAsia="Amiri" w:cs="Amiri"/>
          <w:color w:val="111111"/>
          <w:sz w:val="28"/>
          <w:sz w:val="28"/>
          <w:szCs w:val="28"/>
          <w:rtl w:val="true"/>
          <w:lang w:bidi="ar-SA"/>
        </w:rPr>
        <w:t>الشيخ عامر الجابري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دراسات في فقه النهضة الحسينية</w:t>
      </w:r>
    </w:p>
    <w:p>
      <w:pPr>
        <w:pStyle w:val="BookText"/>
        <w:rPr/>
      </w:pPr>
      <w:r>
        <w:rPr>
          <w:rFonts w:ascii="Amiri" w:hAnsi="Amiri" w:eastAsia="Amiri" w:cs="Amiri"/>
          <w:color w:val="111111"/>
          <w:sz w:val="28"/>
          <w:sz w:val="28"/>
          <w:szCs w:val="28"/>
          <w:rtl w:val="true"/>
          <w:lang w:bidi="ar-SA"/>
        </w:rPr>
        <w:t>أفضل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الشيخ اسكندر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تعظيم الشعائر الحسينية تعظيم لحرمات الله تعالى</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مياسة مهدي شبع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مشي النساء إلى كربلاء</w:t>
      </w:r>
    </w:p>
    <w:p>
      <w:pPr>
        <w:pStyle w:val="BookText"/>
        <w:rPr/>
      </w:pPr>
      <w:r>
        <w:rPr>
          <w:rFonts w:ascii="Amiri" w:hAnsi="Amiri" w:eastAsia="Amiri" w:cs="Amiri"/>
          <w:color w:val="111111"/>
          <w:sz w:val="28"/>
          <w:sz w:val="28"/>
          <w:szCs w:val="28"/>
          <w:rtl w:val="true"/>
          <w:lang w:bidi="ar-SA"/>
        </w:rPr>
        <w:t>قراءة في الأدلة والنصوص الشرعية</w:t>
      </w:r>
    </w:p>
    <w:p>
      <w:pPr>
        <w:pStyle w:val="BookText"/>
        <w:rPr/>
      </w:pPr>
      <w:r>
        <w:rPr>
          <w:rFonts w:ascii="Amiri" w:hAnsi="Amiri" w:eastAsia="Amiri" w:cs="Amiri"/>
          <w:color w:val="111111"/>
          <w:sz w:val="28"/>
          <w:sz w:val="28"/>
          <w:szCs w:val="28"/>
          <w:rtl w:val="true"/>
          <w:lang w:bidi="ar-SA"/>
        </w:rPr>
        <w:t xml:space="preserve">الشيخ مشتاق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دراسات دينية</w:t>
      </w:r>
    </w:p>
    <w:p>
      <w:pPr>
        <w:pStyle w:val="BookText"/>
        <w:rPr/>
      </w:pPr>
      <w:r>
        <w:rPr>
          <w:rFonts w:ascii="Amiri" w:hAnsi="Amiri" w:eastAsia="Amiri" w:cs="Amiri"/>
          <w:color w:val="111111"/>
          <w:sz w:val="28"/>
          <w:sz w:val="28"/>
          <w:szCs w:val="28"/>
          <w:rtl w:val="true"/>
          <w:lang w:bidi="ar-SA"/>
        </w:rPr>
        <w:t>ضرورة التجديد في منهجة علم الأُصول</w:t>
      </w:r>
    </w:p>
    <w:p>
      <w:pPr>
        <w:pStyle w:val="BookText"/>
        <w:rPr/>
      </w:pPr>
      <w:r>
        <w:rPr>
          <w:rFonts w:ascii="Amiri" w:hAnsi="Amiri" w:eastAsia="Amiri" w:cs="Amiri"/>
          <w:color w:val="111111"/>
          <w:sz w:val="28"/>
          <w:sz w:val="28"/>
          <w:szCs w:val="28"/>
          <w:rtl w:val="true"/>
          <w:lang w:bidi="ar-SA"/>
        </w:rPr>
        <w:t xml:space="preserve">الشيخ رافد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المعاد في الرؤية القرآنية</w:t>
      </w:r>
    </w:p>
    <w:p>
      <w:pPr>
        <w:pStyle w:val="BookText"/>
        <w:rPr/>
      </w:pPr>
      <w:r>
        <w:rPr>
          <w:rFonts w:ascii="Amiri" w:hAnsi="Amiri" w:eastAsia="Amiri" w:cs="Amiri"/>
          <w:color w:val="111111"/>
          <w:sz w:val="28"/>
          <w:sz w:val="28"/>
          <w:szCs w:val="28"/>
          <w:rtl w:val="true"/>
          <w:lang w:bidi="ar-SA"/>
        </w:rPr>
        <w:t xml:space="preserve">السيد محمد الشجاعي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فضيل الجزائري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 العضال</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الكروي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bookmarkStart w:id="24" w:name="pg7448_76796"/>
    </w:p>
    <w:p>
      <w:pPr>
        <w:pStyle w:val="Heading2"/>
        <w:numPr>
          <w:ilvl w:val="1"/>
          <w:numId w:val="1"/>
        </w:numPr>
        <w:rPr/>
      </w:pPr>
      <w:bookmarkStart w:id="25" w:name="__RefHeading___Toc1936648_1051229030"/>
      <w:bookmarkStart w:id="26" w:name="_Toc9"/>
      <w:bookmarkEnd w:id="24"/>
      <w:bookmarkEnd w:id="25"/>
      <w:r>
        <w:rPr>
          <w:rtl w:val="true"/>
        </w:rPr>
        <w:t>مَقَالُ التَحريِر</w:t>
      </w:r>
      <w:bookmarkEnd w:id="26"/>
    </w:p>
    <w:p>
      <w:pPr>
        <w:pStyle w:val="Heading3"/>
        <w:numPr>
          <w:ilvl w:val="2"/>
          <w:numId w:val="1"/>
        </w:numPr>
        <w:rPr/>
      </w:pPr>
      <w:bookmarkStart w:id="27" w:name="__RefHeading___Toc1936650_1051229030"/>
      <w:bookmarkStart w:id="28" w:name="_Toc10"/>
      <w:bookmarkEnd w:id="27"/>
      <w:r>
        <w:rPr>
          <w:rtl w:val="true"/>
        </w:rPr>
        <w:t>اشارة</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الإصلَاحِ الحُسَينيّ في عَامِهَا الثَاني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7448_76798"/>
      <w:bookmarkStart w:id="30" w:name="pg7448_76798"/>
      <w:bookmarkEnd w:id="30"/>
    </w:p>
    <w:p>
      <w:pPr>
        <w:pStyle w:val="Heading3"/>
        <w:numPr>
          <w:ilvl w:val="2"/>
          <w:numId w:val="1"/>
        </w:numPr>
        <w:rPr/>
      </w:pPr>
      <w:bookmarkStart w:id="31" w:name="pg7448_76798"/>
      <w:bookmarkStart w:id="32" w:name="__RefHeading___Toc1936652_1051229030"/>
      <w:bookmarkStart w:id="33" w:name="_Toc11"/>
      <w:bookmarkEnd w:id="31"/>
      <w:bookmarkEnd w:id="32"/>
      <w:r>
        <w:rPr>
          <w:rtl w:val="true"/>
        </w:rPr>
        <w:t>مَجَلّةُ الإصلَاحِ الحُسَينيّ في عَامِهَا الثَاني</w:t>
      </w:r>
      <w:bookmarkEnd w:id="33"/>
    </w:p>
    <w:p>
      <w:pPr>
        <w:pStyle w:val="Heading4"/>
        <w:numPr>
          <w:ilvl w:val="3"/>
          <w:numId w:val="1"/>
        </w:numPr>
        <w:rPr/>
      </w:pPr>
      <w:bookmarkStart w:id="34" w:name="__RefHeading___Toc1936654_1051229030"/>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الشيخ قيصر التميمي</w:t>
      </w:r>
    </w:p>
    <w:p>
      <w:pPr>
        <w:pStyle w:val="BookText"/>
        <w:rPr/>
      </w:pPr>
      <w:r>
        <w:rPr>
          <w:rFonts w:ascii="Amiri" w:hAnsi="Amiri" w:eastAsia="Amiri" w:cs="Amiri"/>
          <w:color w:val="111111"/>
          <w:sz w:val="28"/>
          <w:sz w:val="28"/>
          <w:szCs w:val="28"/>
          <w:rtl w:val="true"/>
          <w:lang w:bidi="ar-SA"/>
        </w:rPr>
        <w:t>تُضيء مجلة الإصلاح الحسيني شمعتها الثانية بعد أن قطعت شوطاً من التميّز والتألق في سنتها الأُولى، وقد خاضت هذه المجلة المباركة تجربة موفقة وناجحة بكل المعايير وفي جميع الأصعدة؛ فمثّلت مسيرة مولود بسنة واحدة يتطاول المجد، ينمو ويكبر متخطّياً أقرانه، وقد اجتمع لدى أُسرة المجلة استطلاع واسع للرأي في الأوساط العلمية والثقافية، يتجلّى منه بوضوح شهادة النجاح والتفوّق والامتياز، وهي شهادة اعتزاز ووسام فخر صاغته أقوال العلماء والأساتذة والمفكرين والباحثين في امتداح المجلة قالباً ومضموناً؛ ما أعطى القائمين عليها دافعاً وزخماً كبيراً وإصراراً على الاستمرار ومواصلة المسير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ارتكزت أسرار النجاح على أركان وأسس رصينة ومحكمة، كان أهمها انتساب المجلة إلى الإمام الحسين علیه السلام ؛ فاكتسبت من عظمته سرّ نجاحها، وتلقّت المجلة أيضاً دعماً كبيراً من القائمين على الأمانة العامة للعتبة الحسينية المقدّسة، والحقّ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وجدنا الأمين العام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يحمل آفاقاً واسعة ورؤية مستقبلية وهمّاً كبيراً في مجال بناء وتوسعة وتطوير الجوانب العلمية التخصصية والفكرية بصورة عامة، فكان إلى جانبنا ومعنا دائماً في خُطى التقدّم والإبداع، يشدّ على أيدينا ويشجعنا برعاية أبوية على السير قُدماً، وهذا ما لمسناه أيضاً من المشرف العام على المجلّة رئيس قسم الشؤون الفكرية والثقافية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لا ننسى التعاون المتميّز والدعم </w:t>
      </w:r>
    </w:p>
    <w:p>
      <w:pPr>
        <w:pStyle w:val="BookText"/>
        <w:rPr/>
      </w:pPr>
      <w:r>
        <w:rPr>
          <w:rFonts w:ascii="Amiri" w:hAnsi="Amiri" w:eastAsia="Amiri" w:cs="Amiri"/>
          <w:color w:val="111111"/>
          <w:sz w:val="28"/>
          <w:sz w:val="28"/>
          <w:szCs w:val="28"/>
          <w:rtl w:val="true"/>
          <w:lang w:bidi="ar-SA"/>
        </w:rPr>
        <w:t>المتواصل معنا من قبل الكوادر الأُخرى في الروضة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اعتمدت المجلّة في نجاحها على كادرها وأعضائها، فتوفّرت ـ بتوفيق الله ومنّه ـ على ثلّة طيبة ومؤمنة من النُّخب والفضلاء والأساتذة في الحوزة العلمية المباركة، من النجف الأشرف وقم المقدّسة، وكذا من الأوساط الأكاديمية العلمية والمهنيّة، فحملوا على عاتقهم مبادئ المشروع وأهدافه وهمومه وسبل إنجاحه وتطويره، فشدّوا الهمّة والعزم للعمل في هذا السبيل، وكان الإصلاح الحسيني رائد مسيرتهم، فتحركوا بجدّ واجتهاد ومثابرة وعمل دائم ودؤوب؛ فأثمرت جهودهم الكريمة هذا النتاج المبارك الماثل بين يديك عزيزي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ينبغي أن نقف وقفة إجلال واحترام وتكريم للعلماء والأساتذة والباحثين الذين تشكّلت من أبحاثهم ودراساتهم القيّمة هذه المجلة المباركة، وقد شهد بفضل كتاباتهم وبحوثهم التخصّصية الوسط العلمي بكافة مستوياته واختصاصاته الحوزويّة والأكاديميّة والثقافية، ونحن نشعر بقصور كلمات المدح والثناء أمام فضلهم ومساهماتهم الجادّة في بناء المكوّن العلمي والتخصّصي للمجلّة، فلله درّهم وعلى الله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النتاجات العلميّة والفكرية التخصصيّة بمعناها الحقيقي والواقعي تجذب وتستهوي العلماء والمحقّقين والباحثين، وتشغل حيّزاً واسعاً في دائرة همومهم واهتماماتهم، وتجعلهم يتابعون ويتطلّعون وبشغف لكل ما هو جديد في هذا المجال، وجدنا الحفاوة الكبيرة والترحاب الواسع ـ في تلك الأوساط المختصّة ـ بمجلّة الإصلاح الحسيني، وقد أدرجوها في قائمة تطلعاتهم واهتمامهم وشغفهم بالأُمور العلميّة؛ حيث انعكس ذلك علينا من المتابعة المتواصلة والأسئلة الكثيرة الواردة إلينا عن كل عدد حينما يقترب فصل صدوره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الذكرى الكريمة نجد من المناسب أن نستعرض ـ وبنحو الإيجاز والاختصار الشديد ـ أهم الأدوار والمراحل التي ارتقتها المجلّة في سنتها الماضية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تكوين وإنشاء كادر علمي متخصّص ومهني، يحمل خبرة واسعة وباعاً طويلاً في مجال الكتابة والتأليف والتحقيق وإصدار النتاجات العلمية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قراءة ومطالعة النظام العالمي للدوريات والمجلات التخصصيّة، ومتابعة الإصدارات المهمّة وذات الحضور الفاعل في هذا المجال، وتكوين فكرة ناضجة لتأسيس المجلّة وبناء صرحها، ورصد سُبل تطويرها والرقي بها إلى أعلى المستويات وأرفعها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تنظيم وتنسيق القضايا الرسمية والأُمور الإداريّة المرتبطة بطبيعة العمل في الدوريات والمنشورات العلميّة المتخصصّة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التواصل المستمر مع العلماء والفضلاء والكتّاب والباحثين وذوي الأقلام الرائدة؛ للتنسيق معهم واستكتابهم واستقطاب أبحاثهم ودراساتهم القيّمة فيما يرتبط بمجال اختصاص المجلّة، وكانت الخطوات في هذا المجال نوعية وناجحة بكل 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الانفتاح الواسع على الحوزة العلمية في النجف الأشرف بعلمائها وأساتذتها ومفكريها، وكذا الحوزات العلمية الأُخرى داخل العراق وخارجه، وخصوصاً الحوزة العلمية في قم المقدسة، وقد ظهرت نتائج هذا الانفتاح في مستوى ومحتوى البناء العلمي المتميّز للأبحاث والمقالات والدراسات التخصصيّة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الانفتاح الواسع على الوسط الجامعي والأكاديمي بصورة عامّة؛ للإفادة من بحوث ودراسات وأفكار الأساتذة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ـ عقد الندوات والملتقيات العلمية لدعم الجانب العلمي والإعلامي للمجلّة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ـ التنسيق مع العلماء والأساتذة للعمل على إجراء اللقاءات والحواريات في المواضيع الحسينية المهمّة والمؤثرة في الواقع العلمي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ـ ترجمة التراث غير العربي المرتبط بالنهضة الحسينية المباركة والفكر الديني بصورة عامة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ـ الاهتمام بالجانب الإعلامي للمجلّة</w:t>
      </w:r>
      <w:r>
        <w:rPr>
          <w:rFonts w:eastAsia="Amiri" w:cs="Amiri" w:ascii="Amiri" w:hAnsi="Amiri"/>
          <w:color w:val="111111"/>
          <w:sz w:val="28"/>
          <w:szCs w:val="28"/>
          <w:rtl w:val="true"/>
          <w:lang w:bidi="ar-SA"/>
        </w:rPr>
        <w:t xml:space="preserve">. </w:t>
      </w:r>
      <w:bookmarkStart w:id="36" w:name="pg7448_76801"/>
    </w:p>
    <w:p>
      <w:pPr>
        <w:pStyle w:val="BookText"/>
        <w:rPr/>
      </w:pPr>
      <w:bookmarkEnd w:id="36"/>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ـ توخّي الكفاءة العالية في الأُمور الفنية والتقنيّة من جهة التصميم والإخراج والطباعة والنشر والتوزيع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ـ متابعة النشر في مراكز التوزيع المهمّة والمعروفة بشكل ممنهج ومنظّم ودوري</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936656_1051229030"/>
      <w:bookmarkStart w:id="38" w:name="_Toc13"/>
      <w:bookmarkEnd w:id="37"/>
      <w:r>
        <w:rPr>
          <w:rtl w:val="true"/>
        </w:rPr>
        <w:t>في محضر المراجع والعلماء</w:t>
      </w:r>
      <w:bookmarkEnd w:id="38"/>
    </w:p>
    <w:p>
      <w:pPr>
        <w:pStyle w:val="BookText"/>
        <w:rPr/>
      </w:pPr>
      <w:r>
        <w:rPr>
          <w:rFonts w:ascii="Amiri" w:hAnsi="Amiri" w:eastAsia="Amiri" w:cs="Amiri"/>
          <w:color w:val="111111"/>
          <w:sz w:val="28"/>
          <w:sz w:val="28"/>
          <w:szCs w:val="28"/>
          <w:rtl w:val="true"/>
          <w:lang w:bidi="ar-SA"/>
        </w:rPr>
        <w:t>قام كادر المجلة بجولة واسعة النطاق لزيارة علمائنا الأعلام ومراجعنا العظام والأساتذة الكرام في النجف الأشرف وقم المقدّسة، تبرّكاً بمحضرهم الشريف، وبغية الاستفادة من إرشاداتهم وأفكارهم وملاحظاتهم القيّمة التي تنهض بالمجلّة إلى أعلى مستويات الرقي والكمال؛ فاستقبل العلماء الأعلام مشروع المجلّة بترحاب كبير وحفاوة منقطعة النظير، وتوسّموا بهذا المشروع وكادره خيراً، وأبدوا إعجابهم بالمجلّة ومواضيعها وحلّتها القشيبة والأنيقة، وأكدوا بعد ملاحظة المجلّة على قدرتها في سدّ فراغ يرون ضرورة تغطيته في الحوزة العلمية بهذه الأعمال التخصصية النوعيّة، وما هذا كلّه إلا من لطفهم وحسن ظنهم ورعايتهم الأبوية للمشروع</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936658_1051229030"/>
      <w:bookmarkStart w:id="40" w:name="_Toc14"/>
      <w:bookmarkEnd w:id="39"/>
      <w:r>
        <w:rPr>
          <w:rtl w:val="true"/>
        </w:rPr>
        <w:t>رؤيتنا لتطوير المجلّة في عامها الجديد</w:t>
      </w:r>
      <w:bookmarkEnd w:id="40"/>
    </w:p>
    <w:p>
      <w:pPr>
        <w:pStyle w:val="Heading5"/>
        <w:numPr>
          <w:ilvl w:val="4"/>
          <w:numId w:val="1"/>
        </w:numPr>
        <w:rPr/>
      </w:pPr>
      <w:bookmarkStart w:id="41" w:name="__RefHeading___Toc1936660_1051229030"/>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نسعى لإحداث نُقلة نوعية للتجديد والتطوير في عمل المجلة وتوسعة نتاجها العلمي التخصصي في عامها الجديد، ونشير فيما يأتي بنحو الإجمال إلى أهم معالم التطوير</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936662_1051229030"/>
      <w:bookmarkStart w:id="44" w:name="_Toc16"/>
      <w:bookmarkEnd w:id="43"/>
      <w:r>
        <w:rPr>
          <w:rtl w:val="true"/>
        </w:rPr>
        <w:t>أولاً</w:t>
      </w:r>
      <w:r>
        <w:rPr>
          <w:rtl w:val="true"/>
        </w:rPr>
        <w:t xml:space="preserve">: </w:t>
      </w:r>
      <w:r>
        <w:rPr>
          <w:rtl w:val="true"/>
        </w:rPr>
        <w:t>الهيئة الاستشارية</w:t>
      </w:r>
      <w:bookmarkEnd w:id="4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تعمّدنا أن نجعل السنة الأُولى للمجلّة سنة تجريبية، وكان الهدف من ذلك إثبات الوجود واستشراف النجاح واستقطاب قناعات العلماء والأستاذة بذلك الوجود المبارك والنجاح المتألق للمشروع، ونشكر الله تبارك وتعالى على نجاح مسيرة هذه السنة التجريبية بلطفه ومنّه وكرمه، بعد ذلك تحرّكنا بشكل واسع وسعي حثيث </w:t>
      </w:r>
      <w:bookmarkStart w:id="45" w:name="pg7448_76802"/>
    </w:p>
    <w:p>
      <w:pPr>
        <w:pStyle w:val="BookText"/>
        <w:rPr/>
      </w:pPr>
      <w:bookmarkEnd w:id="45"/>
      <w:r>
        <w:rPr>
          <w:rFonts w:ascii="IRNazanin" w:hAnsi="IRNazanin" w:eastAsia="IRNazanin"/>
          <w:color w:val="111111"/>
          <w:sz w:val="28"/>
          <w:sz w:val="28"/>
          <w:szCs w:val="28"/>
          <w:rtl w:val="true"/>
          <w:lang w:bidi="fa-IR"/>
        </w:rPr>
        <w:t>لاختيار أعضاء الهيئة الاستشارية للمجلة، وحرصنا على أن تأتلف وتتكوّن هذه الهيئة العلمية المباركة من كبار العلماء والأساتذة، وبعد التحرك والتنسيق مع العلماء والأساتذة وطرح الفكرة عليهم أبدوا ـ مشكورين ـ قبولهم وترحيبهم بذلك، واستعدادهم للتعاون والدعم؛ خدمةً منهم لسيد الشهداء علیه السلام  ونهضته المباركة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وأحببنا أن تتزين هذه الصفحات بأسمائهم الشريفة، وهي بالنحو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آيــة الله السيــد عــادل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المحقق السيد رياض الحكيم</w:t>
      </w:r>
    </w:p>
    <w:p>
      <w:pPr>
        <w:pStyle w:val="BookText"/>
        <w:rPr/>
      </w:pPr>
      <w:r>
        <w:rPr>
          <w:rFonts w:ascii="Amiri" w:hAnsi="Amiri" w:eastAsia="Amiri" w:cs="Amiri"/>
          <w:color w:val="111111"/>
          <w:sz w:val="28"/>
          <w:sz w:val="28"/>
          <w:szCs w:val="28"/>
          <w:rtl w:val="true"/>
          <w:lang w:bidi="ar-SA"/>
        </w:rPr>
        <w:t>آيــة الله الشيخ محمــد السنــد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الدكتور الشيخ محمد باقر المقدسي</w:t>
      </w:r>
    </w:p>
    <w:p>
      <w:pPr>
        <w:pStyle w:val="BookText"/>
        <w:rPr/>
      </w:pPr>
      <w:r>
        <w:rPr>
          <w:rFonts w:ascii="Amiri" w:hAnsi="Amiri" w:eastAsia="Amiri" w:cs="Amiri"/>
          <w:color w:val="111111"/>
          <w:sz w:val="28"/>
          <w:sz w:val="28"/>
          <w:szCs w:val="28"/>
          <w:rtl w:val="true"/>
          <w:lang w:bidi="ar-SA"/>
        </w:rPr>
        <w:t>آية الله الشيخ محمد مهدي الآصفي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المحقق السيد محمد صادق الخرسان</w:t>
      </w:r>
    </w:p>
    <w:p>
      <w:pPr>
        <w:pStyle w:val="BookText"/>
        <w:rPr/>
      </w:pPr>
      <w:r>
        <w:rPr>
          <w:rFonts w:ascii="Amiri" w:hAnsi="Amiri" w:eastAsia="Amiri" w:cs="Amiri"/>
          <w:color w:val="111111"/>
          <w:sz w:val="28"/>
          <w:sz w:val="28"/>
          <w:szCs w:val="28"/>
          <w:rtl w:val="true"/>
          <w:lang w:bidi="ar-SA"/>
        </w:rPr>
        <w:t>آية الله السيـــد منيــر الخبــاز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الشيخ عبد المهدي الكربلائي</w:t>
      </w:r>
    </w:p>
    <w:p>
      <w:pPr>
        <w:pStyle w:val="Heading5"/>
        <w:numPr>
          <w:ilvl w:val="4"/>
          <w:numId w:val="1"/>
        </w:numPr>
        <w:rPr/>
      </w:pPr>
      <w:bookmarkStart w:id="46" w:name="__RefHeading___Toc1936664_1051229030"/>
      <w:bookmarkStart w:id="47" w:name="_Toc17"/>
      <w:bookmarkEnd w:id="46"/>
      <w:r>
        <w:rPr>
          <w:rtl w:val="true"/>
        </w:rPr>
        <w:t>ثانياً</w:t>
      </w:r>
      <w:r>
        <w:rPr>
          <w:rtl w:val="true"/>
        </w:rPr>
        <w:t xml:space="preserve">: </w:t>
      </w:r>
      <w:r>
        <w:rPr>
          <w:rtl w:val="true"/>
        </w:rPr>
        <w:t>المحاور الموضوعية للمجلّة</w:t>
      </w:r>
      <w:bookmarkEnd w:id="4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نسعى وبشكل جادّ ومتواصل ومدروس للعمل بطريقة وأُسلوب المحاور الموضوعية والعنوان الموحّد لكل عدد من أعداد هذه المجلة المباركة، ولكن الذي استوقفنا وتطلّب منّا تأجيل العمل بهذا الأُسلوب المتعارف إلى حين كتابة هذه السطور، هو طبيعة العمل والبحث والكتابة في محور وموضوع واحد لكل عدد، حيث يتطلّب وضع فهرسة ومحتويات متناسبة ومتناغمة، تعالج موضوعاً مهمّاً وموحّداً، ثم توجيه وتحريك سير العمل وآلياته بهذا الاتجاه، واستقبال الكتابات والبحوث والمقالات في الإطار ذاته؛ ما يستتبع التنسيق المسبق مع العلماء والكتّاب والباحثين للمشاركة في هذا النوع من العمل، واختيار موضوع المحور بحسب الأولوية والأهمية، وكذا تحديد العناوين المختصّة التي تعطي للموضوع استحقاقه العلمي المناسب، وقد وضعنا لهذا العمل آلياته الخاصّة وسبل إنجاحه وتطويره بما يخدم تطلّعات وأهداف المجلّة، وكان من تلك الآليات والسبل هو توسعة الكادر </w:t>
      </w:r>
      <w:bookmarkStart w:id="48" w:name="pg7448_76803"/>
    </w:p>
    <w:p>
      <w:pPr>
        <w:pStyle w:val="BookText"/>
        <w:rPr/>
      </w:pPr>
      <w:bookmarkEnd w:id="48"/>
      <w:r>
        <w:rPr>
          <w:rFonts w:ascii="Amiri" w:hAnsi="Amiri" w:eastAsia="Amiri" w:cs="Amiri"/>
          <w:color w:val="111111"/>
          <w:sz w:val="28"/>
          <w:sz w:val="28"/>
          <w:szCs w:val="28"/>
          <w:rtl w:val="true"/>
          <w:lang w:bidi="ar-SA"/>
        </w:rPr>
        <w:t>العلمي والفنّي، والتواصل مع العلماء من أعضاء الهيئة الاستشارية، والعمل على تكوين أُسرة واسعة للمجلّة تضمّ مجموعة من فضلاء الأساتذة وخيرة المفكرين والباحثين، وإقامة المؤتمرات والندوات والملتقيات والحواريّات العلمية التي تُغذّي الجوانب الموضوعية المتنوعة في الأعداد المتوالية للمجلّة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936666_1051229030"/>
      <w:bookmarkStart w:id="50" w:name="_Toc18"/>
      <w:bookmarkEnd w:id="49"/>
      <w:r>
        <w:rPr>
          <w:rtl w:val="true"/>
        </w:rPr>
        <w:t>ثالثاً</w:t>
      </w:r>
      <w:r>
        <w:rPr>
          <w:rtl w:val="true"/>
        </w:rPr>
        <w:t xml:space="preserve">: </w:t>
      </w:r>
      <w:r>
        <w:rPr>
          <w:rtl w:val="true"/>
        </w:rPr>
        <w:t>أسرة المجلة</w:t>
      </w:r>
      <w:bookmarkEnd w:id="50"/>
    </w:p>
    <w:p>
      <w:pPr>
        <w:pStyle w:val="BookText"/>
        <w:rPr/>
      </w:pPr>
      <w:r>
        <w:rPr>
          <w:rFonts w:ascii="Amiri" w:hAnsi="Amiri" w:eastAsia="Amiri" w:cs="Amiri"/>
          <w:color w:val="111111"/>
          <w:sz w:val="28"/>
          <w:sz w:val="28"/>
          <w:szCs w:val="28"/>
          <w:rtl w:val="true"/>
          <w:lang w:bidi="ar-SA"/>
        </w:rPr>
        <w:t>تعدّ هذ الخطوة من المراحل المهمّة التي تعتزم المجلة اعتمادها في تطوير وتنمية نتاجها الفكري، بما يتناسب مع الواقع ومرحلة المعادلات والظروف المعقّدة التي نعيشها هذه الأيام، والخطوة عبارة عن بناء وتكوين أُسرة علمية متخصّصة، لها الخبرة والتجربة الواسعة في مجال الكتابة والتأليف وتدوين البحوث العلميّة، وقد بدأنا منذ فترة وجيزة بالتحرك في هذا الإطار، وقمنا بتداول الفكرة مع النُّخب من الأساتذة والمفكرين والباحثين، فاستقبلوها بالمباركة والترحيب، وقد استفدنا من مقترحاتهم وملاحظاتهم الشيء الكثير لتهذيبها وترشيدها بما يُسهم في تكامل المجلّة ورقيّها، والشكر لهم متواصل على قبولهم الانضمام لهذه الأُسرة المباركة، وقد تشكّلت من أسمائهم الكريمة باقة عطرة نأمل أن تُساهم في إعطاء مجلّتنا نُقلة نوعيّة في كافّة الأبعاد والمستويات، وسوف تبقى هذه الأُسرة مفتوحة على الأسماء الجديدة والشخصيات المؤثرة والمفيدة في المجالات التخصصيّة للمجلّة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ونستعرض فيما يلي أهم وأبرز الأدوار والمساهمات العلميّة التي نطمح ونتمنّى أن يُشاركنا أعضاء هذه الأُسرة الكريمة في تفعيلها وإنجازها للأعداد المقبلة للمجلّة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المشاركة في دراسة واختيار وتحديد المحاور الموضوعية وعناوينها المناسبة لكل عدد من أعداد المجلّة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المشاركة بالكتابة وتقديم الدراسات والبحوث في إطار ودائرة المحور لكل عدد في حال احتياج المجلّة لذلك</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يتم التنسيق مع الباحث والكاتب في اختيار البحث والدراسة بما يتناسب مع </w:t>
      </w:r>
      <w:bookmarkStart w:id="51" w:name="pg7448_76804"/>
    </w:p>
    <w:p>
      <w:pPr>
        <w:pStyle w:val="BookText"/>
        <w:rPr/>
      </w:pPr>
      <w:bookmarkEnd w:id="51"/>
      <w:r>
        <w:rPr>
          <w:rFonts w:ascii="Amiri" w:hAnsi="Amiri" w:eastAsia="Amiri" w:cs="Amiri"/>
          <w:color w:val="111111"/>
          <w:sz w:val="28"/>
          <w:sz w:val="28"/>
          <w:szCs w:val="28"/>
          <w:rtl w:val="true"/>
          <w:lang w:bidi="ar-SA"/>
        </w:rPr>
        <w:t>احتياج المجلّة في إطار محورها الموضوعي المحدّد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المشاركة في المؤتمرات الفكرية والندوات والملتقيات العلمية التي تُقام دوريّاً للدعم العلمي للمجلّة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مجموعة من الخصائص والاعتبارات التي يتميّز بها أعضاء أُسرة المجلّة عن غيرهم؛ من جهة حفظ حقوقهم المعنويّة والمادّية،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التنسيق مع الجهات المعنية في العتبة الحسينية المقدّسة لغرض جعل أعضاء الأُسرة من ضيوفها الدائمين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لبحوثهم ومقالاتهم ودراساتهم الأولوية في النشر على سائر المقالات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مكافآت مالية يتميّز بها أعضاء أُسرة المجلّة عن سائر الكتّاب والباحثين</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1936668_1051229030"/>
      <w:bookmarkStart w:id="53" w:name="_Toc19"/>
      <w:bookmarkEnd w:id="52"/>
      <w:r>
        <w:rPr>
          <w:rtl w:val="true"/>
        </w:rPr>
        <w:t>رابعاً</w:t>
      </w:r>
      <w:r>
        <w:rPr>
          <w:rtl w:val="true"/>
        </w:rPr>
        <w:t xml:space="preserve">: </w:t>
      </w:r>
      <w:r>
        <w:rPr>
          <w:rtl w:val="true"/>
        </w:rPr>
        <w:t>المؤتمرات الفكريّة والندوات والملتقيات العلمية</w:t>
      </w:r>
      <w:bookmarkEnd w:id="53"/>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المشاريع المهمّة التي نسعى لإنجازها وتفعيلها في الأوساط العلميّة لدعم المحتوى التخصصّي للمجلّة، هو العمل على إقامة المؤتمرات الفكريّة، وعقد الندوات والملتقيات العلمية فيما يرتبط بالنهضة الحسينية المباركة؛ كي نستقي من فيض عطائها المقالات والبحوث والدراسات التخصصيّة؛ وفي هذا الضوء نطمح إلى أن يكون لها الحضور المتميّز في كلّ فصل وعدد من الأعداد، وقد كان من أهم الدواعي والأسباب للتفكير في إنشاء هذا المشروع هو أن طيفاً واسعاً من العلماء والمفكرين لا يمتلك الفرصة لتخصيص جانب من وقته الثمين للكتابة والتأليف في محاور المجلّة وعناوينها؛ فحاولنا أن نفتح بذلك نافذة للإطلال على أفكارهم القيّمة واستشراف إبداعاتهم في مجال اختصاصنا، وسوف نعمل جادّين في إطار كتابة وتدوين تلك الأفكار والإبداعات، ونشرها في سياق المحور والموضوع الذي يناسبها؛ ونكون بذلك قد ساهمنا في نشر الفكر، ورفد المجلّة بالأبحاث الثمينة والقيّمة والمبتكرة</w:t>
      </w:r>
      <w:r>
        <w:rPr>
          <w:rFonts w:eastAsia="Amiri" w:cs="Amiri" w:ascii="Amiri" w:hAnsi="Amiri"/>
          <w:color w:val="111111"/>
          <w:sz w:val="28"/>
          <w:szCs w:val="28"/>
          <w:rtl w:val="true"/>
          <w:lang w:bidi="ar-SA"/>
        </w:rPr>
        <w:t xml:space="preserve">. </w:t>
      </w:r>
      <w:bookmarkStart w:id="54" w:name="pg7448_76805"/>
    </w:p>
    <w:p>
      <w:pPr>
        <w:pStyle w:val="Heading5"/>
        <w:numPr>
          <w:ilvl w:val="4"/>
          <w:numId w:val="1"/>
        </w:numPr>
        <w:rPr/>
      </w:pPr>
      <w:bookmarkStart w:id="55" w:name="__RefHeading___Toc1936670_1051229030"/>
      <w:bookmarkStart w:id="56" w:name="_Toc20"/>
      <w:bookmarkEnd w:id="54"/>
      <w:bookmarkEnd w:id="55"/>
      <w:r>
        <w:rPr>
          <w:rtl w:val="true"/>
        </w:rPr>
        <w:t>خامساً</w:t>
      </w:r>
      <w:r>
        <w:rPr>
          <w:rtl w:val="true"/>
        </w:rPr>
        <w:t xml:space="preserve">: </w:t>
      </w:r>
      <w:r>
        <w:rPr>
          <w:rtl w:val="true"/>
        </w:rPr>
        <w:t>العمل الإعلامي والتنسيق العام</w:t>
      </w:r>
      <w:bookmarkEnd w:id="56"/>
    </w:p>
    <w:p>
      <w:pPr>
        <w:pStyle w:val="BookText"/>
        <w:rPr/>
      </w:pPr>
      <w:r>
        <w:rPr>
          <w:rFonts w:ascii="Amiri" w:hAnsi="Amiri" w:eastAsia="Amiri" w:cs="Amiri"/>
          <w:color w:val="111111"/>
          <w:sz w:val="28"/>
          <w:sz w:val="28"/>
          <w:szCs w:val="28"/>
          <w:rtl w:val="true"/>
          <w:lang w:bidi="ar-SA"/>
        </w:rPr>
        <w:t>يُعدّ العمل الإعلامي وبذل الجهد في بناء الروابط والعلاقات العامة من أهم أُسس النجاح والتقدّم في كل مشروع، ويتعزّز ذلك ويتأكّد بشكل أكبر وأوسع في المشاريع الفكريّة والعلمية؛ حيث يرتكز الثراء الفكري والعلمي على مدّ جسور العلاقة والصداقة مع المراكز والدوائر والمؤسسات والجهات العلمية التي تحتضن الكفاءات والنُّخب من الأساتذة والمفكرين والباحثين، وذلك عن طريق تبادل الزيارات والخبرات والنتاجات العلميّة؛ ما يفتح الآفاق الواسعة أمام الحركة الفكرية والنتاج العلمي وبشكل نوعي ومتميّز، وسيراً بهذا الاتجاه ـ وبعد الإلحاح والمطالبة المتكررة والحثيثة من متابعي ومحبّي وقرّاء المجلة الكرام ـ بدأنا بالعمل على تأسيس شبكة ومنظومة واسعة لتغذية الجانب الإعلامي، وتوسيع العلاقات والروابط العلمية وتفعيل دور التنسيق العام مع كافة المراكز والجهات ذات الصلة، حيث قمنا بمفاتحة مجموعة من الأساتذة والباحثين للانضمام إلى كادر مجلة الإصلاح الحسيني والعمل في إطار التنسيق والعلاقات العامة، وقد أبدوا ـ مشكورين ـ استعدادهم للقيام بهذه المهمّة والالتحاق بالركب الحسيني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حاولنا قدر المستطاع أن نوسع من رقعة ومساحة هذه الدائرة المهمّة لتشمل أغلب الجامعات والمدارس والمؤسسات والمراكز والمعاهد العلمية؛ تعميماً للفائدة وتكريساً للانفتاح الأوسع على النتاجات العلميّة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نحمد الله تعالى على فضله وكرمه ولطفه وحسن توفيقه، ونسأله تعالى العون والتسديد والتأييد المتواصل لاستمرار هذا النتاج العلمي، كما نسأله أيضاً أن يجعل عملنا هذا خالصاً لوجهه الكريم، وأن يجعل فيه النفع والفائدة لمجتمعاتنا الإنسانيّة والإسلامية بصورة عامّة، وأن يُثبّت به قلوب المؤمنين على طريق الهداية والطاعة والإيمان، إنه قريب مجيب سميع الدعاء</w:t>
      </w:r>
      <w:r>
        <w:rPr>
          <w:rFonts w:eastAsia="Amiri" w:cs="Amiri" w:ascii="Amiri" w:hAnsi="Amiri"/>
          <w:color w:val="111111"/>
          <w:sz w:val="28"/>
          <w:szCs w:val="28"/>
          <w:rtl w:val="true"/>
          <w:lang w:bidi="ar-SA"/>
        </w:rPr>
        <w:t xml:space="preserve">. </w:t>
      </w:r>
      <w:bookmarkStart w:id="57" w:name="pg7448_76806"/>
    </w:p>
    <w:p>
      <w:pPr>
        <w:pStyle w:val="Heading2"/>
        <w:numPr>
          <w:ilvl w:val="1"/>
          <w:numId w:val="1"/>
        </w:numPr>
        <w:rPr/>
      </w:pPr>
      <w:bookmarkStart w:id="58" w:name="__RefHeading___Toc1936672_1051229030"/>
      <w:bookmarkStart w:id="59" w:name="_Toc21"/>
      <w:bookmarkEnd w:id="57"/>
      <w:bookmarkEnd w:id="58"/>
      <w:r>
        <w:rPr>
          <w:rtl w:val="true"/>
        </w:rPr>
        <w:t>دِرَاسَاتٌ في آفَاقِ النَهضَة الحُسَينِيَّة</w:t>
      </w:r>
      <w:bookmarkEnd w:id="59"/>
    </w:p>
    <w:p>
      <w:pPr>
        <w:pStyle w:val="Heading3"/>
        <w:numPr>
          <w:ilvl w:val="2"/>
          <w:numId w:val="1"/>
        </w:numPr>
        <w:rPr/>
      </w:pPr>
      <w:bookmarkStart w:id="60" w:name="__RefHeading___Toc1936674_1051229030"/>
      <w:bookmarkStart w:id="61" w:name="_Toc22"/>
      <w:bookmarkEnd w:id="60"/>
      <w:r>
        <w:rPr>
          <w:rtl w:val="true"/>
        </w:rPr>
        <w:t>اشارة</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توسعة حريم الزيارة زماناً ومكاناً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 القرآنية لنهضة عاشوراء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الإصلاح وظروف المجتمع الإسلامي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منطلقات النهضة الحسينية وخلفياتها</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الاستحواذ الأموي على السلطة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 الحسينية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والعناصر الحيويّة للإبداع والتأثير في الأمّة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7448_76808"/>
      <w:bookmarkStart w:id="63" w:name="pg7448_76808"/>
      <w:bookmarkEnd w:id="63"/>
    </w:p>
    <w:p>
      <w:pPr>
        <w:pStyle w:val="Heading3"/>
        <w:numPr>
          <w:ilvl w:val="2"/>
          <w:numId w:val="1"/>
        </w:numPr>
        <w:rPr/>
      </w:pPr>
      <w:bookmarkStart w:id="64" w:name="pg7448_76808"/>
      <w:bookmarkStart w:id="65" w:name="__RefHeading___Toc1936676_1051229030"/>
      <w:bookmarkStart w:id="66" w:name="_Toc23"/>
      <w:bookmarkEnd w:id="64"/>
      <w:bookmarkEnd w:id="65"/>
      <w:r>
        <w:rPr>
          <w:rtl w:val="true"/>
        </w:rPr>
        <w:t>تَوسِعَةُ حَرِيم الزِيَارَة زَمَانَاً ومَكانَاً</w:t>
      </w:r>
      <w:bookmarkEnd w:id="66"/>
    </w:p>
    <w:p>
      <w:pPr>
        <w:pStyle w:val="Heading4"/>
        <w:numPr>
          <w:ilvl w:val="3"/>
          <w:numId w:val="1"/>
        </w:numPr>
        <w:rPr/>
      </w:pPr>
      <w:bookmarkStart w:id="67" w:name="__RefHeading___Toc1936678_1051229030"/>
      <w:bookmarkStart w:id="68" w:name="_Toc24"/>
      <w:bookmarkEnd w:id="67"/>
      <w:r>
        <w:rPr>
          <w:rtl w:val="true"/>
        </w:rPr>
        <w:t>اشارة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تَوسِعَةُ حَرِيم الزِيَارَة زَمَانَاً ومَكانَاً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آية الله الشيخ محمد السند</w:t>
      </w:r>
    </w:p>
    <w:p>
      <w:pPr>
        <w:pStyle w:val="Heading4"/>
        <w:numPr>
          <w:ilvl w:val="3"/>
          <w:numId w:val="1"/>
        </w:numPr>
        <w:rPr/>
      </w:pPr>
      <w:bookmarkStart w:id="69" w:name="__RefHeading___Toc1936680_1051229030"/>
      <w:bookmarkStart w:id="70" w:name="_Toc25"/>
      <w:bookmarkEnd w:id="69"/>
      <w:r>
        <w:rPr>
          <w:rtl w:val="true"/>
        </w:rPr>
        <w:t>توطئة</w:t>
      </w:r>
      <w:bookmarkEnd w:id="70"/>
    </w:p>
    <w:p>
      <w:pPr>
        <w:pStyle w:val="BookText"/>
        <w:rPr/>
      </w:pPr>
      <w:r>
        <w:rPr>
          <w:rFonts w:ascii="Amiri" w:hAnsi="Amiri" w:eastAsia="Amiri" w:cs="Amiri"/>
          <w:color w:val="111111"/>
          <w:sz w:val="28"/>
          <w:sz w:val="28"/>
          <w:szCs w:val="28"/>
          <w:rtl w:val="true"/>
          <w:lang w:bidi="ar-SA"/>
        </w:rPr>
        <w:t>قد تكرّر إبداء التساؤل عن وجه توسعة زيارة الأربعين قبل يوم الأربعين من أيام صفر، لا سيما منذ بداية اليوم الأوّل منه، مع أنّ الزيارة في ظاهر الروايات والأدلّة واردة في خصوص يوم الأربعين، وكذلك الحال بالنسبة إلى الزيارة الشعبانية؛ فإنّ هناك الجمّ الغفير من المؤمنين يأتون بها قبل النصف من شعبان ـ بسبب كثرة الزحام أو الانشغالات ـ ولكن بعنوان زيارة النصف من شعبان، فكيف يُوجّه ذلك؟</w:t>
      </w:r>
    </w:p>
    <w:p>
      <w:pPr>
        <w:pStyle w:val="BookText"/>
        <w:rPr/>
      </w:pPr>
      <w:r>
        <w:rPr>
          <w:rFonts w:ascii="Amiri" w:hAnsi="Amiri" w:eastAsia="Amiri" w:cs="Amiri"/>
          <w:color w:val="111111"/>
          <w:sz w:val="28"/>
          <w:sz w:val="28"/>
          <w:szCs w:val="28"/>
          <w:rtl w:val="true"/>
          <w:lang w:bidi="ar-SA"/>
        </w:rPr>
        <w:t>وكذلك يُطرح تساؤل آخر عن وجه توسعة هذه الزيارات المليونيّة من جهة المكان؛ فإنّ الحجم الكبير والواسع من الزوار يصل في زيارته إلى مشارف وضواحي كربلاء المقدّسة؛ فيؤدّي مراسم الزيارة عند تلك المشارف ويرجع إلى بلده؛ لشدّة الزحام أو لخوف الازدحام، وقد يقترب بعضهم من الأحياء القريبة من الحرم الشريف، فيزور حيث يشاهد القبّة الشريفة ويرجع، ويكتفي البعض الآخر بالزيارة من الشوارع المحيطة بالحرم الشريف ويعود إلى أهله، فهل تتّسع الزيارة مكاناً إلى هذه المسافات الجغرافية، بحيث يصدق على هذا الزائر بأنّه قد زار سيّد الشهداء في الأربعين، أو في النصف من شعبان، أو أنّه لا بُدّ من دخوله الحرم الشريف؟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ولمعرفة حقيقة الحال والحكم في مورد السؤال لا بُدّ من تقديم مقدّمة</w:t>
      </w:r>
      <w:r>
        <w:rPr>
          <w:rFonts w:eastAsia="Amiri" w:cs="Amiri" w:ascii="Amiri" w:hAnsi="Amiri"/>
          <w:color w:val="111111"/>
          <w:sz w:val="28"/>
          <w:szCs w:val="28"/>
          <w:rtl w:val="true"/>
          <w:lang w:bidi="ar-SA"/>
        </w:rPr>
        <w:t xml:space="preserve">: </w:t>
      </w:r>
      <w:bookmarkStart w:id="71" w:name="pg7448_76809"/>
    </w:p>
    <w:p>
      <w:pPr>
        <w:pStyle w:val="Heading4"/>
        <w:numPr>
          <w:ilvl w:val="3"/>
          <w:numId w:val="1"/>
        </w:numPr>
        <w:rPr/>
      </w:pPr>
      <w:bookmarkStart w:id="72" w:name="__RefHeading___Toc1936682_1051229030"/>
      <w:bookmarkStart w:id="73" w:name="_Toc26"/>
      <w:bookmarkEnd w:id="71"/>
      <w:bookmarkEnd w:id="72"/>
      <w:r>
        <w:rPr>
          <w:rtl w:val="true"/>
        </w:rPr>
        <w:t>المقدّمة</w:t>
      </w:r>
      <w:bookmarkEnd w:id="73"/>
    </w:p>
    <w:p>
      <w:pPr>
        <w:pStyle w:val="BookText"/>
        <w:rPr/>
      </w:pPr>
      <w:r>
        <w:rPr>
          <w:rFonts w:ascii="Amiri" w:hAnsi="Amiri" w:eastAsia="Amiri" w:cs="Amiri"/>
          <w:color w:val="111111"/>
          <w:sz w:val="28"/>
          <w:sz w:val="28"/>
          <w:szCs w:val="28"/>
          <w:rtl w:val="true"/>
          <w:lang w:bidi="ar-SA"/>
        </w:rPr>
        <w:t>قد ثبت لجملة من المناسبات الشرعية موسم زماني غير مضيّق بخصوص يوم المناسبة الشرعية والميقات الزماني لها، ويُعبّر عن التوسعة في توقيت المناسبة الشرعية بالحريم الزماني، سواء السابق على توقيته الشرعي بقليل ـ بحسب الحاجة ـ أو المتأخّر عنه، بل قد تقرّر ذلك نصّاً وفتوى في الميقات المكاني والبقاع المكانية الشريفة؛ حيث رُسم لها ما هو أوسع من المحدود المكاني الخاص بها، ولنأخذ في تعداد أمثلة التوسعة الزمانية كحريم للمناسبة الزمانية، ثمّ تقرير الضابطة الكلّية في التوسعة الزمانية الدينيّة كحريم لميقات المناسبة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جملة من الوجوه التي يمكن أن يُستدلّ بها في المقام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936684_1051229030"/>
      <w:bookmarkStart w:id="75" w:name="_Toc27"/>
      <w:bookmarkEnd w:id="74"/>
      <w:r>
        <w:rPr>
          <w:rtl w:val="true"/>
        </w:rPr>
        <w:t>الوجه الأوّل</w:t>
      </w:r>
      <w:r>
        <w:rPr>
          <w:rtl w:val="true"/>
        </w:rPr>
        <w:t xml:space="preserve">: </w:t>
      </w:r>
      <w:r>
        <w:rPr>
          <w:rtl w:val="true"/>
        </w:rPr>
        <w:t>الاستقراء المتصيَّد من الأبواب الفقهية للتوسعة الزمانية</w:t>
      </w:r>
      <w:bookmarkEnd w:id="75"/>
    </w:p>
    <w:p>
      <w:pPr>
        <w:pStyle w:val="Heading5"/>
        <w:numPr>
          <w:ilvl w:val="4"/>
          <w:numId w:val="1"/>
        </w:numPr>
        <w:rPr/>
      </w:pPr>
      <w:bookmarkStart w:id="76" w:name="__RefHeading___Toc1936686_1051229030"/>
      <w:bookmarkStart w:id="77" w:name="_Toc28"/>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يندرج تحت هذ الوجه جملة من الأقسام والأمثلة لتوسعة الشريعة للميقات الزماني في المراسيم الشرعية وهي متوزعة على مختلف الأبواب الفقهية، نشير فيما يأتي لأهمها</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936688_1051229030"/>
      <w:bookmarkStart w:id="79" w:name="_Toc29"/>
      <w:bookmarkEnd w:id="78"/>
      <w:r>
        <w:rPr>
          <w:rtl w:val="true"/>
        </w:rPr>
        <w:t>القسم الأوّل</w:t>
      </w:r>
      <w:r>
        <w:rPr>
          <w:rtl w:val="true"/>
        </w:rPr>
        <w:t xml:space="preserve">: </w:t>
      </w:r>
      <w:r>
        <w:rPr>
          <w:rtl w:val="true"/>
        </w:rPr>
        <w:t>موارد التوسعة في الحريم الزماني</w:t>
      </w:r>
      <w:bookmarkEnd w:id="79"/>
    </w:p>
    <w:p>
      <w:pPr>
        <w:pStyle w:val="Heading6"/>
        <w:numPr>
          <w:ilvl w:val="5"/>
          <w:numId w:val="1"/>
        </w:numPr>
        <w:rPr/>
      </w:pPr>
      <w:bookmarkStart w:id="80" w:name="__RefHeading___Toc1936690_1051229030"/>
      <w:bookmarkStart w:id="81" w:name="_Toc30"/>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تُلاحظ أمثلة هذا القسم في الأبواب الفقهية المختلفة، نقتصر على ذكر بعضها</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1936692_1051229030"/>
      <w:bookmarkStart w:id="83" w:name="_Toc31"/>
      <w:bookmarkEnd w:id="82"/>
      <w:r>
        <w:rPr>
          <w:rtl w:val="true"/>
        </w:rPr>
        <w:t>الباب الأوّل</w:t>
      </w:r>
      <w:r>
        <w:rPr>
          <w:rtl w:val="true"/>
        </w:rPr>
        <w:t xml:space="preserve">: </w:t>
      </w:r>
      <w:r>
        <w:rPr>
          <w:rtl w:val="true"/>
        </w:rPr>
        <w:t>باب الحجّ</w:t>
      </w:r>
      <w:bookmarkEnd w:id="83"/>
    </w:p>
    <w:p>
      <w:pPr>
        <w:pStyle w:val="Heading6"/>
        <w:numPr>
          <w:ilvl w:val="5"/>
          <w:numId w:val="1"/>
        </w:numPr>
        <w:rPr/>
      </w:pPr>
      <w:bookmarkStart w:id="84" w:name="__RefHeading___Toc1936694_1051229030"/>
      <w:bookmarkStart w:id="85" w:name="_Toc32"/>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وفي هذا الباب أمثلة كثيرة، نذكر أهمّها</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936696_1051229030"/>
      <w:bookmarkStart w:id="87" w:name="_Toc33"/>
      <w:bookmarkEnd w:id="86"/>
      <w:r>
        <w:rPr>
          <w:rtl w:val="true"/>
        </w:rPr>
        <w:t>المثال الأوّل</w:t>
      </w:r>
      <w:r>
        <w:rPr>
          <w:rtl w:val="true"/>
        </w:rPr>
        <w:t xml:space="preserve">: </w:t>
      </w:r>
      <w:r>
        <w:rPr>
          <w:rtl w:val="true"/>
        </w:rPr>
        <w:t>الوقوف بعرفة</w:t>
      </w:r>
      <w:bookmarkEnd w:id="8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فأنّه قد توسّع الشارع الأقدس في الوقوف بعرفة إلى الوقوف ليلاً لمن لم يدرك نهار عرفة، بل أفتى جملة من الفقهاء بإجزاء الوقوف الظاهري مع العامّة ـ مع أنّه قد يكون في الواقع يوم الثامن من ذي الحجّة ـ من باب التوسعة الزمانية، ومن ثَمّ اكتفى </w:t>
      </w:r>
      <w:bookmarkStart w:id="88" w:name="pg7448_76810"/>
    </w:p>
    <w:p>
      <w:pPr>
        <w:pStyle w:val="BookText"/>
        <w:rPr/>
      </w:pPr>
      <w:bookmarkEnd w:id="88"/>
      <w:r>
        <w:rPr>
          <w:rFonts w:ascii="Amiri" w:hAnsi="Amiri" w:eastAsia="Amiri" w:cs="Amiri"/>
          <w:color w:val="111111"/>
          <w:sz w:val="28"/>
          <w:sz w:val="28"/>
          <w:szCs w:val="28"/>
          <w:rtl w:val="true"/>
          <w:lang w:bidi="ar-SA"/>
        </w:rPr>
        <w:t>جملة من الفقهاء بالوقوف مع العامّة حتى مع القطع بالخلاف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واستدلّوا على ذلك بوجوه،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الفطر يوم يُفطر الناس، والأضحى يوم يضحّي الناس</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الروايات، وقرّبوا الدلالة على ذلك بأنّ العبادة الشعائرية والشعيرية قِوامُها بالعمل الجماعي، كشعائر وشعار وتظاهر معلن؛ فلذا يتّسع حريمها بحسب سعة ذلك الإظهار والإبراز</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1936698_1051229030"/>
      <w:bookmarkStart w:id="90" w:name="_Toc34"/>
      <w:bookmarkEnd w:id="89"/>
      <w:r>
        <w:rPr>
          <w:rtl w:val="true"/>
        </w:rPr>
        <w:t>المثال الثاني</w:t>
      </w:r>
      <w:r>
        <w:rPr>
          <w:rtl w:val="true"/>
        </w:rPr>
        <w:t xml:space="preserve">: </w:t>
      </w:r>
      <w:r>
        <w:rPr>
          <w:rtl w:val="true"/>
        </w:rPr>
        <w:t>الوقوف بمزدلفة</w:t>
      </w:r>
      <w:bookmarkEnd w:id="90"/>
    </w:p>
    <w:p>
      <w:pPr>
        <w:pStyle w:val="BookText"/>
        <w:rPr/>
      </w:pPr>
      <w:r>
        <w:rPr>
          <w:rFonts w:ascii="Amiri" w:hAnsi="Amiri" w:eastAsia="Amiri" w:cs="Amiri"/>
          <w:color w:val="111111"/>
          <w:sz w:val="28"/>
          <w:sz w:val="28"/>
          <w:szCs w:val="28"/>
          <w:rtl w:val="true"/>
          <w:lang w:bidi="ar-SA"/>
        </w:rPr>
        <w:t>حيث إنّ الشارع وسّع الوقوف ليلاً بمزدلفة لمَن اضطرّ إلى ذلك ولم يقدر على الوقوف بين الطلوعين، متقدّماً على الميقات الزماني، كما وسّع الوقوف متأخراً إلى زوال يوم العيد لمن فاته الوقوف بين الطلوعين</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1936700_1051229030"/>
      <w:bookmarkStart w:id="92" w:name="_Toc35"/>
      <w:bookmarkEnd w:id="91"/>
      <w:r>
        <w:rPr>
          <w:rtl w:val="true"/>
        </w:rPr>
        <w:t>المثال الثالث</w:t>
      </w:r>
      <w:r>
        <w:rPr>
          <w:rtl w:val="true"/>
        </w:rPr>
        <w:t xml:space="preserve">: </w:t>
      </w:r>
      <w:r>
        <w:rPr>
          <w:rtl w:val="true"/>
        </w:rPr>
        <w:t>الإحرام لعمرة رجب</w:t>
      </w:r>
      <w:bookmarkEnd w:id="92"/>
    </w:p>
    <w:p>
      <w:pPr>
        <w:pStyle w:val="BookText"/>
        <w:rPr/>
      </w:pPr>
      <w:r>
        <w:rPr>
          <w:rFonts w:ascii="Amiri" w:hAnsi="Amiri" w:eastAsia="Amiri" w:cs="Amiri"/>
          <w:color w:val="111111"/>
          <w:sz w:val="28"/>
          <w:sz w:val="28"/>
          <w:szCs w:val="28"/>
          <w:rtl w:val="true"/>
          <w:lang w:bidi="ar-SA"/>
        </w:rPr>
        <w:t>ورد أنّ مَن أراد أن يُدرِك عمرة رجب يمكنه أن يُنشئ الإحرام في أواخر رجب قبل وصوله إلى الميقات، وإن أتى بالأعمال في شعبان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إبراهيم علیه السلام عن الرجل يجيء معتمراً ينوي عمرة رجب، فيدخل عليه الهلال قبل أن يبلغ العقيق، فيُحرم قبل الوقت، ويجعلها لرجب، أم يؤخّر الإحرام إلى العقيق ويجعلها لشعبان؟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يُحرم قبل الوقت لرجب، فإنّ لرجب فضلاً وهو الذي 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وبذلك يُدرِك فضل عمرة رجب، وفي ذلك توسعة من ناحية الميقات المكاني والميقات الزماني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 w:name="__RefHeading___Toc1936702_1051229030"/>
      <w:bookmarkStart w:id="94" w:name="_Toc36"/>
      <w:bookmarkEnd w:id="93"/>
      <w:r>
        <w:rPr>
          <w:rtl w:val="true"/>
        </w:rPr>
        <w:t>المثال الرابع</w:t>
      </w:r>
      <w:r>
        <w:rPr>
          <w:rtl w:val="true"/>
        </w:rPr>
        <w:t xml:space="preserve">: </w:t>
      </w:r>
      <w:r>
        <w:rPr>
          <w:rtl w:val="true"/>
        </w:rPr>
        <w:t>أعمال مِنى يوم العيد</w:t>
      </w:r>
      <w:bookmarkEnd w:id="9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وسّع الشارع الإتيان بأعمال منى قبل يومها، للضعاف والعجزة من الحجيج </w:t>
      </w:r>
      <w:bookmarkStart w:id="95" w:name="pg7448_76811"/>
    </w:p>
    <w:p>
      <w:pPr>
        <w:pStyle w:val="BookText"/>
        <w:rPr/>
      </w:pPr>
      <w:bookmarkEnd w:id="95"/>
      <w:r>
        <w:rPr>
          <w:rFonts w:ascii="Amiri" w:hAnsi="Amiri" w:eastAsia="Amiri" w:cs="Amiri"/>
          <w:color w:val="111111"/>
          <w:sz w:val="28"/>
          <w:sz w:val="28"/>
          <w:szCs w:val="28"/>
          <w:rtl w:val="true"/>
          <w:lang w:bidi="ar-SA"/>
        </w:rPr>
        <w:t>وخوف الضغط، كما وسّع لمن لم يُدركها إلى أيام التشريق الأربعة لاحقاً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1936704_1051229030"/>
      <w:bookmarkStart w:id="97" w:name="_Toc37"/>
      <w:bookmarkEnd w:id="96"/>
      <w:r>
        <w:rPr>
          <w:rtl w:val="true"/>
        </w:rPr>
        <w:t>المثال الخامس</w:t>
      </w:r>
      <w:r>
        <w:rPr>
          <w:rtl w:val="true"/>
        </w:rPr>
        <w:t xml:space="preserve">: </w:t>
      </w:r>
      <w:r>
        <w:rPr>
          <w:rtl w:val="true"/>
        </w:rPr>
        <w:t>أعمال مكّة</w:t>
      </w:r>
      <w:bookmarkEnd w:id="97"/>
    </w:p>
    <w:p>
      <w:pPr>
        <w:pStyle w:val="BookText"/>
        <w:rPr/>
      </w:pPr>
      <w:r>
        <w:rPr>
          <w:rFonts w:ascii="Amiri" w:hAnsi="Amiri" w:eastAsia="Amiri" w:cs="Amiri"/>
          <w:color w:val="111111"/>
          <w:sz w:val="28"/>
          <w:sz w:val="28"/>
          <w:szCs w:val="28"/>
          <w:rtl w:val="true"/>
          <w:lang w:bidi="ar-SA"/>
        </w:rPr>
        <w:t>فإنّ الشارع الأقدس قد سوّغ المجيء بأعمال مكة قبل يوم التاسع ولو بأيّام، وذلك لذوي الأعذار، كما سوّغ لمن يقدر عليها يوم العيد أن يأتي بها أيام التشريق، بل إلى آخر ذي الحجّة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1936706_1051229030"/>
      <w:bookmarkStart w:id="99" w:name="_Toc38"/>
      <w:bookmarkEnd w:id="98"/>
      <w:r>
        <w:rPr>
          <w:rtl w:val="true"/>
        </w:rPr>
        <w:t>الباب الثاني</w:t>
      </w:r>
      <w:r>
        <w:rPr>
          <w:rtl w:val="true"/>
        </w:rPr>
        <w:t xml:space="preserve">: </w:t>
      </w:r>
      <w:r>
        <w:rPr>
          <w:rtl w:val="true"/>
        </w:rPr>
        <w:t>باب الصلاة</w:t>
      </w:r>
      <w:bookmarkEnd w:id="99"/>
    </w:p>
    <w:p>
      <w:pPr>
        <w:pStyle w:val="Heading6"/>
        <w:numPr>
          <w:ilvl w:val="5"/>
          <w:numId w:val="1"/>
        </w:numPr>
        <w:rPr/>
      </w:pPr>
      <w:bookmarkStart w:id="100" w:name="__RefHeading___Toc1936708_1051229030"/>
      <w:bookmarkStart w:id="101" w:name="_Toc39"/>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وفي هذا الباب أيضاً أمثلة كثيرة، نذكر أهمّها</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1936710_1051229030"/>
      <w:bookmarkStart w:id="103" w:name="_Toc40"/>
      <w:bookmarkEnd w:id="102"/>
      <w:r>
        <w:rPr>
          <w:rtl w:val="true"/>
        </w:rPr>
        <w:t>المثال الأوّل</w:t>
      </w:r>
      <w:r>
        <w:rPr>
          <w:rtl w:val="true"/>
        </w:rPr>
        <w:t xml:space="preserve">: </w:t>
      </w:r>
      <w:r>
        <w:rPr>
          <w:rtl w:val="true"/>
        </w:rPr>
        <w:t>صلاة الليل</w:t>
      </w:r>
      <w:bookmarkEnd w:id="103"/>
    </w:p>
    <w:p>
      <w:pPr>
        <w:pStyle w:val="BookText"/>
        <w:rPr/>
      </w:pPr>
      <w:r>
        <w:rPr>
          <w:rFonts w:ascii="Amiri" w:hAnsi="Amiri" w:eastAsia="Amiri" w:cs="Amiri"/>
          <w:color w:val="111111"/>
          <w:sz w:val="28"/>
          <w:sz w:val="28"/>
          <w:szCs w:val="28"/>
          <w:rtl w:val="true"/>
          <w:lang w:bidi="ar-SA"/>
        </w:rPr>
        <w:t>فإنّه قد سوّغ الشارع الإتيان بصلاة الليل قبل منتصف الليل، وجعل ذلك مجزياً عن المجيء بها في وقتها لذوي الأعذار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1936712_1051229030"/>
      <w:bookmarkStart w:id="105" w:name="_Toc41"/>
      <w:bookmarkEnd w:id="104"/>
      <w:r>
        <w:rPr>
          <w:rtl w:val="true"/>
        </w:rPr>
        <w:t>المثال الثاني</w:t>
      </w:r>
      <w:r>
        <w:rPr>
          <w:rtl w:val="true"/>
        </w:rPr>
        <w:t xml:space="preserve">: </w:t>
      </w:r>
      <w:r>
        <w:rPr>
          <w:rtl w:val="true"/>
        </w:rPr>
        <w:t>نوافل الظهرين</w:t>
      </w:r>
      <w:bookmarkEnd w:id="10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سوّغ الشارع الإتيان بنوافل الظهرين قُبيل الزوال، لمَن يعجز عن الإتيان بها في وقتها</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106" w:name="pg7448_76812"/>
    </w:p>
    <w:p>
      <w:pPr>
        <w:pStyle w:val="Heading6"/>
        <w:numPr>
          <w:ilvl w:val="5"/>
          <w:numId w:val="1"/>
        </w:numPr>
        <w:rPr/>
      </w:pPr>
      <w:bookmarkStart w:id="107" w:name="__RefHeading___Toc1936714_1051229030"/>
      <w:bookmarkStart w:id="108" w:name="_Toc42"/>
      <w:bookmarkEnd w:id="106"/>
      <w:bookmarkEnd w:id="107"/>
      <w:r>
        <w:rPr>
          <w:rtl w:val="true"/>
        </w:rPr>
        <w:t>المثال الثالث</w:t>
      </w:r>
      <w:r>
        <w:rPr>
          <w:rtl w:val="true"/>
        </w:rPr>
        <w:t xml:space="preserve">: </w:t>
      </w:r>
      <w:r>
        <w:rPr>
          <w:rtl w:val="true"/>
        </w:rPr>
        <w:t>نافلة الفجر</w:t>
      </w:r>
      <w:bookmarkEnd w:id="108"/>
    </w:p>
    <w:p>
      <w:pPr>
        <w:pStyle w:val="BookText"/>
        <w:rPr/>
      </w:pPr>
      <w:r>
        <w:rPr>
          <w:rFonts w:ascii="Amiri" w:hAnsi="Amiri" w:eastAsia="Amiri" w:cs="Amiri"/>
          <w:color w:val="111111"/>
          <w:sz w:val="28"/>
          <w:sz w:val="28"/>
          <w:szCs w:val="28"/>
          <w:rtl w:val="true"/>
          <w:lang w:bidi="ar-SA"/>
        </w:rPr>
        <w:t>فمع أنّ الوقت المقرّر لنافلة الفجر هو بعد الفجر الكاذب، إلّا أنّه وسّع الشارع المجيء بها بعد صلاة الليل</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 w:name="__RefHeading___Toc1936716_1051229030"/>
      <w:bookmarkStart w:id="110" w:name="_Toc43"/>
      <w:bookmarkEnd w:id="109"/>
      <w:r>
        <w:rPr>
          <w:rtl w:val="true"/>
        </w:rPr>
        <w:t>المثال الرابع</w:t>
      </w:r>
      <w:r>
        <w:rPr>
          <w:rtl w:val="true"/>
        </w:rPr>
        <w:t xml:space="preserve">: </w:t>
      </w:r>
      <w:r>
        <w:rPr>
          <w:rtl w:val="true"/>
        </w:rPr>
        <w:t>خطبتا صلاة الجمعة</w:t>
      </w:r>
      <w:bookmarkEnd w:id="110"/>
    </w:p>
    <w:p>
      <w:pPr>
        <w:pStyle w:val="BookText"/>
        <w:rPr/>
      </w:pPr>
      <w:r>
        <w:rPr>
          <w:rFonts w:ascii="Amiri" w:hAnsi="Amiri" w:eastAsia="Amiri" w:cs="Amiri"/>
          <w:color w:val="111111"/>
          <w:sz w:val="28"/>
          <w:sz w:val="28"/>
          <w:szCs w:val="28"/>
          <w:rtl w:val="true"/>
          <w:lang w:bidi="ar-SA"/>
        </w:rPr>
        <w:t>فإنّ خطبتي صلاة الجمعة شرّعتا كبدل عن ركعتين بعد الزوال، إلّا أنّ الشارع سوّغ المجيء بهما قبل الزوال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 w:name="__RefHeading___Toc1936718_1051229030"/>
      <w:bookmarkStart w:id="112" w:name="_Toc44"/>
      <w:bookmarkEnd w:id="111"/>
      <w:r>
        <w:rPr>
          <w:rtl w:val="true"/>
        </w:rPr>
        <w:t>المثال الخامس</w:t>
      </w:r>
      <w:r>
        <w:rPr>
          <w:rtl w:val="true"/>
        </w:rPr>
        <w:t xml:space="preserve">: </w:t>
      </w:r>
      <w:r>
        <w:rPr>
          <w:rtl w:val="true"/>
        </w:rPr>
        <w:t>إدراك الوقت بركعة</w:t>
      </w:r>
      <w:bookmarkEnd w:id="112"/>
    </w:p>
    <w:p>
      <w:pPr>
        <w:pStyle w:val="BookText"/>
        <w:rPr/>
      </w:pPr>
      <w:r>
        <w:rPr>
          <w:rFonts w:ascii="IRNazanin" w:hAnsi="IRNazanin" w:eastAsia="IRNazanin"/>
          <w:color w:val="111111"/>
          <w:sz w:val="28"/>
          <w:sz w:val="28"/>
          <w:szCs w:val="28"/>
          <w:rtl w:val="true"/>
          <w:lang w:bidi="fa-IR"/>
        </w:rPr>
        <w:t>قد ورد في الروايات عن أهل البيت علیهم السلام  أنّ مَن أدرك ركعة من الوقت ـ أو من آخر الوقت ـ فقد أدرك الوقت، كما ورد إجزاء مَن صلّى قبل الوقت فأدرك الوقت ودخل عليه قبل أن يُسلّم، لمن صلى قبل الوقت غفلة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 w:name="__RefHeading___Toc1936720_1051229030"/>
      <w:bookmarkStart w:id="114" w:name="_Toc45"/>
      <w:bookmarkEnd w:id="113"/>
      <w:r>
        <w:rPr>
          <w:rtl w:val="true"/>
        </w:rPr>
        <w:t>الباب الثالث</w:t>
      </w:r>
      <w:r>
        <w:rPr>
          <w:rtl w:val="true"/>
        </w:rPr>
        <w:t xml:space="preserve">: </w:t>
      </w:r>
      <w:r>
        <w:rPr>
          <w:rtl w:val="true"/>
        </w:rPr>
        <w:t>موارد متفرِّقة</w:t>
      </w:r>
      <w:bookmarkEnd w:id="114"/>
    </w:p>
    <w:p>
      <w:pPr>
        <w:pStyle w:val="BookText"/>
        <w:rPr/>
      </w:pPr>
      <w:r>
        <w:rPr>
          <w:rFonts w:ascii="Amiri" w:hAnsi="Amiri" w:eastAsia="Amiri" w:cs="Amiri"/>
          <w:color w:val="111111"/>
          <w:sz w:val="28"/>
          <w:sz w:val="28"/>
          <w:szCs w:val="28"/>
          <w:rtl w:val="true"/>
          <w:lang w:bidi="ar-SA"/>
        </w:rPr>
        <w:t>ولهذا الباب أمثلته الكثيرة، إليك بعضها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يوم عاشوراء يوم عظيم؛ لذا جعل أهل البيت علیهم السلام  له حريماً زمانياً متقدِّماً عليه بتسعة أيّام، فقد ورد عن الإمام موسى بن جعفر علیه السلام ، أنّ حزنه علیه السلام  كان </w:t>
      </w:r>
    </w:p>
    <w:p>
      <w:pPr>
        <w:pStyle w:val="BookText"/>
        <w:rPr/>
      </w:pPr>
      <w:r>
        <w:rPr>
          <w:rFonts w:ascii="IRNazanin" w:hAnsi="IRNazanin" w:eastAsia="IRNazanin"/>
          <w:color w:val="111111"/>
          <w:sz w:val="28"/>
          <w:sz w:val="28"/>
          <w:szCs w:val="28"/>
          <w:rtl w:val="true"/>
          <w:lang w:bidi="fa-IR"/>
        </w:rPr>
        <w:t>يبدأ من أوّل يوم من محرَّم، فلا يُرى باسماً قط، فإذا كان يوم العاشر كان يوم مصيبته علیه السلام ، فقد روى الصدوق في أماليه بسنده، عن إبراهيم بن أبي محمود، عن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إذا دخل شهر المحرّم لا يُرى ضاحكاً، وكانت الكآبة تغلب عليه حتى يمضي منه عشرة أيّام، فإذا كان يوم العاشر كان ذلك اليوم يوم مصيبته وحزنه وبكائه،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اليوم الذي قُتل فيه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في البحار عن بعض مؤلّفات المتأخّرين،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حكى دعبل الخزاعي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ومولاي علي بن موسى الرضا علیه السلام  في مثل هذه الأيّام، فرأيته جالساً جلسة الحزين الكئيب، وأصحابه من حوله، فلمّا رآني مُقبلاً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دعبل، مرحباً بناصرنا بيده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وسّع لي في مجلسه، وأجلسني إلى جانبه،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دعبل، أُحبُّ أن تنشدني شعراً؛ فإنّ هذه الأيّام أيّام حزنٍ كانت علينا أهل البيت، وأيّام سرورٍ كانت على أعدائنا، خصوصاً بني أُميّة</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وفي هذه الرواية ـ وإن كانت مرسلة ـ تصريح بأنّ المناسبة وإن كانت يوماً واحداً، إلّا أنّ ما يحتفّ بها من أيّام ـ ما قبلها وما بعدها ـ تلك الأيّام تنتسب إلى تلك المناسبة وذلك اليوم بحسب الأعراف المختلفة، بل هذه الروايات نصّ بالخصوص على ما نحن فيه صغرويّاً، وأنّ هذه التوسعة في الارتكاز العرفي قبل أن تكون تناسباً شرعياً، وهذا وجهٌ مستقلّ برأسه، وهو استقراء الاستعمال العرفي لعنوان الأيّام المضافة إلى مناسبةٍ ما، وكانوا يعدّون هذه الأيّام أيّام الحزن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القدر، فإنّ يومها بمنزلتها</w:t>
      </w:r>
      <w:r>
        <w:rPr>
          <w:rStyle w:val="FootnoteAnchor"/>
          <w:rtl w:val="true"/>
        </w:rPr>
        <w:footnoteReference w:id="14"/>
      </w:r>
      <w:r>
        <w:rPr>
          <w:rFonts w:ascii="Amiri" w:hAnsi="Amiri" w:eastAsia="Amiri" w:cs="Amiri"/>
          <w:color w:val="111111"/>
          <w:sz w:val="28"/>
          <w:sz w:val="28"/>
          <w:szCs w:val="28"/>
          <w:rtl w:val="true"/>
          <w:lang w:bidi="ar-SA"/>
        </w:rPr>
        <w:t>، بل ورد أنّ ليلة التاسع عشر والواحد والعشرين حريمٌ زماني متقدّم لليلة الثالث والعشرين</w:t>
      </w:r>
      <w:r>
        <w:rPr>
          <w:rStyle w:val="FootnoteAnchor"/>
          <w:rtl w:val="true"/>
        </w:rPr>
        <w:footnoteReference w:id="15"/>
      </w:r>
      <w:r>
        <w:rPr>
          <w:rFonts w:ascii="IRNazanin" w:hAnsi="IRNazanin" w:eastAsia="IRNazanin"/>
          <w:color w:val="111111"/>
          <w:sz w:val="28"/>
          <w:sz w:val="28"/>
          <w:szCs w:val="28"/>
          <w:rtl w:val="true"/>
          <w:lang w:bidi="fa-IR"/>
        </w:rPr>
        <w:t xml:space="preserve">، بل ورد أنّ شهر </w:t>
      </w:r>
      <w:bookmarkStart w:id="115" w:name="pg7448_76814"/>
    </w:p>
    <w:p>
      <w:pPr>
        <w:pStyle w:val="BookText"/>
        <w:rPr/>
      </w:pPr>
      <w:bookmarkEnd w:id="115"/>
      <w:r>
        <w:rPr>
          <w:rFonts w:ascii="Amiri" w:hAnsi="Amiri" w:eastAsia="Amiri" w:cs="Amiri"/>
          <w:color w:val="111111"/>
          <w:sz w:val="28"/>
          <w:sz w:val="28"/>
          <w:szCs w:val="28"/>
          <w:rtl w:val="true"/>
          <w:lang w:bidi="ar-SA"/>
        </w:rPr>
        <w:t>رمضان ـ من أوّله ـ حريمٌ لليلة القدر</w:t>
      </w:r>
      <w:r>
        <w:rPr>
          <w:rStyle w:val="FootnoteAnchor"/>
          <w:rtl w:val="true"/>
        </w:rPr>
        <w:footnoteReference w:id="16"/>
      </w:r>
      <w:r>
        <w:rPr>
          <w:rFonts w:ascii="Amiri" w:hAnsi="Amiri" w:eastAsia="Amiri" w:cs="Amiri"/>
          <w:color w:val="111111"/>
          <w:sz w:val="28"/>
          <w:sz w:val="28"/>
          <w:szCs w:val="28"/>
          <w:rtl w:val="true"/>
          <w:lang w:bidi="ar-SA"/>
        </w:rPr>
        <w:t>، بل ورد أيضاً أنّ حريم ليلة القدر يبدأ من ليلة النصف من شعبان</w:t>
      </w:r>
      <w:r>
        <w:rPr>
          <w:rStyle w:val="FootnoteAnchor"/>
          <w:rtl w:val="true"/>
        </w:rPr>
        <w:footnoteReference w:id="17"/>
      </w:r>
      <w:r>
        <w:rPr>
          <w:rFonts w:ascii="IRNazanin" w:hAnsi="IRNazanin" w:eastAsia="IRNazanin"/>
          <w:color w:val="111111"/>
          <w:sz w:val="28"/>
          <w:sz w:val="28"/>
          <w:szCs w:val="28"/>
          <w:rtl w:val="true"/>
          <w:lang w:bidi="fa-IR"/>
        </w:rPr>
        <w:t xml:space="preserve">، كما أنّ ليلة القدر حريمٌ لولاية آل محمد علیهم السلام ، باعتبارها ظرفاً زمانيّاً شريفاً لتنزّل روح القدس عليهم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غسل يوم الجمعة، فإنّ الشارع المقدس سوّغ المجيء به في يوم الخميس، لـمَن يعجز عن الماء يوم الجمعة أو يخاف العوز</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الشارع حريماً لليلة الجمعة ـ يمتدّ قبلها ـ من بعد زوال ظهر يوم الخميس، كما جعل لأعمال يوم الجمعة حريماً متأخِّراً وهو ليلة السبت، بل يظهر من الشارع أنّ كلّ يوم ذي فضيلة وحرمة تبدأ حرمته قبله؛ فتكون الليلة السابقة حريماً له، كليلة عرفة، وليالي العيدين، وليلة الجمعة، وليلة النصف من شعبان ـ كما تقدّم ـ وليلة المبعث الشريف مع أنّ المبعث الشريف في فجر يومها، وغيرها من الليالي التي شُرِّفت كحريم سابق لأيّامها الشريفة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فضائل يوم الغدير أنّه مستمرّ إلى ثلاثة أيّام</w:t>
      </w:r>
      <w:r>
        <w:rPr>
          <w:rStyle w:val="FootnoteAnchor"/>
          <w:rtl w:val="true"/>
        </w:rPr>
        <w:footnoteReference w:id="20"/>
      </w:r>
      <w:r>
        <w:rPr>
          <w:rFonts w:ascii="Amiri" w:hAnsi="Amiri" w:eastAsia="Amiri" w:cs="Amiri"/>
          <w:color w:val="111111"/>
          <w:sz w:val="28"/>
          <w:sz w:val="28"/>
          <w:szCs w:val="28"/>
          <w:rtl w:val="true"/>
          <w:lang w:bidi="ar-SA"/>
        </w:rPr>
        <w:t>، وكذلك ما ورد في اليوم التاسع من ربيع الأوّل</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936722_1051229030"/>
      <w:bookmarkStart w:id="117" w:name="_Toc46"/>
      <w:bookmarkEnd w:id="116"/>
      <w:r>
        <w:rPr>
          <w:rtl w:val="true"/>
        </w:rPr>
        <w:t>القسم الثاني</w:t>
      </w:r>
      <w:r>
        <w:rPr>
          <w:rtl w:val="true"/>
        </w:rPr>
        <w:t xml:space="preserve">: </w:t>
      </w:r>
      <w:r>
        <w:rPr>
          <w:rtl w:val="true"/>
        </w:rPr>
        <w:t>موارد التوسعة في الحريم المكاني</w:t>
      </w:r>
      <w:bookmarkEnd w:id="11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مرّت بعض الموارد المرتبطة بتوسعة الحريم المكاني كما أشرنا، ونؤشر فيما يأتي جانباً آخر من مواردها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ـ كأوّل بيتٍ وُضع للناس ـ لها عظمة وحرمة وشرافة؛ لذا جُعل المسجد الحرام حريماً لها، وجُعلت مكّة المكرمة حريماً للمسجد الحرام، وجُعل الحرم المكّي حريماً لمكّة المكرّمة، وجُعلت المواقيت حريماً للحرم المكّي، وقد وردت النصوص بكلّ ذلك</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مرقد الرسول صلّى الله عليه و آله ، فقد ذكر السمهودي ـ في مقدّمة كتابه خلاصة الوفا بأخبار دار المصطفى ـ إجماع أهل الجمهور على أنّ قبره صلّى الله عليه و آله أعظم حرمةً من مكّة المكرّمة</w:t>
      </w:r>
      <w:r>
        <w:rPr>
          <w:rStyle w:val="FootnoteAnchor"/>
          <w:rtl w:val="true"/>
        </w:rPr>
        <w:footnoteReference w:id="23"/>
      </w:r>
      <w:r>
        <w:rPr>
          <w:rFonts w:ascii="IRNazanin" w:hAnsi="IRNazanin" w:eastAsia="IRNazanin"/>
          <w:color w:val="111111"/>
          <w:sz w:val="28"/>
          <w:sz w:val="28"/>
          <w:szCs w:val="28"/>
          <w:rtl w:val="true"/>
          <w:lang w:bidi="fa-IR"/>
        </w:rPr>
        <w:t>، بل نقل عنهم أنّه أعظم من العرش</w:t>
      </w:r>
      <w:r>
        <w:rPr>
          <w:rStyle w:val="FootnoteAnchor"/>
          <w:rtl w:val="true"/>
        </w:rPr>
        <w:footnoteReference w:id="24"/>
      </w:r>
      <w:r>
        <w:rPr>
          <w:rFonts w:ascii="Amiri" w:hAnsi="Amiri" w:eastAsia="Amiri" w:cs="Amiri"/>
          <w:color w:val="111111"/>
          <w:sz w:val="28"/>
          <w:sz w:val="28"/>
          <w:szCs w:val="28"/>
          <w:rtl w:val="true"/>
          <w:lang w:bidi="ar-SA"/>
        </w:rPr>
        <w:t>لذا جُعلت الروضة المباركة بين القبر والمنبر حريماً للقبر الشريف، وجُعل المسجد النبوي حريماً للروضة المباركة، وجُعلت المدينة المنوّرة حريماً للمسجد النبوي، وجُعل الحرم المدني بين الجبلين حريماً للمدينة المنوّرة</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بعض الروايات أنّ ما بين الحرم المكّي والحرم المدني ملحقٌ في بعض الآثار بهما، كما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بين الحرمين، بعثه الله في الآمنين يوم القيامة</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بين الحرمين لم يُنشر له ديوان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مراقد أهل البيت علیهم السلام ، فإنّ قبورهم بيوتٌ أذن الله أن تُرفع ويُذكر فيها اسمه، فلها الحرمة والعظمة بنصّ القرآن الكريم والسنّة الشريفة، وقد ذكر كاشف الغطاء قدِّسَ سرُّه في كتابه ـ عند قراءة الفاتحة بعد الطعام ورجحان الشعائر الحسينيّةـ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w:t>
      </w:r>
    </w:p>
    <w:p>
      <w:pPr>
        <w:pStyle w:val="BookText"/>
        <w:rPr/>
      </w:pPr>
      <w:r>
        <w:rPr>
          <w:rFonts w:ascii="IRNazanin" w:hAnsi="IRNazanin" w:eastAsia="IRNazanin"/>
          <w:color w:val="111111"/>
          <w:sz w:val="28"/>
          <w:sz w:val="28"/>
          <w:szCs w:val="28"/>
          <w:rtl w:val="true"/>
          <w:lang w:bidi="fa-IR"/>
        </w:rPr>
        <w:t xml:space="preserve">مراقدهم علیهم السلام  مشاعر شعّرها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ويتبعها في الحرمة ما حولها من البقاع الشريفة؛ لذا قد ورد أنّ الكوفة حَرُمت لأجل أمير المؤمنين علیه السلام </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ذهب الشيخ الطوسي في النهاية، إلى أنّ حكم التخيير في الصلاة بين القصر والتمام للمسافر في مسجد الكوفة بتبع التخيير في مرقد أمير المؤمنين علیه السلام </w:t>
      </w:r>
      <w:r>
        <w:rPr>
          <w:rStyle w:val="FootnoteAnchor"/>
          <w:rtl w:val="true"/>
        </w:rPr>
        <w:footnoteReference w:id="29"/>
      </w:r>
      <w:r>
        <w:rPr>
          <w:rFonts w:ascii="IRNazanin" w:hAnsi="IRNazanin" w:eastAsia="IRNazanin"/>
          <w:color w:val="111111"/>
          <w:sz w:val="28"/>
          <w:sz w:val="28"/>
          <w:szCs w:val="28"/>
          <w:rtl w:val="true"/>
          <w:lang w:bidi="fa-IR"/>
        </w:rPr>
        <w:t>، ويُؤيّد ذلك ما رواه محمد بن الحسن، عن أبيه، عن أحمد بن داود، عن أحمد بن جعفر المؤدب، عن يعقوب بن يزيد، عن الحسين بن بشار الواسطي،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لمـَن زار قبر أبيك؟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فيه من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من الفضل كفضل مَن زار قبر والده ـ يعني رسول الله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خفت فلم يمكنني أن أدخل داخلاً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من وراء الحاير</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التوسعة المكانية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حرم سيّد الشهداء علیه السلام  أنّ الحيْر حريمٌ للقبر الشريف، وحرّمت مدينة كربلاء كحريم للقبر الشريف</w:t>
      </w:r>
      <w:r>
        <w:rPr>
          <w:rStyle w:val="FootnoteAnchor"/>
          <w:rtl w:val="true"/>
        </w:rPr>
        <w:footnoteReference w:id="31"/>
      </w:r>
      <w:r>
        <w:rPr>
          <w:rFonts w:ascii="IRNazanin" w:hAnsi="IRNazanin" w:eastAsia="IRNazanin"/>
          <w:color w:val="111111"/>
          <w:sz w:val="28"/>
          <w:sz w:val="28"/>
          <w:szCs w:val="28"/>
          <w:rtl w:val="true"/>
          <w:lang w:bidi="fa-IR"/>
        </w:rPr>
        <w:t>، بل ورد أنّ لمرقد الحسين علیه السلام  حريماً بمقدار فرسخ من كلّ جانب من القبر الشريف</w:t>
      </w:r>
      <w:r>
        <w:rPr>
          <w:rStyle w:val="FootnoteAnchor"/>
          <w:rtl w:val="true"/>
        </w:rPr>
        <w:footnoteReference w:id="32"/>
      </w:r>
      <w:r>
        <w:rPr>
          <w:rFonts w:ascii="Amiri" w:hAnsi="Amiri" w:eastAsia="Amiri" w:cs="Amiri"/>
          <w:color w:val="111111"/>
          <w:sz w:val="28"/>
          <w:sz w:val="28"/>
          <w:szCs w:val="28"/>
          <w:rtl w:val="true"/>
          <w:lang w:bidi="ar-SA"/>
        </w:rPr>
        <w:t>، وهذا يُطابق ما ورد مستفيضاً من استجابة الدعاء تحت قبّته</w:t>
      </w:r>
      <w:r>
        <w:rPr>
          <w:rStyle w:val="FootnoteAnchor"/>
          <w:rtl w:val="true"/>
        </w:rPr>
        <w:footnoteReference w:id="33"/>
      </w:r>
      <w:r>
        <w:rPr>
          <w:rFonts w:ascii="Amiri" w:hAnsi="Amiri" w:eastAsia="Amiri" w:cs="Amiri"/>
          <w:color w:val="111111"/>
          <w:sz w:val="28"/>
          <w:sz w:val="28"/>
          <w:szCs w:val="28"/>
          <w:rtl w:val="true"/>
          <w:lang w:bidi="ar-SA"/>
        </w:rPr>
        <w:t xml:space="preserve">فإنّ المراد من ذلك ليس القبّة الذهبيّة فوق المرقد الشريف، بل قبّة السماء، فالواقف عند القبر الشريف يكون امتداد القبّة بمقدار امتداد نظره في الأُفق، حيث يتماسّ خطّ السماء بالأرض، وهذا المقدار يساوي الفرسخ تقريباً، </w:t>
      </w:r>
    </w:p>
    <w:p>
      <w:pPr>
        <w:pStyle w:val="BookText"/>
        <w:rPr/>
      </w:pPr>
      <w:r>
        <w:rPr>
          <w:rFonts w:ascii="Amiri" w:hAnsi="Amiri" w:eastAsia="Amiri" w:cs="Amiri"/>
          <w:color w:val="111111"/>
          <w:sz w:val="28"/>
          <w:sz w:val="28"/>
          <w:szCs w:val="28"/>
          <w:rtl w:val="true"/>
          <w:lang w:bidi="ar-SA"/>
        </w:rPr>
        <w:t>وهو حوالي خمسة كيلومترات ونصف؛ ومن ثَمَّ ذهب جملةٌ من الفقهاء المتقدمين إلى التخيير بين القصر والتمام في تمام مدينة كربلاء</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الروايات الواردة في هذا الشأن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مرفوعة منصور بن عباس،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الحسين علیه السلام  خمسُ فراسخ من أربع جوانبه</w:t>
      </w:r>
      <w:r>
        <w:rPr>
          <w:rFonts w:eastAsia="IRNazanin" w:cs="IRNazanin"/>
          <w:color w:val="111111"/>
          <w:sz w:val="28"/>
          <w:szCs w:val="28"/>
          <w:rtl w:val="true"/>
          <w:lang w:bidi="fa-IR"/>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حوالي شعاع سبعة وعشرين كليو متراً من كلّ جانب من جوانب القبر، ومثلها مرسلة الصدوق في الفقيه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ما رواه الشيخ الطوسي بسنده، عن محمد بن إسماعيل البصري، عمَّن رواه،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الحسين علیه السلام  فرسخ في فرسخ من أربع جوانب القبر</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ما رواه الشيخ الطوسي بسنده، عن محمد بن أحمد بن داود بن الحسن بن محمد، عن حميد بن زياد، عن بنان بن محمد، عن أبي الطاهر ـ يعني الورّاق ـ عن الحجّال، عن غير واحد من أصحابنا،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التربة من قبر الحسين بن علي علیه السلام  عشرة أميال</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ـ ما رواه في كامل الزيارات بسنده، عن محمد بن جعفر، عن محمد بن الحسين، عن رجلٍ، عن أبي الصباح الكناني،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طينُ قبر الحسين علیه السلام  فيه شفاء، وإن أُخذ على رأس ميل</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ـ ما رواه في التهذيب بسنده، عن سليمان بن عمر السراج، عن بعض أصحابه، </w:t>
      </w:r>
    </w:p>
    <w:p>
      <w:pPr>
        <w:pStyle w:val="BookText"/>
        <w:rPr/>
      </w:pPr>
      <w:r>
        <w:rPr>
          <w:rFonts w:ascii="IRNazanin" w:hAnsi="IRNazanin" w:eastAsia="IRNazanin"/>
          <w:color w:val="111111"/>
          <w:sz w:val="28"/>
          <w:sz w:val="28"/>
          <w:szCs w:val="28"/>
          <w:rtl w:val="true"/>
          <w:lang w:bidi="fa-IR"/>
        </w:rPr>
        <w:t>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يُؤخذ طينُ قبر الحسين علیه السلام  من عند القبر على سبعين ذراعاً</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قولويه في المزار،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سبعين باعاً في سبعين باعاً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ـ ما رواه بسنده، عن أبي القاسم جعفر بن محمد، عن محمد بن جعفر الرزاز، عن محمد بن الحسين بن أبي الخطاب، عن الحسن بن محبوب، عن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لموضع قبر الحسين علیه السلام  حرمة معروفة، مَن عرفها واستجار بها أُجير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امسح من موضع قبره اليوم خمسة وعشرين ذراعاً من ناحية رجليه، وخمسة وعشرين ذراعاً من ناحية رأسه، وموضع قبره من يوم دفنه روضةٌ من رياض الجنّة، ومنه معراج يُعرج فيه بأعمال زواره إلى السماء، وما من ملكٍ في السماء ولا في الأرض إلّا وهم يسألون الله أن يأذن لهم في زيارة قبر الحسين علیه السلام ، ففوجٌ ينزل وفوج يعرج</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ابن قولويه والكليني أيضاً</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ـ ما في معتبرة عبد الله بن سنان،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الحسين علیه السلام  عشرون ذراعاً مكسّراً روضةٌ من رياض الجنّة</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التفاوت في تحديد المكان مضافاً إلى إمكان حمله على تفاوت الفضل، فإنّه يُشير أيضاً إلى التوسيع في حريم وحرمة المكان والميقات المكاني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أنّ الله تعالى يدفع البلاء عن مدينة بغداد، بقبر الإمام موسى بن جعفر علیه السلام </w:t>
      </w:r>
      <w:r>
        <w:rPr>
          <w:rStyle w:val="FootnoteAnchor"/>
          <w:rtl w:val="true"/>
        </w:rPr>
        <w:footnoteReference w:id="45"/>
      </w:r>
      <w:r>
        <w:rPr>
          <w:rFonts w:ascii="IRNazanin" w:hAnsi="IRNazanin" w:eastAsia="IRNazanin"/>
          <w:color w:val="111111"/>
          <w:sz w:val="28"/>
          <w:sz w:val="28"/>
          <w:szCs w:val="28"/>
          <w:rtl w:val="true"/>
          <w:lang w:bidi="fa-IR"/>
        </w:rPr>
        <w:t xml:space="preserve">، وورد أيضاً حرمة مدينة سامراء بقبر العسكريين علیهماالسلام  </w:t>
      </w:r>
      <w:r>
        <w:rPr>
          <w:rStyle w:val="FootnoteAnchor"/>
          <w:rtl w:val="true"/>
        </w:rPr>
        <w:footnoteReference w:id="46"/>
      </w:r>
      <w:r>
        <w:rPr>
          <w:rFonts w:ascii="IRNazanin" w:hAnsi="IRNazanin" w:eastAsia="IRNazanin"/>
          <w:color w:val="111111"/>
          <w:sz w:val="28"/>
          <w:sz w:val="28"/>
          <w:szCs w:val="28"/>
          <w:rtl w:val="true"/>
          <w:lang w:bidi="fa-IR"/>
        </w:rPr>
        <w:t xml:space="preserve">، وأنّ مدينة طوس حرمٌ لمرقد الرضا علیه السلام </w:t>
      </w:r>
      <w:r>
        <w:rPr>
          <w:rStyle w:val="FootnoteAnchor"/>
          <w:rtl w:val="true"/>
        </w:rPr>
        <w:footnoteReference w:id="47"/>
      </w:r>
      <w:r>
        <w:rPr>
          <w:rFonts w:ascii="IRNazanin" w:hAnsi="IRNazanin" w:eastAsia="IRNazanin"/>
          <w:color w:val="111111"/>
          <w:sz w:val="28"/>
          <w:sz w:val="28"/>
          <w:szCs w:val="28"/>
          <w:rtl w:val="true"/>
          <w:lang w:bidi="fa-IR"/>
        </w:rPr>
        <w:t xml:space="preserve">، بل ورد أنّ ما بين الجبلين المحيطين بطوس، جُعل حريماً لمرقد الرضا علیه السلام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السيد المرتضى، وابن الجنيد، وبعض المتقدِّمين إلى التخيير في الصلاة بين القصر والتمام للمسافر في كلّ المراقد المطهرة لأهل البيت علیهم السلام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تنزيل زيارة المعصومين علیهم السلام  من على سطح المنزل بمنزلة الزيارة عن قرب، لـمَن عجز عن السفر لمانع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غسل الإحرام في مسجد الشجرة، فقد سوّغ الشارع الغسل في المدينة المنورة لمَن يعجز عنه في مسجد الشجرة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أنّه إذا ضاقت عرفة بالحجيج، يسوغ لهم أن يصعدوا إلى الجبل</w:t>
      </w:r>
      <w:r>
        <w:rPr>
          <w:rStyle w:val="FootnoteAnchor"/>
          <w:rtl w:val="true"/>
        </w:rPr>
        <w:footnoteReference w:id="52"/>
      </w:r>
      <w:r>
        <w:rPr>
          <w:rFonts w:ascii="Amiri" w:hAnsi="Amiri" w:eastAsia="Amiri" w:cs="Amiri"/>
          <w:color w:val="111111"/>
          <w:sz w:val="28"/>
          <w:sz w:val="28"/>
          <w:szCs w:val="28"/>
          <w:rtl w:val="true"/>
          <w:lang w:bidi="ar-SA"/>
        </w:rPr>
        <w:t>، وكذلك في منى إلى وادي محسر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عدم وجوب استلام الحجر وتقبيله، وعدم تأكّد استحباب المزاحمة عليه، وإجزاء الإشارة والإيماء، وتُشير إلى ذلك روايات</w:t>
      </w:r>
      <w:r>
        <w:rPr>
          <w:rFonts w:eastAsia="Amiri" w:cs="Amiri" w:ascii="Amiri" w:hAnsi="Amiri"/>
          <w:color w:val="111111"/>
          <w:sz w:val="28"/>
          <w:szCs w:val="28"/>
          <w:rtl w:val="true"/>
          <w:lang w:bidi="ar-SA"/>
        </w:rPr>
        <w:t xml:space="preserve">: </w:t>
      </w:r>
      <w:bookmarkStart w:id="118" w:name="pg7448_76820"/>
    </w:p>
    <w:p>
      <w:pPr>
        <w:pStyle w:val="BookText"/>
        <w:rPr/>
      </w:pPr>
      <w:bookmarkEnd w:id="118"/>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الكليني، عن عدّة من أصحابنا، عن أحمد بن محمد، عن الحسين بن سعيد، عن صفوان بن يحيى، عن سيف التمّار،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الحجر الأسود فوجدت عليه زحاماً، فلم ألقَ إلّا رجلاً من أصحابنا، فسألته،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استلامه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وجدته خالياً وإلّا فسلِّم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بعيد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أيضاً، عنهم، عن أحمد بن محمد بن عيسى، عن أحمد بن محمد ابن أبي نصر، عن محمد بن عبيد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الرضا علیه السلام  عن الحجر الأسود، وهل يُقاتل عليه الناس إذا كثروا؟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كذلك فأومِ إليه إيماءً بيدك</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محمد بن يعقوب، عن علي بن إبراهيم، عن أبيه، عن ابن أبي عمير، عن أبي أيوب الخزاز، عن أبي بصير،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النساء جهر بالتلبية، ولا استلام الحجر، ولا دخول البيت، ولا سعي بين الصفا والمروة، يعني الهرولة</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يكفيهن الإيماء من بُعد للحجر الأسود</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936724_1051229030"/>
      <w:bookmarkStart w:id="120" w:name="_Toc47"/>
      <w:bookmarkEnd w:id="119"/>
      <w:r>
        <w:rPr>
          <w:rtl w:val="true"/>
        </w:rPr>
        <w:t>الوجه الثاني</w:t>
      </w:r>
      <w:r>
        <w:rPr>
          <w:rtl w:val="true"/>
        </w:rPr>
        <w:t xml:space="preserve">: </w:t>
      </w:r>
      <w:r>
        <w:rPr>
          <w:rtl w:val="true"/>
        </w:rPr>
        <w:t>السيرة العقلائية الممضاة</w:t>
      </w:r>
      <w:bookmarkEnd w:id="120"/>
    </w:p>
    <w:p>
      <w:pPr>
        <w:pStyle w:val="BookText"/>
        <w:rPr/>
      </w:pPr>
      <w:r>
        <w:rPr>
          <w:rFonts w:ascii="Amiri" w:hAnsi="Amiri" w:eastAsia="Amiri" w:cs="Amiri"/>
          <w:color w:val="111111"/>
          <w:sz w:val="28"/>
          <w:sz w:val="28"/>
          <w:szCs w:val="28"/>
          <w:rtl w:val="true"/>
          <w:lang w:bidi="ar-SA"/>
        </w:rPr>
        <w:t>من الأُمور الثابتة والمتقرّرة في السيرة العقلائية هو أنّ هناك حريماً في البقاع المملوكة، فللدار حريم، وللبئر حريم، وللطريق حريم من جانبيه، وللمدينة حريم من ضواحيها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وضابطة مقدار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بحسب الحاجة التابعة له، فليس يتحدّد بقدر ـ يقف عليه ـ ثابت لا يزيد ولا ينقص، بل هو يتّسع وينقص بمقدار ما تستدعيه الحاجة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السيرة العقلائية ليست خاصّة بتوسعة الحريم المكاني، بل هي جاريةٌ أيضاً بتوسعة الحريم الزماني، فنراهم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الحدث لمناسبةٍ حدثت في أيام قلائل، ولم تمتدّ لكلّ العامّ، كما في وفاة أبي طالب وخديجة علیهماالسلام   في عام الحزن</w:t>
      </w:r>
      <w:r>
        <w:rPr>
          <w:rFonts w:eastAsia="IRNazanin" w:cs="IRNazanin"/>
          <w:color w:val="111111"/>
          <w:sz w:val="28"/>
          <w:szCs w:val="28"/>
          <w:rtl w:val="true"/>
          <w:lang w:bidi="fa-IR"/>
        </w:rPr>
        <w:t xml:space="preserve">. </w:t>
      </w:r>
      <w:bookmarkStart w:id="121" w:name="pg7448_76821"/>
    </w:p>
    <w:p>
      <w:pPr>
        <w:pStyle w:val="BookText"/>
        <w:rPr/>
      </w:pPr>
      <w:bookmarkEnd w:id="121"/>
      <w:r>
        <w:rPr>
          <w:rFonts w:ascii="IRNazanin" w:hAnsi="IRNazanin" w:eastAsia="IRNazanin"/>
          <w:color w:val="111111"/>
          <w:sz w:val="28"/>
          <w:sz w:val="28"/>
          <w:szCs w:val="28"/>
          <w:rtl w:val="true"/>
          <w:lang w:bidi="fa-IR"/>
        </w:rPr>
        <w:t>وكذلك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صلّى الله عليه و آله وُلد في شهر ربيع الأوّل، أو إنّ أمير المؤمنين وُلِد في شهر رجب، مع أنّ الولادة حدثت في ساعة واحدة، كما روى الصفار بسنده، عن حفص الأبيض التمّار،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أيام صلب المعلّى بن الخنيس</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والحال أنّ المعلّى صُلب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الحميري، عن جعفر، عن أبيه علیهماالسلام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كان يأمر مناديه بالكوفة أيام عيد الأضحى</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والحال أنّ الأضحى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عن علي بن رافع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أحب أن تُعيرنيه أتجمّل به في أيام عيد الأضحى</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عيد الأضحى يوم واحد، ولكن عُبّر عنه بأيام، وهذا يدلّ على أنّ الشارع جعل لتلك الأزمنة حريماً زمانيّاً، عبّر عنها بالأيام، كما هو كذلك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يبرز لنا وجه التوسعة عند العقلاء؛ فهو لأجل طبيعة التوسعة في الظرفية والإسناد الزماني، وكذلك الحال في التوسع في الظرف المكاني،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وُلد في مكّة، وكلّ ذلك نوعٌ من التقريب في التحقيق، والتحقيق في التقريب، من جهة تحقّق الإسناد وتوسّع الظرف، وكأنّ هذا هو المنشأ للارتكاز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السيرة العقلائية هي سيرة متشرعيّة أيضاً، كما اتّضح من الأمثلة أعلاه</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936726_1051229030"/>
      <w:bookmarkStart w:id="123" w:name="_Toc48"/>
      <w:bookmarkEnd w:id="122"/>
      <w:r>
        <w:rPr>
          <w:rtl w:val="true"/>
        </w:rPr>
        <w:t>الوجه الثالث</w:t>
      </w:r>
      <w:r>
        <w:rPr>
          <w:rtl w:val="true"/>
        </w:rPr>
        <w:t xml:space="preserve">: </w:t>
      </w:r>
      <w:r>
        <w:rPr>
          <w:rtl w:val="true"/>
        </w:rPr>
        <w:t>قوله تعالى</w:t>
      </w:r>
      <w:r>
        <w:rPr>
          <w:rtl w:val="true"/>
        </w:rPr>
        <w:t>: «</w:t>
      </w:r>
      <w:r>
        <w:rPr>
          <w:rtl w:val="true"/>
        </w:rPr>
        <w:t xml:space="preserve">وَذَكِّرْهُمْ بِأَيَّامِ اللَّهِ إِنَّ فِي ذَلِكَ لَآيَاتٍ لِكُلِّ صَبَّارٍ شَكُورٍ </w:t>
      </w:r>
      <w:r>
        <w:rPr>
          <w:rtl w:val="true"/>
        </w:rPr>
        <w:t>»</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وَذَكِّرْهُمْ بِأَيَّامِ اللَّهِ إِنَّ فِي ذَلِكَ لَآيَاتٍ لِكُلِّ صَبَّارٍ شَكُورٍ </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يمكن أن يُستنبط منها عرفاً ـ سواء بحسب الارتكاز العقلائي أو المتشرّعي ـ أنّ التذكير الوارد في الآية المباركة، ليس لخصوص اليوم الذي فيه المشهد الإلهي العظيم، بل يشمل الأيام المحتفّة به أيضاً؛ فيكون مفاد الآية الكريمة، الاحتفاء والاحتفال بالميقات الزماني الشعيري، بما يشمل حريم ذلك الميقات الزماني، من قبل الميقات ومن بعده</w:t>
      </w:r>
      <w:r>
        <w:rPr>
          <w:rFonts w:eastAsia="Amiri" w:cs="Amiri" w:ascii="Amiri" w:hAnsi="Amiri"/>
          <w:color w:val="111111"/>
          <w:sz w:val="28"/>
          <w:szCs w:val="28"/>
          <w:rtl w:val="true"/>
          <w:lang w:bidi="ar-SA"/>
        </w:rPr>
        <w:t xml:space="preserve">. </w:t>
      </w:r>
      <w:bookmarkStart w:id="124" w:name="pg7448_76822"/>
    </w:p>
    <w:p>
      <w:pPr>
        <w:pStyle w:val="Heading4"/>
        <w:numPr>
          <w:ilvl w:val="3"/>
          <w:numId w:val="1"/>
        </w:numPr>
        <w:rPr/>
      </w:pPr>
      <w:bookmarkStart w:id="125" w:name="__RefHeading___Toc1936728_1051229030"/>
      <w:bookmarkStart w:id="126" w:name="_Toc49"/>
      <w:bookmarkEnd w:id="124"/>
      <w:bookmarkEnd w:id="125"/>
      <w:r>
        <w:rPr>
          <w:rtl w:val="true"/>
        </w:rPr>
        <w:t>الوجه الرابع</w:t>
      </w:r>
      <w:r>
        <w:rPr>
          <w:rtl w:val="true"/>
        </w:rPr>
        <w:t xml:space="preserve">: </w:t>
      </w:r>
      <w:r>
        <w:rPr>
          <w:rtl w:val="true"/>
        </w:rPr>
        <w:t>قاعدة تعدّد مراتب المستحبّات</w:t>
      </w:r>
      <w:bookmarkEnd w:id="126"/>
    </w:p>
    <w:p>
      <w:pPr>
        <w:pStyle w:val="BookText"/>
        <w:rPr/>
      </w:pPr>
      <w:r>
        <w:rPr>
          <w:rFonts w:ascii="Amiri" w:hAnsi="Amiri" w:eastAsia="Amiri" w:cs="Amiri"/>
          <w:color w:val="111111"/>
          <w:sz w:val="28"/>
          <w:sz w:val="28"/>
          <w:szCs w:val="28"/>
          <w:rtl w:val="true"/>
          <w:lang w:bidi="ar-SA"/>
        </w:rPr>
        <w:t>تُبيّن هذه القاعدة أنّ طبيعة المستحبّات من حيث الأجزاء و الشرائط والقيود ـ والتي منها الزمان والمكان ـ طبيعة ذات مراتب وتعدّد في المطلوب، في أساس جعلها وتشريعها؛ ومن ثَمَّ لا يرتكب الفقهاء عمليّة التقييد بين المطلق والمقيّد، ولا عملية التخصيص بين العام والخاصّ، بل يحملون المقيّد والخاص على تعدّد مراتب الفضل، وإنّ الشرائط والقيود هي شرائط وقيود كمال، وليست شرائط وقيود صحّة؛ فمن ثَمَّ يكون مقتضى الظهور الأوّلي في باب المندوبات، هو على تعدّد المطلوب، إلّا أن تقوم قرينة على خلاف ذلك، وهذا يوسّع الزيارة المندوبة زماناً ومكاناً، وإن كان الأقرب فالأقرب زماناً ومكاناً هو الأفضل فالأفضل في مراتب الفضل والكمال</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936730_1051229030"/>
      <w:bookmarkStart w:id="128" w:name="_Toc50"/>
      <w:bookmarkEnd w:id="127"/>
      <w:r>
        <w:rPr>
          <w:rtl w:val="true"/>
        </w:rPr>
        <w:t>الوجه الخامس</w:t>
      </w:r>
      <w:r>
        <w:rPr>
          <w:rtl w:val="true"/>
        </w:rPr>
        <w:t xml:space="preserve">: </w:t>
      </w:r>
      <w:r>
        <w:rPr>
          <w:rtl w:val="true"/>
        </w:rPr>
        <w:t>قاعدة الميسور لا يسقط بالمعسور</w:t>
      </w:r>
      <w:bookmarkEnd w:id="128"/>
    </w:p>
    <w:p>
      <w:pPr>
        <w:pStyle w:val="BookText"/>
        <w:rPr/>
      </w:pPr>
      <w:r>
        <w:rPr>
          <w:rFonts w:ascii="Amiri" w:hAnsi="Amiri" w:eastAsia="Amiri" w:cs="Amiri"/>
          <w:color w:val="111111"/>
          <w:sz w:val="28"/>
          <w:sz w:val="28"/>
          <w:szCs w:val="28"/>
          <w:rtl w:val="true"/>
          <w:lang w:bidi="ar-SA"/>
        </w:rPr>
        <w:t>هذه القاعدة ـ أو قاعدة ما لا يُدرك كلّه لا يترك جلّه ـ تنطبق على المراتب الزمانية والمكانية للعمل المقيّد بالزمان والمكان؛ فيكون الأقرب فالأقرب هو الميسور المقدّم</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1936732_1051229030"/>
      <w:bookmarkStart w:id="130" w:name="_Toc51"/>
      <w:bookmarkEnd w:id="129"/>
      <w:r>
        <w:rPr>
          <w:rtl w:val="true"/>
        </w:rPr>
        <w:t>الحصيلة النهائية لهذه الوجوه</w:t>
      </w:r>
      <w:bookmarkEnd w:id="13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ويتحصّل من مجموع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موضع زماني أو مكاني ـ جُعل في الشريعة ميقاتاً لشعيرة دينيّة ـ له حريم يُحيط به، يسبقه ويتأخّر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ما عليه المتشرّعة في زماننا من التوسّع زماناً ومكاناً بحسب الحاجة ـ في زيارة الأربعين لسيّد الشهداء علیه السلام ، أو زيارة عاشوراء، أو زيارة أمير المؤمنين علیه السلام ، أو زيارة الجوادين علیهماالسلام  ، أو زيارة العسكريين علیهماالسلام  ، أو غيرها من مواسم الزيارات العظيمة، التي يكون فيها الزحام شديداً ـ مطابق لقاعدة فقهية شرعية مُتصيّدة من الأبواب الفقهية، ومعتضدة بوجوه أُخرى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لكلّ ميقات زماني أو مكاني لشعيرة دينية عباديّة حريماً يُحيط به، يتوسّع وبحسب ظرفيّة وقابليّة الحاجة إلى الحدود التي تتّصل بذلك الميقات</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7448_76824"/>
      <w:bookmarkStart w:id="132" w:name="pg7448_76824"/>
      <w:bookmarkEnd w:id="132"/>
    </w:p>
    <w:p>
      <w:pPr>
        <w:pStyle w:val="Heading3"/>
        <w:numPr>
          <w:ilvl w:val="2"/>
          <w:numId w:val="1"/>
        </w:numPr>
        <w:rPr/>
      </w:pPr>
      <w:bookmarkStart w:id="133" w:name="pg7448_76824"/>
      <w:bookmarkStart w:id="134" w:name="__RefHeading___Toc1936734_1051229030"/>
      <w:bookmarkStart w:id="135" w:name="_Toc52"/>
      <w:bookmarkEnd w:id="133"/>
      <w:bookmarkEnd w:id="134"/>
      <w:r>
        <w:rPr>
          <w:rtl w:val="true"/>
        </w:rPr>
        <w:t>المَبَاني القُرآنيَّة لِنَهضَةِ عَاشُورَاء</w:t>
      </w:r>
      <w:bookmarkEnd w:id="135"/>
    </w:p>
    <w:p>
      <w:pPr>
        <w:pStyle w:val="Heading4"/>
        <w:numPr>
          <w:ilvl w:val="3"/>
          <w:numId w:val="1"/>
        </w:numPr>
        <w:rPr/>
      </w:pPr>
      <w:bookmarkStart w:id="136" w:name="__RefHeading___Toc1936736_1051229030"/>
      <w:bookmarkStart w:id="137" w:name="_Toc53"/>
      <w:bookmarkEnd w:id="136"/>
      <w:r>
        <w:rPr>
          <w:rtl w:val="true"/>
        </w:rPr>
        <w:t>اشارة</w:t>
      </w:r>
      <w:bookmarkEnd w:id="1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 القُرآنيَّة لِنَهضَةِ عَاشُورَاءد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رضائي الأصفهاني</w:t>
      </w:r>
      <w:r>
        <w:rPr>
          <w:rStyle w:val="FootnoteAnchor"/>
          <w:rtl w:val="true"/>
        </w:rPr>
        <w:footnoteReference w:id="61"/>
      </w:r>
    </w:p>
    <w:p>
      <w:pPr>
        <w:pStyle w:val="Heading4"/>
        <w:numPr>
          <w:ilvl w:val="3"/>
          <w:numId w:val="1"/>
        </w:numPr>
        <w:rPr/>
      </w:pPr>
      <w:bookmarkStart w:id="138" w:name="__RefHeading___Toc1936738_1051229030"/>
      <w:bookmarkStart w:id="139" w:name="_Toc54"/>
      <w:bookmarkEnd w:id="138"/>
      <w:r>
        <w:rPr>
          <w:rtl w:val="true"/>
        </w:rPr>
        <w:t>مقدّمة</w:t>
      </w:r>
      <w:bookmarkEnd w:id="139"/>
    </w:p>
    <w:p>
      <w:pPr>
        <w:pStyle w:val="BookText"/>
        <w:rPr/>
      </w:pPr>
      <w:r>
        <w:rPr>
          <w:rFonts w:ascii="IRNazanin" w:hAnsi="IRNazanin" w:eastAsia="IRNazanin"/>
          <w:color w:val="111111"/>
          <w:sz w:val="28"/>
          <w:sz w:val="28"/>
          <w:szCs w:val="28"/>
          <w:rtl w:val="true"/>
          <w:lang w:bidi="fa-IR"/>
        </w:rPr>
        <w:t>إذا تأملنا حركة الإمام الحسين علیه السلام  من المدينة إلى كربلاء، وحلّلنا ما فيها من توجيهات وخطابات ومواقف، يتضح لنا أنَّ نهضته علیه السلام  في عاشوراء كانت مبنيّة على تعاليم القرآن الأساسية المتينة، وأنّ معرفة هذه المباني تجعل من هذه النهضة قدوة لكلِّ محبيّ القرآن ومتّبعيه؛ ذلك لأنَّ هذه النهضة تُبيّن الوظيفة القرآنية لكلِّ المسلمين على مدى التاريخ،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كلّما واجه المسلمون ظروفاً مشابهة لظروف زمان الإمام الحسين علیه السلام ، تعيّن عليهم ـ بناءً على تلك المباني القرآنية ـ أن يسلكوا سبيل الإمام الحسين علیه السلام  في حركته الإصلاحية الشاملة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استنباط المباني القرآنية لنهضة عاشوراء تتحول حركة الإمام الحسين علیه السلام  إلى حركة قرآنية، وتصبح قدوةً لكلِّ المسلمين</w:t>
      </w:r>
      <w:r>
        <w:rPr>
          <w:rFonts w:eastAsia="IRNazanin" w:cs="IRNazanin"/>
          <w:color w:val="111111"/>
          <w:sz w:val="28"/>
          <w:szCs w:val="28"/>
          <w:rtl w:val="true"/>
          <w:lang w:bidi="fa-IR"/>
        </w:rPr>
        <w:t>.</w:t>
      </w:r>
    </w:p>
    <w:p>
      <w:pPr>
        <w:pStyle w:val="Heading4"/>
        <w:numPr>
          <w:ilvl w:val="3"/>
          <w:numId w:val="1"/>
        </w:numPr>
        <w:rPr/>
      </w:pPr>
      <w:bookmarkStart w:id="140" w:name="__RefHeading___Toc1936740_1051229030"/>
      <w:bookmarkStart w:id="141" w:name="_Toc55"/>
      <w:bookmarkEnd w:id="140"/>
      <w:r>
        <w:rPr>
          <w:rtl w:val="true"/>
        </w:rPr>
        <w:t>المقصود من المباني القرآنية</w:t>
      </w:r>
      <w:bookmarkEnd w:id="1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المراد من المباني القرآنية هي النظريات المسلّمة المستنبطة من تعاليم القرآن الكريم، والتي شكّلت أرضية قيام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المستندات القرآنية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منها المستندات والنظريات المستنبطة لنهضة عاشوراء</w:t>
      </w:r>
      <w:r>
        <w:rPr>
          <w:rFonts w:eastAsia="IRNazanin" w:cs="IRNazanin"/>
          <w:color w:val="111111"/>
          <w:sz w:val="28"/>
          <w:szCs w:val="28"/>
          <w:rtl w:val="true"/>
          <w:lang w:bidi="fa-IR"/>
        </w:rPr>
        <w:t xml:space="preserve">. </w:t>
      </w:r>
      <w:bookmarkStart w:id="142" w:name="pg7448_76825"/>
    </w:p>
    <w:p>
      <w:pPr>
        <w:pStyle w:val="BookText"/>
        <w:rPr/>
      </w:pPr>
      <w:bookmarkEnd w:id="142"/>
      <w:r>
        <w:rPr>
          <w:rFonts w:ascii="IRNazanin" w:hAnsi="IRNazanin" w:eastAsia="IRNazanin"/>
          <w:color w:val="111111"/>
          <w:sz w:val="28"/>
          <w:sz w:val="28"/>
          <w:szCs w:val="28"/>
          <w:rtl w:val="true"/>
          <w:lang w:bidi="fa-IR"/>
        </w:rPr>
        <w:t>هذه المباني تشمل أوامر الله تعالى والتي وجهها بشكل مباشر إلى كلّ المسلمين، على الصعيد الاجتماعي والتربوي والسياسي والثقافي والجهادي؛ كما تشمل أيضاً التعاليم القرآنية غير المباشرة، والتي يمكن استخراجها من كلمات وسيرة الإمام الحسين علیه السلام ، بالاستعانة بقاعدة الجري والتطبيق، وقاعدة بطون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استنباط المباني القرآنية لنهضة عاشوراء، يتم من خلال استخدام القواعد والطرق التفسيرية القرآنية، كقاعدة الجري والتطبيق، وقاعدة حجية ظواهر القرآن، وأُسلوب التفسير الروائي، والتفسير الإشاري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الباطني</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936742_1051229030"/>
      <w:bookmarkStart w:id="144" w:name="_Toc56"/>
      <w:bookmarkEnd w:id="143"/>
      <w:r>
        <w:rPr>
          <w:rtl w:val="true"/>
        </w:rPr>
        <w:t>مصادر استنباط المباني القرآنية لنهضة عاشوراء</w:t>
      </w:r>
      <w:bookmarkEnd w:id="144"/>
    </w:p>
    <w:p>
      <w:pPr>
        <w:pStyle w:val="BookText"/>
        <w:rPr/>
      </w:pPr>
      <w:r>
        <w:rPr>
          <w:rFonts w:ascii="IRNazanin" w:hAnsi="IRNazanin" w:eastAsia="IRNazanin"/>
          <w:color w:val="111111"/>
          <w:sz w:val="28"/>
          <w:sz w:val="28"/>
          <w:szCs w:val="28"/>
          <w:rtl w:val="true"/>
          <w:lang w:bidi="fa-IR"/>
        </w:rPr>
        <w:t>إنَّ المصادر التي يمكن الاعتماد عليها لاستنباط المباني القرآنية لنهضة الإمام الحسين علیه السلام ، هي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ـ كلمات الإمام الحسين علیه السلام</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ـ رسائل الإمام الحسين علیه السلام</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ـ سلوك الإمام الحسين علیه السلام</w:t>
      </w:r>
    </w:p>
    <w:p>
      <w:pPr>
        <w:pStyle w:val="BookText"/>
        <w:rPr/>
      </w:pPr>
      <w:r>
        <w:rPr>
          <w:rFonts w:ascii="Amiri" w:hAnsi="Amiri" w:eastAsia="Amiri" w:cs="Amiri"/>
          <w:color w:val="111111"/>
          <w:sz w:val="28"/>
          <w:sz w:val="28"/>
          <w:szCs w:val="28"/>
          <w:rtl w:val="true"/>
          <w:lang w:bidi="ar-SA"/>
        </w:rPr>
        <w:t>فهذه المصادر نابعة من قلب هذه الثورة، ومستندة إلى قائدها العظيم</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936744_1051229030"/>
      <w:bookmarkStart w:id="146" w:name="_Toc57"/>
      <w:bookmarkEnd w:id="145"/>
      <w:r>
        <w:rPr>
          <w:rtl w:val="true"/>
        </w:rPr>
        <w:t>أهمُّ مباني نهضة عاشوراء</w:t>
      </w:r>
      <w:bookmarkEnd w:id="146"/>
    </w:p>
    <w:p>
      <w:pPr>
        <w:pStyle w:val="Heading5"/>
        <w:numPr>
          <w:ilvl w:val="4"/>
          <w:numId w:val="1"/>
        </w:numPr>
        <w:rPr/>
      </w:pPr>
      <w:bookmarkStart w:id="147" w:name="__RefHeading___Toc1936746_1051229030"/>
      <w:bookmarkStart w:id="148" w:name="_Toc58"/>
      <w:bookmarkEnd w:id="147"/>
      <w:r>
        <w:rPr>
          <w:rtl w:val="true"/>
        </w:rPr>
        <w:t>أوّلاً</w:t>
      </w:r>
      <w:r>
        <w:rPr>
          <w:rtl w:val="true"/>
        </w:rPr>
        <w:t xml:space="preserve">: </w:t>
      </w:r>
      <w:r>
        <w:rPr>
          <w:rtl w:val="true"/>
        </w:rPr>
        <w:t>إعلاء كلمة اللّه تعالى</w:t>
      </w:r>
      <w:bookmarkEnd w:id="14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أنّ الإمام الحسين علیه السلام  أثناء مسيره إلى كربلاء، التقى بالفرزدق في منزل صفاح، وتحدّث معه، وبيّن أنَّ هدفه النهائي ـ بل الأساسي ـ من هذه النهضة المباركة هو إعلاء كلمة الله تعالى، وإيجاد الآليات والضمانات التي تساعد في الحفاظ عليها،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أوْلى مَن قام بنصرة دين الله، وإعزاز شرعه، والجهاد في سبيله؛ لتكون كلمة الله هي العليا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49" w:name="pg7448_76826"/>
    </w:p>
    <w:p>
      <w:pPr>
        <w:pStyle w:val="BookText"/>
        <w:rPr/>
      </w:pPr>
      <w:bookmarkEnd w:id="149"/>
      <w:r>
        <w:rPr>
          <w:rFonts w:ascii="IRNazanin" w:hAnsi="IRNazanin" w:eastAsia="IRNazanin"/>
          <w:color w:val="111111"/>
          <w:sz w:val="28"/>
          <w:sz w:val="28"/>
          <w:szCs w:val="28"/>
          <w:rtl w:val="true"/>
          <w:lang w:bidi="fa-IR"/>
        </w:rPr>
        <w:t>وعند ملاحظة هذا المبنى الذي جعله الإمام الحسين علیه السلام  أحد أهمّ مباني نهضة عاشوراء ـ بل هو المنطلق الأساس لها ـ نجد كلامه علیه السلام  قد نظر واستند به إلى آية قرآنية؛ حيث يقول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وَكَلِمَةُ اللَّهِ هِيَ الْعُلْيَا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 w:name="__RefHeading___Toc1936748_1051229030"/>
      <w:bookmarkStart w:id="151" w:name="_Toc59"/>
      <w:bookmarkEnd w:id="150"/>
      <w:r>
        <w:rPr>
          <w:rtl w:val="true"/>
        </w:rPr>
        <w:t>ثانياً</w:t>
      </w:r>
      <w:r>
        <w:rPr>
          <w:rtl w:val="true"/>
        </w:rPr>
        <w:t xml:space="preserve">: </w:t>
      </w:r>
      <w:r>
        <w:rPr>
          <w:rtl w:val="true"/>
        </w:rPr>
        <w:t>نصرة الدين وإعزاز شريعة الله تعالى</w:t>
      </w:r>
      <w:bookmarkEnd w:id="151"/>
    </w:p>
    <w:p>
      <w:pPr>
        <w:pStyle w:val="BookText"/>
        <w:rPr/>
      </w:pPr>
      <w:r>
        <w:rPr>
          <w:rFonts w:ascii="IRNazanin" w:hAnsi="IRNazanin" w:eastAsia="IRNazanin"/>
          <w:color w:val="111111"/>
          <w:sz w:val="28"/>
          <w:sz w:val="28"/>
          <w:szCs w:val="28"/>
          <w:rtl w:val="true"/>
          <w:lang w:bidi="fa-IR"/>
        </w:rPr>
        <w:t>إن هذا المبنى وهذا الهدف من أهم الأهداف في الإسلام ومن الأُسس التي تستحق أن يُبذل من أجلها الغالي والنفيس، بل حريّ بالمرء أن يبذل مهجته من أجل ذلك، وهذا الهدف السامي قد صرح به الإمام علیه السلام ، وبيّن أنه مأخوذ بنظر الاعتبار في نهضته المباركة من خلال كلامه الذي مرّ معنا في قوله علیه السلام  للفرزدق في منزل صفاح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أوْلى مَن قام بنصرة دين الله، وإعزاز شرعه، والجهاد في 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المنطلقات التي بيّنها الإمام الحسين علیه السلام  في كلمته هذه ـ والتي تبيّن أحد أهمّ منطلقات ثورة الإصلاح ـ مرتكزة إلى آيات قرآنية متعددة؛ بل إنّ روح القرآن الكريم بشكل كلّي، تدعو إلى نصرة دين الله وإعزازه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يُهَاجِرُوا وَإِنِ اسْتَنْصَرُوكُمْ فِي الدِّينِ فَعَلَيْكُمُ النَّصْرُ</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وَقَاتِلُوهُمْ حَتَّى لَا تَكُونَ فِتْنَةٌ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لقد نصر الإمام الحسين علیه السلام  دين الله سبحانه، كما نصر الله تعالى نهضة الإمام الحسين علیه السلام ، فقد انتصر دم الإمام الحسين علیه السلام  على سيف الظالمين، كما تحقق هدفه في عزّة دين الإسلام؛ فقد استمر هذا الدين الحنيف بفضل تلك الدماء الزاكيات، فبعد أربعة عشر قرناً، لا تزال نهضة عاشوراء حيّة، ولا تزال قدوة لكل أهل العالم، وأمّا أعداء الحسين علیه السلام  فقد اندحروا واندثروا في غياهب الزمن</w:t>
      </w:r>
      <w:r>
        <w:rPr>
          <w:rFonts w:eastAsia="IRNazanin" w:cs="IRNazanin"/>
          <w:color w:val="111111"/>
          <w:sz w:val="28"/>
          <w:szCs w:val="28"/>
          <w:rtl w:val="true"/>
          <w:lang w:bidi="fa-IR"/>
        </w:rPr>
        <w:t xml:space="preserve">. </w:t>
      </w:r>
      <w:bookmarkStart w:id="152" w:name="pg7448_76827"/>
    </w:p>
    <w:p>
      <w:pPr>
        <w:pStyle w:val="Heading5"/>
        <w:numPr>
          <w:ilvl w:val="4"/>
          <w:numId w:val="1"/>
        </w:numPr>
        <w:rPr/>
      </w:pPr>
      <w:bookmarkStart w:id="153" w:name="__RefHeading___Toc1936750_1051229030"/>
      <w:bookmarkStart w:id="154" w:name="_Toc60"/>
      <w:bookmarkEnd w:id="152"/>
      <w:bookmarkEnd w:id="153"/>
      <w:r>
        <w:rPr>
          <w:rtl w:val="true"/>
        </w:rPr>
        <w:t>ثالثاً</w:t>
      </w:r>
      <w:r>
        <w:rPr>
          <w:rtl w:val="true"/>
        </w:rPr>
        <w:t xml:space="preserve">: </w:t>
      </w:r>
      <w:r>
        <w:rPr>
          <w:rtl w:val="true"/>
        </w:rPr>
        <w:t>الجهاد لحفظ الإسلام</w:t>
      </w:r>
      <w:bookmarkEnd w:id="154"/>
    </w:p>
    <w:p>
      <w:pPr>
        <w:pStyle w:val="BookText"/>
        <w:rPr/>
      </w:pPr>
      <w:r>
        <w:rPr>
          <w:rFonts w:ascii="Amiri" w:hAnsi="Amiri" w:eastAsia="Amiri" w:cs="Amiri"/>
          <w:color w:val="111111"/>
          <w:sz w:val="28"/>
          <w:sz w:val="28"/>
          <w:szCs w:val="28"/>
          <w:rtl w:val="true"/>
          <w:lang w:bidi="ar-SA"/>
        </w:rPr>
        <w:t>إن مبدأ الجهاد وتشريعه في الديانات السابقة من الأمور المسلّمة؛ فقد نص القرآن الكريم على حدوث معارك بين جبهة الحق والباطل، وذلك في زمن النبي طالوت، وذلك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وَمَنْ لَمْ يَطْعَمْهُ فَإِنَّهُ مِنِّي إِلَّا مَنِ اغْتَرَفَ غُرْفَةً بِيَدِهِ فَشَرِبُوا مِنْهُ إِلَّا قَلِيلًا مِنْهُمْ فَلَمَّا جَاوَزَهُ هُوَ وَالَّذِينَ آمَنُوا مَعَهُ قَالُوا لَا طَاقَةَ لَنَا الْيَوْمَ بِجَالُوتَ وَجُنُودِهِ قَالَ الَّذِينَ يَظُنُّونَ أَنَّهُمْ مُلَاقُو اللَّهِ كَمْ مِنْ فِئَةٍ قَلِيلَةٍ غَلَبَتْ فِئَةً كَثِيرَةً بِإِذْنِ اللَّهِ وَاللَّهُ مَعَ الصَّابِرِينَ</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وهذا المبدأ والهدف جاء أيضاً في كلام الإمام الحسين علیه السلام ، عندما لاقى الفرزدق في مسيره إلى كربلاء،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فرزدق، إنّ هؤلاء القوم لزموا طاعة الشيطان، وتركوا طاعة الرحمن، وأظهروا الفساد في الأرض، وأبطلوا الحدود، وشربوا الخمور، واستأثروا في أموال الفقراء والمساكين؛ وأنا أوْلى مَن قام بنصرة دين الله وإعزاز شرعه، والجهاد في سبيله؛ لتكون كلمة الله هي العليا</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أيضاً أنّه لمّا دعا مروان الإمام الحسين علیه السلام  إلى بيعة يزيد في المدينة، 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الإسلام السلام؛ إذ قد بُليت الأُمّة براع مثل يزيد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فكلمة الإمام الحسين علیه السلام  هنا تشير إلى الفساد الاجتماعي والسياسي والاقتصادي الذي تفشى في المجتمع آنذاك؛ فقد كان أصل الإسلام في تلك الظروف عُرضة للخطر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ونتيجة لهذا؛ أصبح الجهاد واجباً في سبيل حفظ الإسلام؛ لأنَّ حفظ الإسلام أهمُّ الواجبات الإلهية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الخطاب الحسيني يُشير إلى أحد أهمّ مرتكزات نهضة عاشوراء، ألا وهو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فإنَّ الجهاد أحد المفاهيم القرآنية المهمّة في الإسلام، </w:t>
      </w:r>
      <w:bookmarkStart w:id="155" w:name="pg7448_76828"/>
    </w:p>
    <w:p>
      <w:pPr>
        <w:pStyle w:val="BookText"/>
        <w:rPr/>
      </w:pPr>
      <w:bookmarkEnd w:id="155"/>
      <w:r>
        <w:rPr>
          <w:rFonts w:ascii="Amiri" w:hAnsi="Amiri" w:eastAsia="Amiri" w:cs="Amiri"/>
          <w:color w:val="111111"/>
          <w:sz w:val="28"/>
          <w:sz w:val="28"/>
          <w:szCs w:val="28"/>
          <w:rtl w:val="true"/>
          <w:lang w:bidi="ar-SA"/>
        </w:rPr>
        <w:t>والتي أُشير إليها في آيات متعددة، وللجهاد أهداف وغايات مصيرية لا تتحقق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الأهداف الأساسية للجهاد الإسلامي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 الدفاع عن الدين الإسلامي في مقابل هجوم الأعداء، والحفاظ على المسلمين، سواء أنفسهم، أو أموالهم، أو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ـ تخليص المستضعفين من قيود الشرك والكفر والظلم، ونشر الإسلام في الأرض بفضائله الحسنة، وأخلاقه القيّمة التي تنسجم مع الفطرة الإنسانية، وتتلازم مع العقل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الفوائد المترتبة على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فإنّ جهاد الإمام الحسين علیه السلام ، كان تحقيقاً لتلك الأهداف الإنسانية والإسلاميّة، والقرآنية، واستُشهد في سبيل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936752_1051229030"/>
      <w:bookmarkStart w:id="157" w:name="_Toc61"/>
      <w:bookmarkEnd w:id="156"/>
      <w:r>
        <w:rPr>
          <w:rtl w:val="true"/>
        </w:rPr>
        <w:t>رابعاً</w:t>
      </w:r>
      <w:r>
        <w:rPr>
          <w:rtl w:val="true"/>
        </w:rPr>
        <w:t xml:space="preserve">: </w:t>
      </w:r>
      <w:r>
        <w:rPr>
          <w:rtl w:val="true"/>
        </w:rPr>
        <w:t>طلب الإصلاح</w:t>
      </w:r>
      <w:bookmarkEnd w:id="157"/>
    </w:p>
    <w:p>
      <w:pPr>
        <w:pStyle w:val="BookText"/>
        <w:rPr/>
      </w:pPr>
      <w:r>
        <w:rPr>
          <w:rFonts w:ascii="IRNazanin" w:hAnsi="IRNazanin" w:eastAsia="IRNazanin"/>
          <w:color w:val="111111"/>
          <w:sz w:val="28"/>
          <w:sz w:val="28"/>
          <w:szCs w:val="28"/>
          <w:rtl w:val="true"/>
          <w:lang w:bidi="fa-IR"/>
        </w:rPr>
        <w:t>رُوي أنّ الإمام الحسين علیه السلام  كتب وصية، وأودعها عند أخيه محمد بن الحنيفة في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في هذه الوصية أهداف نهضته علیه السلام ، جاء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ولا بطراً، ولا مفسداً ولا ظالماً، وإنّما خرجت لطلب الإصلاح في أُمّة جدّي؛ أُريد أن آمر بالمعروف، وأنهى عن المنكر، وأسير بسيرة جدّي وأبي علي بن أبي طالب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كان أحد أهداف ثورة الإمام الحسين علیه السلام ، هو إصلاح الأُمّة الإسلامية، في كافّة الأبعاد الفردية والاجتماعية والعقائدية والسياسية والاقتصادية</w:t>
      </w:r>
      <w:r>
        <w:rPr>
          <w:rFonts w:eastAsia="IRNazanin" w:cs="IRNazanin"/>
          <w:color w:val="111111"/>
          <w:sz w:val="28"/>
          <w:szCs w:val="28"/>
          <w:rtl w:val="true"/>
          <w:lang w:bidi="fa-IR"/>
        </w:rPr>
        <w:t xml:space="preserve">. </w:t>
      </w:r>
      <w:bookmarkStart w:id="158" w:name="pg7448_76829"/>
    </w:p>
    <w:p>
      <w:pPr>
        <w:pStyle w:val="BookText"/>
        <w:rPr/>
      </w:pPr>
      <w:bookmarkEnd w:id="158"/>
      <w:r>
        <w:rPr>
          <w:rFonts w:ascii="Amiri" w:hAnsi="Amiri" w:eastAsia="Amiri" w:cs="Amiri"/>
          <w:color w:val="111111"/>
          <w:sz w:val="28"/>
          <w:sz w:val="28"/>
          <w:szCs w:val="28"/>
          <w:rtl w:val="true"/>
          <w:lang w:bidi="ar-SA"/>
        </w:rPr>
        <w:t xml:space="preserve">ويُعتبر طلب الإصلاح أحد أهمّ أهداف الأنبياء علیهم السلام ، والتي بُيِّنت في القرآن الكريم بشكل واضح، فقد جاء في القرآن الكريم على لسان النبي شعيب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أُرِيدُ إِلَّا الْإِصْلَاحَ مَا اسْتَطَعْتُ</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w:t>
      </w:r>
      <w:r>
        <w:rPr>
          <w:rFonts w:eastAsia="Amiri" w:cs="Amiri" w:ascii="Amiri" w:hAnsi="Amiri"/>
          <w:color w:val="111111"/>
          <w:sz w:val="28"/>
          <w:szCs w:val="28"/>
          <w:rtl w:val="true"/>
          <w:lang w:bidi="ar-SA"/>
        </w:rPr>
        <w:t>»</w:t>
      </w:r>
      <w:r>
        <w:rPr>
          <w:rStyle w:val="FootnoteAnchor"/>
          <w:rtl w:val="true"/>
        </w:rPr>
        <w:footnoteReference w:id="73"/>
      </w:r>
    </w:p>
    <w:p>
      <w:pPr>
        <w:pStyle w:val="Heading5"/>
        <w:numPr>
          <w:ilvl w:val="4"/>
          <w:numId w:val="1"/>
        </w:numPr>
        <w:rPr/>
      </w:pPr>
      <w:bookmarkStart w:id="159" w:name="__RefHeading___Toc1936754_1051229030"/>
      <w:bookmarkStart w:id="160" w:name="_Toc62"/>
      <w:bookmarkEnd w:id="159"/>
      <w:r>
        <w:rPr>
          <w:rtl w:val="true"/>
        </w:rPr>
        <w:t>خامساً</w:t>
      </w:r>
      <w:r>
        <w:rPr>
          <w:rtl w:val="true"/>
        </w:rPr>
        <w:t xml:space="preserve">: </w:t>
      </w:r>
      <w:r>
        <w:rPr>
          <w:rtl w:val="true"/>
        </w:rPr>
        <w:t>الأمر بالمعروف و النهي عن المنكر</w:t>
      </w:r>
      <w:bookmarkEnd w:id="160"/>
    </w:p>
    <w:p>
      <w:pPr>
        <w:pStyle w:val="BookText"/>
        <w:rPr/>
      </w:pPr>
      <w:r>
        <w:rPr>
          <w:rFonts w:ascii="IRNazanin" w:hAnsi="IRNazanin" w:eastAsia="IRNazanin"/>
          <w:color w:val="111111"/>
          <w:sz w:val="28"/>
          <w:sz w:val="28"/>
          <w:szCs w:val="28"/>
          <w:rtl w:val="true"/>
          <w:lang w:bidi="fa-IR"/>
        </w:rPr>
        <w:t xml:space="preserve">لقد عدَّ الإمام الحسين علیه السلام  الأمر بالمعروف والنهي عن المنكر أحد أهداف نهضته الأساسية؛ وهو صريح وصيته المشهورة التي جعلها عند أخيه محمد بن الحنفية في المدينة فيقول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مفسداً ولا ظالماً، وإنّما خرجت لطلب الإصلاح في أُمّة جدّي، أُريد أن آمر بالمعروف، وأنهي عن المنكر، وأسير بسيرة جدّي وأبي عليبن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الأمر بالمعروف وسيلة لحفظ فضائل المجتمع، والتذكير المستمر بها، وبالوظائف التي على المسلم أن يتحلى بها، ويعمل على وفقها، كما أنّ النهي عن المنكر وسيلة تنقية دائمة للمجتمع، وتصفيته من الرذائل والانحرافات الفكرية والعملية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يُعدُّ الأمر بالمعروف والنهي عن المنكر من فروع الدين، وقد أكّد القرآن على هذين المبدأين مراراً، وعدّهما واجباً شرعياً،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بل وصف الذين يقومون بالأمر بالمعروف وينهون عن المنكر بأنهم خير أُمّة؛ 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 لقد كان الإمام الحسين علیه السلام  في صدد إجراء هذا الواجب القرآني، وهو الأمر بالمعروف والنهي عن المنكر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الفرع الإسلامي والمبدأ القرآني مراحل ومراتب، كما ذُكرت في الفقه الإسلامي،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ـ الإنكار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يستنكر المؤمن أيّ أنواع المنكر التي يراها استنكاراً في قلبه؛ بحيث تظهر آثار ذلك الإنكار على وجهه، من الغضب، وعدم الرضا، وما شاكل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ـ الإنكار اللساني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عندما يرى المؤمن أمراً منكراً قد تلبّس به البعض، فعليه أن يؤنِّبهم بلسانه، وهذا الأُسلوب بدوره على مراحل؛ لأنّه لا بدّ أن يبتدئ أوّلاً بالنصيحة والكلام الطيب، وبأُسلوب ليّن، مستدلاً على ما يقول، فإذا لم يؤثر ذلك، استخدم اللهجة الحادّة، والأُسلوب الخشن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ـ الإنكار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المرحلة الثالثة في النهي عن المنكر، وهي المنع العملي عن المنكرات،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حدٍّ لأعمال المفسدين، والحيلولة دون وقوع أعمالهم المنكرة في المجتمع، وهذا أيضاً بدوره على مراحل، والتي آخرها اللجوء إلى الحرب والقتال، وهذه المرحلة هي آخر مراحل الأمر بالمعروف والنهي عن المنكر، ولا تُنفَّذ إلّا عندما تكون المراحل السابقة غير مؤثّرة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فإنّ تنفيذ هذه المرحلة وتطبيقها في المجتمع إنّما هو بيد الإمام علیه السلام ، أو ولي أمر المسلمين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نجده من سيرة الإمام الحسين علیه السلام  في تعامله مع طاغية زمانه، الذي ارتكب أبشع أنواع المنكرات والمحرمات، وترك الواجبات، ففي حقيقة الأمر أنّ الإمام الحسين علیه السلام  عرض برنامجاً سياسياً وعملياً متكاملاً؛ لمبارزة الطاغوت ضمن إطار النهي عن المنكر، وكما بيّنا في مراحل النهي عن المنكر؛ فإنّ الإمام الحسين علیه السلام </w:t>
      </w:r>
      <w:bookmarkStart w:id="161" w:name="pg7448_76831"/>
    </w:p>
    <w:p>
      <w:pPr>
        <w:pStyle w:val="BookText"/>
        <w:rPr/>
      </w:pPr>
      <w:bookmarkEnd w:id="161"/>
      <w:r>
        <w:rPr>
          <w:rFonts w:ascii="Amiri" w:hAnsi="Amiri" w:eastAsia="Amiri" w:cs="Amiri"/>
          <w:color w:val="111111"/>
          <w:sz w:val="28"/>
          <w:sz w:val="28"/>
          <w:szCs w:val="28"/>
          <w:rtl w:val="true"/>
          <w:lang w:bidi="ar-SA"/>
        </w:rPr>
        <w:t>ابتدأ بنصح أصحاب السلطة، ثمّ بيّن انحرافاتهم وظلمهم، وشناعة أعمالهم، ثمّ كانت المواجهة والمبارزة المسلّحة، كلّ ذلك ضمن إطار الأمر بالمعروف والنهي عن المنكر</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936756_1051229030"/>
      <w:bookmarkStart w:id="163" w:name="_Toc63"/>
      <w:bookmarkEnd w:id="162"/>
      <w:r>
        <w:rPr>
          <w:rtl w:val="true"/>
        </w:rPr>
        <w:t>سادساً</w:t>
      </w:r>
      <w:r>
        <w:rPr>
          <w:rtl w:val="true"/>
        </w:rPr>
        <w:t xml:space="preserve">: </w:t>
      </w:r>
      <w:r>
        <w:rPr>
          <w:rtl w:val="true"/>
        </w:rPr>
        <w:t>الحفاظ على سنَّة النبي صلّى الله عليه و آله</w:t>
      </w:r>
      <w:bookmarkEnd w:id="163"/>
    </w:p>
    <w:p>
      <w:pPr>
        <w:pStyle w:val="BookText"/>
        <w:rPr/>
      </w:pPr>
      <w:r>
        <w:rPr>
          <w:rFonts w:ascii="IRNazanin" w:hAnsi="IRNazanin" w:eastAsia="IRNazanin"/>
          <w:color w:val="111111"/>
          <w:sz w:val="28"/>
          <w:sz w:val="28"/>
          <w:szCs w:val="28"/>
          <w:rtl w:val="true"/>
          <w:lang w:bidi="fa-IR"/>
        </w:rPr>
        <w:t>إنّ الإمام الحسين علیه السلام  في وصيته ـ ومجمل أقواله ـ كان يدعو الناس إلى سنّة النبي صلّى الله عليه و آله والحفاظ عليها، والعمل بها وإحياء ما غُيّب منها، وتفنيد ما حُرّف فيها، فقد عُدّ ذلك أحد أهمّ أهداف نهضة كربلاء المباركة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مفسداً ولا ظالماً، وإنّما خرجت لطلب الإصلاح في أُمّة جدّي، أُريد أن آمر بالمعروف، وأنهى عن المنكر، وأسير بسيرة جدّي وأبي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أدعوكم إلى كتاب الله وسنّة نبيه؛ فإنّ السنّة قد أُميتت، وإنّ البدعة قد أُحييت</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سنّة النبي صلّى الله عليه و آله تُعدُّ ـ إلى جانب القرآن الكريم ـ وسيلةً مهمة لإرشاد المسلمين؛ فكما أنّ كلّيات الدين تؤخذ من القرآن، فإنّ جزئيات الإسلام تؤخذ من السنّة؛ إذ إنّ أقوال وأفعال النبي صلّى الله عليه و آله تُعدّ التفسير الحقيقي للقرآن الكريم؛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جميع المسلمين أن يتبعوا سنّة النبي صلّى الله عليه و آله ، ويدعوا غيرهم إليها، ويدافعوا عنها ويحافظوا عليها من الاندراس والتحريف والتزييف؛ لأنّ الدفاع عن السنّة دفاع عن الدين، وترك العمل بها ترك للدين، فليس للمسلمين الحقُّ في مخالفة أوامر النبي صلّى الله عليه و آله أو ارتكاب نواهيه، والآيات القرآنية بهذا الصدد كثيرة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وَرَسُولَهُ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164" w:name="pg7448_76832"/>
    </w:p>
    <w:p>
      <w:pPr>
        <w:pStyle w:val="BookText"/>
        <w:rPr/>
      </w:pPr>
      <w:bookmarkEnd w:id="164"/>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وَأَطِيعُوا اللَّهَ وَأَطِيعُوا الرَّسُولَ</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الإمام الحسين علیه السلام  في نهضة عاشوراء كان في صدد إحياء سنّة النبي صلّى الله عليه و آله ، والدفاع عنها، ونقلها إلى حيز التطبيق في حياة المسلمين؛ لأنّ تعاليم النبي صلّى الله عليه و آله كانت قد أُهملت آنذاك، كما أنّ البدعة قد أُحييت وظهرت</w:t>
      </w:r>
      <w:r>
        <w:rPr>
          <w:rFonts w:eastAsia="IRNazanin" w:cs="IRNazanin"/>
          <w:color w:val="111111"/>
          <w:sz w:val="28"/>
          <w:szCs w:val="28"/>
          <w:rtl w:val="true"/>
          <w:lang w:bidi="fa-IR"/>
        </w:rPr>
        <w:t>.</w:t>
      </w:r>
    </w:p>
    <w:p>
      <w:pPr>
        <w:pStyle w:val="Heading5"/>
        <w:numPr>
          <w:ilvl w:val="4"/>
          <w:numId w:val="1"/>
        </w:numPr>
        <w:rPr/>
      </w:pPr>
      <w:bookmarkStart w:id="165" w:name="__RefHeading___Toc1936758_1051229030"/>
      <w:bookmarkStart w:id="166" w:name="_Toc64"/>
      <w:bookmarkEnd w:id="165"/>
      <w:r>
        <w:rPr>
          <w:rtl w:val="true"/>
        </w:rPr>
        <w:t>سابعاً</w:t>
      </w:r>
      <w:r>
        <w:rPr>
          <w:rtl w:val="true"/>
        </w:rPr>
        <w:t xml:space="preserve">: </w:t>
      </w:r>
      <w:r>
        <w:rPr>
          <w:rtl w:val="true"/>
        </w:rPr>
        <w:t>الهجرة</w:t>
      </w:r>
      <w:bookmarkEnd w:id="166"/>
    </w:p>
    <w:p>
      <w:pPr>
        <w:pStyle w:val="BookText"/>
        <w:rPr/>
      </w:pPr>
      <w:r>
        <w:rPr>
          <w:rFonts w:ascii="IRNazanin" w:hAnsi="IRNazanin" w:eastAsia="IRNazanin"/>
          <w:color w:val="111111"/>
          <w:sz w:val="28"/>
          <w:sz w:val="28"/>
          <w:szCs w:val="28"/>
          <w:rtl w:val="true"/>
          <w:lang w:bidi="fa-IR"/>
        </w:rPr>
        <w:t>عزم حاكم المدينة على تنفيذ أوامر يزيد القاضية بقتل الإمام الحسين علیه السلام ؛ فخرج علیه السلام  من المدينة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خطّطوا لقتله علیه السلام  في مكة أيضاً، خرج منها أيضاً، وتوجّه إلى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ـ في جوابه لرجل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أخرجك عن حرم الله وحرم جدّك رسول الله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بني أُميّة أخذوا مالي فصبرت، وشتموا عرضي فصبرت، وطلبوا دمي فهربت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فيُستفاد من كلامه علیه السلام  أنّ المؤمن عندما تتعرض حياته للخطر لا يجوز له الصبر على ظلم الظالم، وأنّ أقلّ ما ينبغي فعله هو الهجرة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التحرك من الإمام الحسين علیه السلام ، كان على أساس الآيات القرآنية التي توجب الهجرة على مَن يواجه الصعاب في بلاده، على نحوٍ لا يستطيع معه إقامة واجباته الدينية، أو تصبح نفسه ومَن يرتبط به في خطر، كما حدث للنبي صلّى الله عليه و آله في مكة،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أَلَمْ تَكُنْ أَرْضُ اللَّهِ وَاسِعَةً فَتُهَاجِرُوا فِيهَا فَأُولَئِكَ مَأْوَاهُمْ جَهَنَّمُ وَسَاءَتْ مَصِيرًا </w:t>
      </w:r>
      <w:r>
        <w:rPr>
          <w:rFonts w:eastAsia="Amiri" w:cs="Amiri" w:ascii="Amiri" w:hAnsi="Amiri"/>
          <w:color w:val="111111"/>
          <w:sz w:val="28"/>
          <w:szCs w:val="28"/>
          <w:rtl w:val="true"/>
          <w:lang w:bidi="ar-SA"/>
        </w:rPr>
        <w:t xml:space="preserve">» </w:t>
      </w:r>
      <w:r>
        <w:rPr>
          <w:rStyle w:val="FootnoteAnchor"/>
          <w:rtl w:val="true"/>
        </w:rPr>
        <w:footnoteReference w:id="84"/>
      </w:r>
      <w:bookmarkStart w:id="167" w:name="pg7448_76833"/>
    </w:p>
    <w:p>
      <w:pPr>
        <w:pStyle w:val="BookText"/>
        <w:rPr/>
      </w:pPr>
      <w:bookmarkEnd w:id="167"/>
      <w:r>
        <w:rPr>
          <w:rFonts w:ascii="Amiri" w:hAnsi="Amiri" w:eastAsia="Amiri" w:cs="Amiri"/>
          <w:color w:val="111111"/>
          <w:sz w:val="28"/>
          <w:sz w:val="28"/>
          <w:szCs w:val="28"/>
          <w:rtl w:val="true"/>
          <w:lang w:bidi="ar-SA"/>
        </w:rPr>
        <w:t>وبيّن القرآن الكريم أنّ مَن قُتل في طريق هجرته فإنّ أجرهُ على الله سبحانه، وأنّ المهاجرين في سبيل الله لهم أجر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سَبِيلِ اللَّهِ ثُمَّ قُتِلُوا أَوْ مَاتُوا لَيَرْزُقَنَّهُمُ اللَّهُ رِزْقًا حَسَنًا وَإِنَّ اللَّهَ لَهُوَ خَيْرُ الرَّازِقِينَ</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936760_1051229030"/>
      <w:bookmarkStart w:id="169" w:name="_Toc65"/>
      <w:bookmarkEnd w:id="168"/>
      <w:r>
        <w:rPr>
          <w:rtl w:val="true"/>
        </w:rPr>
        <w:t>ثامناً</w:t>
      </w:r>
      <w:r>
        <w:rPr>
          <w:rtl w:val="true"/>
        </w:rPr>
        <w:t xml:space="preserve">: </w:t>
      </w:r>
      <w:r>
        <w:rPr>
          <w:rtl w:val="true"/>
        </w:rPr>
        <w:t>مواجهة الظلم</w:t>
      </w:r>
      <w:bookmarkEnd w:id="169"/>
    </w:p>
    <w:p>
      <w:pPr>
        <w:pStyle w:val="BookText"/>
        <w:rPr/>
      </w:pPr>
      <w:r>
        <w:rPr>
          <w:rFonts w:ascii="IRNazanin" w:hAnsi="IRNazanin" w:eastAsia="IRNazanin"/>
          <w:color w:val="111111"/>
          <w:sz w:val="28"/>
          <w:sz w:val="28"/>
          <w:szCs w:val="28"/>
          <w:rtl w:val="true"/>
          <w:lang w:bidi="fa-IR"/>
        </w:rPr>
        <w:t>تكرر من الإمام الحسين علیه السلام ، ذكر حديث عن النبي صلّى الله عليه و آله في رسالته  علیه السلام  إلى رؤساء أهل الكوفة، وفي خطابه لأصحابه، وفي خطابه لجيش الحرّ، فكان علیه السلام  يستدل بذلك الحديث النبوي كثيراً، ويطبقه على 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الحديث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سلطاناً جائراً مستحلاً لحرم الله، ناكثاً لعهد الله، مخالفاً لسنّة رسول الله علیه السلام ، يعمل في عباد الله بالإثم والعدوان، فلم يُغيّر عليه بفعل، ولا قول كان حقاً على الله أن يُدخله مدخله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التوجيه النبوي ـ والذي نظَّم الإمام الحسين علیه السلام  ثورته في كربلاء على أساسه ـ مأخوذ من القرآن الكريم، فالقرآن يُقبّح الظلم، ويستنكره في آيات كثيرة، ويعدُّ الظلم سبباً في عذاب بعض الأُمم، بل أوجبت الآيات العقاب على مَن مال إلى الظالمين وركن إليهم</w:t>
      </w:r>
      <w:r>
        <w:rPr>
          <w:rFonts w:eastAsia="IRNazanin" w:cs="IRNazanin"/>
          <w:color w:val="111111"/>
          <w:sz w:val="28"/>
          <w:szCs w:val="28"/>
          <w:rtl w:val="true"/>
          <w:lang w:bidi="fa-IR"/>
        </w:rPr>
        <w:t xml:space="preserve">. </w:t>
      </w:r>
      <w:bookmarkStart w:id="170" w:name="pg7448_76834"/>
    </w:p>
    <w:p>
      <w:pPr>
        <w:pStyle w:val="BookText"/>
        <w:rPr/>
      </w:pPr>
      <w:bookmarkEnd w:id="170"/>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 وَمَا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يجيز الله تعالى الجهاد لكلّ مظلوم،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إنّ دين الله تعالى، وكذا الإمام الحسين علیه السلام ، بل وجميع الأُمّة الإسلامية كانوا تحت ظلم يزيد وبني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صوّر الإمام الحسين علیه السلام  هذا الظلم والقائمين 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رجل فاسق، معلن بالفسق، يشرب الخمر، ويلعب بالكلاب والفهود، ويبغض بقية آل الرسول</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النفس المحترمة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ومثلي لا يبايع مثله</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فرزدق، إنّ هؤلاء القوم لزموا طاعة الشيطان، وتركوا طاعة الرحمن، وأظهروا الفساد في الأرض، وأبطلوا الحدود، وشربوا الخمور، واستأثروا في أموال الفقراء والمساكين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وأحلّوا حرام الله، وحرَّموا حلاله، واستأثروا بالفيء</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مثل هذه الشرائط والظروف، فإنّ وظيفة كلّ مسلم ـ وطبقاً لما جاء في القرآن الكريم ـ أن يهبَّ لمبارزة الفساد والظلم، وهكذا فعل إمامنا الحسين علیه السلام </w:t>
      </w:r>
      <w:r>
        <w:rPr>
          <w:rFonts w:eastAsia="IRNazanin" w:cs="IRNazanin"/>
          <w:color w:val="111111"/>
          <w:sz w:val="28"/>
          <w:szCs w:val="28"/>
          <w:rtl w:val="true"/>
          <w:lang w:bidi="fa-IR"/>
        </w:rPr>
        <w:t>.</w:t>
      </w:r>
    </w:p>
    <w:p>
      <w:pPr>
        <w:pStyle w:val="Heading5"/>
        <w:numPr>
          <w:ilvl w:val="4"/>
          <w:numId w:val="1"/>
        </w:numPr>
        <w:rPr/>
      </w:pPr>
      <w:bookmarkStart w:id="171" w:name="__RefHeading___Toc1936762_1051229030"/>
      <w:bookmarkStart w:id="172" w:name="_Toc66"/>
      <w:bookmarkEnd w:id="171"/>
      <w:r>
        <w:rPr>
          <w:rtl w:val="true"/>
        </w:rPr>
        <w:t>تاسعاً</w:t>
      </w:r>
      <w:r>
        <w:rPr>
          <w:rtl w:val="true"/>
        </w:rPr>
        <w:t xml:space="preserve">: </w:t>
      </w:r>
      <w:r>
        <w:rPr>
          <w:rtl w:val="true"/>
        </w:rPr>
        <w:t>الحرية والتحرير</w:t>
      </w:r>
      <w:bookmarkEnd w:id="1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الحرية أحبُّ الكلمات التي ذُكرت في تاريخ البشر، لكن هذه الكلمة لها معانٍ متفاوتة، من جملتها الاستقلال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الفلسفية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الاختيار، الحرية على صعيد </w:t>
      </w:r>
    </w:p>
    <w:p>
      <w:pPr>
        <w:pStyle w:val="BookText"/>
        <w:rPr/>
      </w:pPr>
      <w:r>
        <w:rPr>
          <w:rFonts w:ascii="Amiri" w:hAnsi="Amiri" w:eastAsia="Amiri" w:cs="Amiri"/>
          <w:color w:val="111111"/>
          <w:sz w:val="28"/>
          <w:sz w:val="28"/>
          <w:szCs w:val="28"/>
          <w:rtl w:val="true"/>
          <w:lang w:bidi="ar-SA"/>
        </w:rPr>
        <w:t xml:space="preserve">التربية، الحرية في الحقوق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صعيد فلسفة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الحرية في مقابل 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الحقوق المدينة والعالمية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تأتي بمعنى الشرف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بحث الحرية في نهضة عاشوراء هو بمعنى الشرف والكرامة، كما تكون بمعنى إباء الذل، والحفاظ على عزّة النفس، وتكون بمعنى الشهامة أيضاً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وهناك نماذج عديدة تثبت هذا المعنى من خلال كلمات الإمام الحسين علیه السلام ، وتأكيده على القيم النبيلة للنهضة الحسينية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 عن الإمام الحسين علیه السلام ، أنّه قال لأعدائه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لكم دين، وكنتم لا تخافون المعاد، فكونوا أحراراً في دنياكم هذه، وارجعوا إلى أحسابكم إن كنتم عُرباً كما تزعمون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التدين والخوف من الآخرة يوجبان التقوى، فلا يجيزان للإنسان أن يظلم الآخرين، ولكن هناك طريق آخر فطري يمنع من الظلم، ألا وهو كون الإنسان حرّاً؛ إذ كلّ إنسان ولد حرّاً، فهو يحب الحرية والتحرر، واحترام حقوق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إعفاء أتباعه من الوفاء ببيعتهم، وهو إعطاء أصحابه وأنصاره مطلق الحرية في الاختيار بين الاشتراك في الحرب والانصراف إلى بلدانهم، وهذا يدلّ على أنّ إجبار الآخرين على خلاف مرادهم أمر مرفوض في مدرسة أحرار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كان في عاشوراء، لمّا أعفى الحسين علیه السلام  أصحابه من بيعتهم وفي عدّة مرات، وذلك في طريقه من مكة إلى الكوفة، فقد أعطاهم مطلق الحرية في أن يذهبوا أو يبقوا معه، حتى أنّه أخبر أصحابه بالمصير المحتوم،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فإنّكم إن أصبحتم معي قُتلتم كلّكم</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 الإمام الحسين علیه السلام  يريد ألّا يبقى معه إلا مَن رافقه عن بصيرةٍ ورضًى، </w:t>
      </w:r>
      <w:bookmarkStart w:id="173" w:name="pg7448_76836"/>
    </w:p>
    <w:p>
      <w:pPr>
        <w:pStyle w:val="BookText"/>
        <w:rPr/>
      </w:pPr>
      <w:bookmarkEnd w:id="173"/>
      <w:r>
        <w:rPr>
          <w:rFonts w:ascii="IRNazanin" w:hAnsi="IRNazanin" w:eastAsia="IRNazanin"/>
          <w:color w:val="111111"/>
          <w:sz w:val="28"/>
          <w:sz w:val="28"/>
          <w:szCs w:val="28"/>
          <w:rtl w:val="true"/>
          <w:lang w:bidi="fa-IR"/>
        </w:rPr>
        <w:t xml:space="preserve">وإحساس بالوظيفة، وعشق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نهضة الإمام الحسين علیه السلام  نفسها؛ فقد كانت لتحرير الناس من ظلم بني أُميّة واستبدادهم، وتخليصهم من أنواع الانحرافات الفكرية والأخلاقية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وتُعدُّ طريقة الإمام الحسين علیه السلام  هذه في الوصول إلى الحرية، وتخليص الناس وتحريرهم نوعاً من اتباع القرآن الكريم وسنّة النبي الأمين صلّى الله عليه و آله ؛ لأنّ تحرير الناس أحد أهداف رسالة النبي صلّى الله عليه و آله التي ذكرها القرآن، فجعل رسالة النبي صلّى الله عليه و آله ترفع القيود والأغلال عن أيدي الناس وأرجلهم، وتخلّصهم من العقائد الباطلة، والأعمال الخرافية والظلم،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القرآن عدَّ رسالة النبي موسى علیه السلام  ـ عند مقابلته فرعون ـ تحريراً للبشر من العبودية والذل، ونجاةً لهم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936764_1051229030"/>
      <w:bookmarkStart w:id="175" w:name="_Toc67"/>
      <w:bookmarkEnd w:id="174"/>
      <w:r>
        <w:rPr>
          <w:rtl w:val="true"/>
        </w:rPr>
        <w:t>عاشراً</w:t>
      </w:r>
      <w:r>
        <w:rPr>
          <w:rtl w:val="true"/>
        </w:rPr>
        <w:t xml:space="preserve">: </w:t>
      </w:r>
      <w:r>
        <w:rPr>
          <w:rtl w:val="true"/>
        </w:rPr>
        <w:t>العزّة ورفض الذل</w:t>
      </w:r>
      <w:bookmarkEnd w:id="175"/>
    </w:p>
    <w:p>
      <w:pPr>
        <w:pStyle w:val="BookText"/>
        <w:rPr/>
      </w:pPr>
      <w:r>
        <w:rPr>
          <w:rFonts w:ascii="IRNazanin" w:hAnsi="IRNazanin" w:eastAsia="IRNazanin"/>
          <w:color w:val="111111"/>
          <w:sz w:val="28"/>
          <w:sz w:val="28"/>
          <w:szCs w:val="28"/>
          <w:rtl w:val="true"/>
          <w:lang w:bidi="fa-IR"/>
        </w:rPr>
        <w:t>أحد أهمّ تعاليم ثورة الإمام الحسين علیه السلام  السياسية هي عدم الرضوخ للذل، وهذا من الشعارات والرسائل العاشورائية التي كانت مثالاً يحُتذى به، وقدوةً لكلّ الشيعة، بل وكلّ الأحرار على مرّ التاريخ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السائرين على خطى الحسين علیه السلام  يرجّحون الموت في عزٍّ على الحياة في ذلٍّ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في عزّ خير من حياة في ذلّ</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وهكذا هم الحسينيون، يرون سعادتهم في الشهادة، والعيش مع الظالم خسارة وذلة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لا أرى الموت إلّا سعادة، 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أصبحت كلمة الإمام الحسين الخالدة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عنواناً لكلّ أحرار العالم، يرددونها ويتغنون بها باستمرار واعتزاز وافتخار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مدرسة الإمام الحسين علیه السلام  ليس معيار السعادة المال والحياة والترف، بل كلّ أنواع النعيم المادي ليس بشيء؛ وإنّما المعيار هو العزّة والكرامة، والحياة الشريفة، وهذه رؤية وهبها الدين الخاتم للبشرية، وطبّقها الإمام الحسين علیه السلام  بدروس عملية، علّمنا من خلالها كيف يجب أن يكون الإنسان عزيزاً أبيّاً حرّاً، يأبى الذل والهوان، والسكوت على الظلم والانحراف، فقد غيّر علیه السلام  نظرة الأحرار إلى الحياة والموت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الموت كيفما كان فهو أمر محتوم لا مفرّ منه، والمهم كيف تكون نظرة الإنسان إلى الموت، فالحسين علیه السلام  بيّن تعريفاً جديداً للموت والحياة، وغيَّر نظرة البشر إلى الموت، وأوضح للناس أنّ الموت الحقيقي إنّما هو في العيش مع الظالم، وأنّ الحياة مخبوءة في الشهادة؛ فلمّا رأى الإمام الحسين علیه السلام  أنّ نصائحه لم تعد تنفع في حكومة بني أُميّة، وأنّ يزيد رجل فاسق وحكومته حكومة فاسدة لا تجوز مبايعته؛ ورأى أيضاً أنّ الظلم الذي تمارسه السلطة لا يمكن السكوت عليه؛ عند ذلك وقف الحسين علیه السلام  في وجه عدوّه وقفة الأبطال، وقاتل حتى آخر نفس، وقال كلمته الخالدة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أُعطيكم بيدي إعطاء الذليل، ولا أفرُّ فرار العبيد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السلوك من الإمام الحسين علیه السلام  في سبيل العزّة والاستنكاف عن الذل يمثل مراد القرآن، وينسجم مع مبانيه السامية؛ إذ يجعل العزّة لله ولرسوله وللمؤمنين، ما يلزم عنه أنّ الذل والهوان بعيدان عن المؤمنين،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لَئِنْ رَجَعْنَا إِلَى الْمَدِينَةِ لَيُخْرِجَنَّ الْأَعَزُّ مِنْهَا الْأَذَلَّ وَلِلَّهِ الْعِزَّةُ وَلِرَسُولِهِ وَلِلْمُؤْمِنِينَ وَلَكِنَّ الْمُنَافِقِينَ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76" w:name="pg7448_76838"/>
    </w:p>
    <w:p>
      <w:pPr>
        <w:pStyle w:val="Heading5"/>
        <w:numPr>
          <w:ilvl w:val="4"/>
          <w:numId w:val="1"/>
        </w:numPr>
        <w:rPr/>
      </w:pPr>
      <w:bookmarkStart w:id="177" w:name="__RefHeading___Toc1936766_1051229030"/>
      <w:bookmarkStart w:id="178" w:name="_Toc68"/>
      <w:bookmarkEnd w:id="176"/>
      <w:bookmarkEnd w:id="177"/>
      <w:r>
        <w:rPr>
          <w:rtl w:val="true"/>
        </w:rPr>
        <w:t>حادي عشر</w:t>
      </w:r>
      <w:r>
        <w:rPr>
          <w:rtl w:val="true"/>
        </w:rPr>
        <w:t xml:space="preserve">: </w:t>
      </w:r>
      <w:r>
        <w:rPr>
          <w:rtl w:val="true"/>
        </w:rPr>
        <w:t>اختيار إحدى الحسنيين</w:t>
      </w:r>
      <w:bookmarkEnd w:id="178"/>
    </w:p>
    <w:p>
      <w:pPr>
        <w:pStyle w:val="BookText"/>
        <w:rPr/>
      </w:pPr>
      <w:r>
        <w:rPr>
          <w:rFonts w:ascii="IRNazanin" w:hAnsi="IRNazanin" w:eastAsia="IRNazanin"/>
          <w:color w:val="111111"/>
          <w:sz w:val="28"/>
          <w:sz w:val="28"/>
          <w:szCs w:val="28"/>
          <w:rtl w:val="true"/>
          <w:lang w:bidi="fa-IR"/>
        </w:rPr>
        <w:t>ما من شك في أنّ الإمام الحسين علیه السلام  لو بقي في المدينة أو مكة لكانت عاقبته القتل؛ فإنّ السلطة الحاكمة كانت قاصدة إذلاله من خلال إجباره على البيعة، وبما أنّهم كانوا متيقنين وعالمين بأنّ الإمام علیه السلام  لا يبايع يزيد؛ لذلك كان الحل الراجح عندهم هو قتله علیه السلام ، وأمّا لو خرج متوجهاً إلى العراق فالأمر يختلف؛ وذلك لأنّ احتمال الوصول إلى الكوفة، واحتمال النصر كان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فإنّ الإمام علیه السلام  في خروجه سوف يحصل على إحدى الحسنين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بيني وبين القوم موعداً، أكره أن أُخلفهم، فإن يدفع الله عنّا، فقديماً ما أنعم علينا وكفى، وإن يكن ما لا بدّ منه، ففوز وشهادة إن شاء الله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هذا الكلام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إذا دافعوا عن الإمام ونصروه وآزروه، فإنّ الكفة ستكون في صالح الإمام الحسين علیه السلام ؛ وستسقط حكومة يزيد، ويتم الأمر لصالح الإسلام، فتكون حُسنى النصر، وتلك نعمة إلهية، وأمّا إذا لم يدافع الناس عن الإمام الحسين علیه السلام ، فسيُستشهد علیه السلام ، وتلك حُسنى الشهادة، وبتبع ذلك ستُفتضح حكومة يزيد، وسيُحيى الإسلام بدم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والنتيجة؛ فإنّ خروج الإمام من مكة إلى الكوفة كان الخيار الأفضل من بين الخيارات الأخرى، بل هو المتعين من بينها؛ لأنّ البقاء إمّا أن يكون مع البيعة، وإمّا مع الموت الصامت الذي لا يؤتي ثماره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شهادة الإمام الحسين علیه السلام  ظلماً في صحراء كربلاء ـ وأمام جيش عظيم ـ أوجبت اندلاع حملة إعلامية عظيمة لصالح الإسلام، تفضح ظلم بني أُميّة، وتضمن حياة الإسلام على طول التاريخ</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الطريقة المنطقية والعقلانية التي اتبعها الإمام الحسين علیه السلام ، مطابقة للآيات القرآنية؛ إذ إنّه لمّا أساء بعض الناس السير في حربهم مع النبي صلّى الله عليه و آله ، وقالوا ما لا يليق ولا ينبغي، أجابهم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لَنْ يُصِيبَنَا إِلَّا مَا كَتَبَ اللَّهُ لَنَا هُوَ مَوْلَانَا </w:t>
      </w:r>
      <w:bookmarkStart w:id="179" w:name="pg7448_76839"/>
    </w:p>
    <w:p>
      <w:pPr>
        <w:pStyle w:val="BookText"/>
        <w:rPr/>
      </w:pPr>
      <w:bookmarkEnd w:id="179"/>
      <w:r>
        <w:rPr>
          <w:rFonts w:ascii="Amiri" w:hAnsi="Amiri" w:eastAsia="Amiri" w:cs="Amiri"/>
          <w:color w:val="111111"/>
          <w:sz w:val="28"/>
          <w:sz w:val="28"/>
          <w:szCs w:val="28"/>
          <w:rtl w:val="true"/>
          <w:lang w:bidi="ar-SA"/>
        </w:rPr>
        <w:t>وَعَلَى اللَّهِ فَلْيَتَوَكَّلِ الْمُؤْمِنُونَ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إِلَّا إِحْدَى الْحُسْنَيَيْنِ</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أية حالٍ ـ وعلى كلّ تقدير ـ فإنّ طريق الحقّ عاقبته خير، سواءً أكانت الخاتمة هي الشهادة أم كانت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وبخلاف تلك العاقبة عاقبة المخالفين؛ فإنّها مهما كانت، فهي لا بدّ وأن تُفضي وتنتهي إلى الهلاك والخسران، فهي إمّا الهزيمة والذلة في الحياة الدنيا، وإمّا القتل والمصير إلى النار،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نَتَرَبَّصُ بِكُمْ أَنْ يُصِيبَكُمُ اللَّهُ بِعَذَابٍ مِنْ عِنْدِهِ أَوْ بِأَيْدِينَا فَتَرَبَّصُوا إِنَّا مَعَكُمْ مُتَرَبِّصُونَ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فالعقل والمنطق يحكمان أن نُكمل طريقنا، وهذا ما فعله الإمام الحسين علیه السلام </w:t>
      </w:r>
      <w:r>
        <w:rPr>
          <w:rFonts w:eastAsia="IRNazanin" w:cs="IRNazanin"/>
          <w:color w:val="111111"/>
          <w:sz w:val="28"/>
          <w:szCs w:val="28"/>
          <w:rtl w:val="true"/>
          <w:lang w:bidi="fa-IR"/>
        </w:rPr>
        <w:t>.</w:t>
      </w:r>
    </w:p>
    <w:p>
      <w:pPr>
        <w:pStyle w:val="Heading5"/>
        <w:numPr>
          <w:ilvl w:val="4"/>
          <w:numId w:val="1"/>
        </w:numPr>
        <w:rPr/>
      </w:pPr>
      <w:bookmarkStart w:id="180" w:name="__RefHeading___Toc1936768_1051229030"/>
      <w:bookmarkStart w:id="181" w:name="_Toc69"/>
      <w:bookmarkEnd w:id="180"/>
      <w:r>
        <w:rPr>
          <w:rtl w:val="true"/>
        </w:rPr>
        <w:t>ثاني عشر</w:t>
      </w:r>
      <w:r>
        <w:rPr>
          <w:rtl w:val="true"/>
        </w:rPr>
        <w:t xml:space="preserve">: </w:t>
      </w:r>
      <w:r>
        <w:rPr>
          <w:rtl w:val="true"/>
        </w:rPr>
        <w:t>وجوب قبول الإمام علیه السلام  لطلب الناس إتماماً للحجة عليهم</w:t>
      </w:r>
      <w:bookmarkEnd w:id="181"/>
    </w:p>
    <w:p>
      <w:pPr>
        <w:pStyle w:val="BookText"/>
        <w:rPr/>
      </w:pPr>
      <w:r>
        <w:rPr>
          <w:rFonts w:ascii="IRNazanin" w:hAnsi="IRNazanin" w:eastAsia="IRNazanin"/>
          <w:color w:val="111111"/>
          <w:sz w:val="28"/>
          <w:sz w:val="28"/>
          <w:szCs w:val="28"/>
          <w:rtl w:val="true"/>
          <w:lang w:bidi="fa-IR"/>
        </w:rPr>
        <w:t xml:space="preserve">تعدّدت الرسائل من أهل الكوفة، وتتابعت رسلهم إلى الإمام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أمير علينا، وأنّنا نريد أن نبايعك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ذلك؛ أرسل الإمام الحسين علیه السلام  مسلم بن عقيل ممثلاً شخصياً عنه؛ ليمتحنهم ويُنبئه عن أوضاعهم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بايع أهل الكوفة مسلم بن عقيل، تمت الحجة، وكان لا بدّ من الخروج إليهم، والتوجه إلى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كتُب أهل الكوفة ورسلهم، وقد وجب عليَّ إجابتهم، وقام لهم العذر عليَّ عند الله سبحانه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نجد أنّ الإمام عندما عدد أسباب مجيئه إلى الكوفة عدَّ منها تلك الرسائل والدعوات التي أوجبت حضوره، فقد بيّن أوّلاً خصوصيات الحاكم الذي يستحق الحكومة، وأنّ يزيد لا يصلح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الإمام إلا العامل بالكتاب، والآخذ </w:t>
      </w:r>
    </w:p>
    <w:p>
      <w:pPr>
        <w:pStyle w:val="BookText"/>
        <w:rPr/>
      </w:pPr>
      <w:r>
        <w:rPr>
          <w:rFonts w:ascii="IRNazanin" w:hAnsi="IRNazanin" w:eastAsia="IRNazanin"/>
          <w:color w:val="111111"/>
          <w:sz w:val="28"/>
          <w:sz w:val="28"/>
          <w:szCs w:val="28"/>
          <w:rtl w:val="true"/>
          <w:lang w:bidi="fa-IR"/>
        </w:rPr>
        <w:t>بالقسط، والدائن بالحقِّ، والحابس نفسه على ذات الله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بيَّن أن أحد أهمّ الأسباب التي دعت إلى قدومه واختياره الكوفة هو الطلب الجماهيري من أهلها،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ومقالة جلِّكم إنّه ليس علينا إمام فأقبل</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ولأجل ذلك قَبِل دعوتهم ليتمَّ الحجة عليهم بقدومه، كما تمت الحجة عليه بدعوتهم، ويُعتبر هذا من المبادئ القرآنية التي كرر التأكيد عليها في آيات عديدة</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القرآن الكريم جعل سبب إرسال الرسل الإلهية، إتمام الحجة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مُبَشِّرِينَ وَمُنْذِرِينَ لِئَلَّا يَكُونَ لِلنَّاسِ عَلَى اللَّهِ حُجَّةٌ بَعْدَ الرُّسُلِ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وبذلك يتبيّن أنّ مبادئ وقيم ومفاصل حركة ونهضة عاشوراء جميعها كانت من صُلب الدين، ومنصوصاً عليها في القرآن الكريم، وفي آيات متعددة، فنهضة عاشوراء هي أعظم تطبيق حي لمفاهيم وتعاليم ومبادئ القرآن الكريم، فإذا ما كانت تعاليم القرآن ومبادئه تعاليم إنسانية، نابعة عن الفطرة البشرية، عرف بذلك أنّ ثورة الإمام الحسين علیه السلام  هي ثورة لكلّ البشر، ولكلّ مَن يريد العيش بكرامة وعدالة وعزّة</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7448_76842"/>
      <w:bookmarkStart w:id="183" w:name="pg7448_76842"/>
      <w:bookmarkEnd w:id="183"/>
    </w:p>
    <w:p>
      <w:pPr>
        <w:pStyle w:val="Heading3"/>
        <w:numPr>
          <w:ilvl w:val="2"/>
          <w:numId w:val="1"/>
        </w:numPr>
        <w:rPr/>
      </w:pPr>
      <w:bookmarkStart w:id="184" w:name="pg7448_76842"/>
      <w:bookmarkStart w:id="185" w:name="__RefHeading___Toc1936770_1051229030"/>
      <w:bookmarkStart w:id="186" w:name="_Toc70"/>
      <w:bookmarkEnd w:id="184"/>
      <w:bookmarkEnd w:id="185"/>
      <w:r>
        <w:rPr>
          <w:rtl w:val="true"/>
        </w:rPr>
        <w:t>ثورَةُ الإصَلاحِ وَظُرُوفُ المُجتمَعِ الَإسلاميّ</w:t>
      </w:r>
      <w:bookmarkEnd w:id="186"/>
    </w:p>
    <w:p>
      <w:pPr>
        <w:pStyle w:val="Heading4"/>
        <w:numPr>
          <w:ilvl w:val="3"/>
          <w:numId w:val="1"/>
        </w:numPr>
        <w:rPr/>
      </w:pPr>
      <w:bookmarkStart w:id="187" w:name="__RefHeading___Toc1936772_1051229030"/>
      <w:bookmarkStart w:id="188" w:name="_Toc71"/>
      <w:bookmarkEnd w:id="187"/>
      <w:r>
        <w:rPr>
          <w:rtl w:val="true"/>
        </w:rPr>
        <w:t>اشارة</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الإصَلاحِ وَظُرُوفُ المُجتمَعِ الَإسلاميّد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الرحمة</w:t>
      </w:r>
      <w:r>
        <w:rPr>
          <w:rStyle w:val="FootnoteAnchor"/>
          <w:rtl w:val="true"/>
        </w:rPr>
        <w:footnoteReference w:id="113"/>
      </w:r>
    </w:p>
    <w:p>
      <w:pPr>
        <w:pStyle w:val="Heading4"/>
        <w:numPr>
          <w:ilvl w:val="3"/>
          <w:numId w:val="1"/>
        </w:numPr>
        <w:rPr/>
      </w:pPr>
      <w:bookmarkStart w:id="189" w:name="__RefHeading___Toc1936774_1051229030"/>
      <w:bookmarkStart w:id="190" w:name="_Toc72"/>
      <w:bookmarkEnd w:id="189"/>
      <w:r>
        <w:rPr>
          <w:rtl w:val="true"/>
        </w:rPr>
        <w:t>مقدّمة</w:t>
      </w:r>
      <w:bookmarkEnd w:id="1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تكن عاشوراء الحسين علیه السلام  بمعزل عن الظروف والملابسات التي عاشها المجتمع الإسلامي آنذاك، بل كانت نتيجة حتمية لما آلت إليه الأُمور من انحدارٍ صوب هاوية التمزّق والتفكك، والابتعاد عن التعاليم النبويّة، والسير باتجاه معاكس لرسالة القيم والمُثل السماوية، فشعار الإصلاح المطلق الذي رفعه الحسين علیه السلام ، يُنبئك بالفساد الذي حلّ بكلّ مفاصل الأُمّة الإسلاميّة، فكانت الثورة هي السلاح الوحيد الذي يتمكّن من إعادة كرامة الأُمّة وعزّتها، بعد أن مرّت بأدوار عديدة، وحكومات جائرة، أسفرت عن فقدان هذه الأُمّة إرادتها وروحها الإسلاميّة، وباتت أُمّةً مفككة مجزأة، تتلاعب بها الأهواء كيفما تشاء، وراجت فيها الروح القبلية من جديد، وأمسى الرجال فيها كالسلع في السوق تُباع وتُشترى من قِبل الحكّام، أولئك الحكّام الذين اتبعوا سياسة الإرهاب والتجويع من جهة، وبثّوا القصص والأساطير في مدحهم والثناء عليهم من جهة أُخرى؛ ليضفوا على أنفسهم صبغة إسلاميّة تحول دون قيام أيِّ ثورة ضدهم، ثُمّ راحوا يخترعون الأحاديث المزيّفة القائلة بحرمة الخروج على الحاكم الظالم، كما اخترعوا مذاهب عَقَدية جديدة تُضفي على تصرفاتهم شرعيّة كاملة، كالقول بالجبر والإرجاء</w:t>
      </w:r>
      <w:r>
        <w:rPr>
          <w:rFonts w:eastAsia="IRNazanin" w:cs="IRNazanin"/>
          <w:color w:val="111111"/>
          <w:sz w:val="28"/>
          <w:szCs w:val="28"/>
          <w:rtl w:val="true"/>
          <w:lang w:bidi="fa-IR"/>
        </w:rPr>
        <w:t xml:space="preserve">. </w:t>
      </w:r>
      <w:bookmarkStart w:id="191" w:name="pg7448_76843"/>
    </w:p>
    <w:p>
      <w:pPr>
        <w:pStyle w:val="BookText"/>
        <w:rPr/>
      </w:pPr>
      <w:bookmarkEnd w:id="191"/>
      <w:r>
        <w:rPr>
          <w:rFonts w:ascii="IRNazanin" w:hAnsi="IRNazanin" w:eastAsia="IRNazanin"/>
          <w:color w:val="111111"/>
          <w:sz w:val="28"/>
          <w:sz w:val="28"/>
          <w:szCs w:val="28"/>
          <w:rtl w:val="true"/>
          <w:lang w:bidi="fa-IR"/>
        </w:rPr>
        <w:t>وهكذا فقد مرّ المجتمع الإسلامي بظروف عصيبة غُيّبت فيه مبادئ الإسلام، وحوّلته إلى مجتمع خانع بائس لدرجة أنّه يقبل بخلافة يزيد بن معاوية، هذا الرجل المتحلل عن جميع القيم، والبعيد كلّ البعد عن خط الرسالة المحمّديّة؛ فوصل الأمر إلى مفترق طرق، إمّا القبول بيزيد وضياع الإسلام واندثاره، وإمّا الرفض والثورة، ونتيجتها الشهادة والسبي وبزوغ شمس الإسلام من جديد، ولم يكن للحسين علیه السلام  غير الخيار الثاني، فلا أثر للكلمة، ولا فائدة في النُّصح، وكان لا بدّ من دماء تُوقِظ الضمير، وتُعِيد الصحوة، وتعدِّل مسير الانحراف؛ فكانت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ونحاول في هذه الصفحات أن ننقل للقارئ صوراً مختصرةً عن الواقع السيّئ الذي كان يعيشه المسلمون في تلك الحقبة الزمنيّة، وصولاً إلى الثورة الحسينيّة المباركة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936776_1051229030"/>
      <w:bookmarkStart w:id="193" w:name="_Toc73"/>
      <w:bookmarkEnd w:id="192"/>
      <w:r>
        <w:rPr>
          <w:rtl w:val="true"/>
        </w:rPr>
        <w:t>تغيير المسار وبوادر الانحراف</w:t>
      </w:r>
      <w:bookmarkEnd w:id="193"/>
    </w:p>
    <w:p>
      <w:pPr>
        <w:pStyle w:val="BookText"/>
        <w:rPr/>
      </w:pPr>
      <w:r>
        <w:rPr>
          <w:rFonts w:ascii="Amiri" w:hAnsi="Amiri" w:eastAsia="Amiri" w:cs="Amiri"/>
          <w:color w:val="111111"/>
          <w:sz w:val="28"/>
          <w:sz w:val="28"/>
          <w:szCs w:val="28"/>
          <w:rtl w:val="true"/>
          <w:lang w:bidi="ar-SA"/>
        </w:rPr>
        <w:t>ليس خفيَّاً على أحد أنّ بذرة التحوّل الأُولى في مسار الأُمّة الإسلاميّة، كانت بعد وفاة الرسول الأكرم صلّى الله عليه و آله ؛ إذ انقسمت الأُمّة على فريقين، يرى أحدهما أنّ النصّ هو السبيل المتّبع في تحديد الخلافة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الآخر أنّ الخلافة شورى بين المسلمين؛ فكانت السقيفة، وكان ما كان من تنصيب للخليفة أبي بكر، وإقصاء للبيت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لو أردنا أن نغض الطرف عن هذا الخلاف، ونسلّط الضوء على ما حصل من انحراف في واقع الأُمّة وفي تطبيقاتها لأحكام الشريعة، فإنّ السقيفة ستكون أحد الأسباب الرئيسة المؤدّية إلى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الصعوبة أن يكون بمقدورنا تحديد الفترة الزمنيّة التي أحسّ فيها المجتمع بآثار انحرافه بوضوح؛ إذ إنّ التغيير الذي حصل هو تغيير تدريجي غير ملموس النتائج، ولكن نستطيع القول ـ وطبقاً لما ذكره أهل السير والتاريخ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بداية النصف الثاني من عهد الخليفة عثمان، قد شهد فيه المجتمع الانحراف العلني عن مبادئ الإسلام، ولا شكّ في أنّ هذا التغيير كانت له عوامل معيّنة أدّت إليه، </w:t>
      </w:r>
    </w:p>
    <w:p>
      <w:pPr>
        <w:pStyle w:val="BookText"/>
        <w:rPr/>
      </w:pPr>
      <w:r>
        <w:rPr>
          <w:rFonts w:ascii="Amiri" w:hAnsi="Amiri" w:eastAsia="Amiri" w:cs="Amiri"/>
          <w:color w:val="111111"/>
          <w:sz w:val="28"/>
          <w:sz w:val="28"/>
          <w:szCs w:val="28"/>
          <w:rtl w:val="true"/>
          <w:lang w:bidi="ar-SA"/>
        </w:rPr>
        <w:t>ولعلّ من أبرز هذه العوامل التي ساعدت على هذا التبدل في المجتمع هي السقيفة المشار إليها، ثُمّ ما أحدثه الخليفة عمر من تفضيل في توزيع الأموال، ثُمّ الطريقة الغريبة التي تولّى بها عثمان زمام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ما يتعلّق بالسقيفة، فقد شاعت فيها الروح القبلية والحزبيّة وباتت هي المحرّك نحو الحكم والسلطان، وبالأخصّ عند فريق من القرشيين؛ إذ بعد ما اجتمع الأنصار بمعزل عن بقيّة المسلمين، وأخذوا يتداولون الرأي، وينادون بالخلافة، ظهر تكتّل من قريش، يرون أنّهم أحقّ الناس وأولاهم بالخلافة بعد الرسول صلّى الله عليه و آله ، وتنازعوا فيما بينهم، وكثُر الكلام واللغط، وانشقّ الأنصار فيما بينهم، وانتهت السقيفة بتولية أبي بكر لكونه قرشياً، وأُقصي الممثل الشرعيّ لخلافة السماء أمير المؤمنين عليّ علیه السلام ، والذي لم يكن له حضور في السقيفة؛ لانشغاله مع الهاشميين وبعض الصحابة بتجهيز جثمان النبيّ صلّى الله عليه و آله الذي لم يوارَ التراب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تناسى المجتمعون عهود النبي صلّى الله عليه و آله جميعها، وتوصياته في عليّ علیه السلام  والتي لا يسعُ المجال لذكرها في هذا المقال؛ فنتج عن ذلك تبديل النظريّة الإسلاميّة حول الخلافة، فبعد أنْ أراد لها الإسلام أن تكون مفهوماً إسلاميّاً، هدفه انتشال الأُمّة من الضياع، والسير بها وفق تعليمات وتوجيهات الرسول صلّى الله عليه و آله ، صارت حكومة قبلية، وأنّ قريشاً أحقّ بها؛ لأنّ محمّداً صلّى الله عليه و آله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لهذه المسألة تأثيرها البالغ في اختلاف كلمة المسلمين وإلى يومنا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انتهت السقيفة بتولّي الخليفة أبي بكر مهام السلّطة، لكنّ الطابع الإسلامي العامّ في أغلب الأُمور لم يتغيّر بعد، خصوصاً فيما يتعلّق بتوزيع الأموال، فالروح المحمّديّة ما زالت طريّة بينهم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غَمضَت عينا أبي بكر وقد أعاد للأذهان مبدأ النصّ في الخلافة، فنصّ على عمر من بعده؛ إذ لم تكن الشورى نافعة في كلّ الأوقات، بعد أن حقّقت غرضها في إبعاد أهل البيت علیهم السلام  عن سدّة الخلافة، لكنّ هذا النصّ لم يكن مشابهاً للنصّ الذي نادى به </w:t>
      </w:r>
    </w:p>
    <w:p>
      <w:pPr>
        <w:pStyle w:val="BookText"/>
        <w:rPr/>
      </w:pPr>
      <w:r>
        <w:rPr>
          <w:rFonts w:ascii="Amiri" w:hAnsi="Amiri" w:eastAsia="Amiri" w:cs="Amiri"/>
          <w:color w:val="111111"/>
          <w:sz w:val="28"/>
          <w:sz w:val="28"/>
          <w:szCs w:val="28"/>
          <w:rtl w:val="true"/>
          <w:lang w:bidi="ar-SA"/>
        </w:rPr>
        <w:t>أبناء البيت العلويّ، فذلك كان النصّ المعصوم من الخطأ والزلل، وهو نصّ الرسول الأكرم صلّى الله عليه و آله ، بينما النصّ الآخر هو نصّ أبي بكر على خلافة عمر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تربّع الخليفة عمر على سدّة الخلافة، وبدأت الأُمّة تزداد ابتعاداً عن توجيهات الإسلام الأصيل، ففي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بتطبيق مبدأ التفاضل في العطاء؛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ففضّل السابقين على غيرهم، وفضّل المهاجرين من قريش على غيرهم من المهاجرين، وفضّل المهاجرين كافّة على الأنصار كافّة، وفضّل العرب على العجم، وفضّل الصريح على المولى، وقد كان أشار على أبي بكر أيّام خلافته بذلك، فلم يقبل</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كما فضّل مضر على ربيعة؛ ففرض لمضر في ثلاثمائة، ولربيعة في مائتين</w:t>
      </w:r>
      <w:r>
        <w:rPr>
          <w:rStyle w:val="FootnoteAnchor"/>
          <w:rtl w:val="true"/>
        </w:rPr>
        <w:footnoteReference w:id="115"/>
      </w:r>
      <w:r>
        <w:rPr>
          <w:rFonts w:ascii="Amiri" w:hAnsi="Amiri" w:eastAsia="Amiri" w:cs="Amiri"/>
          <w:color w:val="111111"/>
          <w:sz w:val="28"/>
          <w:sz w:val="28"/>
          <w:szCs w:val="28"/>
          <w:rtl w:val="true"/>
          <w:lang w:bidi="ar-SA"/>
        </w:rPr>
        <w:t>، كما أنّه فاضل بين الأنصار بتقديم الأوس على الخزرج، فبدأ برهط سعد بن معاذ الأشهلي من الأوس، ثُمّ الأقرب فالأقرب لسعد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لهذا التفضيل تبعات سلبيّة من تكوين طبقيّة في المجتمع، ومساهمة في إذكاء الصراع القَبَليّ بين مضر وربيعة، وكذا بين الأوس والخزرج، والصراع العنصري بين المسلمين العرب وغيرهم؛ نتيجة تفضيل العرب على العجم، والصريح على المولى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عمر لم يكن على معرفة بأحكام وتطبيقات الإسلام الكثيرة، ولولا وجود عليّ علیه السلام  لأخذت الأحكام تنحى منحىً آخر، وقد نُقل عنه في ذلك أنّه كان يتعوّذ بالله من معضلة ليس لها أبو حسن</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عمرـ وقبل وفاته ـ اقترح مشروعاً جديداً للخلافة، فقد جعل الخلافة من بعده شورى تتألّف من ستة نفرـ كلّهم من قريش ـ يختارون من بينهم شخصاً للخلافة، وهؤلاء الستة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وعثمان بن عفّان، وطلحة بن عبيد الله، والزبير بن العوّام، وسعد بن أبي وقّاص، وعبد الرحمن بن عوف، ثُمّ ضيَّق </w:t>
      </w:r>
    </w:p>
    <w:p>
      <w:pPr>
        <w:pStyle w:val="BookText"/>
        <w:rPr/>
      </w:pPr>
      <w:r>
        <w:rPr>
          <w:rFonts w:ascii="Amiri" w:hAnsi="Amiri" w:eastAsia="Amiri" w:cs="Amiri"/>
          <w:color w:val="111111"/>
          <w:sz w:val="28"/>
          <w:sz w:val="28"/>
          <w:szCs w:val="28"/>
          <w:rtl w:val="true"/>
          <w:lang w:bidi="ar-SA"/>
        </w:rPr>
        <w:t>الدائرة؛ فجعل الميزان في الثلاثة الذين ينضمُّ إليهم عبد الرحمن بن عوف</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لهذه الشورى إسهام كبير في تشتيت كلمة المسلمين، وتفريق أمرهم؛ إذ جَعلت من الناس طوائف وفِرَقاً مختلفة، فبعد أنْ اختلف أهل الشورى في تحديد الخليفة، انسحب عبد الرحمن منها؛ ليتظاهر بمظهر المحايد على أنْ يقوم هو بتحديد الخليفة، يقول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عبد الرحمن، فمكث ثلاثة أيّام يشاور الناس، ثُمّ رجع واجتمع الناس، وكثروا على الباب لا يشكّون أنّه يبايع عليّ بن أبي طالب، وكان هوى قريش كافّة ـ ما عدا بني هاشم ـ في عثمان، وهوى طائفة من الأنصار مع عليّ، وهوى طائفة أُخرى مع عثمان، وهي أقلُّ الطائفتين، وطائفة لا يبالون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بويع</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ووصل الأمر إلى أنّ قريشاً تعدُّ الخلافة إحدى مؤسساتها، وترفض أن يتقدّم أيّ من المسلمين للخلافة برأي يتنافى ورغباتها، فحينما نادى المقداد بضرورة تقديم عليّ بن أبي طالب علیه السلام ، أجابه عبد الله بن أبي ربيعة بن مغيره المخزوميّ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 الحليف العسيف، ومتى كان مثلك يجترئ على الدخول في أمر قريش</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قال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فأنّى تَصرِفون هذا الأمر عن أهل بيت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 رجل من بني مخزوم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عدوت طورك يا بن سميّة، وما أنت وتأمير قريش لأنفسها؟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انتهت هذه الشورى بفوز عثمان اتباعاً لهوى قريش؛ وخلّفت بعدها آثاراً سيئة للغاية، وساهمت في تشتيت شمل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معاوية بن أبي سفيان يعترف بالنتائج التي سبّبتها شورى عمر في حديث له مع ابن الحصين؛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حصين، قد بلغني أنّ عندك ذهناً وعقلاً، فأخبرني عن شيء أسألك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ما الذي شتت أمر المسلمين، وفرّق أهواءهم، وخالف بينهم؟</w:t>
      </w:r>
      <w:r>
        <w:rPr>
          <w:rFonts w:eastAsia="Amiri" w:cs="Amiri" w:ascii="Amiri" w:hAnsi="Amiri"/>
          <w:color w:val="111111"/>
          <w:sz w:val="28"/>
          <w:szCs w:val="28"/>
          <w:rtl w:val="true"/>
          <w:lang w:bidi="ar-SA"/>
        </w:rPr>
        <w:t xml:space="preserve">. </w:t>
      </w:r>
      <w:bookmarkStart w:id="194" w:name="pg7448_76847"/>
    </w:p>
    <w:p>
      <w:pPr>
        <w:pStyle w:val="BookText"/>
        <w:rPr/>
      </w:pPr>
      <w:bookmarkEnd w:id="19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الناس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فمسير عليّ إليك وقتاله 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فمسير طلحة والزبير وعائشة وقتال عليّ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أخبرك، إنّه لم يُشتت بين المسلمين ولا فرّق أهواءهم ولا خالف بينهم إلّا الشورى التي جعلها عمر إلى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رجل منهم إلّا رجاها لنفسه، ورجاها له قومه، وتطلّعت إلى ذلك نفسه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انتهت الشورى باستيلاء الأُمويين على زمام الحكم، وذلك بشخص عثمان، وأخذ المجتمع يتذوق مرارة بُعده عن صاحب النصّ الشرعيّ، وبدأت ظواهر الانحراف تطفو على السطح، فكان أنْ انتهت تلك الخلافة بثورة عارمة قُتل على أثرها عثمان، ودُفن سرّاً في حشّ كوكب</w:t>
      </w:r>
      <w:r>
        <w:rPr>
          <w:rStyle w:val="FootnoteAnchor"/>
          <w:rtl w:val="true"/>
        </w:rPr>
        <w:footnoteReference w:id="123"/>
      </w:r>
      <w:r>
        <w:rPr>
          <w:rFonts w:ascii="Amiri" w:hAnsi="Amiri" w:eastAsia="Amiri" w:cs="Amiri"/>
          <w:color w:val="111111"/>
          <w:sz w:val="28"/>
          <w:sz w:val="28"/>
          <w:szCs w:val="28"/>
          <w:rtl w:val="true"/>
          <w:lang w:bidi="ar-SA"/>
        </w:rPr>
        <w:t>، وهي مقبرة لليهود</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936778_1051229030"/>
      <w:bookmarkStart w:id="196" w:name="_Toc74"/>
      <w:bookmarkEnd w:id="195"/>
      <w:r>
        <w:rPr>
          <w:rtl w:val="true"/>
        </w:rPr>
        <w:t>خلافة عثمان واستئثار بني أُميّة</w:t>
      </w:r>
      <w:bookmarkEnd w:id="196"/>
    </w:p>
    <w:p>
      <w:pPr>
        <w:pStyle w:val="BookText"/>
        <w:rPr/>
      </w:pPr>
      <w:r>
        <w:rPr>
          <w:rFonts w:ascii="Amiri" w:hAnsi="Amiri" w:eastAsia="Amiri" w:cs="Amiri"/>
          <w:color w:val="111111"/>
          <w:sz w:val="28"/>
          <w:sz w:val="28"/>
          <w:szCs w:val="28"/>
          <w:rtl w:val="true"/>
          <w:lang w:bidi="ar-SA"/>
        </w:rPr>
        <w:t>حينما ولي عثمان الخلافة انتهج سياسة في الإدارة والمال لم يعهدها المسلمون من قبل، فقام بتوليته بني أُميّة على رقاب الناس واستأثر وإيّاهم بالأموال؛ وأصبح بيت المال بمثابة الملك الشخصي لعثمان وولاته؛ يصنعون به ما يشاؤون، فكان ممّا عابوا على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عزل سعد بن أبي وقّاص، وولّى الوليد بن عقبة، وأقطع آل الحكم دُوراً بناها لهم، واشترى لهم أموالاً، وأعطى مروان بن الحكم خمس إفريقية، وخصّ ناساً من أهله ومن بني أُميّة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أخذ من بيت المال حُليّاً وجواهر ليحلّي بها بعض أهله، ولمّا طعن عليه الناس في ذلك خطب فيهم،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لنأخذنَّ حاجتنا من هذا الفيء، وإن رُغمت به </w:t>
      </w:r>
    </w:p>
    <w:p>
      <w:pPr>
        <w:pStyle w:val="BookText"/>
        <w:rPr/>
      </w:pPr>
      <w:r>
        <w:rPr>
          <w:rFonts w:ascii="IRNazanin" w:hAnsi="IRNazanin" w:eastAsia="IRNazanin"/>
          <w:color w:val="111111"/>
          <w:sz w:val="28"/>
          <w:sz w:val="28"/>
          <w:szCs w:val="28"/>
          <w:rtl w:val="true"/>
          <w:lang w:bidi="fa-IR"/>
        </w:rPr>
        <w:t>أنوف أقوام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وولّى على الكوفة أخاه من أُمّه الوليد بن عقبة بن أبي معيط، المعروف بشربه الخمر، وصلاته بالناس وهو سكران</w:t>
      </w:r>
      <w:r>
        <w:rPr>
          <w:rStyle w:val="FootnoteAnchor"/>
          <w:rtl w:val="true"/>
        </w:rPr>
        <w:footnoteReference w:id="127"/>
      </w:r>
      <w:r>
        <w:rPr>
          <w:rFonts w:ascii="Amiri" w:hAnsi="Amiri" w:eastAsia="Amiri" w:cs="Amiri"/>
          <w:color w:val="111111"/>
          <w:sz w:val="28"/>
          <w:sz w:val="28"/>
          <w:szCs w:val="28"/>
          <w:rtl w:val="true"/>
          <w:lang w:bidi="ar-SA"/>
        </w:rPr>
        <w:t>، فلمّا دخل الكوفة قال له سعد بن أبي وقّاص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وهب، أأمير أم زائر؟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أحمقتُ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حمقتَ بعدي ولا كست بعدك، ولكنّ القوم ملكوا فاستأثروا،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صادقاً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وولّى بعده سعيد بن العاص فاستبدّ بالأموال،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سواد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بستان لقريش وبني أُميّة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ولّى مصر ـ أخاه من الرضاعة ـ عبد الله بن سعد بن أبي سرح، فمكث عليهم سنين، فجاء أهل مصر يشكونه ويتظلّمون منه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معاوية عاملاً لعمر على دمشق والأردن، فضمّ إليه عثمان ولاية حمص وفلسطين والجزيرة؛ وبذلك مهّد له الخلافة، وأنشأ له مملكة مترامية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طه 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من شكّ في أنّ عثمان هو الذي مهّد لمعاوية ما أُتيح له من نقل الخلافة ذات يوم إلى آل أبي سفيان، وتثبيتها في بني أُميّة؛ فعثمان هو الذي وسّع على معاوية في الولاية؛ فضمّ إليه فلسطين وحمص، وأنشأ له وحدة شاميّة بعيدة الأرجاء</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هؤلاء الولاة من المتهمين في دينهم، وكان من بينهم مَن فِسْقُهُ مشهور، يقول سعيد بن المسيّب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يجيء من أمرائه ما ينكره أصحاب محمّد صلّى الله عليه و آله ، وكان </w:t>
      </w:r>
    </w:p>
    <w:p>
      <w:pPr>
        <w:pStyle w:val="BookText"/>
        <w:rPr/>
      </w:pPr>
      <w:r>
        <w:rPr>
          <w:rFonts w:ascii="Amiri" w:hAnsi="Amiri" w:eastAsia="Amiri" w:cs="Amiri"/>
          <w:color w:val="111111"/>
          <w:sz w:val="28"/>
          <w:sz w:val="28"/>
          <w:szCs w:val="28"/>
          <w:rtl w:val="true"/>
          <w:lang w:bidi="ar-SA"/>
        </w:rPr>
        <w:t>يُستعتب فيهم فلا يعزلهم</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نتج عن تلك السياسة تجمّع ثروات ضخمة عند بعضٍ، ونشوء طبقيّة ظاهرة في المجتمع، وقد ذكر المسعوديّ بعض الأمثلة على هذه الثروات الضخمة في ذلك الوقت، فقد بلغت ثروة الزبير خمسين ألف دينار، وألف فرس، وألف عبد وأمة، وضياعاً وخططاً في البصرة ومصر والكوفة والإسكندريّة، وكانت غَلَّة طلحة بن عبيد الله من العراق كلّ يوم ألف دينارـ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أكثرـ وبناحية الشراة أكثر ممّا ذكرنا، وكان على مربط عبد الرحمن بن عوف مئة فرس، وله ألف بعير، وعشرة آلاف شاة من الغنم، وبلغ بعد وفاته ربع ثمن ماله أربعة وثمانين ألفاً، وحين مات زيد بن ثابت خَلَّف من الذهب والفضة ما كان يُكسّر بالفؤوس غير ما خلّف من الأموال والضياع بقيمة مئة ألف دينار، ومات يعلى بن منية وخَلَّف خمسمائة ألف دينار، وديوناً على الناس، وعقارات، وغير ذلك من التركة ما قيمته ثلاثمائة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الخليفة عثمان نفسه، فكان له عند خازنه يوم قُتل خمسون ومئة ألف دينار وألف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مليون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ضياعه بوادي القرى وحُنين وغيرهما مئة الف دينار وخلّف خيلاً كثيراً وإبلاً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المسعودي ـ بعد ذكر هذه الطائفة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باب يتّسع ذكره ويكثر وصفه فيمَن تملّك من الأموال في أيّامه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كان لموقف عثمان أمام كبار الصحابة الذين عارضوا سياسته كبير الأثر في ازدياد النقمة عليه من المسلمين عامّة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عارض سياسته في المال والإدارة عبد الله بن مسعود الهذليّ، وكان خازناً لبيت المال، فاعترضه عثمان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خازن لنا فلا تعرض للوليد فيما أخذ من المال، فطرح ابن مسعود المفاتيح،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أظنّ أنّي خازن للمسلمين، فأمّا إذ كنت </w:t>
      </w:r>
    </w:p>
    <w:p>
      <w:pPr>
        <w:pStyle w:val="BookText"/>
        <w:rPr/>
      </w:pPr>
      <w:r>
        <w:rPr>
          <w:rFonts w:ascii="Amiri" w:hAnsi="Amiri" w:eastAsia="Amiri" w:cs="Amiri"/>
          <w:color w:val="111111"/>
          <w:sz w:val="28"/>
          <w:sz w:val="28"/>
          <w:szCs w:val="28"/>
          <w:rtl w:val="true"/>
          <w:lang w:bidi="ar-SA"/>
        </w:rPr>
        <w:t>خازناً لكم فلا حاجة لي في ذلك</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ولمّا قَدِم المدينة، ورآه عثمان ـ وكان يخطب ـ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عليكم دويبة سوء، مَن تمشِ على طعامه يقيء ويسلح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عثمان بإخراجه من المسجد إخراجاً عنيفاً، حتّى تكسّرت بعض أضلاعه</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وعارضه أبو ذر الغفاريّ، فنفاه إلى الشام، فلم يكُف عن المعارضة، وأخذ ينتقد أساليب معاوية في إنفاق الأموال العامّة، ويُوقظ الناس، ويعمل على تعرية الباطل، وكان الناس يسمعون قوله، فخاف معاوية من دعوة أبي ذر إلى الحقّ، فكتب إلى عثمان يخبره بخطره على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فاحمل جُندباً إليّ على أغلظ مركب وأوعره، فوجّه معاوية مَن سار به الليل والنهار</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وانتهى الأمر بأنْ نفاه عثمانُ إلى الربذة، ولبث فيها حتّى مات غريباً سنة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وعارضه عمّار بن ياسر ـ حليف بني مخزوم ـ فشتمه عثمان، وضربه، فأصابه الفتق، وانكسر أحد أضلاعه وغُشي عليه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 المسلمون ينتظرون من عثمان استجابةً لهذه الدعوات التي كانت تنطلق من صميم الواقع المعاش، إلّا أنّهم أُصيبوا بخيبة أمل كبيرة، وهم يَرَون أنّ الإرهاب والتنكيل والتشريد هو جزاء كلّ معارض؛ ممّا أثار سخط المسلمين عامّة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المقابل، فإنّ أصحاب الثروات بدأوا باستغلال الأوضاع، وراح كلّ واحد منهم يجمع الناس من حوله في محاولة لاستلام الخلافة من بعد عثمان، فقد جاء 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بن الخطاب قد حجر على أعلام قريش من المهاجرين الخروجَ في البلدان إلّا بإذن 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ولي عثمان لم يأخذهم بالذي كان يأخذهم به عمر؛ فانساحوا في البلاد، فلمّا رأوها ورأوا الدنيا ورآهم الناس، انقطع مَن لم يكن له طول ولا </w:t>
      </w:r>
    </w:p>
    <w:p>
      <w:pPr>
        <w:pStyle w:val="BookText"/>
        <w:rPr/>
      </w:pPr>
      <w:r>
        <w:rPr>
          <w:rFonts w:ascii="Amiri" w:hAnsi="Amiri" w:eastAsia="Amiri" w:cs="Amiri"/>
          <w:color w:val="111111"/>
          <w:sz w:val="28"/>
          <w:sz w:val="28"/>
          <w:szCs w:val="28"/>
          <w:rtl w:val="true"/>
          <w:lang w:bidi="ar-SA"/>
        </w:rPr>
        <w:t>مزيّة في الإسلام، فكان مغموماً في الناس، وصاروا أوزاعاً</w:t>
      </w:r>
      <w:r>
        <w:rPr>
          <w:rStyle w:val="FootnoteAnchor"/>
          <w:rtl w:val="true"/>
        </w:rPr>
        <w:footnoteReference w:id="138"/>
      </w:r>
      <w:r>
        <w:rPr>
          <w:rFonts w:ascii="Amiri" w:hAnsi="Amiri" w:eastAsia="Amiri" w:cs="Amiri"/>
          <w:color w:val="111111"/>
          <w:sz w:val="28"/>
          <w:sz w:val="28"/>
          <w:szCs w:val="28"/>
          <w:rtl w:val="true"/>
          <w:lang w:bidi="ar-SA"/>
        </w:rPr>
        <w:t>إليهم وأمّلوهم، وتقدموا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فنكون قد عرفناهم، وتقدّمنا في التقرّب والانقطاع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وهن دخل على الإسلام، وأوّل فتنة كانت في العامّة ليس إلّا ذلك</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تمضِ سنة من إمارة عثمان حتى اتخذ رجال من قريش أموالاً في الأمصار؛ وانقطع إليهم الناس، وثبتوا سبع سنين كلّ قوم يحبون أن يلي صاحبهم</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تكون حلقات الثورة قد اكتملت على عثمان من كلّ الجوانب، فقد نتجت من السقيفة طبقة ترى أنّ الحكم لها لا غير، وأخذت هذه الطبقة تتمتع بثروات هائلة؛ بسبب مبدأ عمر في التفضيل، وسياسة عثمان المشار إليها، مضافاً إلى ما كوّنه مبدأ الشورى من طموح في نفوس أفرادها ـ بل في غيرهم أيضاً ـ في الحصول على الحكم، ممّا دفعها للاستفادة من كلّ الظروف للوصول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قِبال هذه الطبقة طبقة فقيرة ممنوعة من الامتيازات كافّة، فتكون الظروف والدواعيّ للثورة موجودة عند الجميع، خصوصاً عند ملاحظة ما قام به عثمان من التنكيل بأصحاب الرسول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فانفجرت الأُمّة بأسرها بثورة على خليفة المسلمين، يتقدّمهم وجوه الصحابة وقرّاء القرآن وخيار التابعين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ـ في أحداث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هذه السنة تكاتب نفر من أصحاب رسول الله صلّى الله عليه و آله وغيرهم ـ بعضهم إلى بعض ـ أن أقدموا؛ فإنّ الجهاد عندنا، وعَظُمَ الناس على عثمان، ونالوا منه أقبح ما نِيل من أحد، وليس أحد من الصحابة ينهى ولا يذبّ إلّا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ثابت، وأبو أسيد الساعديّ، وكعب بن مالك، وحسّان بن ثابت، فاجتمع الناس، فكلّموا عليّ بن أبي طالب، فدخل على 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ورائي، </w:t>
      </w:r>
      <w:bookmarkStart w:id="197" w:name="pg7448_76852"/>
    </w:p>
    <w:p>
      <w:pPr>
        <w:pStyle w:val="BookText"/>
        <w:rPr/>
      </w:pPr>
      <w:bookmarkEnd w:id="197"/>
      <w:r>
        <w:rPr>
          <w:rFonts w:ascii="Amiri" w:hAnsi="Amiri" w:eastAsia="Amiri" w:cs="Amiri"/>
          <w:color w:val="111111"/>
          <w:sz w:val="28"/>
          <w:sz w:val="28"/>
          <w:szCs w:val="28"/>
          <w:rtl w:val="true"/>
          <w:lang w:bidi="ar-SA"/>
        </w:rPr>
        <w:t>وقد كلّموني فيك</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عثمان لم يواجه هذه الحركة الجماهيريّة بالحكمة والعدالة، فبدلاً من أن يستجيب لمطالب الثوّار، ويردع عمّاله وولاته من التصرفات المشينة، قام بردّ الثوّار بعنف، واستهان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ولاته واستشارهم في الأمر، وسألهم عن الفعل الذي يفعله مع الجماهير المطالبة بعزل عمّاله، فقال له عبد الله بن عامر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رأيي لك ـ يا أمير المؤمنين ـ أن تأمرهم بجهاد يشغلهم عنك، وأن تجمرهم في المغازي حتى يذلوا لك، فلا يكون همّة أحدهم إلّا نفسه وما هو فيه من دَبَرة دابته وقمل فروه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عثمان عمّاله على أعمالهم، وأمرهم بالتضييق على مَن قبلهم، وأمرهم بتجمير</w:t>
      </w:r>
      <w:r>
        <w:rPr>
          <w:rStyle w:val="FootnoteAnchor"/>
          <w:rtl w:val="true"/>
        </w:rPr>
        <w:footnoteReference w:id="142"/>
      </w:r>
      <w:r>
        <w:rPr>
          <w:rFonts w:ascii="Amiri" w:hAnsi="Amiri" w:eastAsia="Amiri" w:cs="Amiri"/>
          <w:color w:val="111111"/>
          <w:sz w:val="28"/>
          <w:sz w:val="28"/>
          <w:szCs w:val="28"/>
          <w:rtl w:val="true"/>
          <w:lang w:bidi="ar-SA"/>
        </w:rPr>
        <w:t>الناس في البعوث، وعزم على تحريم أُعطياتهم؛ ليطيعوه ويحتاجوا إليه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ازدادت الأُمور سوءاً؛ وانتهت الأحداث بثورة أودت بحياة الخليفة بصورة مأساوية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صوّر أمير المؤمنين علیه السلام  تلك الأحداث بصورة رائعة،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استأثر فأساء الأثرة، وجزعتم فأسأتم الجزع، ولله حكم واقع في المستأثر والجازع</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936780_1051229030"/>
      <w:bookmarkStart w:id="199" w:name="_Toc75"/>
      <w:bookmarkEnd w:id="198"/>
      <w:r>
        <w:rPr>
          <w:rtl w:val="true"/>
        </w:rPr>
        <w:t>خلافة عليّ علیه السلام</w:t>
      </w:r>
      <w:bookmarkEnd w:id="19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سنين طويلة من وفاة الرسول ـ وما حلّ بالمجتمع الإسلاميّ من تفكّك وطبقيّة وانتشار للفساد ـ اتّجهت الناس بعد وفاة عثمان صوب عليّ علیه السلام  طالبين منه تولّي الخلافة؛ فتسلّم الإمام زمام الأُمور والمجتمع غارق في الفساد، فكان لا بدّ له من نهضة على الأصعدة كافّة، فقد أصرّ علیه السلام  على عزل ولاة عثمان الذين عُرفوا بالفساد في </w:t>
      </w:r>
    </w:p>
    <w:p>
      <w:pPr>
        <w:pStyle w:val="BookText"/>
        <w:rPr/>
      </w:pPr>
      <w:r>
        <w:rPr>
          <w:rFonts w:ascii="Amiri" w:hAnsi="Amiri" w:eastAsia="Amiri" w:cs="Amiri"/>
          <w:color w:val="111111"/>
          <w:sz w:val="28"/>
          <w:sz w:val="28"/>
          <w:szCs w:val="28"/>
          <w:rtl w:val="true"/>
          <w:lang w:bidi="ar-SA"/>
        </w:rPr>
        <w:t>الأرض، رغم المطالبات بإبقائهم بدعوى الصلاح في ذلك، فولّى على البصرة عثمان بن حُنيف، وعلى الشام سهل بن حُنيف، وعلى مصر قيس بن سعد بن عبادة، وعلى الكوفة عمارة بن شهاب</w:t>
      </w:r>
      <w:r>
        <w:rPr>
          <w:rStyle w:val="FootnoteAnchor"/>
          <w:rtl w:val="true"/>
        </w:rPr>
        <w:footnoteReference w:id="1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ثبّت على الكوفة أبا موسى الأشعريّ بإشارة من الأشتر</w:t>
      </w:r>
      <w:r>
        <w:rPr>
          <w:rStyle w:val="FootnoteAnchor"/>
          <w:rtl w:val="true"/>
        </w:rPr>
        <w:footnoteReference w:id="146"/>
      </w:r>
      <w:r>
        <w:rPr>
          <w:rFonts w:ascii="Amiri" w:hAnsi="Amiri" w:eastAsia="Amiri" w:cs="Amiri"/>
          <w:color w:val="111111"/>
          <w:sz w:val="28"/>
          <w:sz w:val="28"/>
          <w:szCs w:val="28"/>
          <w:rtl w:val="true"/>
          <w:lang w:bidi="ar-SA"/>
        </w:rPr>
        <w:t>، ثُمّ عزله فيما بعد</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الأمصار الكبيرة في دولة الخلافة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قيساً وعثمانَ وسهلاً كلّهم من الأنصار الذين تعرضوا للإقصاء في تلك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أراد الإمام علیه السلام  أن يُعيد الصبغة الإسلاميّة الصحيحة للمجتمع، وأن يُلغي الفوارق التي اصطنعها الحكّام، فإنّ المسلمين سواء في الحقوق والواجبات في الإسلام، فلا فرق بين قرشيّ وغيره، فذاك مبدأ أقرّته الجاهليّة وألغاه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لخّص سياسته في الحقوق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الذليل عندي عزيز حتى آخذ الحقّ له، والقويّ عندي ضعيف حتّى آخذ الحقّ منه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 أنّ الإمام علیه السلام  وجّه ضربة قاسية للفئة المتسلّطة آنذاك والتي استأثرت بالأموال، فقرّر إعادة النظر في المسألة، وأمر بإعادة جميع الإقطاعات التي اقتطعها عثمان، وجميع الأموال التي وهبها إلى الطبقة الموالية إلى بيت المال،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كلّ قطيعة أقطعها عثمان، وكلّ مال أعطاه من مال الله، فهو مردود في بيت المال، فإنّ الحقّ القديم لا يبطله شيء، ولو وجدته وقد تزوج به النساء، وفُرّق في البلدان، لرددته إلى حاله؛ فإنّ في العدل سعة، ومَن ضاق عنه الحقّ فالجور عليه أضيق</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أعلن أنّه سيوزّع المال بين المسلمين بالتساوي،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لا يقولنَّ رجال منكم غداً قد غمرتهم الدنيا، فاتخذوا العقار وفجّروا الأنهار، وركبوا الخيول الفارهة، واتخذوا </w:t>
      </w:r>
    </w:p>
    <w:p>
      <w:pPr>
        <w:pStyle w:val="BookText"/>
        <w:rPr/>
      </w:pPr>
      <w:r>
        <w:rPr>
          <w:rFonts w:ascii="Amiri" w:hAnsi="Amiri" w:eastAsia="Amiri" w:cs="Amiri"/>
          <w:color w:val="111111"/>
          <w:sz w:val="28"/>
          <w:sz w:val="28"/>
          <w:szCs w:val="28"/>
          <w:rtl w:val="true"/>
          <w:lang w:bidi="ar-SA"/>
        </w:rPr>
        <w:t>الوصائف الروقة، فصار ذلك عليهم عاراً وشناراً إذا ما منعتهم ما كانوا يخوضون فيه، وأصرتُهم إلى حقوقهم التي يعلمون، فينقمون ذلك، ويستنكرون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حقوقنا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وأيّما رجل من المهاجرين والأنصار ـ من أصحاب رسول الله صلّى الله عليه و آله ـ يرى أنّ الفضل له على مَن سواه لصحبته، فإنّ الفضل النيّر غداً عند الله، وثوابه وأجره على الله، وأيّما رجل استجاب لله وللرسول، فصدّق ملّتنا ودخل في ديننا، واستقبل قبلتنا، فقد استوجب حقوق الإسلام وحدوده، فأنتم عباد الله، والمال مال الله، يُقسم بينكم بالسويّة، لا فضل فيه لأحدٍ على أحد، وللمتقين عند الله غداً أحسن الجزاء، وأفضل الثواب، لم يجعل الله الدنيا للمتقين أجراً ولا ثواباً، وما عند الله خير للأبرار، وإذا كان غداً ـ إن شاء الله ـ فاغدوا علينا، فإنّ عندنا مالاً نقسمه فيكم، ولا يتخلفن أحدٌ منكم ـ عربيّ ولا أعجميّ، كان من أهل العطاء أو لم يكن ـ إلّا حضر إذا كان مسلماً حراً، أقول قولي هذا وأستغفر الله لي 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غدا وغدا الناس لقبض المال، قال لعبيد الله بن أبي رافع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بالمهاجرين فنادِهم، وأعطِ كلَّ رجل ـ ممّن حضر ـ ثلاثة دنانير، ثُمّ ثنِّ بالأنصار، فافعل معهم مثل ذلك، ومَن يحضر من الناس كلّهم ـ الأحمر والأسود ـ فاصنع به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غلامي بالأمس، وقد أعتقته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كما نُعطيك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فأعطى كلّ واحد منهما ثلاثة دنانير، ولم يفضّل أحداً على أحد، وتخلّف عن هذا القسم ـ يومئذٍ ـ طلحة، والزبير، وعبد الله بن عمر، وسعيد بن العاص، ومروان بن الحكم، ورجال من قريش وغيرها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وطبيعي أنّ هذه السياسة العادلة لم ترق للطبقة المترفة إبّان حكم عثمان، لكنّها أنعشت القلوب الفقيرة التي عانت الأمرَّين؛ فبدأت ملامح خلاف جديد، وأخذت الأفكار تُحاك من وراء الستار، وهكذا أوصلت السياسات غير الحكيمة للخلفاء السابقين المجتمع إلى هوّة سحيقة، وبدأت إفرازاتها تظهر على الساحة بصورة جليّة؛ ولذا نرى أنَّ </w:t>
      </w:r>
    </w:p>
    <w:p>
      <w:pPr>
        <w:pStyle w:val="BookText"/>
        <w:rPr/>
      </w:pPr>
      <w:r>
        <w:rPr>
          <w:rFonts w:ascii="IRNazanin" w:hAnsi="IRNazanin" w:eastAsia="IRNazanin"/>
          <w:color w:val="111111"/>
          <w:sz w:val="28"/>
          <w:sz w:val="28"/>
          <w:szCs w:val="28"/>
          <w:rtl w:val="true"/>
          <w:lang w:bidi="fa-IR"/>
        </w:rPr>
        <w:t>الأمير علیه السلام  عندما استدعى زعماء هذه الطبقة ليحاججهم على خلافهم إيّاه، أجابوه بأنّ سبب ذلك هو سيره على خلاف تقسيم عمر للأموال، وأنّه ساواهم بغيرهم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بدأت بوادر معركة يقودها الفريق المتضرّر من عدالة عليّ علیه السلام ، فكان دم عثمان هو الستار الذي خبّأت فيه مطامعها، فحصلت حركة التمرّد في البصرة تحت ذلك الستار، وكانت معركة الجمل التي انتهت بهزيمة المتمردين، وسقوط طلحة والزبير قتيلين مع آلاف القتلى من الطرفين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الوقت الذي انشغل الإمام علیه السلام  فيه بتصفية الناكثين، فإنّ الشام لم تستجب لخلافة عليّ علیه السلام ، ولم تستقبل واليها الجديد، بل إنّ معاوية والي الشام سابقاً ـ أحد زعماء الطبقة المنتفعةـ أخذ يعدُّ العُدَّة للقضاء على حكومة الإمام علیه السلام ، وتمكّن من إعداد جيش كبير متلاحم في صفوفه على الباطل، وباتت الشام تُؤوي كلّ متمرّد على حكم الإمام عليّ علیه السلام ، وكلّ رافض للعدالة الإلهيّة؛ فقد انضمّت إليها العناصر المنتفعة بعهد عثمان، والتي رأت في الحكم الجديد خطراً عليها، فلاحت في الأفق بوادر معركة جديدة، بعد أن فشلت جميع المراسلات بين الفريقين، ولم يعد هناك ما يجمع الكلمة سوى السيف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فإنّ الحروب الداخلية زادت من تشتيت المجتمع وتفكيكه وتخاذله، بل وميوله إلى الباطل، لدرجة أنّ عليّاً علیه السلام  كان على أبواب النصر في معركة صفّين، لكنّ الجهل والتخاذل في جيش الإمام علیه السلام  أدّى لتمرير خدعة المصاحف التي رفعها معاوية؛ ومن ثَمَّ اضطرّوا الإمام علیه السلام  إلى القبول بمهزلة التحكيم التي خلّفت وراءها انقساماً كبيراً في جيش الإمام علیه السلام ، فبين مُطالبٍ بالعودة إلى القتال، وبين مُطالبٍ بالدِّعة والركون إلى السلم، وبين داعٍ لمواصلة الحرب، ولكن بشرط أن يُعلن الإمام علیه السلام  توبته على رؤوس الأشهاد، بعد أن حكّم الرجال في دين الله ـ وهو كفر على حدِّ زعم هذه الطائفة ولا بدّ فيه من التوبة ـ فانقسم جيش الإمام علیه السلام  إلى ثلاث فئات؛ إذ من الصعب </w:t>
      </w:r>
    </w:p>
    <w:p>
      <w:pPr>
        <w:pStyle w:val="BookText"/>
        <w:rPr/>
      </w:pPr>
      <w:r>
        <w:rPr>
          <w:rFonts w:ascii="IRNazanin" w:hAnsi="IRNazanin" w:eastAsia="IRNazanin"/>
          <w:color w:val="111111"/>
          <w:sz w:val="28"/>
          <w:sz w:val="28"/>
          <w:szCs w:val="28"/>
          <w:rtl w:val="true"/>
          <w:lang w:bidi="fa-IR"/>
        </w:rPr>
        <w:t>أن تجمع الناس على الحقّ بعد أن فرّقهم الباطل ومزّقتهم الأهواء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وبدأ الانقسام وظهر التقاعس وانفصل التكفيريون عن جيش الإمام علیه السلام ، وتجمّعوا في منطقة حروراء، وخيمت أجواء الحرب من جديد، بعدما فشلت جميع محاولات الإمام علیه السلام  في إعادتهم إلى طاعته، وقتال معاوية تارة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انفتحت على الإمام علیه السلام  جبهة أُخرى، أسفرت عن حرب ثالثة انتهت بمقتل جميع الخوارج الذين رفضوا العودة إلى طاعة الإمام، باستثناء تسعة أو عشرة، كما يذكر المؤرخون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هكذا هي الثروة، وها هي نتائج ولاة عثمان، ثلاثة حروب في غضون فترة وجيزة، أنهكت قوى الإمام علیه السلام ، وشغلته عن القيام بثورته الإصلاحيّة الكبرى، وفتت جيشه الذي صار ميّالاً إلى الدِّعة والراحة والسكون، ورافضاً للحرب والقتال إلّا ثُلّة قليلة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الإمام علیه السلام  يحاول جمعهم لقتال جيش الشام المتمرّد على حكومة الإمام علیه السلام ، لكن دون جدوى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 الحرقة واللوعة في خطابات الإمام علیه السلام  لجيشه، فقال ذات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سئمتُ عتابكم، أرضيتم بالحياة الدنيا من الآخرة عوضاً، وبالذّل من العزّ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دعوتكم إلى جهاد عدوكم دارت أعينكم، كأنّكم من الموت في غمرة، ومن الذهول في سكرة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أنتم إلّا كإبل ضلّ رعاتها، فلمّا جُمعت من جانب انتشرت من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وايم الله، إنّي لأظنُّ بكم أن لو حَمس الوغى، واستحرّ الموت، قد انفرجتم عن ابن أبي طالب انفراج الرأس</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هذه الخطبة كانت بعد حرب الخوارج ـ وقعة النهروان ـ حيث أراد أن يستنهض بها أصحابه من أهل الكوفة على أهل الشام، لكن دون جدوى، فقد نقل ابن أبي الحديد في شرحه لهذه الخطبة، خبراً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كره القوم المسير إلى الشام ـ عَقيب واقعة النهروان ـ أقبل بهم أمير المؤمنين علیه السلام ، فأنزلهم النُّخيلة، وأمر الناس أن يلزموا معسكرهم، ويوطِّنوا على الجهاد أنفسهم، وأن يُقلّوا زيارة النساء وأبنائهم </w:t>
      </w:r>
      <w:bookmarkStart w:id="200" w:name="pg7448_76857"/>
    </w:p>
    <w:p>
      <w:pPr>
        <w:pStyle w:val="BookText"/>
        <w:rPr/>
      </w:pPr>
      <w:bookmarkEnd w:id="200"/>
      <w:r>
        <w:rPr>
          <w:rFonts w:ascii="IRNazanin" w:hAnsi="IRNazanin" w:eastAsia="IRNazanin"/>
          <w:color w:val="111111"/>
          <w:sz w:val="28"/>
          <w:sz w:val="28"/>
          <w:szCs w:val="28"/>
          <w:rtl w:val="true"/>
          <w:lang w:bidi="fa-IR"/>
        </w:rPr>
        <w:t>حتى يَسير بهم إلى عدوهم، وكان ذلك هو الرأي ـ لو فعلوه ـ لكنّهم لم يفعلوا، وأقبلوا يتسللون ويدخلون الكوفة، فتركوه علیه السلام  وما معه من الناس إلّا رجال من وجوههم قليل، وبقي المعسكر خاليّاً، فلا مَن دخل الكوفة خرج إليه، ولا مَن أقام معه صَبَر، فلمّا رأى ذلك دخل الكوفة</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في خُطبة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أنتم، أَمَا دين يجمعكم؟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حميّةٌ تشحذكم؟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عجباً أنّ معاوية يدعو الجفاة الطغام، فيتبعونه على غير معونة ولا عطاء، وأنا أدعوكم ـ وأنتم تريكة الإسلام وبقيّة الناس ـ إلى المعونة وطائفة من العطاء فَتَفرَقون عنِّي، وتختلفون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يخرج إليكم من أمري رضىً فترضونه، ولا سخط فتجتمعون عليه، وإنَّ أحبّ ما أنا لاقٍ إليّ الموت، قد دارستكم الكتاب، وفاتحتكم الحجاج، وعرّفتكم ما أنكرتم، وسوّغتكم ما مججتم ـ لو كان الأعمى يَلْحَظُ أو النائم يستيقظ ـ وأَقْرِبْ بقومٍ من الجهل بالله قائدهم معاوية، ومؤدبهم ابن النابغة</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الوقت الذي يحاول الإمام علیه السلام  إعادة تأهيل جيشه والعودة لقتال الشام، وإذا بيد الغدر الأثيمة تطاله وهو في محراب صلاته، ليفوز بحياة أبديّة، وتنتهي مسيرته في الدنيا المثقلة بالأعباء والمحن والبلايا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تتولد لنا صورة ذلك المجتمع الذي مال إلى الاستكانة والدِّعة، ورفض الحرب والقتال، مجتمع لا دِين يجمعهم ولا حميّة تشحذهم، خرقٌ باليةٌ متهتكة يتمنى أمير المؤمنين علیه السلام  الموت على العيش معهم، وهذا ما يُلقي أكبر الضوء على أسباب اتخاذ الإمام الحسن علیه السلام  موقف الصلح مع طاغية الشام</w:t>
      </w:r>
      <w:r>
        <w:rPr>
          <w:rFonts w:eastAsia="IRNazanin" w:cs="IRNazanin"/>
          <w:color w:val="111111"/>
          <w:sz w:val="28"/>
          <w:szCs w:val="28"/>
          <w:rtl w:val="true"/>
          <w:lang w:bidi="fa-IR"/>
        </w:rPr>
        <w:t>.</w:t>
      </w:r>
    </w:p>
    <w:p>
      <w:pPr>
        <w:pStyle w:val="Heading4"/>
        <w:numPr>
          <w:ilvl w:val="3"/>
          <w:numId w:val="1"/>
        </w:numPr>
        <w:rPr/>
      </w:pPr>
      <w:bookmarkStart w:id="201" w:name="__RefHeading___Toc1936782_1051229030"/>
      <w:bookmarkStart w:id="202" w:name="_Toc76"/>
      <w:bookmarkEnd w:id="201"/>
      <w:r>
        <w:rPr>
          <w:rtl w:val="true"/>
        </w:rPr>
        <w:t>خلافة الحسن بن عليّ علیه السلام</w:t>
      </w:r>
      <w:bookmarkEnd w:id="20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أراد الإمام الحسن علیه السلام  ـ بعد أن تولّى الخلافة بعد أبيه ـ أن يسير على نفس سياسة أبيه في مناجزة حكومة الشام والقضاء على يد الفتنة والتفرقة، وفي أوّل لحظات البيعة نراه </w:t>
      </w:r>
    </w:p>
    <w:p>
      <w:pPr>
        <w:pStyle w:val="BookText"/>
        <w:rPr/>
      </w:pPr>
      <w:r>
        <w:rPr>
          <w:rFonts w:ascii="Amiri" w:hAnsi="Amiri" w:eastAsia="Amiri" w:cs="Amiri"/>
          <w:color w:val="111111"/>
          <w:sz w:val="28"/>
          <w:sz w:val="28"/>
          <w:szCs w:val="28"/>
          <w:rtl w:val="true"/>
          <w:lang w:bidi="ar-SA"/>
        </w:rPr>
        <w:t>يشترط على الناس أن يكونوا مطيعين، يسالمون مَن سالم، ويحاربون مَن حارب، لكنّ المجتمع بدأ تخاذله أوّل وهلة، فارتابوا من هذا الشرط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لكم بصاحب</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أنّه علیه السلام  وفي خُطوة أراد منها ترغيب النفوس وحثّهم على القتال قام بزيادة المقاتلة مائة مائة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عَلم معاوية ببيعة الناس للحسن علیه السلام ، دسّ رجلاً من حِمْيَر إلى الكوفة، ورجلاً من القين إلى البصرة، ليكتبا إليه الأَخبار، ويفسدا على الحسن علیه السلام  الأُمور، فعرف ذلك الحسن علیه السلام ، فأمر باستخراج الحِمْيَريّ من عند حجّام بالكوفة فأُخرج، فأمر بضرب عنقه، وكتب إلى البصرة فاستخرج الإمام علیه السلام  القينيّ من بني سليم، وضُربت عنقه</w:t>
      </w:r>
      <w:r>
        <w:rPr>
          <w:rStyle w:val="FootnoteAnchor"/>
          <w:rtl w:val="true"/>
        </w:rPr>
        <w:footnoteReference w:id="157"/>
      </w:r>
      <w:r>
        <w:rPr>
          <w:rFonts w:ascii="IRNazanin" w:hAnsi="IRNazanin" w:eastAsia="IRNazanin"/>
          <w:color w:val="111111"/>
          <w:sz w:val="28"/>
          <w:sz w:val="28"/>
          <w:szCs w:val="28"/>
          <w:rtl w:val="true"/>
          <w:lang w:bidi="fa-IR"/>
        </w:rPr>
        <w:t>، ثُمّ كتب الإمام علیه السلام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فإنّك دسست الرجال للاحتيال والاغتيال، وأرصدت العيون، كأنّك تحب اللقاء، لا أشكّ في ذلك، فتوقعه ـ إن شاء الله ـ وبلغني أنّك شمتّ بما لا يشمت به ذوو الحجى، وإنّما مثلك في ذلك كما قال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 للذي يبغي خلاف الذي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تجـهّـز لأُخـرى مـثـلـهـا فـكـأنّ قد</w:t>
      </w:r>
    </w:p>
    <w:p>
      <w:pPr>
        <w:pStyle w:val="BookText"/>
        <w:rPr/>
      </w:pPr>
      <w:r>
        <w:rPr>
          <w:rFonts w:ascii="Amiri" w:hAnsi="Amiri" w:eastAsia="Amiri" w:cs="Amiri"/>
          <w:color w:val="111111"/>
          <w:sz w:val="28"/>
          <w:sz w:val="28"/>
          <w:szCs w:val="28"/>
          <w:rtl w:val="true"/>
          <w:lang w:bidi="ar-SA"/>
        </w:rPr>
        <w:t xml:space="preserve">فإنّا ومَـن قــد مـات مـنّا لـكالذي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يروح فيمسي فـي المـبيت ليغتدي</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إنذار وتهديد صريح من الإمام علیه السلام  لمعاوية بالحرب، وقطعاً لآماله بالاستيلاء على الكوفة بسلام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جهته أخذ معاوية بالاستعداد لمعركة جديدة، وكتب لعمّاله بموافاته لغزو العراق، وذكر ـ في بعض كتبه ـ أنّ بعض أشراف الكوفة وقادتهم كتبوا إليه يلتمسون الأمان لأنفسهم وعشائرهم</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النقل ـ إن صحّ ولم يكن خدعة من معاوية ـ إنّما يُفصح عن أنَّ الخذلان كان من اللحظات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وأخذ معاوية بالتحرك، ولمّا بلغ الإمام الحسن علیه السلام  خبر مسير معاوية، وأنّه قد بلغ جسر منبج، بدأ بتجهيز جيشه، لكنَّ الاستجابة كانت بطيئة ومتثاقلة؛ فقد صعد الإمام علیه السلام  المنبر، فحمد الله وأثنى عليه،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كتب الجهاد على خلقه، وسمّاه كُرهاً، ثُمّ قال لأهل الجهاد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فلستم ـ أيّها الناس ـ نائلين ما تحبون إلّا بالصبر على ما تكرهون، إنّه بلغني أنَّ معاوية بلغه أنّا كنّا أزمعنا على المسير إليه، فتحرّك لذلك، فاخرجوا ـ رحمكم الله ـ إلى معسكركم بالنُّخيلة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ولا أجابه بحرف</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السكوت يكشف عن تخاذل واضح في جيش الإمام علیه السلام ، فلمّا رأى ذلك عديّ بن حاتم، قام وتكلّم مع الناس، وحثّهم على نصرة إمامهم، ثُمّ قام بعده قيس بن سعد بن عبادة الأنصاريّ، ومعقل بن قيس الرياحيّ، وزياد بن صعصعة التيميّ، فأنّبوا الناس ولاموهم وحرّضوهم، وكلّموا الإمام الحسن علیه السلام  بمثل كلام عديّ في الإجابة والقبول، فنشط الناس للخروج</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تجهَّز جيش الإمام للقتال، لكنّه جيش كَتب على نفسه الهزيمة قبل أن يصل إلى ساحة المعركة؛ فهو يتألف من خليط غير متجانس، قال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خفَّ معه أخلاط من الناس، بعضهم شيعة له ولأبيه، وبعضهم محكّمة ـ خوارج ـ يؤثرون قتال معاوية بكلّ حيلةٍ، وبعضهم أصحاب فتن وطمع في الغنائم، وبعضهم شُكَّاك، وبعضهم أصحاب عصبية اتبعوا رؤساء قبائلهم، لا يرجعون إلى دين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مجموعة من رؤساء القبائل كتبوا إلى معاوية بالطاعة له في السر، وحثّوه على السير نحوهم، وضمنوا له تسليم الحسن علیه السلام ، أو الفتك به، وقد بلغ الحسن علیه السلام  ذلك</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ومما زاد الأُمور سوءاً أنّ قائد جيش الإمام الحسن  علیه السلام ـ عبيد الله بن عباس ـ قد تسلّل تحت جُنح الظلام إلى جيش معاوية، بعد أن وصلته رسالة من معاوية 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قد راسلني في الصلح، وهو مسلّم الأمر إليَّ، فإن دخلت في طاعتي الآن كنت متبوعاً، وإلّا دخلت وأنت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ـ إن أجبتني الآن ـ أن أُعطيك ألف ألف درهم، أُعَجِّل لك في هذا الوقت نصفها، وإذا دخلت الكوفة النصف الآخر، فانسلّ عبيد الله إليه ليلاً، فدخل عسكر معاوية، فوفى له بما وعده، وأصبح الناس ينتظرون عبيد الله أن يخرج فيصلّي بهم، فلم يخرج حتى أصبحوا، فطلبوه فلم يجدوه، فصلّى بهم قيس بن سعد بن عبادة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ضممنا إلى ذلك ما قام به معاوية من شراء الضمائر بالأموال والدسائس، كما هو الحال بالنسبة إلى عمرو بن حريث، والأشعث بن قيس، وحجّار بن أبجر، وشبث بن ربعي وغيرهم</w:t>
      </w:r>
      <w:r>
        <w:rPr>
          <w:rStyle w:val="FootnoteAnchor"/>
          <w:rtl w:val="true"/>
        </w:rPr>
        <w:footnoteReference w:id="165"/>
      </w:r>
      <w:r>
        <w:rPr>
          <w:rFonts w:ascii="IRNazanin" w:hAnsi="IRNazanin" w:eastAsia="IRNazanin"/>
          <w:color w:val="111111"/>
          <w:sz w:val="28"/>
          <w:sz w:val="28"/>
          <w:szCs w:val="28"/>
          <w:rtl w:val="true"/>
          <w:lang w:bidi="fa-IR"/>
        </w:rPr>
        <w:t>، وقيامه ببثّ الشائعات، والتي منها أنّ قيس بن سعد ـ وهو قائد مسكن بعد فرار ابن عباس ـ قد صالح معاوية وصار معه، كما وجّه إلى عسكر قيس في مسكن مَن يتحدّث أنَّ الحسن علیه السلام  قد صالح معاوية وأجابه</w:t>
      </w:r>
      <w:r>
        <w:rPr>
          <w:rStyle w:val="FootnoteAnchor"/>
          <w:rtl w:val="true"/>
        </w:rPr>
        <w:footnoteReference w:id="166"/>
      </w:r>
      <w:r>
        <w:rPr>
          <w:rFonts w:ascii="IRNazanin" w:hAnsi="IRNazanin" w:eastAsia="IRNazanin"/>
          <w:color w:val="111111"/>
          <w:sz w:val="28"/>
          <w:sz w:val="28"/>
          <w:szCs w:val="28"/>
          <w:rtl w:val="true"/>
          <w:lang w:bidi="fa-IR"/>
        </w:rPr>
        <w:t>، ونشر في المدائن إشاعة خبيثة، وهي أنّ قيس بن سعد قد قُتل 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فنفروا إلى سرادق الحسن علیه السلام ، فنهبوا متاعه حتى نازعوه بساطاً كان تحته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ضممنا كلّ هذه الأُمور وغيرها من الأحداث ـ التي لا يسع المجال لذكرهاـ وعرفنا أنّ معاوية هو الذي طلب الصلح، وأنفذ إلى الحسن علیه السلام  كُتُب أصحابه الذين ضمنوا فيها الفتك بالحسن علیه السلام ، أو تسلميه إلى معاوية، يتضح جليّاً سبب رُكون الإمام علیه السلام  إلى الصلح الذي اقترحه معاوية؛ فإنّ المجتمع أمسى عاجزاً عن النهوض بتبعات القتال، وانتزاع النصر، وإنَّ الحرب ستُكلّف الإمام علیه السلام  استئصاله، </w:t>
      </w:r>
    </w:p>
    <w:p>
      <w:pPr>
        <w:pStyle w:val="BookText"/>
        <w:rPr/>
      </w:pPr>
      <w:r>
        <w:rPr>
          <w:rFonts w:ascii="Amiri" w:hAnsi="Amiri" w:eastAsia="Amiri" w:cs="Amiri"/>
          <w:color w:val="111111"/>
          <w:sz w:val="28"/>
          <w:sz w:val="28"/>
          <w:szCs w:val="28"/>
          <w:rtl w:val="true"/>
          <w:lang w:bidi="ar-SA"/>
        </w:rPr>
        <w:t>واستئصال المخلصين من أتباعه، وسوف يتمتع معاوية بنصرٍ حاسم يؤهله للقضاء على شجرة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الصلح هو الطريق الوحيد الذي يمكن للإمام الحسن سلوكه باعتباره قائداً رسالياً إصلاحياً، فهو بين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أو تسليم السلطة إلى معاوية وترك الأمر، أو الدخول في صلح يوجّه الأحداث من خلاله لصالحه وصالح أهدافه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كان للحسن علیه السلام  أن يتخذ الموقف الأوّل؛ لأنّه لو حارب معاوية في تلك الظروف المأساوية وبقواه العسكرية المفككة المتخاذلة، فإنَّ النتيجة واضحة، وهي أن يُقتل مع شيعته المخلصة ـ بمَن فيهم أخوه الحسين علیه السلام ـ ومن دون الحصول على أيّ نصر، ولو على المدى البعيد؛ فإنّ لمعاوية إمكانيّة تبرير ذلك، والمحافظة على مكانته من دون أن تؤثر عليه حتى حربه مع عليّ بن أبي طالب علیه السلام ، فإنّ ذلك لم يكن إلّا مطالبة بدم عثمان ـ على حدّ زعمه ـ كما أنّه كان من صحابة النبيّ صلّى الله عليه و آله ، وموضع ثقة الخليفتين عمر وعثمان، وها هو اليوم يريد الصلح بين الطائفتين، ويحاول دفع الفتنة، ويؤكد حُسنَ نيته أمام الملأ، فقد أمضى للحسن علیه السلام  على بياض في أن يشترط قِبال الصلح ما يشاء، ولمعاوية طرائقه الخاصّة وأساليبه المعيّنة في إقناع ذلك المجتمع الخانع بمبرّراته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وحينئذٍ؛ فلو أنَّ الحسن علیه السلام  رفض الصلح وقاتل، لقُتل مع أصحابه، وضاع دمهم هدراً، من دون تحقيق الهدف المنشود، ومن دون أن ينكشف الواقع، ويصحو الضمير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اختيار الشّق الثالث ـ وهو التخلّي والتنحّي من دون إبرام صلح ـ فلا يتناسب مع المنصب الرسالي الذي يتولاه الإمام علیه السلام ، ولا يعود للمسلمين بأيِّ صلاح، ويمكّن معاوية من الاستيلاء على أُمور المسلمين دون قيود أو شروط</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لم يبقَ للحسن علیه السلام  غير خيار الصلح، فوافق عليه، وأملى شروطه على معاوية التي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يَعهد معاوية لأحد من بعده، وأن يكون الأمر للحسن علیه السلام ، فإن حدث به حدث فلأخيه الحسين علیه السلام ، وأن يترك سبّ أمير المؤمنين علیه السلام ، والقنوت عليه في الصلاة، وأن لا يذكره علیه السلام  إلّا بخير، وأنَّ الناس آمنون حيث كانوا في أرض الله، </w:t>
      </w:r>
    </w:p>
    <w:p>
      <w:pPr>
        <w:pStyle w:val="BookText"/>
        <w:rPr/>
      </w:pPr>
      <w:r>
        <w:rPr>
          <w:rFonts w:ascii="Amiri" w:hAnsi="Amiri" w:eastAsia="Amiri" w:cs="Amiri"/>
          <w:color w:val="111111"/>
          <w:sz w:val="28"/>
          <w:sz w:val="28"/>
          <w:szCs w:val="28"/>
          <w:rtl w:val="true"/>
          <w:lang w:bidi="ar-SA"/>
        </w:rPr>
        <w:t>وغير ذلك</w:t>
      </w:r>
      <w:r>
        <w:rPr>
          <w:rStyle w:val="FootnoteAnchor"/>
          <w:rtl w:val="true"/>
        </w:rPr>
        <w:footnoteReference w:id="168"/>
      </w:r>
      <w:r>
        <w:rPr>
          <w:rFonts w:ascii="Amiri" w:hAnsi="Amiri" w:eastAsia="Amiri" w:cs="Amiri"/>
          <w:color w:val="111111"/>
          <w:sz w:val="28"/>
          <w:sz w:val="28"/>
          <w:szCs w:val="28"/>
          <w:rtl w:val="true"/>
          <w:lang w:bidi="ar-SA"/>
        </w:rPr>
        <w:t>ممّا يترتب على تطبيقها مصالح إسلامية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الإمام من خلال هذا الصلح أنْ يطّلع الناس على الحقيقة بأنفسهم، ولكي يروا ثمار تقاعسهم عن القتال؛ فغرضه الأساس هو إعداد مجتمع يمكنه النهوض تجاه الظلم والانحراف، ولا شكّ في أنّ ردّة فعل كبيرة سوف تحصل عندما تَطَّلِع الناس على حقيقة سياسة معاوية، ويرون الأماني التي كان يمنّيهم بها معاوية تذهب أدراج الرياح، وكيف أنّ معاوية لا يفي بشروطه ولا بعهوده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أُولى الصدمات، حين دخل معاوية الكوفة بعدما اتسقت له الأُمور، فقد قام خطيباً في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ـ والله ـ ما قاتلتكم لتصلّوا، ولا لتصوموا، ولا لتحجّوا، ولا لتزكّوا، إنّكم لتفعلون ذلك، ولكنّي قاتلتكم لأتأمّر عليكم، وقد أعطاني الله ذلك، وأنتم له كارهون، أَلَا وإنّي منّيتُ الحسن، وأعطيته أشياء، وجميعها تحت قدمي، لا أفي بشيء منها 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بعد ذلك بعدّة إجراءات صدمت العراقيين في ذلك العصر، فقد أنقص من أُعطياتهم ليزيد في أُعطيات أهل الشام، وحملهم على أن يحاربوا الخوارج، فلم يُتح لهم أن يخلدوا إلى الراحة ويتمتعوا بالسلم الذي كانوا يحنّون إليه، كما طبّق منهاجه من الإرهاب والتجويع والمطاردة، والذي سيأتي الكلام عنه فيما بعد</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بدأت ثمار الصلح تتجلّى، وأخذت الرجال تعرف حقيقة ما حدث بصنع أياديها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جعل أهل العراق يذكرون حياتهم أيّام عليّ، فيحزنون عليها، ويندمون على ما كان من تفريطهم في جنب خليفتهم، ويندمون كذلك على ما كان من الصلح بينهم وبين أهل الشام، وجعلوا كلّما لَقي بعضهم بعضاً تلاوموا فيما كان وأجالوا الرأي فيما يمكن أن يكون، ولم تكد تمضي أعوام قليلة حتى جعلت وفودهم تفد إلى المدينة للقاء الحسن علیه السلام ، والقول له، والاستماع منه</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03" w:name="pg7448_76863"/>
    </w:p>
    <w:p>
      <w:pPr>
        <w:pStyle w:val="BookText"/>
        <w:rPr/>
      </w:pPr>
      <w:bookmarkEnd w:id="203"/>
      <w:r>
        <w:rPr>
          <w:rFonts w:ascii="IRNazanin" w:hAnsi="IRNazanin" w:eastAsia="IRNazanin"/>
          <w:color w:val="111111"/>
          <w:sz w:val="28"/>
          <w:sz w:val="28"/>
          <w:szCs w:val="28"/>
          <w:rtl w:val="true"/>
          <w:lang w:bidi="fa-IR"/>
        </w:rPr>
        <w:t>بل إنّ بعضهم طلب منه الثورة، لكنّ الإمام علیه السلام  كان يُحيل الأمر إلى المستقبل، ويبيِّن أنَّ هذه الفترة هي فترة إعداد وانتظار، لا تخاذل وانسحاب، فقد قال لحجر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هوى أعظم الناس في الصلح، وكرهوا الحرب، فلم أحبّ أن أحملهم على ما يكرهون، فصالحتُ بُقياً على شيعتنا خاصّة من القتل، فرأيتُ دفع هذه الحروب إلى يومٍ ما، فإنَّ الله كلّ يومٍ هو في شأن</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علیه السلام  كان يُهيئ الأُمّة الإسلاميّة للانقضاض على الحكم الأُمويّ، والإطاحة به، عن طريق إطلاعهم على حقيقة الحكم الأُمويّ البعيد عن المنهج الإسلاميّ الأصيل، فأراهم ـ بأُمّ أعينهم ـ سياسة التجويع والإرهاب والقتل التي يتبعها أولئك الساسة، وكان الإمام الحسن علیه السلام  نفسه أحد ضحايا ذلك اللؤم الأُمويّ بعد أن دسّت له زوجته ـ جُعدة بنت الأشعث ـ سُماً قاتلاً بإغراء من معاوية بالمال تبعاً لسياسة الغدر التي انتهجها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4" w:name="__RefHeading___Toc1936784_1051229030"/>
      <w:bookmarkStart w:id="205" w:name="_Toc77"/>
      <w:bookmarkEnd w:id="204"/>
      <w:r>
        <w:rPr>
          <w:rtl w:val="true"/>
        </w:rPr>
        <w:t>حكومة معاوية</w:t>
      </w:r>
      <w:bookmarkEnd w:id="20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في أنّ بقاء مبادئ الإمام عليّ علیه السلام  الداعية إلى العدالة والإصلاح وعدم التفريق بين لون وآخر من البشر ستُشكّل تحدياً مستمراً لمعاوية وبطانته، وستؤدي إلى زواله وزوال حكمه؛ لذا فإنّ معاوية عمل على محاربتها، وحاول أن يُطبّع الناس على الطابع الذي يؤمّن له سيطرته على البلاد، من دون رقابة ولا احتجاج، فانتهج سياسة سلب الحريّة من الإنسان المسلم، وتحويله عن أهدافه التي يصبو إليها، فكان القتل والتجويع نصيب كلّ من لا يتفق معه في الهوى السياسيّ، فها هو سفيان بن عوف الغامدي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دعاني معاوية،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باعثُك في جيش كثيف، ذي أداة وجلادة، فالزم لي جانب الفرات حتى تمرّ بهيت فتقطعها، فإنّ وجدت بها جنداً فأغِرْ عليهم، وإلّا، فامض حتى تَغِيرَ على الأنبار، فإن لم تجد بها جنداً، فامض حتى تُوغِل في المدائن، ثُمَّ أقبل </w:t>
      </w:r>
    </w:p>
    <w:p>
      <w:pPr>
        <w:pStyle w:val="BookText"/>
        <w:rPr/>
      </w:pPr>
      <w:r>
        <w:rPr>
          <w:rFonts w:ascii="Amiri" w:hAnsi="Amiri" w:eastAsia="Amiri" w:cs="Amiri"/>
          <w:color w:val="111111"/>
          <w:sz w:val="28"/>
          <w:sz w:val="28"/>
          <w:szCs w:val="28"/>
          <w:rtl w:val="true"/>
          <w:lang w:bidi="ar-SA"/>
        </w:rPr>
        <w:t>إليّ، واتقِ أن تَقرَبَ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أنّك إن أغرت على أهل الأنبار وأهل المدائن فكأنّك أغرت على الكوفة؛ إنَّ هذه الغارات ـ يا سفيان ـ على أهل العراق تُرعِب قلوبهم، وتُفرِح كلّ مَن له فينا هوى منهم، وتدعو إلينا كلّ مَن خاف الدوائر، فاقتل مَن لقيته ممّن ليس هو على مثل رأيك، وأخرب كلّ ما مررتَ به من القرى، وأحرب الأموال، فإنّ حرب الأموال شبيه بالقتل وهو أوجع للقلب</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دعا بالضحاك بن قيس الفهريّ، وأمره بالتوجّه ناحية الكوفة،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حتى تمرّ بناحية الكوفة، وترتفع عنها ما استطعت، فمَن وجدته من الأعراب في طاعة عليّ علیه السلام  فأغِرْ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الضحاك، فنهب الأموال، وقتل مَن لقي من الأعراب، حتى مرّ بالثعلبيّة فأغار على الحاج، فأخذ أمتعتهم، ثُمّ أقبلَ فلقي عمرو بن عُمَيس بن مسعود الهذلي ـ وهو ابن أخي عبد 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فقتله في طريق الحاج عند القطقطانة، وقتل معه ناساً من الصحابة</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هي السياسة التي سار عليها معاوية بعد مسألة التحكيم؛ القتل والتشريد والترويع، وقد استمر على هذه السياسة فيما بعدُ أيضاً، فقد كتب نسخة واحدة إلى عمّاله بعد عام الجماعة ـ أي عام الصلح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برئت الذمّة ممّن روى شيئاً من فضل أبي تراب وأهل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الخطباء في كلّ كورة، وعلى كلّ منبر يلعنون علياً، ويبرؤون منه، ويقعون فيه وفي أهل بيته، وكان أشدّ الناس بلاءً ـ حينئذٍ ـ أهل الكوفة، لكثرة مَن بها من شيعة عليّ علیه السلام ، فاستعمل عليهم زياد بن سميّة، وضمَّ إليه البصرة، فكان يتتبع الشيعة وهو بهم عارف؛ لأنّه كان منهم أيّام عليّ علیه السلام ، فقتلهم تحت كلِّ حجر ومدر وأخافهم، وقطع الأيدي والأرجل، وسَمل العيون، وصلبهم على جذوع النخل، وطردهم وشرّدهم عن العراق، فلم يبقَ بها معروف منهم</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اتّبع سياسة التجويع وقطع أرزاق الناس وعانى من ذلك المسلمون </w:t>
      </w:r>
    </w:p>
    <w:p>
      <w:pPr>
        <w:pStyle w:val="BookText"/>
        <w:rPr/>
      </w:pPr>
      <w:r>
        <w:rPr>
          <w:rFonts w:ascii="IRNazanin" w:hAnsi="IRNazanin" w:eastAsia="IRNazanin"/>
          <w:color w:val="111111"/>
          <w:sz w:val="28"/>
          <w:sz w:val="28"/>
          <w:szCs w:val="28"/>
          <w:rtl w:val="true"/>
          <w:lang w:bidi="fa-IR"/>
        </w:rPr>
        <w:t>الأمرّين ـ طبعاً باستثناء أنصاره من أهل الشام ـ ونكتفي هنا بذكر كتاب واحد من معاوية إلى عمّاله في جميع البلدان،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قامت عليه البيّنة أنّه يَحُب علياً وأهل بيته، فامحوه من الديوان، وأسقطوا عطاءه ورزقه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وشفع ذلك بنسخة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فنكّلوا به، واهدموا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يكن البلاء أشدّ ولا أكثر منه بالعراق، ولا سيَّما الكوفة، حتى أنّ الرجل من شيعة عليّ علیه السلام  ليأتيه مَن يثق به، فيدخل بيته، فيلقي إليه سرّه، ويخاف من خادمه ومملوكه، ولا يحدّثه حتى يأخذ عليه الأيمان الغليظة ليكتُمنَّ عليه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والعمل الآخر الذي قام به معاوية، هو إثارته العصبيّة العنصريّة عند المسلمين العرب عموماً على غيرهم، فكان يقول عن أهل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وجدت أهل مصر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فثلث ناس، وثلث أشبه الناس بالناس، وثلث لا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بن حديج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لنا يا أمير المؤمنين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الثلث الذين هم الناس فالعرب، والثلث الذين يشبهون الناس الموالي</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فلقد كان النظر إلى الموالي نَظَرَ سخرية واستهزاء وامتهان، بعيداً عمّا أراده الله الذي فضّل الناس بالتقوى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دارت مشاجرة ذات مرّة بين عربيّ ومولى بين يدي عبد الله بن عامر، فقال المولى للعربيّ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كَثَّر الله فينا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كَثَّر الله فينا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أيدعو عليك وتَدعو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يَكسَحون طُرَقنا، ويَخرِزون خِفافنا، ويَحُوكون ثِيابنا</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أخطر السياسات التي قام بها معاوية في سبيل تثبيت حكمه وسلطانه والإطاحة بخصومه، هي قيامه بوضع الأحاديث، واختراع الفِرَق العَقَدِية، ونشر القصّاصين الذي قاموا يروون فضائل الخلفاء ومعاوية، وذم أمير المؤمنين علیه السلام  والعترة الطاهرة علیهم السلام ، قال أبو جعفر الإسكافيّ ـ على ما نقله ابن أبي الحديد في شرح </w:t>
      </w:r>
    </w:p>
    <w:p>
      <w:pPr>
        <w:pStyle w:val="BookText"/>
        <w:rPr/>
      </w:pPr>
      <w:r>
        <w:rPr>
          <w:rFonts w:ascii="IRNazanin" w:hAnsi="IRNazanin" w:eastAsia="IRNazanin"/>
          <w:color w:val="111111"/>
          <w:sz w:val="28"/>
          <w:sz w:val="28"/>
          <w:szCs w:val="28"/>
          <w:rtl w:val="true"/>
          <w:lang w:bidi="fa-IR"/>
        </w:rPr>
        <w:t>النهج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وضع قوماً من الصحابة، وقوماً من التابعين، على رواية أخبار قبيحة في عليّ علیه السلام ؛ تقتضي الطعن فيه والبراءة منه، وجعل لهم على ذلك جُعلاً يُرغب في مثله، فاختلقوا ما أرضاه،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هريرة، وعمرو بن العاص، والمغيرة 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الزبير</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استغل معاوية هؤلاء الأشخاص في سبيل بثِّ أحاديث منسوبة إلى النبيّ كذباً وزوراً؛ لتوجد في النفوس رادعاً دينيّاً يمنع الجماهير من القيام ضدّه، فكان قسم من الأحاديث في الانتقاص من عليّ علیه السلام  وأهل بيته علیهم السلام ، من قَبِيل ما حدّث به عروة بن الزبير،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حدّثتني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رسول الله إذ أقبل العباس وعليّ،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إنّ هذين يموتان على غير ملتي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وحديثه الآخر المنقول عن عائشة أيضاً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النبيّ إذ أقبل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سَرَّك أن تنظري إلى رجلين من أهل النار، فانظري إلى هذين قد طلعا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العباس وعليّ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عمرو بن العاص من أنّه سمع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طالب ليسوا لي بأولياء، إنّما وليّ الله وصالح المؤمنين</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الموضوعة من قبل هؤلاء الوضاعين، والتي لا شكَّ ولاريب في بطلانها وكذبها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ذلك وضع مجموعة من الروايات في تمجيد بني أُميّة، وذكر فضائلهم، فقد كتب 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اُنظُروا مَن قبلكم من شيعة عثمان ومحبيه وأهل ولايته والذين يروون فضائله ومناقبه، فأدنوا مجالسهم وقرِّبوهم وأكرموهم، واكتبوا لي بكلِّ ما يروي كلّ رجل منهم، واسمه واسم أبيه وعشيرته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ففعلوا ذلك، حتى أكثروا في فضائل عثمان ومناقبه؛ لما كان يبعثه إليهم معاوية من الصلات والكساء والحباء والقطائع، ويفيضه في العرب منهم والموالي، فكثر ذلك في كلِّ </w:t>
      </w:r>
    </w:p>
    <w:p>
      <w:pPr>
        <w:pStyle w:val="BookText"/>
        <w:rPr/>
      </w:pPr>
      <w:r>
        <w:rPr>
          <w:rFonts w:ascii="Amiri" w:hAnsi="Amiri" w:eastAsia="Amiri" w:cs="Amiri"/>
          <w:color w:val="111111"/>
          <w:sz w:val="28"/>
          <w:sz w:val="28"/>
          <w:szCs w:val="28"/>
          <w:rtl w:val="true"/>
          <w:lang w:bidi="ar-SA"/>
        </w:rPr>
        <w:t>مِصر، وتنافسوا في المنازل والدنيا، فليس يجيء أحد مردود من الناس عاملاً من عمّال معاوية، فيروي في عثمان فضيلة أو منقبة إلّا كتب اسمه وقرّبه وشفّعه، فلبثوا بذلك حيناً، ثُمّ كتب إلى عمّاله أنَّ الحديث في عثمان قد كثُر وفَشا في كلِّ مِصر، وفي كلِّ وجه وناحية، فإذا جاءكم كتابي هذا، فادعوا الناس إلى الرواية في فضائل الصحابة والخلفاء الأوّلين، ولا تتركوا خبراً يرويه أحدٌ من المسلمين في أبي تراب إلّا وتأتوني بمناقضٍ له في الصحابة، فإنّ هذا أحبّ إليّ، وأقرّ لعيني، وأدحض لحجة أبي تراب وشيعته، وأشدّ عليهم من مناقب عثمان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على الناس، فرويت أخبار كثيرة في مناقب الصحابة مفتعلة لا حقيقة لها، وجدّ الناس في رواية ما يجري هذا المجرى، حتى أشادوا بذكر ذلك على المنابر، وأُلقي إلى معلّمي الكتاتيب، فعلّموا صبيانهم وغلمانهم من ذلك الكثير الواسع، حتى رووه وتعلّموه كما يتعلّمون القرآن، وحتى علّموه بناتهم ونساءهم وخدمهم وحشمهم، فلبثوا بذلك ما شاء الله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ووضعوا قسماً آخر من الأحاديث يُحذّر المسلمين من القيام بأيِّ ثورة، ومن هذه الأحاديث أنّ الرسول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سترون بعدي أثرة، وأُموراً تنكرونها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تأمرنا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إليهم حقهم وسلوا الله حقكم</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ستكون هنات وهنات، فمَن أراد أن يُفرّق أمر هذه الأُمّة وهي جميع، فاضربوه بالسيف كائناً مَن كان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ذلك، فقد اخترع الأُمويون فِرَقاً دينيّة سياسيّة تُقدّم تفسيرات للدين تخدم السلّطة، ومن ذلك اختراعهم فِرقة المُرجئة التي تفسّر الإيمان بالاعتقاد القلبي فقط، ويَرَون أنّه لا تضرُّ مع الإيمان معصية، كما لا تنفع مع الكفر طاعة، وهذه العقيدة تدعو إلى انتشار الفساد في المجتمع من جهة، وإلى إضفاء شرعيّة على انحراف الخليفة وعمله بكلّ أنواع الموبقات من جهة أُخرى</w:t>
      </w:r>
      <w:r>
        <w:rPr>
          <w:rFonts w:eastAsia="Amiri" w:cs="Amiri" w:ascii="Amiri" w:hAnsi="Amiri"/>
          <w:color w:val="111111"/>
          <w:sz w:val="28"/>
          <w:szCs w:val="28"/>
          <w:rtl w:val="true"/>
          <w:lang w:bidi="ar-SA"/>
        </w:rPr>
        <w:t xml:space="preserve">. </w:t>
      </w:r>
      <w:bookmarkStart w:id="206" w:name="pg7448_76868"/>
    </w:p>
    <w:p>
      <w:pPr>
        <w:pStyle w:val="BookText"/>
        <w:rPr/>
      </w:pPr>
      <w:bookmarkEnd w:id="206"/>
      <w:r>
        <w:rPr>
          <w:rFonts w:ascii="Amiri" w:hAnsi="Amiri" w:eastAsia="Amiri" w:cs="Amiri"/>
          <w:color w:val="111111"/>
          <w:sz w:val="28"/>
          <w:sz w:val="28"/>
          <w:szCs w:val="28"/>
          <w:rtl w:val="true"/>
          <w:lang w:bidi="ar-SA"/>
        </w:rPr>
        <w:t>وشبيه بتلك الفِرقة من حيث النتائج، هي الفِرقة الجبريّة التي ترى أنّ الإنسان مجبور على عمله، ولا دخل لإرادته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قال بالإرجاء المحض معاوية وعمرو بن العاص، كانا يزعمان أنّه لا يضرُّ مع الإيمان معصية</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القاضي عبد الجبار بأنّ معاوية أوّل مَن قال بالجبر وأظهره؛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ليجعله عذراً في ما يأتيه ويوهم أنّه مُصيب فيه، وأنّ الله جعله إماماً وولّاه الأمر، وفشا ذلك في ملوك بني أُميّة</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النشّار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معاوية يُعلن الجبر بالشام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فمعاوية وسائر حكام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يَكرهون القول بحريّة الإرادة لا دينيّاً فقط، ولكن سياسيّاً كذلك؛ لأنّ الجبر يخدم سياستهم، فالنتيجة للجبر أنّ الله الذي يُسيّر الأُمور قد فرض على الناس بني أُميّة كما فرض كلّ شيء، ودولتهم بقضاء الله وقدره؛ فيجب الخضوع للقضاء والقدر</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1936786_1051229030"/>
      <w:bookmarkStart w:id="208" w:name="_Toc78"/>
      <w:bookmarkEnd w:id="207"/>
      <w:r>
        <w:rPr>
          <w:rtl w:val="true"/>
        </w:rPr>
        <w:t>الثورة ختام لا بدّ منه</w:t>
      </w:r>
      <w:bookmarkEnd w:id="20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الظروف العصيبة التي مُني بها المجتمع الإسلاميّ من سياسة البطش والتجويع والإرهاب والتمزّق القبليّ والعنصريّ أنتجت فريقين أساسيين من الناس،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الفريق المضلّل بالغطاء الدينيّ، أو الذي اتّخذ من الغطاء الدينيّ شعاراً يستتر تحت ظلّه، فرغم الذّل والهوان الحاصل نتيجة القمع والاضطهاد، ورغم الانحراف الواضح عن قِيَم الإسلام ومبادئه، إلّا أنّ وخز الضمير والشعور بالإثم وإن كان موجوداً، لكنّه كُبح بلسان الدين المتمثل بضرورة الرضا والانصياع </w:t>
      </w:r>
    </w:p>
    <w:p>
      <w:pPr>
        <w:pStyle w:val="BookText"/>
        <w:rPr/>
      </w:pPr>
      <w:r>
        <w:rPr>
          <w:rFonts w:ascii="Amiri" w:hAnsi="Amiri" w:eastAsia="Amiri" w:cs="Amiri"/>
          <w:color w:val="111111"/>
          <w:sz w:val="28"/>
          <w:sz w:val="28"/>
          <w:szCs w:val="28"/>
          <w:rtl w:val="true"/>
          <w:lang w:bidi="ar-SA"/>
        </w:rPr>
        <w:t>والانقياد للحكم، عن طريق عقيدة الجبر والإرجاء وحُرمة الخروج على الحاكم الجائر، فالسكوت ـ إذن ـ يُمثّل امتثالاً للشريعة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أمل من هذا الفريق بالتحرك، أو القيام بثورة ما دام السكوت يُمثّل الرضا الإلهيّ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الفريق الآخر الذي لم تنطلِِ عليه حِيَل الأُمويين، ولم يؤمن بعقائدهم المصطنعة، فلم يكن وضعه بأفضل من سابقه؛ فكانت الإزدواجيّة هي المظهر المبيّن لشخصيّته، فمن جهة هو يَعرف الانحراف الذي حاق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فإنّ سياسة التجويع والترهيب والنزعة القبلية المقتضية لطاعة أسياده وأوليائه من دون تردّد، تمنعه من النطق بكلمة الحق، وحوّلته إلى إنسان خاضع ذليل طامع، ولو بشيء يسير من دنيا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صوّر الفرزدق هذا اللون من الناس للإمام الحسين علیه السلام  حينما سأله عن القوم،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معك، وسيوفهم عليك</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فالمجتمع ـ إذن ـ تحوّل إلى مجتمع خانع يرضى بالذّل والهوان والخضوع، وتحوّل فيه الإنسان إلى فرد يعيش نطاقه القبليّ الضيّق، بعيداً عن كلّ مبادئ وقِيَم السماء، لا يملك فكراً ولا عقيدة ولا إرادة، لقد تحوّل من إنسان عَقَدي يحمل روح الثورة على الاستبداد والتسلّط، إلى إنسان تستبد به النزوات والمنافع، وتجعله تارة هنا وتارة هناك، لقد تحوّل من إنسان يحارب الظلم والفساد ـ أيّاً كان مصدره ـ إلى إنسان يكاد أن يكون ظالماً، ما لم يكن بالقهر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تحوّل الإنسان المسلم إلى سلعة رخيصة يبتاعها الأُمويون في الأسواق، وهكذا أصبحت الضمائر رخيصة تتلاعب بها الأهواء</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أمثال هكذا حكّام وهكذا مجتمع، نجد أهل البيت علیهم السلام  يمثّلون صوت الحق، يمثّلون النداء المحمّديّ الأصيل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رأى سلطاناً جائراً، مستحلاً لحُرم الله، ناكثاً لعهد الله، مخالفاً لسنّة رسول الله، يَعمل في عباد الله بالإثم والعدوان، فلم يُغيّر عليه بفعلٍ </w:t>
      </w:r>
    </w:p>
    <w:p>
      <w:pPr>
        <w:pStyle w:val="BookText"/>
        <w:rPr/>
      </w:pPr>
      <w:r>
        <w:rPr>
          <w:rFonts w:ascii="Amiri" w:hAnsi="Amiri" w:eastAsia="Amiri" w:cs="Amiri"/>
          <w:color w:val="111111"/>
          <w:sz w:val="28"/>
          <w:sz w:val="28"/>
          <w:szCs w:val="28"/>
          <w:rtl w:val="true"/>
          <w:lang w:bidi="ar-SA"/>
        </w:rPr>
        <w:t>ولا قولٍ، كان حقاً على الله أن يُدخله مُدخله</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فراحوا يعدّون المجتمع، ويهيّئون الأرضيّة، ويدافعون عن الإسلام بكلّ ما أُوتوا من قوة، ابتداءً من أمير المؤمنين علیه السلام ، الذي ناجز القاسطين والناكثين والمارقين، ثُمّ قضى نَحبه على يدي أشقى الأولين والآخرين، فَخَلفه في الصراع ابنه الحسن علیه السلام ، الذي حالت ظروفه دون الخروج من المعركة شهيداً مضمخاً بدمه، لكنّه بقيَ في قِمَّة المعارضين والمنادين بتطبيق العدالة الإسلاميّة، حتى خرج من هذه الدنيا بمكرٍ خبيث من طاغية الشام، الذي اشترى تلك المرأة بأمواله العفنة؛ لتَدُسّ إلى كبده الشريف سُمّاً قاتلاً؛ فخرج من الدنيا وهو لم يألُ جهداً في إعداد المجتمع، وتهيئة الساحة الإسلاميّة لثورة عظيمة تهدّ عروش الظالمين، فلقد كان صلحه المبارك البذرة الأُولى في طريق ثورة الحسين علیه السلام ؛ إذ كان عدوه بمستوى من الدهاء والمكر، وكان جيشه مفككاً إلى أبعد الحدود، خصوصاً أنّ جيشه أصبح الصباح عليه وهو بلا قائد، فكان لا بدَّ من الصلح الذي يُعطي للإمام علیه السلام  فرصة تهيئة العقول، والذي يسمح للذهنيّة السطحيّة أن تصطدم بالواقع السخيف لبني أُميّة اللئام؛ ولذا وجدنا الحسين علیه السلام  قد سار على النهج نفسه، فلم يخرج للثورة في أيّام معاوية، وكان يدعو أصحابه إلى السكوت؛ فقد كتب إليه أهل العراق يسألونه أن يجيبهم إلى الثورة، وذلك بعد وفاة الإمام الحسن علیه السلام ، فكتب اليهم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أخي، فأرجو أن يكون الله قد وفّقه وسدّده فيما يأتي، وأمّا أنا فليس رأيي اليوم ذلك، فالصقوا رحمكم الله بالأرض، واكمنوا في البيوت، واحترسوا من الظنّة ما دام معاوية حيّاً، فإن يحدث الله به حدثاً ـ وأنا حيّ ـ كتبت إليكم برأيي، والسلام</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هذا السكوت إلّا استمراراً لسياسة كشف الواقع الأُمويّ، وتهيئة الأُمّة؛ لأنَّ الظروف هي الظروف، وأنّ ردود الفعل السريعة من بعضٍ لا تؤهل للقيام بالثورة، وأنّ العدو الماكر الذي يُضفي على نفسه صبغة إسلاميّة ما زال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bookmarkStart w:id="209" w:name="pg7448_76871"/>
    </w:p>
    <w:p>
      <w:pPr>
        <w:pStyle w:val="BookText"/>
        <w:rPr/>
      </w:pPr>
      <w:bookmarkEnd w:id="209"/>
      <w:r>
        <w:rPr>
          <w:rFonts w:ascii="Amiri" w:hAnsi="Amiri" w:eastAsia="Amiri" w:cs="Amiri"/>
          <w:color w:val="111111"/>
          <w:sz w:val="28"/>
          <w:sz w:val="28"/>
          <w:szCs w:val="28"/>
          <w:rtl w:val="true"/>
          <w:lang w:bidi="ar-SA"/>
        </w:rPr>
        <w:t>أنّ الصلح ألقى بظلاله على المرحلة، وأنّ أيَّ تحرك ـ حينئذٍ ـ سوف يؤدي إلى نتائج سلبيّه تعود بمضارّها على الإسلام، فمُبررات النهضة في ذاتها كانت موجودة، لكنّ الظرف لم يكن صالحاً للقيام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وحينما هلك معاوية، وآلت النوبة إلى يزيد، لم يعد هناك ما يمنع من النهضة؛ فإنّ الحسين علیه السلام  ليس له مع يزيد عقد ولا عهد، وأنّ يزيد لا يمتلك ما كان عند أبيه من الدهاء والمكر، وكان لا يهمّ بشيء إلّا ركبه، وكان معلناً بالفسق والفجور، كما أنّ المجتمع الإسلاميّ بدأ ـ ومنذ صلح الإمام الحسن علیه السلام  ـ يعي حقيقة ما يجري في الساحة؛ فقد انكشف الزيف الأُمويّ، وخصوصاً بتولّي يزيد بن معاوية، هذا الرجل الذي لا يمتُّ إلى الإسلام بصلة، ولكن ـ ومع ذلك ـ فهو مجتمع مزدوج الشخصيّة، ما زالت مخلّفات السياسة الأُمويّة تنخر في جسده، فهو لا يستطيع ـ لحد الآن ـ أن ينطق بكلمة الحق</w:t>
      </w:r>
      <w:r>
        <w:rPr>
          <w:rFonts w:eastAsia="IRNazanin" w:cs="IRNazanin"/>
          <w:color w:val="111111"/>
          <w:sz w:val="28"/>
          <w:szCs w:val="28"/>
          <w:rtl w:val="true"/>
          <w:lang w:bidi="fa-IR"/>
        </w:rPr>
        <w:t>.</w:t>
      </w:r>
    </w:p>
    <w:p>
      <w:pPr>
        <w:pStyle w:val="Heading4"/>
        <w:numPr>
          <w:ilvl w:val="3"/>
          <w:numId w:val="1"/>
        </w:numPr>
        <w:rPr/>
      </w:pPr>
      <w:bookmarkStart w:id="210" w:name="__RefHeading___Toc1936788_1051229030"/>
      <w:bookmarkStart w:id="211" w:name="_Toc79"/>
      <w:bookmarkEnd w:id="210"/>
      <w:r>
        <w:rPr>
          <w:rtl w:val="true"/>
        </w:rPr>
        <w:t>فجاءت عاشوراء</w:t>
      </w:r>
      <w:bookmarkEnd w:id="2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عاصر الحسين علیه السلام  جميع تلك الظروف، وها هو اليوم يرى كيف يُراد للإسلام الاندراس والضياع، ويَرى كيف آلت الخلافة إلى يزيد الخليع الماجن، ولا يَرى ما يمنعه من القيام بنهضته الإصلاحيّة الكبرى، فإنَّ الوقت حان لتؤتي فيه الشجرة أُكُلها، وإنَّ الوقت حان ليسقي تلك الشجرة بدمائه الطاهرة؛ وكان لا بدّ من موقف واضح وصريح أمام هذا التجبّر الأُمويّ، فكانت شرارة الثورة برفض الحسين بيعة هذا الرجل، خدن الفهود والقردة،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يزيد رجل فاسق، شارب الخمر، قاتل النفس المحرّمة، معلن بالفسق، ومثلي لا يبايع مثله</w:t>
      </w:r>
      <w:r>
        <w:rPr>
          <w:rFonts w:eastAsia="IRNazanin" w:cs="IRNazanin"/>
          <w:color w:val="111111"/>
          <w:sz w:val="28"/>
          <w:szCs w:val="28"/>
          <w:rtl w:val="true"/>
          <w:lang w:bidi="fa-IR"/>
        </w:rPr>
        <w:t>»</w:t>
      </w:r>
      <w:r>
        <w:rPr>
          <w:rStyle w:val="FootnoteAnchor"/>
          <w:rtl w:val="true"/>
        </w:rPr>
        <w:footnoteReference w:id="191"/>
      </w:r>
      <w:r>
        <w:rPr>
          <w:rFonts w:ascii="Amiri" w:hAnsi="Amiri" w:eastAsia="Amiri" w:cs="Amiri"/>
          <w:color w:val="111111"/>
          <w:sz w:val="28"/>
          <w:sz w:val="28"/>
          <w:szCs w:val="28"/>
          <w:rtl w:val="true"/>
          <w:lang w:bidi="ar-SA"/>
        </w:rPr>
        <w:t xml:space="preserve">، ومضى قُدُماً في موقفه هذا، يُقارع قوى الشرّ والنفاق، ويقف أمام هذا الذلّ والخنوع، ويوقظ الضمير الإنساني </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الإسلام السلام؛ إذ قد بُليت الأُمّة براعٍ مثل يزيد</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وحينما أراد الخروج كتب وصيّة لأخيه ابن الحنفية أوضح فيها هدفه من الخروج،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لم أخرج أشراً ولا بطراً، ولا مفسداً ولا ظالماً، وإنّما خرجت لطلب الإصلاح في أُمّة جدّي صلّى الله عليه و آله ، أُريد أنْ آمر بالمعروف وأنهى عن المنكر</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واستمرت صرخات الحسين علیه السلام  المدوّية؛ لاستنهاض المجتمع الإسلامي للقيام بوظيفته أمام دينه وعقيدته، حتى إذا ما رأى أنَّ ذلك الإصلاح لا يتحقق إلّا بدمائه الطاهرة، راح يُعلن صرخته المدوّية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أرى الموت إلّا سعادة، والحياة مع الظالمين إلّا برما</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 فما قيمة الحياة أمام هذا الذلّ والخنوع؟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قيمة الحياة أمام هذا التجبُّر الأُمويّ؟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استمرّ مسير الحسين علیه السلام  واستمرّت صيحاته المدوّية الرافضة للظلم والاستبداد، حتى كان يوم عاشوراء، ذلك اليوم الذي سطّر فيه الحسين علیه السلام  وأصحابه أروع القِيَم والمُثُل الإنسانيّة، حيث قدّموا أرواحهم قرابين لتنعم الأُمّة بعدهم بأريج الحريّة؛ فكانت تلك الملحمة البطوليّة، ملحمة الدم والفداء والتضحية، وكان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مقطّعة، ونُحور مخضّبة بالدماء، أجساد مطرّحة على الأرض، نساء مسبيّة، دماء نازلة من السماء، لتؤذن ببداية عهد جديد، ولتوقِظ الضمير، وتُعيد الصحوة إلى النفوس، فقد انكسر حزام الخوف، وعادت الثقة بالنفس؛ لتنطلق من بعد ذلك الثورات الإسلاميّة على الغيّ والفساد، معلنة انتصار الثورة الحسينيّة، وبزوغ شمس الحريّة من جديد، وعودة شجرة الإسلام غَضَّة طريّة، فالإسلام محمّديّ الوجود حسينيّ البقاء</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2" w:name="pg7448_76874"/>
      <w:bookmarkStart w:id="213" w:name="pg7448_76874"/>
      <w:bookmarkEnd w:id="213"/>
    </w:p>
    <w:p>
      <w:pPr>
        <w:pStyle w:val="Heading3"/>
        <w:numPr>
          <w:ilvl w:val="2"/>
          <w:numId w:val="1"/>
        </w:numPr>
        <w:rPr/>
      </w:pPr>
      <w:bookmarkStart w:id="214" w:name="pg7448_76874"/>
      <w:bookmarkStart w:id="215" w:name="__RefHeading___Toc1936790_1051229030"/>
      <w:bookmarkStart w:id="216" w:name="_Toc80"/>
      <w:bookmarkEnd w:id="214"/>
      <w:bookmarkEnd w:id="215"/>
      <w:r>
        <w:rPr>
          <w:rtl w:val="true"/>
        </w:rPr>
        <w:t>مُنطَلَقَاتُ النَهضَةِ الحُسَينِيَّةِ وَخَلفِياتُهَا</w:t>
      </w:r>
      <w:bookmarkEnd w:id="216"/>
    </w:p>
    <w:p>
      <w:pPr>
        <w:pStyle w:val="Heading4"/>
        <w:numPr>
          <w:ilvl w:val="3"/>
          <w:numId w:val="1"/>
        </w:numPr>
        <w:rPr/>
      </w:pPr>
      <w:bookmarkStart w:id="217" w:name="__RefHeading___Toc1936792_1051229030"/>
      <w:bookmarkStart w:id="218" w:name="_Toc81"/>
      <w:bookmarkEnd w:id="217"/>
      <w:r>
        <w:rPr>
          <w:rtl w:val="true"/>
        </w:rPr>
        <w:t xml:space="preserve">القِسمَ الأوَّل </w:t>
      </w:r>
      <w:r>
        <w:rPr>
          <w:rtl w:val="true"/>
        </w:rPr>
        <w:t>(</w:t>
      </w:r>
      <w:r>
        <w:rPr>
          <w:rtl w:val="true"/>
        </w:rPr>
        <w:t>الاستحوَاذُ الأمَويّ عَلى السُّلطَة</w:t>
      </w:r>
      <w:r>
        <w:rPr>
          <w:rtl w:val="true"/>
        </w:rPr>
        <w:t>)</w:t>
      </w:r>
      <w:bookmarkEnd w:id="218"/>
    </w:p>
    <w:p>
      <w:pPr>
        <w:pStyle w:val="BookText"/>
        <w:rPr/>
      </w:pPr>
      <w:r>
        <w:rPr>
          <w:rFonts w:ascii="Amiri" w:hAnsi="Amiri" w:eastAsia="Amiri" w:cs="Amiri"/>
          <w:color w:val="111111"/>
          <w:sz w:val="28"/>
          <w:sz w:val="28"/>
          <w:szCs w:val="28"/>
          <w:rtl w:val="true"/>
          <w:lang w:bidi="ar-SA"/>
        </w:rPr>
        <w:t>السيد محمد الشوكي</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ما من شك في أنّ الثورة الحسينية المباركة شكّلت حدثاً تاريخياً كبيراً في حياة الأُمّة الإسلاميّة، بل في مسار الإنسانيّة بصورةٍ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هذه الثورة محض حدثٍ تأريخي عابرٍ طواه الزمان فيما طوى من أحداث كثيرة، وإنّما مَثَّلت عنصراً حاضراً في فكر ووجدان وحركة الناس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بهذا الحجم لا بدّ أن يُدرس دراسةً علميةً شاملةً، تغطي جميع أبعاده وآثاره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فَهم أيّ حدثٍ ما ـ فهماً حقيقاً كاملاً ـ يتوقف على فهم خلفيّاته ومنطلقاته؛ لأنَّ معرفة الخلفيّات تُلقي لنا أضواءً كاشفةً على طبيعة الحدث وأُسسه ومنطلقاته، وبدون التعرّف على خلفيّات أيّ حدثٍ أو موقفٍ ما ودراسته مقتطعاً عن سياقه التاريخي سوف ينتج نتائج مغلوطة ـ وفي أحسن التقادير ـ ناقصة وغير مكتملةٍ، خصوصاً تلك الأحداث الكبرى التي هي ليست ثمرة صدفةٍ عابرةٍ، أو موقفٍ ارتجالي مفاجئ، أو قرارٍ متسرّع</w:t>
      </w:r>
      <w:r>
        <w:rPr>
          <w:rFonts w:eastAsia="Amiri" w:cs="Amiri" w:ascii="Amiri" w:hAnsi="Amiri"/>
          <w:color w:val="111111"/>
          <w:sz w:val="28"/>
          <w:szCs w:val="28"/>
          <w:rtl w:val="true"/>
          <w:lang w:bidi="ar-SA"/>
        </w:rPr>
        <w:t xml:space="preserve">. </w:t>
      </w:r>
      <w:bookmarkStart w:id="219" w:name="pg7448_76875"/>
    </w:p>
    <w:p>
      <w:pPr>
        <w:pStyle w:val="BookText"/>
        <w:rPr/>
      </w:pPr>
      <w:bookmarkEnd w:id="219"/>
      <w:r>
        <w:rPr>
          <w:rFonts w:ascii="Amiri" w:hAnsi="Amiri" w:eastAsia="Amiri" w:cs="Amiri"/>
          <w:color w:val="111111"/>
          <w:sz w:val="28"/>
          <w:sz w:val="28"/>
          <w:szCs w:val="28"/>
          <w:rtl w:val="true"/>
          <w:lang w:bidi="ar-SA"/>
        </w:rPr>
        <w:t>وما من شك في أنّ الثورة الحسينيّة المباركة بحجمها الكبير، وبنتائجها الخطيرة، لم تكن أمراً ارتجالياً ناتجاً عن انفعال آني غير مدروس، وإنّما كانت نتيجة مواقف مسبقةٍ، وتراكمات عديدةٍ، وقرار مدروسٍ؛ كانت نتيجته تلك الثورة العظيمة، ومن دون ملاحظة تلك الظروف والمواقف السابقة، وقراءة الأحداث التي سبقت الثورة، يبقى تقييمها ـ أو إعطاء حكم موضوعي بشأنها، بل حتى فهمها فهماً كاملاً ـ أمراً غير ميسور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الخطأ الذي وقع فيه بعض الدارسين لثورة الإمام الحسين علیه السلام ؛ حيث حاولوا أن يدرسوها مجتزأة عن سياقاتها الدينيّة والسياسيّة، والاجتماعيّة والتاريخيّة، وحدّقوا فقط فيما جرى في كربلاء، وفي أحسن الأحوال حاولوا دراسة الثورة، من حين بدء سلطان يزيد بن معاوية وخروج الإمام الحسين علیه السلام  من المدينة، وحتى استشهاده في كربلاء، ممّا جعلهم يصدرون أحكاماً خاطئةً تجافي الحقيقة، وتبتعد عن الواقع بمسافات طويلة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نجد من الضروري ونحن نحاول أن ندرس ثورة كربلاء أن نمرَّ على خلفيّاتها والأحداث السابقة عليها؛ لنتعرف على سياقاتها التي قامت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المتتبع لمسرح الأحداث، أنّ الإحاطة بالظروف السابقة على الثورة وملاحقتها من جذورها الأُولى، يستدعي وقفةً طويلةً، وإسهاباً كثيراً هو خارج عن إطار هذا البحث، ولكننا سنقوم بقراءة سريعة نحاول من خلالها إعطاء صورة مقتضبة لتلك الظروف والخلفيّات</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936794_1051229030"/>
      <w:bookmarkStart w:id="221" w:name="_Toc82"/>
      <w:bookmarkEnd w:id="220"/>
      <w:r>
        <w:rPr>
          <w:rtl w:val="true"/>
        </w:rPr>
        <w:t>سؤال هام</w:t>
      </w:r>
      <w:bookmarkEnd w:id="2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سؤال يبرز بقوة أمام الدارس لأحداث التاريخ الإسلامي، وخصوصاً في تلك الحقبة التي انطلقت فيها الثورة الحسينيّة، وهو سؤال جوهري لا بدّ من البحث عن إجابة له، والسؤال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الفترة التي عايشها الإمام الحسين علیه السلام  شهدت حكومة الطلقاء والأدعياء، وتَحَكُّمَهم بمصير الأُمّة، فما الذي حصل حتى يتمكّن الطلقاء </w:t>
      </w:r>
      <w:bookmarkStart w:id="222" w:name="pg7448_76876"/>
    </w:p>
    <w:p>
      <w:pPr>
        <w:pStyle w:val="BookText"/>
        <w:rPr/>
      </w:pPr>
      <w:bookmarkEnd w:id="222"/>
      <w:r>
        <w:rPr>
          <w:rFonts w:ascii="Amiri" w:hAnsi="Amiri" w:eastAsia="Amiri" w:cs="Amiri"/>
          <w:color w:val="111111"/>
          <w:sz w:val="28"/>
          <w:sz w:val="28"/>
          <w:szCs w:val="28"/>
          <w:rtl w:val="true"/>
          <w:lang w:bidi="ar-SA"/>
        </w:rPr>
        <w:t>والأدعياء من الاستيلاء على السلطة في الأُمّة والتحكم بمصيرها؟ وكيف وصلوا إلى ذلك؟ ليست قضيةً بسيطة أن يستولي الطلقاء ـ الذين حاربوا الرسول صلّى الله عليه و آله والرسالة، وحاربوا الأُمّة طويلاً، ولم يَدخلوا في الإسلام إلا كُرهاًـ على زمام الأُمور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 داهيةٍ دهت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عوامل أدت بها إلى أن تصل إلى هذا المنحدر الخطير؟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تقتل ابن بنت نبيها وسبطه، وريحانته وسيد شباب أهل الجنة، وتسبي عياله كسبي الترك والديلم، هذا ليس سؤالاً بسيطاً فما الذي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نريد أن نرجع بك ـ أخي القارئ ـ بعيداً وإلى ما جرى بعد النبي صلّى الله عليه و آله من نزاع على السلطة بكل جدلياتها وإشكالياتها، وإن كان النزاع على السلطة ـ وما أفرزه من نتائج ـ يرتبط ارتباطاً وثيقاً بفهم مسار الأُمور، وكيف وصل الأمر إلى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الواضح لو أنّ مسيرة الإسلام جرت كما قد خطط لها النبيُّ صلّى الله عليه و آله من قبل، واستمرت التجربة الإسلاميّة بقيادة الإمام علي علیه السلام ـ تلك القيادة الإلهيّة المعصومةـ لما وصل الأمر إلى الطلقاء وأبناء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فتَسلُّط الطلقاء وتغَلغُلهم في الجسد الإسلامي جاء نتيجة الأحداث التي أعقبت وفاة النبي صلّى الله عليه و آله ، والقيادات التي حكمت بعده تتحمل المسؤوليّة عن وصول الطلقاء إلى حكم المسلمين، ولكننا لا نريد الخوض في ذلك فعلاً؛ لأنّه يحتاج إلى بحث، بل بحوث مستقلةٍ هي أوسع مما نحن بصدده، وإنّما كلّ ما نحاول أن نركّز عليه، هو بدايات المشروع الأُمويّ، الذي استطاع أن يستولي على مقاليد الحكم في الدولة الإسلاميّة بفترة قياسيّة</w:t>
      </w:r>
      <w:r>
        <w:rPr>
          <w:rFonts w:eastAsia="IRNazanin" w:cs="IRNazanin"/>
          <w:color w:val="111111"/>
          <w:sz w:val="28"/>
          <w:szCs w:val="28"/>
          <w:rtl w:val="true"/>
          <w:lang w:bidi="fa-IR"/>
        </w:rPr>
        <w:t>.</w:t>
      </w:r>
    </w:p>
    <w:p>
      <w:pPr>
        <w:pStyle w:val="Heading4"/>
        <w:numPr>
          <w:ilvl w:val="3"/>
          <w:numId w:val="1"/>
        </w:numPr>
        <w:rPr/>
      </w:pPr>
      <w:bookmarkStart w:id="223" w:name="__RefHeading___Toc1936796_1051229030"/>
      <w:bookmarkStart w:id="224" w:name="_Toc83"/>
      <w:bookmarkEnd w:id="223"/>
      <w:r>
        <w:rPr>
          <w:rtl w:val="true"/>
        </w:rPr>
        <w:t>البراغماتية الأمويّة</w:t>
      </w:r>
      <w:bookmarkEnd w:id="2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الشخصيّة الأُمويّة شخصيّة نفعيّة مصلحيّة، بعيدة عن الالتزام بالمبادئ والثبات عليها، ولعلّ ذلك يرجع ـ بحسب نظر بعض الباحثين ـ إلى طبيعة عملهم في الأسواق والصفقات التجاريّة، التي جعلت من شخصيّاتهم شخصيّات نفعيّة لا تؤمن إلّا بمبدأ الربح والخسارة، ووهبتهم صبغة براغماتية في التعامل مع الأشخاص والأحداث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وعندما بزغ نور الرسالة في مكّة المكرّمة، شعر الأُمويون بأنّ ذلك يشكّل تهديداً كبيراً لمصالحهم في مكة المكرّمة، خصوصاً وأنّه ظهر من خصومهم ومنافسيهم التقليديين بني هاشم؛ فتصدوا لقيادة جبهة العداء للقضاء على الرسول صلّى الله عليه و آله والرسالة، وجيشوا الجيوش وقادوا المعارك في سبيل اجتثاث شجرة الرسالة الباسقة، واستئصال شأفتها، وإطفاء نورها الوقّاد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الله تعالى نصر نبيَّه وأفشل كلَّ محاولاتهم للنيل من رسوله، حتى أتى أمر الله وهم كارهون؛ فدخلوا في الدين الجديد تحت طائلة السيف، ولم يدخلوه بقناعة منهم أبداً، وعلى حدِّ تعبير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أسلموا ولكن استسلموا</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علیه السلام  في كتاب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بنو عبد مناف، فكذلك نحن، ولكن ليس أُميّة كهاشم، ولا حرب كعبد المطلب، ولا أبو سفيان كأبي طالب، ولا المهاجر كالطليق، ولا الصريح كاللصيق، ولا المحق كالمبطل، ولا المؤمن كالمُدغِل، ولبئس الخَلف خلف يَتبَع سلفاً هوى في نار جهنّم، وفي أيدينا بعدُ فضلُ النبوَّة التي أذللنا بها العزيز، ونعشنا بها الذَّليل، ولمَّا أدخل الله العرب في دينه أفواجاً، وأسلمت له هذه الأمَّة طوعاً أو كرهاً، كنتم ممّن دخل في الدين إمّا رغبةً وإمّا رهبةً، على حين فاز أهل السبق بسبقهم، وذهب المهاجرون الأولون بفضلهم</w:t>
      </w:r>
      <w:r>
        <w:rPr>
          <w:rFonts w:eastAsia="IRNazanin" w:cs="IRNazanin"/>
          <w:color w:val="111111"/>
          <w:sz w:val="28"/>
          <w:szCs w:val="28"/>
          <w:rtl w:val="true"/>
          <w:lang w:bidi="fa-IR"/>
        </w:rPr>
        <w:t>»</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متحدثاً عن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يزل لله ولرسوله وللمسلمين عدواً هو وأبوه، حتى دخلا في الإسلام كارهين مكرهين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رأوا أنّ الدين الجديد أصبح واقعاً لا مفرّ منه، ولا بدَّ من التعامل معه بأُسلوب جديد؛ لأنّ الوقوف بوجهه لن يجدي نفعاً، وقد علّمتهم السنوات الماضية ذلك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والشخصيّة البراغماتية تُحسِن التعامل مع متغيرات الواقع وتوظيفها لصالحها، فمن الغباء أن تواجه هكذا موجة بحر عاتية تكسر أضلاعها، في حال أنّ بإمكانها أن ترتقيها لتوصلها إلى الشاطئ، إذا كانت من ركاب الأمواج الجيدين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رأى الأُمويون أن لا فائدة في مواجهة المدّ الإسلامي، فلماذا الإصرار على </w:t>
      </w:r>
      <w:bookmarkStart w:id="225" w:name="pg7448_76878"/>
    </w:p>
    <w:p>
      <w:pPr>
        <w:pStyle w:val="BookText"/>
        <w:rPr/>
      </w:pPr>
      <w:bookmarkEnd w:id="225"/>
      <w:r>
        <w:rPr>
          <w:rFonts w:ascii="Amiri" w:hAnsi="Amiri" w:eastAsia="Amiri" w:cs="Amiri"/>
          <w:color w:val="111111"/>
          <w:sz w:val="28"/>
          <w:sz w:val="28"/>
          <w:szCs w:val="28"/>
          <w:rtl w:val="true"/>
          <w:lang w:bidi="ar-SA"/>
        </w:rPr>
        <w:t>مواجهته وهو قد يُتيح لهم فرصة استثنائية لم تكن تتوفر لهم في أيام الجاهلية إن أحسنوا استغلالها؟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الدين الجديد اكتسح الجزيرة العربية، وأسّس له سلطاناً مكيناً في ربوعها، ومن الممكن أن تتسع رُقعته إلى ما لم يتصوره أحد منهم، فلماذا لا ينزعون جلدهم ويلبسون جلداً ثانياً يتغلغلون من خلاله إلى الاستيلاء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بني أُميّة كانوا يعلمون جيداً أنّ فرصتهم قليلة جداً في حياة رسول الله صلّى الله عليه و آله ، ولكن عليهم أن ينظروا نظرةً بعيدةً، وأن يُخططوا للمستقبل الآتي، وهكذا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النبيّ صلّى الله عليه و آله يُدرك ذلك جيداً، وأنّ القوم سيحاولون التسلُّق إلى قمة المجتمع الإسلامي، وقد رأى في منامه ـ الذي لا يأتيه الباطل ـ كأنّ قردةً ينزون على منبره، وقد عَلِم أنّهم بنو أُميّة، وهم الشجرة الملعونة؛ ولهذا حذّر المسلمين من ذلك كثيراً، بل قالها بصراحة تامة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محرّمة على آل أبي سفيان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936798_1051229030"/>
      <w:bookmarkStart w:id="227" w:name="_Toc84"/>
      <w:bookmarkEnd w:id="226"/>
      <w:r>
        <w:rPr>
          <w:rtl w:val="true"/>
        </w:rPr>
        <w:t>بداية التغلغل الأُمويّ</w:t>
      </w:r>
      <w:bookmarkEnd w:id="227"/>
    </w:p>
    <w:p>
      <w:pPr>
        <w:pStyle w:val="BookText"/>
        <w:rPr/>
      </w:pPr>
      <w:r>
        <w:rPr>
          <w:rFonts w:ascii="Amiri" w:hAnsi="Amiri" w:eastAsia="Amiri" w:cs="Amiri"/>
          <w:color w:val="111111"/>
          <w:sz w:val="28"/>
          <w:sz w:val="28"/>
          <w:szCs w:val="28"/>
          <w:rtl w:val="true"/>
          <w:lang w:bidi="ar-SA"/>
        </w:rPr>
        <w:t>كان أبو سفيان يَعرف جيداً أنّه لا فرصة لديه لتبوّء منصب مهمّ في حياة رسول الله صلّى الله عليه و آله ، وكذلك سوف لن تكون حظوظه كثيرةً في سلب سلطان محمّد صلّى الله عليه و آله ، الذي كان يحلم به بعدَ وفاته مباشرةً، فهو عدو المسلمين بالأمس، وليس له في الأمر قَدم ولا قِدَم، ولكن بإمكانه أن يتسلل تحت عباءة اللاعبين الرئيسين في المسرح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حاول أن يُجرِّب حظّه في البداية مع أمير المؤمنين علي علیه السلام ، مستغلاً حنق الإمام علي علیه السلام  ممّا جرى في السقيفة من جهة، وقلّة ناصريه 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أمير المؤمنين علیه السلام  وحاول أن يستثيره، وأن يتلاعب بمشاعره تجاه اختطاف بني تيم وعديّ لخلافة رسول الله صلّى الله عليه و آله ، وهم غير لائقين بها في جاهليّة أو إسلام ـ كما كان يرى ـ وكذلك حاول أن يجعله يثور عليهم ويناجزهم القتال، واعداً إيّاه بأنّه سيملؤها عليهم خيلاً ورجالاً إن شاء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تبرز قمّة البراغماتية السياسيّة في موقفه هذا، فهو لا يمانع أن يتحالف مع </w:t>
      </w:r>
    </w:p>
    <w:p>
      <w:pPr>
        <w:pStyle w:val="BookText"/>
        <w:rPr/>
      </w:pPr>
      <w:r>
        <w:rPr>
          <w:rFonts w:ascii="IRNazanin" w:hAnsi="IRNazanin" w:eastAsia="IRNazanin"/>
          <w:color w:val="111111"/>
          <w:sz w:val="28"/>
          <w:sz w:val="28"/>
          <w:szCs w:val="28"/>
          <w:rtl w:val="true"/>
          <w:lang w:bidi="fa-IR"/>
        </w:rPr>
        <w:t>علي علیه السلام  خصم الأمس، ما دام أنّه يوفّر له مصالحه، فالقاعدة البراغماتية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لنا أصدقاء دائمون، ولا أعداء دائمون، ولكن لنا مصالح 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وبطبيعة الحال، لم يذكر التأريخ أنّه اشترط على الإمام علي علیه السلام  شرطاً في مقابل ذلك، ولكنّه كان في مرحلة جسّ النبض، واكتشاف المواقف، ولو أجابه أمير المؤمنين علیه السلام  لمِا أراد ـ وتلهّف إلى التحالف معه ـ لوضع حينها قائمةً بالشروط التي ستؤمّن له أو لأولاده مكاناً في الدولة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موقف أمير المؤمنين علیه السلام  كان حازماً وحاسماً، فرفض هذا العرض رفضاً قاطعاً، وطرد أبا سفيان؛ لأنّه كان يُدرك أنّ الرجل لا يفكّر في مصلحة الإسلام، ولا في مصلحة علي علیه السلام ، وإنّما كان يفكّر في مصلحته الشخصيّة ومصلحة عشيرته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تظهر المبدئيّة العلويّة في أروع صورها، في مقابل النفعيّة الأُمويّة المخادعة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أن يئس أبو سفيان من الإمام علي علیه السلام  مثلما يئس من ابن عمّه المصطفى صلّى الله عليه و آله ، وأنّه لن يُداهن في أمر دينه، كان لا بدّ من البحث ـ إذاً ـ عن منفذ آخر يُؤمّن تغلغل بني أُميّة في الجسد الإسلامي؛ وذلك من خلال التقرّب إلى السلطة الحاكمة نفسها، فبإمكانه أن يكون حليفاً قوياً لها، ويكون داعماً كبيراً لسياساتها، وسائراً تحت مظلّتها، متسلّقاً شيئاً فشيئاً حتى يصل إلى قمّتها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يظهر من وصيّته لولده معاوية بعد أن ولّاه عمر بن الخطاب الشام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إنّ هؤلاء الرهط من المهاجرين سبقونا وتأخّرنا، فَرَفَعهم سَبقِهم وقِدَمِهم عند الله وعند رسوله، وقصّر بنا تأخيرنا؛ فصاروا قادةً وسادةً، وصرنا أتباعاً، وقد ولَّوك جسيماً من أُمورهم، فلا تخالفهم؛ فإنّك تجري إلى أمدٍ فنافس، فإن بلغته أورثته عَقِبَك</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الكلام إشارة واضحة إلى غاية أبي سفيان ومبتغاه، من أنّ الإمرة تليق بهم لا بهؤلاء، ولكن ما العمل مع وجود أمر واقع لا بدّ من مسايرته، وهو سَبق هؤلاء في الدخول إلى الإسلام؛ وبذلك استطاعوا أن يتبوّأوا هذه المناصب القياديّة، فلا </w:t>
      </w:r>
      <w:bookmarkStart w:id="228" w:name="pg7448_76880"/>
    </w:p>
    <w:p>
      <w:pPr>
        <w:pStyle w:val="BookText"/>
        <w:rPr/>
      </w:pPr>
      <w:bookmarkEnd w:id="228"/>
      <w:r>
        <w:rPr>
          <w:rFonts w:ascii="Amiri" w:hAnsi="Amiri" w:eastAsia="Amiri" w:cs="Amiri"/>
          <w:color w:val="111111"/>
          <w:sz w:val="28"/>
          <w:sz w:val="28"/>
          <w:szCs w:val="28"/>
          <w:rtl w:val="true"/>
          <w:lang w:bidi="ar-SA"/>
        </w:rPr>
        <w:t>سبيل إلّا بمتابعتهم ومسايرتهم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كلامه المتقدّم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هؤلاء سبقونا في الدخول إلى الإسلام، فأخذوا المناصب، ونحن مضطرّون لأن نكون تبعاً لهم، ولا نستطيع أن نَخطِف منهم الإمرة بسرعة؛ لأنّنا لا نَملك المقبوليّة الكاملة في المجتمع الإسلامي؛ فعلينا أن نَسير بخطىً وئيدةٍ، وأن نُساير القوم ونُبدِي لهم كمال الطاعة والانقياد إلى أجل مسمّى، وعليك أن تنافس في الوصول إلى الغاية، والغاية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ستورثه في عَقِبك فتنشأ عندها الإمبراطورية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لنا هذا النص مسألة خطيرة جداً، وهي أنّ توريث الخلافة الإسلاميّة ـ وجعلها ملكاً عضوضاً ـ مسألة قد خُطِّط لها من قبلُ، وحتى قَبلَ أن يصل بنو أُميّة إلى السلطة، وهو الأمر الذي جَرّ الويلات على الأُمّة الإسلاميّة</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936800_1051229030"/>
      <w:bookmarkStart w:id="230" w:name="_Toc85"/>
      <w:bookmarkEnd w:id="229"/>
      <w:r>
        <w:rPr>
          <w:rtl w:val="true"/>
        </w:rPr>
        <w:t>بنو أُميّة في أروقة السلطة</w:t>
      </w:r>
      <w:bookmarkEnd w:id="230"/>
    </w:p>
    <w:p>
      <w:pPr>
        <w:pStyle w:val="BookText"/>
        <w:rPr/>
      </w:pPr>
      <w:r>
        <w:rPr>
          <w:rFonts w:ascii="Amiri" w:hAnsi="Amiri" w:eastAsia="Amiri" w:cs="Amiri"/>
          <w:color w:val="111111"/>
          <w:sz w:val="28"/>
          <w:sz w:val="28"/>
          <w:szCs w:val="28"/>
          <w:rtl w:val="true"/>
          <w:lang w:bidi="ar-SA"/>
        </w:rPr>
        <w:t>أدرك أبو سفيان وبطانته أنّ الأمر انتُزع من بني عبد مناف، وصار لبني تيم وعديّ، وهو وإن كان رافضاً لذلك من منطلق قَبَليّ؛ لأنّه يرى أنّ بني تيم لا يملكون من الشرف والسؤدد بين العرب ما يؤهلهم أن يكونوا ملوك الناس وأسيادهم، إلّا أنّه أدرك أنّ هذه المعادلة أصبحت أمراً واقعاً يصعب تغييرها، فلا بدّ إذاً من التعامل معها والانضمام إليها تماماً كما فعل مع واقع الإسلام الذي انتصر على جبهة الكفر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تمانع السلطة الحاكمة آنذاك أن تغازل أبا سفيان وأن تخطب ودّه؛ لمكانته في قريش من جهة، ولتأثيره الكبير على مُسلِمة الفتح، الذين يشكّلون الغالبيّة السكانيّة في المجتمع الإسلامي آنذاك من جهة أُخرى، فهو يُشكل خطراً كبيراً على السلطة الحاكمة آنذاك، أو لا أقل أنّ باستطاعته أن يُسبب لها بعض المشاكل والصداع، فلا بدّ من احتوائه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أنّهم يعرفون أنّ أبا سفيان يُحب المال والسلطة، فقد لبّوا له الأمرين معاً؛ ولذا لمّا جاء أبو سفيان ـ وكان قد بعثه النبيّ صلّى الله عليه و آله جابياً للصدقات ـ وعَرف أنّ أبا بكر قد بُويع بالخلافة،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عجاجة لا يُطفِئُها إلّا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لأبي بكر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قد قَدِم، وهو فاعل شراً، وقد كان النبيّ يستألفه على </w:t>
      </w:r>
    </w:p>
    <w:p>
      <w:pPr>
        <w:pStyle w:val="BookText"/>
        <w:rPr/>
      </w:pPr>
      <w:r>
        <w:rPr>
          <w:rFonts w:ascii="Amiri" w:hAnsi="Amiri" w:eastAsia="Amiri" w:cs="Amiri"/>
          <w:color w:val="111111"/>
          <w:sz w:val="28"/>
          <w:sz w:val="28"/>
          <w:szCs w:val="28"/>
          <w:rtl w:val="true"/>
          <w:lang w:bidi="ar-SA"/>
        </w:rPr>
        <w:t>الإسلام، فدع له ما بيده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فرضي أبو سفيان وبايعه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فكانت بيعته في مقابل استحواذه على ما بيده من أموال الصدقة،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الجديد اشترى بيعة أبي سفيان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أبا سفيان لم يقنع بهذه الكعكة الصغيرة ثمناً لسكوته ومبايعته؛ فهو يطمح لمناصب في الدولة، فأرضته السلطة بذلك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عن حمّاد بن سلمة عن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استُخلف أبو بكر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ولأبي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ولّى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رحم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فحزب الطلقاء بقيادة بني أُميّة لم يجدوا أيَّ ممانعة عند دخولهم في السلطة الجديدة، بل على العكس، فقد فُتحت لهم الأبواب ليتبوّأوا مناصب عُليا في الدولة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دخولهم في جسد السلطة السياسيّة دخولاً تدريجياً تصاعدياً، بدأ ضيقاً في زمن أبي بكر، واتسع في زمن عمر، وتمكّن في زمن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التدرّج أمر طبعي، بل ضروري، فليس بإمكان السلطة في بداية أمرها أن تفسح مجالاً واسعاً للطلقاء، ليشكّلوا حضوراً لافتاً في أجهزتها؛ لأنّ ذلك سيُثير حفيظة المسلمين، ويُثير الشكوك والمخاوف في نفوسهم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تأهيل حزب الطلقاء تدريجياً ليصبحوا مقبولين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نرى أنّه أُعطيت مجموعة من المناصب لحزب الطلقاء في بداية حياة السلطة الجديدة، وخصوصاً بني أُميّة، وقد بعث الخليفةُ الأول يزيدَ بن أبي سفيان وأخاه معاوية بن أبي سفيان، وخالد بن سعيد بن العاص، وعمرُ بن العاص على رأس جيش الشام، ليتولاها بعد ذلك في زمان الخليفة الثاني يزيد بن أبي سفيان، ومن بعده أخوه معاوية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والمُلاحظ أنّ الخليفة الأول والثاني ـ فضلاً عن الثالث ـ استعملوا على الأمصار الإسلاميّة مجموعةً كبيرةً من الطلقاء، ومُسلِمة الفتح، ولم يستخدموا أحداً من بني </w:t>
      </w:r>
    </w:p>
    <w:p>
      <w:pPr>
        <w:pStyle w:val="BookText"/>
        <w:rPr/>
      </w:pPr>
      <w:r>
        <w:rPr>
          <w:rFonts w:ascii="Amiri" w:hAnsi="Amiri" w:eastAsia="Amiri" w:cs="Amiri"/>
          <w:color w:val="111111"/>
          <w:sz w:val="28"/>
          <w:sz w:val="28"/>
          <w:szCs w:val="28"/>
          <w:rtl w:val="true"/>
          <w:lang w:bidi="ar-SA"/>
        </w:rPr>
        <w:t>هاشم، أو مَن يدور في فَلَكِهم من أنصار ومهاجرين، فقد قيل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استعملت يزيد بن أبي سفيان وسعيد بن العاص ومعاوية وفلاناً وفلاناً من المؤلفة قلوبهم من الطلقاء وأبناء الطلقاء، وتركتَ أن تستعمل علياً والعباس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عليّ، فأنبه من ذلك، و أمّا هؤلاء النفر من قريش، فإنّي أخاف أن ينتشروا في البلاد، فيكثروا فيها الفساد</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فإنّ بني أُميّة استطاعوا أن ينضمّوا إلى السلطة، وأن يبحثوا لهم عن موطئ قَدم فيها، وراحوا يعملون بدبلوماسيّة ناعمة، حتى تمكنوا من ذلك فعليّاً في زمن الخليفة الثاني، ووجدوا لهم موطئ قَدم في بلد يُعدّ من أهمّ البلاد الإسلاميّة، حيث استخلف عمرُ بن الخطاب يزيدَ بن أبي سفيان على الشام، ثمّ بعد أن مات استخلف أخاه معاوية بن أبي سفيان، ووسّع من رقعة ولايته، فجمع له الشامات كلَّها، وأعطاه صلاحيّات واسعة، لم يعطها لواحد من ولاته على الأمصار؛ تحت ذريعة تقوية الخاصرة الشماليّة للدولة الإسلاميّة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عمر بن الخطاب ـ كما يروي المؤرخون ـ يحاسب معاوية كما يحاسب بقيّة عمّاله، فقد عُرف عنه أنّه كان شديداً مع العمّال، فقد تعتع بخالد بن الوليد عامله على قنسرين، لمّا بلغه أنّه أعطى الأشعث عشرة آلاف؛ فأمر بلال الحبشيّ، فعقله بعمامته وأوقفه بين يديه على رِجل واحدةٍ مكشوف الرأس بين الملأ، ثمّ بعد ذلك عزله، ولم يُولّه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وأوجع أبا هريرة ضرباً بالدُرّة لمّا كان عامله على البحرين، وقصصه كثيرة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يكن يحاسب معاوية على شيء من ذلك، وإذا بلغه عنه شيء دافع عنه، فقد روى ابن كثير في البداية والنهاية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معاوية عند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فتى قريش وابن سيّدها، إنّه لمن يضحك في الغضب، ولا ينال منه إلّا على الرضا، ومَن لا يؤخذ من فوق رأسه إلّا من تحت قدميه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الذهبيّ في سير أعلام النبلاء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عمر الشام تلقّاه معاوية في موكب عظيم وهيئة، فلمّا دنا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الموكب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بلغني عنك من طول وقوف ذوي الحاجات ببابك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بأرض جواسيس العدو بها كثير، فيجب أن نظهر من عز السلطان ما يرهبهم، فإن نهيتني انتهيت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أسألك عن شيء إلّا تركتني مثل رواجب الضرس لئن ما قلت حقاً إنّه لرأي أريب، وإن كان باطلاً فإنّه لخدعة 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آمرك ولا أنهاك</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إنّه لا يأمره ولا ينهاه، فقد أعطاه الحريّة الكاملة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رآه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 أبي سفيان كسرى العرب</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الشيخ محمود أبو 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يدعو إلى المُلاحظة هنا، أنّنا لم نجد عمر رضي الله عنه قد اتبع هذه السنّة في معاوية بن أبي سفيان، فقد أبقاه عاملاً على دمشق سنين طويلة، ولم يزعجه بالعزل كغيره، وكان ذلك ممّا أعان معاوية على طُغيانه، وأن يحكم حكماً قيصريّاً طوال أيامه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استغل معاوية هذه الصلاحيّات، واستفاد من عدم مؤاخذة الخليفة له، فراح يبني له سلطاناً قويّاً في تلك البقعة المهمّة من الدولة الإسلاميّة، لا تنافسه في قوته واستحكامه إلّا عاصمة الدولة في زمان عمر بن الخطاب</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اختيار الشام من قبل بني أُميّة من الأساس اختياراً دقيقاً وماكراً؛ لأنّهم علموا أنّ مشروعهم الكسرويّ لا يمكن أن ينمو في مدينة النبي صلّى الله عليه و آله ، فتركيبتها الجغرافيّة والديموغرافيّة والاجتماعيّة والدينيّة لا تشكل بيئة مناسبة للمشروع الأُمويّ، بخلاف الشام التي كانت تغايرها في كلّ ذلك، ولا مجال للتفصيل في بيان هذه المسألة الهامة</w:t>
      </w:r>
      <w:r>
        <w:rPr>
          <w:rFonts w:eastAsia="Amiri" w:cs="Amiri" w:ascii="Amiri" w:hAnsi="Amiri"/>
          <w:color w:val="111111"/>
          <w:sz w:val="28"/>
          <w:szCs w:val="28"/>
          <w:rtl w:val="true"/>
          <w:lang w:bidi="ar-SA"/>
        </w:rPr>
        <w:t xml:space="preserve">. </w:t>
      </w:r>
      <w:bookmarkStart w:id="231" w:name="pg7448_76884"/>
    </w:p>
    <w:p>
      <w:pPr>
        <w:pStyle w:val="Heading4"/>
        <w:numPr>
          <w:ilvl w:val="3"/>
          <w:numId w:val="1"/>
        </w:numPr>
        <w:rPr/>
      </w:pPr>
      <w:bookmarkStart w:id="232" w:name="__RefHeading___Toc1936802_1051229030"/>
      <w:bookmarkStart w:id="233" w:name="_Toc86"/>
      <w:bookmarkEnd w:id="231"/>
      <w:bookmarkEnd w:id="232"/>
      <w:r>
        <w:rPr>
          <w:rtl w:val="true"/>
        </w:rPr>
        <w:t>بلوغ الهدف</w:t>
      </w:r>
      <w:bookmarkEnd w:id="233"/>
    </w:p>
    <w:p>
      <w:pPr>
        <w:pStyle w:val="BookText"/>
        <w:rPr/>
      </w:pPr>
      <w:r>
        <w:rPr>
          <w:rFonts w:ascii="Amiri" w:hAnsi="Amiri" w:eastAsia="Amiri" w:cs="Amiri"/>
          <w:color w:val="111111"/>
          <w:sz w:val="28"/>
          <w:sz w:val="28"/>
          <w:szCs w:val="28"/>
          <w:rtl w:val="true"/>
          <w:lang w:bidi="ar-SA"/>
        </w:rPr>
        <w:t>لقد حاول حزب السلطة القرشيّ تسويق الأُمويين في الساحة الإسلاميّة، وراح يعدُّ الأرضية لهم ليتولوا قيادة الحزب؛ لأنّهم الأجدر في الحفاظ على مكتسبات بطون قريش، والأقدر على إقصاء بني هاشم من الساحة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تمّ ذلك من خلال الشورى السداسيّة التي أفضت إلى انتخاب عثمان بن عفّان لمنصب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تكللت جهود الأُمويين بالنجاح من خلال اختيار ابن عمّهم عثمان بن عفّان خليفة للمسلمين، فها هم يتولون زمام الأُمّة التي حاربوها طويلاً، ونالوا بالسلم والمراوغة ما لم ينالوه بالحرب، وها هي الخلافة كُرَةٌ يتلاقفها صبيانهم بأمر من زعيمهم صخر بن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أبي الحديد المعتزليّ 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صَفَق عبد الرحمن بن عوف على يد عثمان معلناً اختياره خليفة للمسلمين، اجتمع بنو أُميّة كلّهم في دار عثمان حتى امتلأت بهم الدار، ثُمّ أغلقوها عليهم، فقال أبو سفيان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أعندكم أحد من 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أُميّة، تلقَّفوها تلقّف الكرة، فوالذي يحلف به أبو سفيان، ما من عذاب، ولا حساب، ولا جنّة، ولا نار، ولا بعث، ولا قيامة</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سقيفة الجوهريّ أنّ أبا سفيان،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هذا الأمر في تيم، وأنى لتيم هذا الأمر، ثُمّ صار إلى عديّ فأبعد وأبعد، ثُمّ رجعت إلى منازلها واستقر الأمر قراره، فتلقّفوها تلقّف الكرة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الاستيعاب أنّه قال لعثمان بعد أن انتُخب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إليك بعد تيم وعديّ، فأدرها كالكرة، واجعل أوتادها بني أُميّة؛ فإنّما هو المُلك، ولا أدري ما جنّة ولا نار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نَفَّذ عثمان وصيّة أبي سفيان، وجعل أوتادها بني أُميّة وحلفاءهم، فقد جعل </w:t>
      </w:r>
    </w:p>
    <w:p>
      <w:pPr>
        <w:pStyle w:val="BookText"/>
        <w:rPr/>
      </w:pPr>
      <w:r>
        <w:rPr>
          <w:rFonts w:ascii="IRNazanin" w:hAnsi="IRNazanin" w:eastAsia="IRNazanin"/>
          <w:color w:val="111111"/>
          <w:sz w:val="28"/>
          <w:sz w:val="28"/>
          <w:szCs w:val="28"/>
          <w:rtl w:val="true"/>
          <w:lang w:bidi="fa-IR"/>
        </w:rPr>
        <w:t>على الشام معاوية، وعلى مصر عمرو بن العاص، وعلى الكوفة الوليد بن عقبة، وعلى البصرة صهرهم عبد الله بن عامر بن كريز، وهذه هي أكبر وأهمّ الأمصار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مروان فقد جعله وزيره الأعظم، فراحوا يستعبدون العباد، وينهبون خيرات البلاد، ويخضمون مال الله خضم الإبل نبتة الربيع على حدِّ تعبير أمير المؤمنين علیه السلام  في نهج البلاغة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إطلاق الخليفة الثالث يد أبناء عمومته في البلاد الإسلاميّة أحد أهمّ الأسباب التي أدت لنقمة المسلمين عليه؛ حتى ثاروا عليه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الخوض في تفاصيل ذلك؛ فإنّه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والمُلاحظة المهمّة في حادثة مقتل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معاوية لم يحزن كثيراً،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فرحاً بذلك؛ لأنّه سوف يستغل دم عثمان ذريعة للوصول إلى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معاوية بن أبي سفيان كان هو المستفيد الأول من مقتل عثمان بن عفّان، إن لم يكن من المساهمين في مقتله؛ لأنّه كان بإمكانه أن يتدارك الأمر، وأن يستجيب لطلب عثمان المتكرر بإرسال قوة عسكريّة رادعة من الشام تحمي الخليفة من تمرّد الجماهير، ولكن معاوية بن أبي سفيان تباطأ كثيراً في ذلك، وأراد للأمر أن ينتهي بهذه الطريقة؛ ليجد المبرّر في الدعوة لنفسه، ومنازعة الأمر أهله، تحت ذريعة كونه ولي الدم، المطالب بثأر عثمان بن عفّان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المعتزليّ في شرحه على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أرسل عثمان إلى معاوية يستمده، بعث يزيد بن أسد القسريّ جد خالد بن عبد الله بن يزيد أمير العراق،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اتيت ذا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قريب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بها، ولا تتجاوزها، ولا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يرى ما لا يرى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فإنّني أنا الشاهد وأنت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بذي خشب حتى قُتل عثمان، فاستقدمه حينئذٍ معاوية، فعاد إلى الشام بالجيش الذي كان أرسل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صنع ذلك معاوية ليُقتل عثمان فيدعو إلى نفسه</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bookmarkStart w:id="234" w:name="pg7448_76886"/>
    </w:p>
    <w:p>
      <w:pPr>
        <w:pStyle w:val="BookText"/>
        <w:rPr/>
      </w:pPr>
      <w:bookmarkEnd w:id="234"/>
      <w:r>
        <w:rPr>
          <w:rFonts w:ascii="Amiri" w:hAnsi="Amiri" w:eastAsia="Amiri" w:cs="Amiri"/>
          <w:color w:val="111111"/>
          <w:sz w:val="28"/>
          <w:sz w:val="28"/>
          <w:szCs w:val="28"/>
          <w:rtl w:val="true"/>
          <w:lang w:bidi="ar-SA"/>
        </w:rPr>
        <w:t>أن عثمان قال لمعاوية بعد أن خذله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ولكنك أردت أن أُقتل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ولي الثأر، ارجع فجئني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ولم يعد إليه حتى قُتل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1936804_1051229030"/>
      <w:bookmarkStart w:id="236" w:name="_Toc87"/>
      <w:bookmarkEnd w:id="235"/>
      <w:r>
        <w:rPr>
          <w:rtl w:val="true"/>
        </w:rPr>
        <w:t>الصحوة المتأخرة</w:t>
      </w:r>
      <w:bookmarkEnd w:id="236"/>
    </w:p>
    <w:p>
      <w:pPr>
        <w:pStyle w:val="BookText"/>
        <w:rPr/>
      </w:pPr>
      <w:r>
        <w:rPr>
          <w:rFonts w:ascii="IRNazanin" w:hAnsi="IRNazanin" w:eastAsia="IRNazanin"/>
          <w:color w:val="111111"/>
          <w:sz w:val="28"/>
          <w:sz w:val="28"/>
          <w:szCs w:val="28"/>
          <w:rtl w:val="true"/>
          <w:lang w:bidi="fa-IR"/>
        </w:rPr>
        <w:t>بعد مقتل الخليفة الثالث اتجهت الأنظار صوب أمير المؤمنين علیه السلام ، ولم تُدرِك الأُمة ـ ولسنين طويلة ـ خطورة المسار الذي اختارته، والنتيجة التي وصلت إليها، إلى أن أحسّت بذلك بعد غَرقِها في الوحل الأُمويّ الذي لم تدرِ كيف تتخلص منه، ولم تدرِ كيف وصلت إليه، فصحت واستيقظت، ولكن صحوتها كانت متأخرةً جداً، بعد أن بلغ السيل الزُّبى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أدركت الأُمّة النتيجة الخطيرة لمسارها، والعواقب الوخيمة التي تحملتها عندما وضعت الحق في غير نصابه، وجعلت الأمر في غير أهله، حيث لم تجنِ إلّا وضعاً متردياً على جميع الأصعدة والمستويات، سواء في ذلك الدينيّة منها أو السياسيّة أو الاقتصاديّة أو الاجتماعيّة أو الأخلاقيّة، وعَلِمت أنّها لا مخرج لها من ذلك إلّا بالرجوع إلى مَن أخّرته جهلاً وعدواناً، فليس هناك في الأُمّة مَن يستطيع أن يُغيّر هذا الواقع المتأزم المريض غير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كان؛ فقد قصدوه بعد مقتل عثمان بن عفّان، وتداكّوا على بابه تداكّ الإبل العطاش على مورد الماء، حتى وطِئ الحسنان، وشُق عِطفاه، مجتمعين حوله كربيضة الغنم، يطلبون منه أن يتولى أمرهم ويقود أُمتهم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أمير المؤمنين علیه السلام  لم يُسارع في الاستجابة لهم، لا لأنّه لا يرى لنفسه حقاً فيها كما يزعم بعض مَن يقرأ ظواهر الأحداث، ولا لأنّه نَكل عن القيام بمهمّة الإصلاح الكبرى والخطيرة بعدما أتعبته السنين العجاف السابقة؛ بل لأنّه يريد أن يوحي لهم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مأربة له بالسلطان وبامتيازاته الدنيويّة، ولا يخطف بصره بريق المنصب كأولئك الذين يتقاتلون عليه طمعاً في ارتقاء أعواد لا قيمة لها عند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ويريد أن </w:t>
      </w:r>
    </w:p>
    <w:p>
      <w:pPr>
        <w:pStyle w:val="BookText"/>
        <w:rPr/>
      </w:pPr>
      <w:r>
        <w:rPr>
          <w:rFonts w:ascii="IRNazanin" w:hAnsi="IRNazanin" w:eastAsia="IRNazanin"/>
          <w:color w:val="111111"/>
          <w:sz w:val="28"/>
          <w:sz w:val="28"/>
          <w:szCs w:val="28"/>
          <w:rtl w:val="true"/>
          <w:lang w:bidi="fa-IR"/>
        </w:rPr>
        <w:t>يُفهمهم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الواقع أصبح معقّداً جداً وإصلاحه ليس بالمهمّة السهلة اليسيرة، وإنّما يتطلّب الخوض في مخاضات عسيرة للخروج من هذا النفق المظلم؛ ممّا يستدعي أن يضعوا ذلك في حساباتهم، وأنّه إذا تولّى أمرهم، ركب بهم جادّة الحق حتى وإن كانت وعِرَة المسلك، قال علیه السلام  ـ كما في نهج البلاغة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دعوني والتمسوا غيري، فإنّا مستقبلون أمراً له وجوه وألوان، لا تقوم له القلوب، ولا تثبت عليه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الآفاق قد أغامت، والمحجة قد تنكّرت، واعلموا أنّي إن أجبتكم ركبت بكم ما أعلم، ولم أصغِ إلى قول القائل، وعَتَب العاتب</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فأجابهم علیه السلام  بعد إصرارهم، ولولا ما أخذ الله على العلماء أن لا يُقارّوا على كظّة ظالم ولا سغب مظلوم؛ ممّا يجعل مسؤولية الإصلاح ثقيلة على كاهله، ولولا حضور الحاضر وقيام الحجة بوجود الناصر حيث ينقطع العذر؛ لألقى حبلها على غاربها، ولسقى أخرها بكأس أولها، فليس الدنيا عنده بكل بريقها إلّا كعفطة عنز، كما قال في خطبته الشقشقية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بيعة المسلمين للإمام علي علیه السلام  ثقيلة جداً على معاوية، خصوصاً وأنّها بيعة إجماعيّة، هرع إليها الكبير، ودرج إليها الصغير، وستجعل الإمام علي علیه السلام  يندفع لقتاله بقوة، والمسلمون جميعاً يداً واحدة معه، وحينئذٍ لا طاقة لمعاوية على مواجهته ودفعه؛ فلابدّ إذن من إضعافه في البدء وشق جبهته، ومن ثَمَّ التمرد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وفعلاً راح يُغري بعض المسلمين بالخروج على إمام الحق، ليشُقَّ بذلك صف المسلمين ويشغل الجبهة العلويّة عن مجابهته، ويستنزف طاقاتها وإمكاناتها، وهكذا تمّ ما أراده وسعى له في حرب الجمل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 أنّ حرب الجمل لم تؤتِ أُكلها كاملة بالنسبة إلى معاوية، وإن تركت آثاراً سلبيةً على الواقع الإسلامي بصورةٍ عامّةٍ، وعلى جبهة أمير المؤمنين علیه السلام  بصورةٍ خاصّةٍ، فقد استطاع أمير المؤمنين علیه السلام  أن يحسم الموقف، وأن ينتصر في الحرب، وأن يوحّد صفوف الأُمّة لمواجهة الخطر الأُمويّ القابع في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وبعد أن وصل علیه السلام  إلى الكوفة بعث بالكتب وبالرسائل والوفود إلى معاوية يدعوه فيها للرضوخ للحق، والدخول فيما دخل فيه المسلمون؛ ليحسم المسألة معه سلمياًً، بعيداً عن استحقاقات الحروب ونزف الدماء، ولكن معاوية لا يمكن أن يتنازل عن الحلم الأُمويّ الذي خطّط له هو وأبوه بهذه السهولة؛ وعليه كان الخيار العسكري هو الحاسم بالنسبة لأمير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وفعلاً أعدّ له جيشاً من المهاجرين والأنصار، وأتباعهم من أهل الإيمان، وأصحاب البصائر، وفرسان الأمصار، وخاض معه حرباً طاحنة في صفّين، كانت فيها الغلبة لأمير المؤمنين علیه السلام ، حتى ضاق الخناق على معاوية، وذاق طعم الهزيمة، وكان بينه وبين انهيار المشروع الأُمويّ خُطوات قليلة، لولا أنّه تدارك الموقف بمكيدة من عمرو بن العاص، برفع المصاحف ودعا إلى التحكيم، وخدع بعض البسطاء في جبهة أمير المؤمنين علیه السلام ، واستطاع أن ينجو بنفسه من حبل المشنقة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أنّ حرب صفّين لم تستطع أن تحسم الموقف مع معاوية؛ لما حصل من انشقاق في صفوف جبهة أمير المؤمنين علیه السلام ، أدى بالنتيجة إلى ما عُرف بحادثة التحكيم، إلّا أنّ أمير المؤمنين علیه السلام  كان مُصِرَّاً على تطهير الجسد الإسلامي من الجراثيم الأُمويّة، ويظهر ذلك من كلمته المعروفة التي قالها علیه السلام  في أُخريات حياته في الكوفة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تظاهرت العرب على قتالي لما وليت عنها، ولو أمكنت الفرصة من رقابها لسارعت إليها، وسأجهد في أن أُطهّر الأرض من هذا الشخص المعكوس، والجسم المركوس، حتى تخرج المدرة من بين حب الحصيد</w:t>
      </w:r>
      <w:r>
        <w:rPr>
          <w:rFonts w:eastAsia="IRNazanin" w:cs="IRNazanin"/>
          <w:color w:val="111111"/>
          <w:sz w:val="28"/>
          <w:szCs w:val="28"/>
          <w:rtl w:val="true"/>
          <w:lang w:bidi="fa-IR"/>
        </w:rPr>
        <w:t>»</w:t>
      </w:r>
      <w:r>
        <w:rPr>
          <w:rStyle w:val="FootnoteAnchor"/>
          <w:rtl w:val="true"/>
        </w:rPr>
        <w:footnoteReference w:id="2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بالشخص المعكوس معاوية بن أبي سفيان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يقول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الناكثون، فقد قاتلت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القاسطون، فقد 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المارقة، فقد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بقيّة من أهل البغي، ولئن أذن الله في الكرّة عليهم لأُديلنّ منهم إلّا ما يتشذّر في أطراف البلاد تشذّراً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37" w:name="pg7448_76889"/>
    </w:p>
    <w:p>
      <w:pPr>
        <w:pStyle w:val="BookText"/>
        <w:rPr/>
      </w:pPr>
      <w:bookmarkEnd w:id="237"/>
      <w:r>
        <w:rPr>
          <w:rFonts w:ascii="IRNazanin" w:hAnsi="IRNazanin" w:eastAsia="IRNazanin"/>
          <w:color w:val="111111"/>
          <w:sz w:val="28"/>
          <w:sz w:val="28"/>
          <w:szCs w:val="28"/>
          <w:rtl w:val="true"/>
          <w:lang w:bidi="fa-IR"/>
        </w:rPr>
        <w:t>فكان علیه السلام  مُصِرّاً على اجتثاث المشروع الأُمويّ؛ وذلك لأنّه يُدرك مدياته وأبعاده وخطورته على مستقبل الإسلام، فكان يرى أنّ أخطر شيء يمكن أن يهدد الإسلام هم بنو أُميّة، وأنّ فتنتهم هي أشدّ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أخوف الفتن عندي عليكم فتنة بني أُميّة؛ فإنّها فتنة عمياء مظلمة، عمّت خطتها، وخصّت بليتها، وأصاب البلاء مَن أبصر فيها، وأخطأ البلاء مَن عمي عنها، وايم الله، لتجدن بني أُميّة لكم أرباب سوء بعدي، كالناب الضروس، تعذم بفيها، وتخبط بيدها، وتزبن برجلها، وتمنع 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يزالون بكم حتى لا يتركوا منكم إلّا نافعاً لهم، أو غير ضائر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بلاؤهم حتى لا يكون انتصار أحدكم منهم إلّا كانتصار العبد من ربّه، والصاحب من مستصحبه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عليكم فتنة شوهاء مخشيّة، وقطعاً جاهليّة، ليس فيها منار هدى، ولا علم يُرى، نحن أهل البيت منها بمنجاة، ولسنا فيها بدعاة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ولهذا عزم علیه السلام  أن يُعيد الكرّة على معاوية، ويجتث بني أُميّة بصورة حاسمة هذه المرّة، وندب قومه للتجهّز للهجوم، فانتدب له ـ على رغم التخاذل الذي أصابهم ممّا سيلم به بعد ذلك ـ أربعون ألفاً، سمّوا بشرطة الخميس، بايعوه على الموت، وشرطوا له إمّا النصر وإمّا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أمير المؤمنين علیه السلام  ينتظر انسلاخ شهر رمضان؛ لكي يبدأ حملته الكاسحة، ولكن القدر لم يُمهِلهُ لينجز ذلك؛ فامتدت له يد الغدر عِبر مؤامرة لا نريد الخوض في تفاصيلها، فضربه عبد الرحمن بن مُلجم في صبيحة التاسع عشر من رمضان، فوقع في محرابه مخضّباً بدمائه، وبذلك يكون معاوية قد تخلّص من التهديد الأساسي لكيانه وسلطانه</w:t>
      </w:r>
      <w:r>
        <w:rPr>
          <w:rFonts w:eastAsia="IRNazanin" w:cs="IRNazanin"/>
          <w:color w:val="111111"/>
          <w:sz w:val="28"/>
          <w:szCs w:val="28"/>
          <w:rtl w:val="true"/>
          <w:lang w:bidi="fa-IR"/>
        </w:rPr>
        <w:t>.</w:t>
      </w:r>
    </w:p>
    <w:p>
      <w:pPr>
        <w:pStyle w:val="Heading4"/>
        <w:numPr>
          <w:ilvl w:val="3"/>
          <w:numId w:val="1"/>
        </w:numPr>
        <w:rPr/>
      </w:pPr>
      <w:bookmarkStart w:id="238" w:name="__RefHeading___Toc1936806_1051229030"/>
      <w:bookmarkStart w:id="239" w:name="_Toc88"/>
      <w:bookmarkEnd w:id="238"/>
      <w:r>
        <w:rPr>
          <w:rtl w:val="true"/>
        </w:rPr>
        <w:t>معاوية يتفرّد بالساحة</w:t>
      </w:r>
      <w:bookmarkEnd w:id="23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قرّت عين ابن أبي سفيان بمقتل الإمام علي علیه السلام ، وأخذ نَفَسَاً عميقاً بعد أن سلب النوم من عينيه، ولم يبقَ أمامه الكثير لإنجاز مشروعه، فهو يعلم أنّ فُرص الإمام الحسن علیه السلام  بعد أبيه قليلة جداً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وهذه هي حقيقة الواقع آنذاك، فقد ورث الإمام الحسن علیه السلام  جيشاً متعباً منهكاً من الحروب، قد خاض ثلاثة حروب دامية في أربع سنين، بينما لم يخض الجيش الأُمويّ سوى حرب واحدة، هي حرب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ورث جبهة ممزقة متشرذمة، لا يجمعها جامع، بينما كان لدى معاوية جبهة منسجمة متماسكة إلى أبعد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صفة التمرد والتخاذل التي بدأت تبرز بصورة واضحة في الجيش الكوفي حتى اضطر أمير المؤمنين علیه السلام  أن يخطب بهم تلك الخطبة الناريّة التي أنّبهم فيها، ووبّخهم توبيخاً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فقدان جبهة الإمام الحسن علیه السلام  أبرز قادتها سواء الذين أكلتهم صفّين، أم الذين اغتالهم معاوية كمالك الأشتر، الذي قال فيه أحدهم عندما سُئل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أقول في رجل هزمت حياته أهل الشام وهزم موته أهل العراق</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علاوة على ذلك، الصدمة المعنويّة الكبيرة التي مُنيت بها جبهة الحق، عندما فقدت رمزها وقائدها علي بن أبي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لخّص الإمام الحسن علیه السلام  سبب قبوله لوثيقة الصلح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ثنانا عن أهل الشام شك ولا ندم، وإنّما كنّا نُقاتلهم بالسلامة والصبر، فشيبت السلامة بالعداوة، والصبر بالجزع، وكنتم في منتدبكم إلى صفّين دينكم أمام دنياكم، فأصبحتم ودنياكم أمام دينكم، ألا وإنّا لكم كما كنّا، ولستم لنا كما كنتم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يوضّح لقاعدته الشعبيّة أسباب الصلح، وأنّ ذلك لم يكن تغيّراً في قناعة أهل البيت علیهم السلام  تجاه بني أُميّة، وطواغيت الشام، أو شك أو ندم في حقانيّة جهادهم ومناجزتهم، وإنّما الخلل هو في هذه القاعدة الشعبيّة التي عادت أهل البيت علیهم السلام  وجزعت من الحرب والقتال، وقلبت أولوياتها، فجعلت دنياها أمام دينها، بعد أن كانت تضحي بدنياها في سبيل دينها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 البيت علیهم السلام  ما يزالون كما كانوا، في بصيرتهم بالعدو، وعزمهم على جهاده، ولكن أتباعهم ليسوا كما كانوا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لا نريد هنا أن نخوض في واقع صلح الإمام الحسن علیه السلام  وظروفه وملابساته؛ فإنّ الأمر يستدعي وقفةً طويلةً لا يسعها هذا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هذه الأُمور </w:t>
      </w:r>
    </w:p>
    <w:p>
      <w:pPr>
        <w:pStyle w:val="BookText"/>
        <w:rPr/>
      </w:pPr>
      <w:r>
        <w:rPr>
          <w:rFonts w:ascii="IRNazanin" w:hAnsi="IRNazanin" w:eastAsia="IRNazanin"/>
          <w:color w:val="111111"/>
          <w:sz w:val="28"/>
          <w:sz w:val="28"/>
          <w:szCs w:val="28"/>
          <w:rtl w:val="true"/>
          <w:lang w:bidi="fa-IR"/>
        </w:rPr>
        <w:t>وغيرها اضطرت الإمام الحسن علیه السلام  إلى مهادنة معاوية، وكان الصلح بالنسبة له أسوأ الخيارات، ولكنّه اضطر إلى القبول به، بشروط اشترطها على معاوية من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يعمل بكتاب الله وسنّة نبيّه، وأن يكف عن سبّ وشتم أمير المؤمنين علیه السلام ، وتشويه صورته في أعين الناس، وأن لا يلاحق شيعة أمير المؤمنين علیه السلام  وأصحابه، وأن يُعيد الأمر من بعده لأهل البيت علیهم السلام ، للحسن فإن مات فللحسين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الشرط الأخير يُعدّ الأهمّ في تلك الشروط؛ فإنّ الصلح لم يكن تنازلاً مطلقاً عن السلطة لبني أُميّة، وإنّما هو هدنة مؤقتة فرضتها موازين القوى، تُسلَّم فيها إدارة الدولة إلى معاوية، ثُمّ بعده يرجع الحق إلى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معاوية ـ وكما هو متوقع ـ لم يلتزم بأيّ من تلك الشروط، وبعد دخوله للكوفة أعلن نقضه لتلك الشروط، وقال مخاطباً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أظننتم أنّي قاتلتكم لكي تُصلوا، أو لكي 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قاتلتكم لكي أتأمّر عليكم، فآتاني الله ذلك، وأنتم كارهون، وكلّ ما شرطته للحسن بن علي، فهو تحت قدميّ هاتين</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أُميّة عموماً ليس لديهم مبادئ ولا عهود ولا مواثيق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تنصل معاوية من كلّ شروطه، أمّا العمل بالكتاب والسنّة، فقد جهد في مخالفتهما، وحاول جاهداً طمس معالم سنّة رسول صلّى الله عليه و آله ، وقد أخبر صلّى الله عليه و آله بذلك، كما روى أبو ذر رحمة الله ، حيث قال، وهو في الشام وقد جرت بينه وبين معاوية مصادمات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يغيّر سنتي رجل من بني أُميّة</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روى الإمام الحسن علیه السلام  عن جدّه رسول الله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لم يبقَ من أُميّة إلّا عجوز درداء لبغت دين الله عوجاً</w:t>
      </w:r>
      <w:r>
        <w:rPr>
          <w:rFonts w:eastAsia="IRNazanin" w:cs="IRNazanin"/>
          <w:color w:val="111111"/>
          <w:sz w:val="28"/>
          <w:szCs w:val="28"/>
          <w:rtl w:val="true"/>
          <w:lang w:bidi="fa-IR"/>
        </w:rPr>
        <w:t>»</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كشاهد على ذلك تبنّيه لزياد، وإلحاقه بنسبه، والنبيّ صلّى الله عليه و آله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رأيه في الربا المضاد لسنّة رسول صلّى الله عليه و آله ، فقد روى مالك في الموطأ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معاوية بن أبي سفيان باع سقاية من ذهب أو ورق بأكثر من وزنها،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ينهى عن مثل هذا، إلّا مثلاً بمثل،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بمثل هذا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يعذرني من معاوية؟ أنا أُخبره عن رسول الله صلّى الله عليه و آله ويخبرني عن رأيه، لا أُساكنك بأرض أنت بها</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واضح، فبنوا أُميّة أرادوا أن يبنوا لهم إسلاماً كما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الأُمويّ في مقابل الإسلام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بالنسبة إلى النيل من أمير المؤمنين علیه السلام  فقد جعل سبّه سنّة، يشبّ عليها الصغير، ويشيب عليها الكبير، وقد روى مسلم في صحيحه عتاب معاوية لسعد في سبب عدم سبّه لأمير المؤمنين علیه السلام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وأصدر مرسوماً إلى جميع الأقطار أنّه برئت الذمّة ممّن روى في أبي تراب شيئاً، ومَن روى في أبي تراب شيئاً فاقطعوا رزقه، واهدموا داره، وامحوه من الديوان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الأحاديث في الانتقاص من أمير المؤمنين علیه السلام ، وكلّ ذلك مسطور مشهور في كتب الحديث والتأريخ</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بالنسبة إلى ملاحقة أصحاب أمير المؤمنين علیه السلام ، فقد حاول جاهداً تصفية العناصر القياديّة الواعية في الأُمّة؛ لأنّه يعلم أنّ وجود هؤلاء سوف يشكل مانعاً دون تنفيذ المُخطط الأُمويّ؛ لأنّ وجود كلّ أُمّة إنّما هو بقياداتها وعناصرها الواعية، والأُمّة التي لا تملك شخصيّات قياديّة واعية وبصيرة تُعدُّ أُمّة ميتة ـ ولهذا ترى الظالمين يحاولون دائماً تصفية عناصر الوعي في الأُمّة، وأنت تعرف أن شخصاً واحداً حكيماً بصيراً شجاعاً يساوي آلافاً من عرض الناس بل ملايين ـ فقام معاوية بتصفية خواصّ شيعة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كعمرو بن الحمق الخزاعي، وحجر بن </w:t>
      </w:r>
    </w:p>
    <w:p>
      <w:pPr>
        <w:pStyle w:val="BookText"/>
        <w:rPr/>
      </w:pPr>
      <w:r>
        <w:rPr>
          <w:rFonts w:ascii="Amiri" w:hAnsi="Amiri" w:eastAsia="Amiri" w:cs="Amiri"/>
          <w:color w:val="111111"/>
          <w:sz w:val="28"/>
          <w:sz w:val="28"/>
          <w:szCs w:val="28"/>
          <w:rtl w:val="true"/>
          <w:lang w:bidi="ar-SA"/>
        </w:rPr>
        <w:t>عديّ الكندي، ورشيد الهجري، وميثم التمار، ومسلم بن زيمر، وعبد الله بن نجي الحضرميين، وابن حسان العنزي، وجويرية بن مسهّر العبدي، ومحرز بن شهاب السعدي، وجميل بن كعب الثعلبي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غير الذين قتلهم في صفّين؛ فقد قتل خمساً وعشرين ألفاً من خيرة الأُمّة، وفيهم مئة صحابي وخمسة وعشرون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الأُلوف التي قتلها زياد بن أبيه وسمرة بن جندب، وفيهم العلماء والقرّاء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فيما يرتبط بالبند الرابع، وهو أن يرجع الأمر للحسن أو الحسين علیهماالسلام  ، فقد خالفه أيضاً وراح يدعو لبيعة ولده يزيد بن معاوية، وهو ما سنتحدث عنه بالتفصيل في القسم الثاني من هذه المقالة إن شاء الله تعالى</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تتضح لك عزيزي القارئ صورة إجمالية عن الأوضاع التي تلت رحيل الرسول الأعظم صلّى الله عليه و آله ، والظروف التي سبقت واقعة عاشوراء، والتي كان لها الدور الفاعل والمؤثر في حدوث تلك الواقعة الأليمة في وقائعها، والعظيمة في نتائجها</w:t>
      </w:r>
      <w:r>
        <w:rPr>
          <w:rFonts w:eastAsia="Amiri" w:cs="Amiri" w:ascii="Amiri" w:hAnsi="Amiri"/>
          <w:color w:val="111111"/>
          <w:sz w:val="28"/>
          <w:szCs w:val="28"/>
          <w:rtl w:val="true"/>
          <w:lang w:bidi="ar-SA"/>
        </w:rPr>
        <w:t xml:space="preserve">. </w:t>
      </w:r>
      <w:bookmarkStart w:id="240" w:name="pg7448_76894"/>
    </w:p>
    <w:p>
      <w:pPr>
        <w:pStyle w:val="Heading3"/>
        <w:numPr>
          <w:ilvl w:val="2"/>
          <w:numId w:val="1"/>
        </w:numPr>
        <w:rPr/>
      </w:pPr>
      <w:bookmarkStart w:id="241" w:name="__RefHeading___Toc1936808_1051229030"/>
      <w:bookmarkStart w:id="242" w:name="_Toc89"/>
      <w:bookmarkEnd w:id="240"/>
      <w:bookmarkEnd w:id="241"/>
      <w:r>
        <w:rPr>
          <w:rtl w:val="true"/>
        </w:rPr>
        <w:t>النَّهضَةُ الحُسَينيَّة وَالعَنَاصِرُ الحَيَويَّةُ لِلإبداعِ وَالتَأثِيرِ في الأُمَّةِ</w:t>
      </w:r>
      <w:bookmarkEnd w:id="242"/>
    </w:p>
    <w:p>
      <w:pPr>
        <w:pStyle w:val="Heading4"/>
        <w:numPr>
          <w:ilvl w:val="3"/>
          <w:numId w:val="1"/>
        </w:numPr>
        <w:rPr/>
      </w:pPr>
      <w:bookmarkStart w:id="243" w:name="__RefHeading___Toc1936810_1051229030"/>
      <w:bookmarkStart w:id="244" w:name="_Toc90"/>
      <w:bookmarkEnd w:id="243"/>
      <w:r>
        <w:rPr>
          <w:rtl w:val="true"/>
        </w:rPr>
        <w:t>اشارة</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النَّهضَةُ الحُسَينيَّة وَالعَنَاصِرُ الحَيَويَّةُ لِلإبداعِ وَالتَأثِيرِ في الأُمَّةِ السيد نعمة جابر آل نور</w:t>
      </w:r>
      <w:r>
        <w:rPr>
          <w:rStyle w:val="FootnoteAnchor"/>
          <w:rtl w:val="true"/>
        </w:rPr>
        <w:footnoteReference w:id="226"/>
      </w:r>
    </w:p>
    <w:p>
      <w:pPr>
        <w:pStyle w:val="Heading4"/>
        <w:numPr>
          <w:ilvl w:val="3"/>
          <w:numId w:val="1"/>
        </w:numPr>
        <w:rPr/>
      </w:pPr>
      <w:bookmarkStart w:id="245" w:name="__RefHeading___Toc1936812_1051229030"/>
      <w:bookmarkStart w:id="246" w:name="_Toc91"/>
      <w:bookmarkEnd w:id="245"/>
      <w:r>
        <w:rPr>
          <w:rtl w:val="true"/>
        </w:rPr>
        <w:t>تمهيد</w:t>
      </w:r>
      <w:bookmarkEnd w:id="246"/>
    </w:p>
    <w:p>
      <w:pPr>
        <w:pStyle w:val="BookText"/>
        <w:rPr/>
      </w:pPr>
      <w:r>
        <w:rPr>
          <w:rFonts w:ascii="Amiri" w:hAnsi="Amiri" w:eastAsia="Amiri" w:cs="Amiri"/>
          <w:color w:val="111111"/>
          <w:sz w:val="28"/>
          <w:sz w:val="28"/>
          <w:szCs w:val="28"/>
          <w:rtl w:val="true"/>
          <w:lang w:bidi="ar-SA"/>
        </w:rPr>
        <w:t xml:space="preserve">لكلّ دين من الأديان ـ التي نزلت من قِبل السماء، والتي أخبرنا بنزولها القرآن الكريم، أو أخبرنا بها التاريخ على مرّ العصور من خلال كتاباته، أو من خلال معتنقي هذه الأديان، الذين لا زالوا يمارسون طقوس تلك الديانات ـ ميزات اختصّ بها عن الأديان الأُخرى، كاختصاص بعضها برقعة جغرافية محدودة، أو نزولها إلى مجموعة من البشر محدودة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مِائَةِ أَلْفٍ أَوْ يَزِيدُونَ</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أو متّحدة الثقافة والتوجّه، كما في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الميزات التي اختصّت بها بعض هذه الديانات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ما يميّز الدين الإسلامي عن غيره من القوانين هي شموليته لواقع الحياة على كلّ المستويات، فهو لا يعالج المشكلة القائمة على فسحة الواقع من زاوية واحدة، أو ينظر إليها بعين حولاء لا ترى ما يواجهها، إلّا من الزاوية التي تستطيع الإبصار فيها، وهذا اللون من النظر تتفرّد به الرؤى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النظريات الوضعية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تتفجّر من بحبوحة الأرض بين الحين والآخر، ثمّ يظهر العجز عليها؛ لعدم </w:t>
      </w:r>
    </w:p>
    <w:p>
      <w:pPr>
        <w:pStyle w:val="BookText"/>
        <w:rPr/>
      </w:pPr>
      <w:r>
        <w:rPr>
          <w:rFonts w:ascii="Amiri" w:hAnsi="Amiri" w:eastAsia="Amiri" w:cs="Amiri"/>
          <w:color w:val="111111"/>
          <w:sz w:val="28"/>
          <w:sz w:val="28"/>
          <w:szCs w:val="28"/>
          <w:rtl w:val="true"/>
          <w:lang w:bidi="ar-SA"/>
        </w:rPr>
        <w:t>استنادها إلى ما يؤيّدها من قيم عناصر الارتباط بالسماء، وهذا الأمر له أدلّته الكثيرة التي ذُكرت في محلّها، والتي لم نُشر إليها رعايةً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الشمولية لهذا الدين واستيعابه للواقع بكلّ أصعدته؛ ينتج عنها الخلود لهذا الدين وصلاحية منهجه لكلّ زمانٍ ومكان، ولكن بعد أن يتوفّر الشرط الأساس له، وهو توفّر المساحة التطبيقية، والنموذج الصالح، الذي سيمارس عملية التطبيق في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أرض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وبهذا الشرط المذكور يمكن لهذه الشريعة أن تُفرغ نظرياتها المتعدّدة على مساحة التطبيق، والارتقاء بالمجتمع إلى أقصى غاياته التكاملية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نفسه متوقف في تحققه على عدم توفّر النقيض الذي يقف أمام وقوعه في الخارج؛ لأنّ النقيض سيكون المانع من استمرار التطبيق المذكور، ومقيّداً لأيدي النموذج الصالح، ومعرقلاً ثقيلاً في وجه الحركة التكاملية المطلوبة، والتي بها يتمّ اختصار الزمان وتوفير الملائمة للمكان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والنقيض المذكور هو ابتلاء الشريعة بالنموذج الكَلّ على عاتقها، بممارساته الاستبدادية والنفعية، التي تؤول بها أوضاع الأمّة إلى التصحّر والجمود والتشويه، والذي يزيد من حجم التخريب في مساحاتها؛ ممّا يشوّه صورتها في نظر القاصي فضلاً عن الداني الذي دبّ اليأس في بقعة نفسه، وأوجد للشريعة فيها صورة ناقصة الملامح مشوّهة المعالم، يجعلها في مصافّ الأديان والأُطروحات الوضعية السائدة في العالم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برزت الحاجة إلى تأسيس منهجية فكرية صحيحة، لتحصين الواقع الفكري للأُمّة والذود عنه بكل ما أُوتينا من قوّة، ولا بدّ من دراسة التاريخ دراسة موضوعية؛ لإبراز الصورة اللامعة له، والأهمّ من ذلك كله هو إيجاد نماذج نقيّة تُبرز للعالم صورة الدين الحيّة القابلة إلى تصدير رؤاه الفكرية، والقابلة للثبات والصمود في وجه الثقافات والنُّظم التي تعتمد في واقعها على 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الإلغاء والتهميش، وإرساء المرموزات الدينية العظيمة للأجيال القادمة؛ لأنّها تشكّل مصدراً من مصادر القوة والانتماء في حاضر الأُمّة ومستقبلها</w:t>
      </w:r>
      <w:r>
        <w:rPr>
          <w:rFonts w:eastAsia="Amiri" w:cs="Amiri" w:ascii="Amiri" w:hAnsi="Amiri"/>
          <w:color w:val="111111"/>
          <w:sz w:val="28"/>
          <w:szCs w:val="28"/>
          <w:rtl w:val="true"/>
          <w:lang w:bidi="ar-SA"/>
        </w:rPr>
        <w:t xml:space="preserve">. </w:t>
      </w:r>
      <w:bookmarkStart w:id="247" w:name="pg7448_76896"/>
    </w:p>
    <w:p>
      <w:pPr>
        <w:pStyle w:val="BookText"/>
        <w:rPr/>
      </w:pPr>
      <w:bookmarkEnd w:id="247"/>
      <w:r>
        <w:rPr>
          <w:rFonts w:ascii="Amiri" w:hAnsi="Amiri" w:eastAsia="Amiri" w:cs="Amiri"/>
          <w:color w:val="111111"/>
          <w:sz w:val="28"/>
          <w:sz w:val="28"/>
          <w:szCs w:val="28"/>
          <w:rtl w:val="true"/>
          <w:lang w:bidi="ar-SA"/>
        </w:rPr>
        <w:t>إنّ ازدياد رقعة التخريب في مساحة الأُمّة جعل من يطلب الإصلاح في ذلك يواجه أمراً في غاية الصعوبة؛ بحيث يتطلّب اهتزازات قويّة جداً في تلك المساحات المخرَّبة في واقع الأُمّة؛ لتعيد للشريعة حيويتها وتصحّح مسار التطبيق في مكوناتها، كما يتطلّب أيضاً إحداث نوع من عمليات العصف اللازمة في الأذهان؛ تجعلها قادرة على العطاء من أجل الأُمّة؛ وبالتالي تساهم في إكمال مسيرة التكامل الذي لا يحصل إلّا بتطبيق قيم السماء كمنهجية صالحة للامتداد، ولكن بواسطة المناخات الملائمة التي يجب أن تتوفّر لكي يتحقّق الإبداع المنشود، ويكتمل الوعي لدى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النهضة الحسينية ـ بما اشتملت عليه من عناصر حيوية، أكسبتها القدرة على الإبداع والتأثيرـ هي القوّة الصالحة والمؤثرة لإيجاد الاهتزازات، وعمليات العصف اللازمة لإعادة الأُمّة إلى وعيها، وبثّ الثقة في نفوس أبنائها، وإصلاح ما يمكن إصلاحه من أمر الأُمّة؛ لتكون النواة التي تعتمد عليها عملية الإصلاح المستقبلية، طبقاً لثوابت الشريعة ذات القيم المستمدة من السماء، ومن هذه العناصر</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936814_1051229030"/>
      <w:bookmarkStart w:id="249" w:name="_Toc92"/>
      <w:bookmarkEnd w:id="248"/>
      <w:r>
        <w:rPr>
          <w:rtl w:val="true"/>
        </w:rPr>
        <w:t>النهضة الحسينية وامتدادية النموذج النقي</w:t>
      </w:r>
      <w:bookmarkEnd w:id="249"/>
    </w:p>
    <w:p>
      <w:pPr>
        <w:pStyle w:val="BookText"/>
        <w:rPr/>
      </w:pPr>
      <w:r>
        <w:rPr>
          <w:rFonts w:ascii="Amiri" w:hAnsi="Amiri" w:eastAsia="Amiri" w:cs="Amiri"/>
          <w:color w:val="111111"/>
          <w:sz w:val="28"/>
          <w:sz w:val="28"/>
          <w:szCs w:val="28"/>
          <w:rtl w:val="true"/>
          <w:lang w:bidi="ar-SA"/>
        </w:rPr>
        <w:t>كنّا قد أشرنا إلى صلاحية الدين الإسلامي للامتداد والشمول، وهنا نحاول الربط بين الاستمرارية المذكورة وبين النموذج النقي من زاوية نسأل من 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يتكون لدينا مجتمع يحتوي على نموذج نقي مستمر؛ لكي يتلاءم مع استمرارية المنهج وشموليته، أم تكفي صلاحية المنهج للاستمرار فقط دون نموذجه؟</w:t>
      </w:r>
    </w:p>
    <w:p>
      <w:pPr>
        <w:pStyle w:val="BookText"/>
        <w:rPr/>
      </w:pPr>
      <w:r>
        <w:rPr>
          <w:rFonts w:ascii="Amiri" w:hAnsi="Amiri" w:eastAsia="Amiri" w:cs="Amiri"/>
          <w:color w:val="111111"/>
          <w:sz w:val="28"/>
          <w:sz w:val="28"/>
          <w:szCs w:val="28"/>
          <w:rtl w:val="true"/>
          <w:lang w:bidi="ar-SA"/>
        </w:rPr>
        <w:t>فلو قلنا بعدم الملازمة؛ فهذا القول يستلزم عدم التوازن في الكفّة؛ إذ كيف يتلاءم المنهج القابل للاستمرار في استمراريته بدون النموذج 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بدّ من القول بالملازمة وعدم الانفكاك بين الطرفين؛ لكي نضمن الاستمرارية بكلّ أبعادها؛ ولكي نتقصّى من حالة الشكّ في استمرارية المنهج، ورفع النقض الوارد في المقام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فلا بدّ من امتدادية النموذج النقي، وهو هنا ـ وعلى نظرية المذهب </w:t>
      </w:r>
    </w:p>
    <w:p>
      <w:pPr>
        <w:pStyle w:val="BookText"/>
        <w:rPr/>
      </w:pPr>
      <w:r>
        <w:rPr>
          <w:rFonts w:ascii="IRNazanin" w:hAnsi="IRNazanin" w:eastAsia="IRNazanin"/>
          <w:color w:val="111111"/>
          <w:sz w:val="28"/>
          <w:sz w:val="28"/>
          <w:szCs w:val="28"/>
          <w:rtl w:val="true"/>
          <w:lang w:bidi="fa-IR"/>
        </w:rPr>
        <w:t xml:space="preserve">الإمامي ـ ممتدّ بوجود المعصوم الذي نصبه الله عز وجل لهداية البشر وحفظ شريعته بعد النبي صلّى الله عليه و آله ، وكما قال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بيت النبوة ومعدن الرسالة ومختلف الملائكة، بنا فتح الله وبنا ختم الله، ويزيد رجل فاسق، شارب الخمر، قاتل النفس المحترمة، معلن بالفسق، ومثلي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نُصبح وتُصبحون وننظر وتنظرون أينا أحق بالخلافة والبيعة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المقطع من كلام الإمام الحسين علیه السلام  يوضّح تفاصيل الامتداد للنموذج النقي، المعتمد في عملية الإصلاح في المساحة المخرَّبة من أرضية الأُمّة، على عمق الجذور المرتبطة بالسماء والمؤيّدة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أحسّ يزيد بهذا النموذج وأحسّ بخطره، كما أحسّت بطانته المنتفعة من قربها من أميرها الوهمي، وإنّ هذا النموذج يشكّل مصدراً للثورة، ويُهدّد المصالح المادّية لهم، ويعلّق مشروعهم التشويهي المعتمد على سياسة التزييف في بناء الأُمّة العَقَدي والتاريخي، وهذه الامتدادية تسعى إلى قلب الموازين التي تعتمد عليها آليات الاستعباد والاستبداد، وآليات مصادرة الحقوق والحرّيات، والتلاعب بمصائر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ساهمت في هذا الامتداد عوامل مختلفة على قمّة هرمها الوراثة، ذلك العامل المهم في سلّم الكمال، كما لمسناه في تركيبة الإمام الحسين علیه السلام  الكمالية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بيت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كمختصة لم يشاركه أحد فيها من الأغيار، كما أنّها في الوقت نفسه جلبت له هذا الكمّ الهائل من مشاعر الحقد والكراهية لدى ذوي النزعات المادية، المُختلّي التركيب وراثياً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التركيب النفسي</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الامتداد للنموذج مستمدّ من شعار إسلامي غاية في الخطورة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 بالاتجاه المعاكس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مهدِّد لهم بكل مفردة من مفرداته، ألا وهو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الجهاد كلمة حقٍّ عند سلطانٍ جائر</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الشعار هو اللائحة السياسية للمنهج الممتدّ، حمله وحكم به مفردات الحياة والدولة، وألزم الأُمّة المشاركة في صنع وتطبيق هذه اللائحة، التي ترفض مفهوم الاستبداد والعبثيّة بجميع صورها، وأيّاً كان مصدرها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الإمام بغافل عمّا تمارسه السلطة الأُموية، بقيادة العبثي يزيد وهو يلاحق الرساليين، ويُحصي عليهم الأنفاس؛ استمراراً منه لمنهجية الطلقاء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يرى مقدار الخسف الحاصل في أرضية الأُمّة الإسلامية العقائدية والمبدئية، والتي إن استمرّ الوضع بها كذلك سوف لا يبقى لهذا المنهج الرسالي شيءٌ يُذكر، وسيسقط الإسلام ولن تقوم له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تشخيصاً دقيقاً وحاذقاً استدعى من الإمام الحسين علیه السلام  أن يخطّط للثورة؛ لكي تستعيد الأُمّة عافيتها، ولكي يضع الأُمور في نصابها الصحيح، كما جسّدها النبي الأكرم صلّى الله عليه و آله ؛ ولذا نرى أنّ الإمام علیه السلام  اعتمد سلوكيات يعلم مُسبقاً أنّها ستكلّفه المزيد من التضحيات، فتارة نراه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ومثلي لا يبايع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أحقّ مَن غيَّر</w:t>
      </w:r>
      <w:r>
        <w:rPr>
          <w:rFonts w:eastAsia="IRNazanin" w:cs="IRNazanin"/>
          <w:color w:val="111111"/>
          <w:sz w:val="28"/>
          <w:szCs w:val="28"/>
          <w:rtl w:val="true"/>
          <w:lang w:bidi="fa-IR"/>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ووفقاً لهذه السلوكيات وما سواها يُعلن أنّه النموذج المتّحد والأمثل لتطبيق النهج الرسالي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وأحقّية الخلافة ليست حكراً وملكاً مادّياً كما يراه الاتجاه اليزيدي، حتّى يأتي دور الصراعات الشخصية هنا، بين مَن هو ملك وآخر يرى الأحقّية له بالخلافة، بل المسألة تتعلّق بروح المنهج السماوي المتكامل، حيث قطع سبل المنازعة في الموضوع، ونصَّ عليها في مواطن عدّة، وحْيَاً وحديثاً، ويعنينا مسألة عليها مئة وعشرون ألف شاهد، وقعت في بقعة اسمها خم، حدّدت بموجبها مواصفات الخليفة، ونصّ عليه، وقيل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التطبيق أنّ هذه المواصفات والعقلية المذكورة لا تنسجم مع روح المبدأ المادّي للتيارات المعاكسة؛ لأنّها ستُترجم إلى سلوكيات ونهج سياسة تبقى تحرّك الأجيال على مرّ العصور والأزمان، ملازمةً لاستمرارية المنهج وامتداده</w:t>
      </w:r>
      <w:r>
        <w:rPr>
          <w:rFonts w:eastAsia="Amiri" w:cs="Amiri" w:ascii="Amiri" w:hAnsi="Amiri"/>
          <w:color w:val="111111"/>
          <w:sz w:val="28"/>
          <w:szCs w:val="28"/>
          <w:rtl w:val="true"/>
          <w:lang w:bidi="ar-SA"/>
        </w:rPr>
        <w:t xml:space="preserve">. </w:t>
      </w:r>
      <w:bookmarkStart w:id="250" w:name="pg7448_76899"/>
    </w:p>
    <w:p>
      <w:pPr>
        <w:pStyle w:val="BookText"/>
        <w:rPr/>
      </w:pPr>
      <w:bookmarkEnd w:id="250"/>
      <w:r>
        <w:rPr>
          <w:rFonts w:ascii="IRNazanin" w:hAnsi="IRNazanin" w:eastAsia="IRNazanin"/>
          <w:color w:val="111111"/>
          <w:sz w:val="28"/>
          <w:sz w:val="28"/>
          <w:szCs w:val="28"/>
          <w:rtl w:val="true"/>
          <w:lang w:bidi="fa-IR"/>
        </w:rPr>
        <w:t xml:space="preserve">وهكذا تحرّك الإمام علیه السلام  في الأُمّة المقهورة الضعيفة ليُعيدها إلى جادّة الصواب، بعد أن أوشكت على تقبّل الفكرة اليزيدية التي أخذت بالتجذّر والالتصاق، وفعلاً تحرّك الإمام علیه السلام </w:t>
      </w:r>
      <w:r>
        <w:rPr>
          <w:rFonts w:eastAsia="IRNazanin" w:cs="IRNazanin"/>
          <w:color w:val="111111"/>
          <w:sz w:val="28"/>
          <w:szCs w:val="28"/>
          <w:rtl w:val="true"/>
          <w:lang w:bidi="fa-IR"/>
        </w:rPr>
        <w:t>.</w:t>
      </w:r>
    </w:p>
    <w:p>
      <w:pPr>
        <w:pStyle w:val="Heading4"/>
        <w:numPr>
          <w:ilvl w:val="3"/>
          <w:numId w:val="1"/>
        </w:numPr>
        <w:rPr/>
      </w:pPr>
      <w:bookmarkStart w:id="251" w:name="__RefHeading___Toc1936816_1051229030"/>
      <w:bookmarkStart w:id="252" w:name="_Toc93"/>
      <w:bookmarkEnd w:id="251"/>
      <w:r>
        <w:rPr>
          <w:rtl w:val="true"/>
        </w:rPr>
        <w:t>الحتمية في التحرّك</w:t>
      </w:r>
      <w:bookmarkEnd w:id="252"/>
    </w:p>
    <w:p>
      <w:pPr>
        <w:pStyle w:val="BookText"/>
        <w:rPr/>
      </w:pPr>
      <w:r>
        <w:rPr>
          <w:rFonts w:ascii="Amiri" w:hAnsi="Amiri" w:eastAsia="Amiri" w:cs="Amiri"/>
          <w:color w:val="111111"/>
          <w:sz w:val="28"/>
          <w:sz w:val="28"/>
          <w:szCs w:val="28"/>
          <w:rtl w:val="true"/>
          <w:lang w:bidi="ar-SA"/>
        </w:rPr>
        <w:t>عندما فشل الوليد في انتزاع البيعة من الإمام الحسين علیه السلام ، صار لزاماً على الإمام علیه السلام  ـ من حين خروجه من مجلس الوليد والي المدينة ـ أن يستعدّ للخروج من المدينة في جوف الليل، فخرج وهو يتلو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وسلك الطريق المعتاد حتّى طُلب منه أن يغيّر المسلك، فأبى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أفارقه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يقضي الله ما هو قاضٍ</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السؤال هنا عن تغيير المسلك في سير الجادّة، إلا أن الجواب جاء بالنفي عن مفارقة الطريق الأعظم، على لسان البطل الثائر ذي الامتدادية، والأمثل في أحقّية الخلافة الشرعية لخصوصياته المتعدّدة المرتبطة بوحي السماء من جانب، ومن جانب آخر السلوك الأخلاقي العظيم الذي تهواه نفس العدو قبل الصديق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الجواب يدلّ على حتميّة التحرك في الثورة، والتعبير المتقدم في جواب الإمام علیه السلام  من ثوابت التحرّك والأسس التي لا يخالطها الشكّ في عملية الإصلاح، هذا الثابت نابع عن معرفية تامّة لأُمور الأُمّة آنذاك، كيف وهو الخبير ابن الوصي الذي يدرك ويعلم أنّ صلاح الأُمّة لا يتمّ إلّا بالثورة، ولكن أي ثورة، الثورة المدروسة الخُطى، ذات الثوابت العميقة، التي تمثّل المرتكز الذي يُعتمد عليه في عملية النهضة الحتمية الوقوع</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مكّة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شعبان سنة</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للهجرة، فأقام فيها أربعة أشهر وأياماً، وهي أقدس مكان تهوى إليه القلوب من كلّ فجٍ عميق، فالتفّ حوله المسلمون وكعادة أهل العلم ـ لا يرون زكاته إلّا بتعليمه الناس ـ علّمهم من فيض علمه؛ لأنّه ابن الوصي </w:t>
      </w:r>
    </w:p>
    <w:p>
      <w:pPr>
        <w:pStyle w:val="BookText"/>
        <w:rPr/>
      </w:pPr>
      <w:r>
        <w:rPr>
          <w:rFonts w:ascii="Amiri" w:hAnsi="Amiri" w:eastAsia="Amiri" w:cs="Amiri"/>
          <w:color w:val="111111"/>
          <w:sz w:val="28"/>
          <w:sz w:val="28"/>
          <w:szCs w:val="28"/>
          <w:rtl w:val="true"/>
          <w:lang w:bidi="ar-SA"/>
        </w:rPr>
        <w:t xml:space="preserve">كما وصف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ومهبط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يُتمّ حجّه في تلك السنة؛ الأمر الذي يبعث على كثرة التساؤلات وفي جوانب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ويُجاب عنها ـ بمختصر الكلام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شخصاً مثل الإمام الحسين علیه السلام  يعي تماماً مسؤوليته في التحرّك الرافض، لا سيما وأنّ في خروجه من المدينة ودخوله مكّة ومكوثه فيها أربعة أشهر وأياماً، كلّه يصبّ في التخطيط السياسي الواعي الذي يعتمد على الأُمّة في التحريك، ويهيئ له الظروف الملائمة للانطلاق؛ فحلّ إحرامه ولم يكمل حجّه، وصرّح بعملية التحرك تاركاً المرحلة السرّية فيه، ومختصراً عنصر الزمن؛ لأنّ هذه المرحلة من حياة الأُمّة لا تتحمّل الانتظار؛ فلا بدّ من هزّة عنيفة تعبّر عن مكنون الأُمّة، فأعلن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ومَن كان فينا باذلاً مهجته، موطّناً على لقاء الله نفسه؛ فليرحل معنا، فإنّي راحل مصبحاً إن شاء الله تعالى</w:t>
      </w:r>
      <w:r>
        <w:rPr>
          <w:rFonts w:eastAsia="IRNazanin" w:cs="IRNazanin"/>
          <w:color w:val="111111"/>
          <w:sz w:val="28"/>
          <w:szCs w:val="28"/>
          <w:rtl w:val="true"/>
          <w:lang w:bidi="fa-IR"/>
        </w:rPr>
        <w:t>»</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صرخة في واقع الأُمّة غاية في الصراحة والشفافية، خالية من نظرية المؤامرة، التي غالباً ما تُحاك خلف الكواليس، ودعوة طوعية لكلّ مَن يجد في نفسه توافر الشروط في البذل والتوطّن والاستعداد للرحيل بهذه الصورة المثالية، التي لم يشهد لها التاريخ من قبل، إنّها في غاية الصراحة والوضوح، خالية من كلّ الممارسات القسرية، وهذا نوع من المنهجية في التحرّك الواعي الذي يضمن للأُمّة كرامتها المهدورة، ويُعيد إليها حالة الوعي في الحركة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روح الإمام الحسين علیه السلام  روحٌ تجري العقيدة في عروقها، ولا يتحرّك إلّا حسب ما يُمليه عليه الواجب الشرعي في الحفاظ على عقيدة الأُمّة، التي تعرّضت للاهتزاز والانهيار لولا خروجه الذي صحّح المسار، مع علمه بأنّ خاتمة المطاف في التحرّك قتلٌ وسبي، لكنّ هذا لم يثنه عن عزمه في الحركة؛ ولذا نراه يخطّط للثورة؛ ابتداءً من رفض البيعة والخروج من المدينة، مروراً بالإقامة المؤقّتة في مكّة، وانتهاءً بحفر الخندق وتفقّد ساحة المعركة المقبلة، وهي عملية في غاية الدقّة، لا تدلّ إلّا على فكر القائد وشمولية النظرة القيادية عنده، وتدلّ على أنّ الهدف الذي يسعى إليه الإمام </w:t>
      </w:r>
      <w:bookmarkStart w:id="253" w:name="pg7448_76901"/>
    </w:p>
    <w:p>
      <w:pPr>
        <w:pStyle w:val="BookText"/>
        <w:rPr/>
      </w:pPr>
      <w:bookmarkEnd w:id="253"/>
      <w:r>
        <w:rPr>
          <w:rFonts w:ascii="IRNazanin" w:hAnsi="IRNazanin" w:eastAsia="IRNazanin"/>
          <w:color w:val="111111"/>
          <w:sz w:val="28"/>
          <w:sz w:val="28"/>
          <w:szCs w:val="28"/>
          <w:rtl w:val="true"/>
          <w:lang w:bidi="fa-IR"/>
        </w:rPr>
        <w:t>الحسين علیه السلام  ـ روحي له الفداء ـ أسمى من كلّ الموازين المادّية؛ لأنّه نابعٌ من علم الإمام ابن الوصي الذي به فتح الله وبه يختم، ومثله لا يبايع مثل يزيد</w:t>
      </w:r>
      <w:r>
        <w:rPr>
          <w:rFonts w:eastAsia="IRNazanin" w:cs="IRNazanin"/>
          <w:color w:val="111111"/>
          <w:sz w:val="28"/>
          <w:szCs w:val="28"/>
          <w:rtl w:val="true"/>
          <w:lang w:bidi="fa-IR"/>
        </w:rPr>
        <w:t>.</w:t>
      </w:r>
    </w:p>
    <w:p>
      <w:pPr>
        <w:pStyle w:val="Heading4"/>
        <w:numPr>
          <w:ilvl w:val="3"/>
          <w:numId w:val="1"/>
        </w:numPr>
        <w:rPr/>
      </w:pPr>
      <w:bookmarkStart w:id="254" w:name="__RefHeading___Toc1936818_1051229030"/>
      <w:bookmarkStart w:id="255" w:name="_Toc94"/>
      <w:bookmarkEnd w:id="254"/>
      <w:r>
        <w:rPr>
          <w:rtl w:val="true"/>
        </w:rPr>
        <w:t>سمو الأهداف</w:t>
      </w:r>
      <w:bookmarkEnd w:id="255"/>
    </w:p>
    <w:p>
      <w:pPr>
        <w:pStyle w:val="BookText"/>
        <w:rPr/>
      </w:pPr>
      <w:r>
        <w:rPr>
          <w:rFonts w:ascii="Amiri" w:hAnsi="Amiri" w:eastAsia="Amiri" w:cs="Amiri"/>
          <w:color w:val="111111"/>
          <w:sz w:val="28"/>
          <w:sz w:val="28"/>
          <w:szCs w:val="28"/>
          <w:rtl w:val="true"/>
          <w:lang w:bidi="ar-SA"/>
        </w:rPr>
        <w:t xml:space="preserve">لقد شهدت الأُمّة الكثير من الثورات ذات الطابع الإصلاحي، ووقف خلفها الكثيرون، وروّجوا لها كحالات إصلاحية تهدف إلى تصحيح مسار الأُمّة المنحرف، ولكن سرعان ما خبا وهج تلك الثورات، وتعرّضت للتآكل، وبقيت مجرّد أحداث مرّ عليها الزمن، وجزءاً من تراث الأُمّة، وبقيت آثارها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السلبية الطابع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تنعكس على واقع الأُمّة؛ نتيجةً لردود الأفعال التي أحدثتها في الساحة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ساحة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والمتقصّي لأسباب الانحسار عن مسرح الأحداث يجد أنّ مثل هذه الثورات تطلق شعارات إصلاحية الطابع، لكنّها تُخفي خلفها الأغراض الحقيقية لنفوس مدّعيها؛ الأمر الذي يدعو إلى ضبابية أهدافها، فتخلو تلك الأهداف من الاستناد التامّ إلى الدعامة التي تمنحها عنصر القوة والاستمرار، والمستمدّ من الاتّكاء على العقيدة التي تؤمّن الثبات والامتداد والمقبولية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ولذا؛ نرى الإمام الحسين علیه السلام  أعلن عن سموّ الهدف الذي من أجله خرج، وهو أمرٌ لم تألفه الأُمّة من قبل، فالإعلان عن الهدف قد يتيح للمتربّص أن ينقضّ على المشروع في مهده، والإعلان عن الهدف ـ ولاسيما من شخصٍ ورث الامتداد من بيت الوصي ـ أسمى ما في الثورة؛ حيث لم يترك للأُمّة 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ثالث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لم أخرج أشراً ولا بطراً، ولا مفسداً ولا ظالماً، وإنّما خرجت أطلب الإصلاح في أُمّة جدّي محمد صلّى الله عليه و آله ، أُريد أن آمر بالمعروف وأنهى عن المنكر</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شعار لا يختلط به غيره، مع علمه بما سيؤول إليه الأمر من قتلٍ وأسرٍ وسبي، لكنّه يدلّ على أعلائيّة الهدف وسموّه؛ ولذا صمّم على السير إلى كربلاء، وكلمة السير إلى كربلاء تستوقفنا للتأمّل، فالسفير أُرسل إلى الكوفة، العاصمة الحاضرة، وتقصّي </w:t>
      </w:r>
    </w:p>
    <w:p>
      <w:pPr>
        <w:pStyle w:val="BookText"/>
        <w:rPr/>
      </w:pPr>
      <w:r>
        <w:rPr>
          <w:rFonts w:ascii="Amiri" w:hAnsi="Amiri" w:eastAsia="Amiri" w:cs="Amiri"/>
          <w:color w:val="111111"/>
          <w:sz w:val="28"/>
          <w:sz w:val="28"/>
          <w:szCs w:val="28"/>
          <w:rtl w:val="true"/>
          <w:lang w:bidi="ar-SA"/>
        </w:rPr>
        <w:t xml:space="preserve">السير إلى كربلاء،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الغائية هنا يرجع بنا إلى خارطة الأحداث التي رسمها لنا النموذج المتصل بالسماء؛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سيُقتل ولدي الحسين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الأُمم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النخبة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اعتادت أن تنصب العداوة لمصلحيها؛ لأنّهم يشكّلون الخطر الذي سيطيح بتأسيساتهم المادّية ويحيلها إلى رماد؛ وإن النموذج النقي عالم بأنّ الأُمّة سيؤول أمرها إلى الخراب، بعد الهنات التي تعرّضت لها، وامتناع الأُمّة عن الإتيان بالدواة والكتف؛ ممّا عطّل عملية الكتابة التي لو حصلت في حينها لتمّ التطبيق للمنهج الرسالي، وهو أن تكون الأُمور بيد النموذج الأمثل القادر على إدارة عجلة الحياة بكافّة أصعدتها؛ نظراً لما يتمتّع به من خصوصيات أهّلته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تمّت الملازمة بين قابلية المنهج للاستمرار وبين صلاحية النموذج النقي للامتداد، تتمّ قواعد العملية الإصلاحية على أفضل صورة رسمتها السماء؛ لأنّ هناك فرقاً واضحاً بين وجود منهج رسالي مستمر وبين الواقع التطبيقي لهذا المنهج الرسالي، ولعلّ من أبرز الإشكاليات التي واجهت المنهج هي عدم إتاحة الفرصة المناسبة له بالنزول إلى حيّز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منكم سلطانا جائراً، مستحلاً لحرام الله، ناكثاً لعهد الله، مخالفاً لسُنَّة رسول الله، يعمل في عباد الله بالإثم والعدوان، فلم يُغيّر بفعل ولا قول؛ كان حقّاً على الله أن يُدخله مدخله</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والإمام علیه السلام  يعلن بهذا الخطاب المقدس دعوة صريحة لتشخيص هوية الأُمّة السياسية والقائمين عليها في إشراك الشريحة التي تسكت عن إبداء الرأي الآخر في الممارسات التي لا تنسجم مع روح المنهج، ووعدهم بالمؤاخذة والإدخال في نفس المدخل، وهو مبدأ اعتمده الإمام علیه السلام  كخطّة لتخليص الساحة من الشوائب كشروط لجعلها نقيّة، وأغلقت الأبواب على مَن لم يخرج؛ ولذا نرى أن الذين صمدوا في </w:t>
      </w:r>
      <w:bookmarkStart w:id="256" w:name="pg7448_76903"/>
    </w:p>
    <w:p>
      <w:pPr>
        <w:pStyle w:val="BookText"/>
        <w:rPr/>
      </w:pPr>
      <w:bookmarkEnd w:id="256"/>
      <w:r>
        <w:rPr>
          <w:rFonts w:ascii="Amiri" w:hAnsi="Amiri" w:eastAsia="Amiri" w:cs="Amiri"/>
          <w:color w:val="111111"/>
          <w:sz w:val="28"/>
          <w:sz w:val="28"/>
          <w:szCs w:val="28"/>
          <w:rtl w:val="true"/>
          <w:lang w:bidi="ar-SA"/>
        </w:rPr>
        <w:t>الميدان هم الذين لم يختاروا على الخلود أمراً غيره؛ فاشتروا رضا الله بأغلى الأثمان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المؤكّد أنّ النخبة الصالحة هي التي تأخذ على عاتقها مهمّة تقنين جوانب حياة الأُمّة باعتبارها صاحبة الوعي الرسالي والذهنية المتفتقة، والتي تستطيع من خلالها أن تمتلك القابلية اللازمة في 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لذي كلِّ لُبّ، أنّ النخبة لم تصل إلى مرحلة النخبوية إلّا بعد أن مرّت بعمليات استجلاء وغربلة للنوايا، اجتازوا جميع مراحلها؛ فوصلوا إلى مرحلة توطين النفس على الموت، فكانت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بلوتهم، فما وجدت فيهم إلّا الأشوس الأقعس، يستأنسون بالمنيّة دوني استيناس الطفل بمحالب أُمّه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الخطّة في استجلاء نوايا القوم أثبتت مقدار إخلاصهم في الفداء والتضحية في سبيل العقيدة وكرامة الإنسان، وتبقى ثورة الإمام الحسين علیه السلام  نبراساً لكلّ من يسعى للبحث عن عزّة النفس ومعنى الشرف والإنسانية</w:t>
      </w:r>
      <w:r>
        <w:rPr>
          <w:rFonts w:eastAsia="IRNazanin" w:cs="IRNazanin"/>
          <w:color w:val="111111"/>
          <w:sz w:val="28"/>
          <w:szCs w:val="28"/>
          <w:rtl w:val="true"/>
          <w:lang w:bidi="fa-IR"/>
        </w:rPr>
        <w:t>.</w:t>
      </w:r>
    </w:p>
    <w:p>
      <w:pPr>
        <w:pStyle w:val="Heading4"/>
        <w:numPr>
          <w:ilvl w:val="3"/>
          <w:numId w:val="1"/>
        </w:numPr>
        <w:rPr/>
      </w:pPr>
      <w:bookmarkStart w:id="257" w:name="__RefHeading___Toc1936820_1051229030"/>
      <w:bookmarkStart w:id="258" w:name="_Toc95"/>
      <w:bookmarkEnd w:id="257"/>
      <w:r>
        <w:rPr>
          <w:rtl w:val="true"/>
        </w:rPr>
        <w:t>شفافية التحرّك</w:t>
      </w:r>
      <w:bookmarkEnd w:id="258"/>
    </w:p>
    <w:p>
      <w:pPr>
        <w:pStyle w:val="BookText"/>
        <w:rPr/>
      </w:pPr>
      <w:r>
        <w:rPr>
          <w:rFonts w:ascii="IRNazanin" w:hAnsi="IRNazanin" w:eastAsia="IRNazanin"/>
          <w:color w:val="111111"/>
          <w:sz w:val="28"/>
          <w:sz w:val="28"/>
          <w:szCs w:val="28"/>
          <w:rtl w:val="true"/>
          <w:lang w:bidi="fa-IR"/>
        </w:rPr>
        <w:t>إنّ الإعلان عن هدفية الثورة عند الإمام علیه السلام  لم يكن منفصلاً عن التحرّك منذ البداية، مع العلم المسبق بما ستؤول إليه الأحداث فيما بعد التحرّك، وبما أنّ الإمام علیه السلام  خاطب الأُمّة واستنهضها؛ لأجل إزالة التشويه الحاصل في ساحة العقيدة، لكنّه في الوقت نفسه مارس الدور القيادي الكامل في إدارة التحرّك؛ فمنذ أن وصلت إليه الكتب المتوالية من الأُمّة شكّلت عنده الخطاب الشرعي اللازم للتحرك نحو الثورة، فباشر التحرّك المدروس</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لقي عبد الله بن مطيع الإمام علیه السلام  في طريق مكة،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أين تريد؟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فمكة</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حذّره من الكوفة لشؤمها وخذلان أهلها لهم، ثمّ أشار عليه بملازمة الحرم المكي؛ ظنّاً منه أنّ السلطة آنذاك تأخذ حرمة الحرم بعين الاعتبار، وهو ظنٌّ يختلف عن ظنّ القيادة الحكيمة ومنهجيتها الرائدة في الإصلاح التي اتّبعها الإمام علیه السلام ، ومع هذا؛ فإنّ المُستشفّ من قول ابن مطيع بعد طلبه المكوث في مكّة أن تُتّخذ مكّة كقاعدة للإمام بدليل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ويتداعى إليك الناس من كلّ جانب</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الواقع الحياتي الذي أُسندت قيادته إلى الإمام علیه السلام  يتطلّب تنقية الأهداف الإصلاحية؛ لتتناسب مع إشكاليات الأُمّة المعرّضة للتشويه والاهتزاز في العقيدة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نظرنا إلى مكوّنات الساحة السياسيّة التي شكّلت عناصر التحرك للثورة، ابتداءً من التحرّك نحو الطف، وإرسال السفير الفدائي العظيم المخلص، صاحب الُمثل والمساحة الأخلاقية الرفيعة المستوى، وانتهاءً بكربلاء الدم والسيف والشهادة، وبهذا الشكل يتّضح مدى عمق العبقرية التي يمتلكها الإمام الحسين علیه السلام  في الثورة، فنجح في استدامة روح الثورة عبر المواقف التي تعرّض لها في كلّ مراحل التحرّك،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الطرماح بن عدي الطائي يقترح عليه أن يحتمي بطيء، وأنّه يكفل له عشرين ألف طائي حتّى يتبيّن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فرفض الإمام علیه السلام  هذا العرض الذي يبدو مغرياً لأوّل وهلة؛ فإنّ عملية الاحتماء لو أراد أن يمارسها الإمام علیه السلام  يتمكّن منها قبل أن يتحرّك، أو قبل أن يصل إلى مشارف طيء، وعلماً منه أنّ هذه العملية ستلغي مشروع الثورة الحتمية الوقوع، سواءً احتمى أم لم يحتمِ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المسألة ليست ذات طابع قَبَلي، حتّى يلجأ إلى الاستجارة بالقبائل الأُخرى لدفع القتل عن المستجير، بل هي ذات أبعاد أكبر من هذه التصورات، مسألة تعود إلى أنّ الإمام الحسين علیه السلام  يمثّل الضمير الواعي للأُمّة، وثقافة لا يمكن مجاراتها؛ نظراً لامتداداتها المتشعّبة في المجتمع، وقرب نسبها وعهدها بالوحي السماوي؛ الذي أمدّها بكلّ قيم السماء، وكلّ هذه العناصر شكّلت الصلاحية المتكاملة للعنصر النقي، الذي يُمثّل تطلعات الأُمّة من خلال ممارسة عملية الوعي التام، وهذا ـ بمجموعه ـ </w:t>
      </w:r>
      <w:bookmarkStart w:id="259" w:name="pg7448_76905"/>
    </w:p>
    <w:p>
      <w:pPr>
        <w:pStyle w:val="BookText"/>
        <w:rPr/>
      </w:pPr>
      <w:bookmarkEnd w:id="259"/>
      <w:r>
        <w:rPr>
          <w:rFonts w:ascii="IRNazanin" w:hAnsi="IRNazanin" w:eastAsia="IRNazanin"/>
          <w:color w:val="111111"/>
          <w:sz w:val="28"/>
          <w:sz w:val="28"/>
          <w:szCs w:val="28"/>
          <w:rtl w:val="true"/>
          <w:lang w:bidi="fa-IR"/>
        </w:rPr>
        <w:t>شكّل بؤرة الخطر القادم على دنيا ذوي الاتجاهات المادّية؛ فهبّوا للانقضاض عليها، ولم يرضوا إلّا بانتزاع العلقة التي في الصدور، فالمسألة ليست محتملة لرؤيا تحليلية محدودة النظرة؛ ولذا قام الإمام الحسين علیه السلام  في التحرّك بعملية يعلم أنّها معيدة للأُمّة رُشدها، وتنمّي الوعي لدى أبنائها؛ لكي تستمر عملية الثورة التي جاءت نتيجة الوعي الراقي، وفق المنهج الإسلامي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أيدي نخبة مارست عملية إيقاظ الأُمة من خلال الإيمان بالمنهج، لا من خلال التكوين الطبوغرافي للمجتمع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النوع من الوعي أفرز عنصراً مهمّاً في واقع الأُمّة النخبوي، وهو عنصر الثبات والاستماتة في سبيل المبدأ الذي انتهج من خلال العقيدة، التي ترسخت إلى حدٍّ يدفع المعتنق بذل أغلى ما يملك ـ وهي الحياة ـ في سبيل العقيدة، وهو الطريق الذي لا ثالث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النصر الذي هو إحدى الحسنين، أو الشهادة ومعناها الخلود الأُخروي الذي وعدت به السماء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241"/>
      </w:r>
    </w:p>
    <w:p>
      <w:pPr>
        <w:pStyle w:val="Heading4"/>
        <w:numPr>
          <w:ilvl w:val="3"/>
          <w:numId w:val="1"/>
        </w:numPr>
        <w:rPr/>
      </w:pPr>
      <w:bookmarkStart w:id="260" w:name="__RefHeading___Toc1936822_1051229030"/>
      <w:bookmarkStart w:id="261" w:name="_Toc96"/>
      <w:bookmarkEnd w:id="260"/>
      <w:r>
        <w:rPr>
          <w:rtl w:val="true"/>
        </w:rPr>
        <w:t>دور الأُسوة في القيادة</w:t>
      </w:r>
      <w:bookmarkEnd w:id="26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في أنّ الدور القيادي الذي مثّله الإمام الحسين علیه السلام  ولّد جانباً معنوياً، استمدّ منه الثوّار ضمانة نجاح أهداف الثورة الحسينية؛ لأنّ الإيمان الراسخ بسلامة التحرّك وخلوّه من الرؤى الدنيوية ـ التي غالباً ما تعمل على تحجّر الثورات وجمودها ـ هو الذي جعل النخبة واثقة الخطى قوية العزيمة، وهذا الإيمان أنتج بهم أسباب الإبداع الشخصي، الذي شكل بدوره العنصر الإبداعي المتكامل للثورة وقائدها وأصحابه؛ لأنّهم وجدوا الأُسوة المتكاملة، والشخصيّة الممتدة في العمق الرسالي، وهذه الأُسوة شكّلت الدافع المعنوي العالي الدقّة للنخبة الثائرة، وأعطتهم الزخومات اللازمة للاستمرار باتجاه الكمال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فالأُسوة هي قيادة عميقة المسؤولية، ذات حكمة عالية وشجاعة فذّة، وتُثبِّت الوعي لدى الأُمّة سياسياً وتجعل النخبة تُؤثر الحتف على العيش المتّصف بالذلّة والخنوع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نرى الأُسوة 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أُثني على الله أحسن الثناء، وأحمده على السرّاء والضرّاء، اللّهم إنّي أحمدك على أن أكرمتنا بالنبوّة، وعلّمتنا القرآن، وفقّهتنا في الدين، وجعلت لنا أسماعاً وأبصاراً وأفئدة، فاجعلنا من الشاكرين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مصدر القوّة هو الارتباط بالسماء من جهة، وأداء التكاليف المناطة بالمخلوقين من جهة أُخرى، وفي البين إلهاب وتوهّج للوعي؛ يجعله قابلاً لإعلان الرفض لكلّ أنواع الاستبداد أو الاستلاب الممارس في واقع الأُمّة سياسياً وفكريّاً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الدقّة التي امتازت بها الأُسوة المخططة للثورة والقائدة لها تستطيع الأُمّة التمييز بين الحقّ والباطل، وبين الخير والشر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الارتباط السماوي الذي أشرنا إليه، والذي جُعل امتداداً لمنهج السماء في الأرض، يتمثّل في حقيقة النبوة وخليفتها الإمامة، التي نصّت السماء على اقتفاء أثرها؛ للخروج من الظلمات إلى النور، من خلال تقويم حركة التاريخ والواقع، وهذا النوع من الامتداد لا يعتريه أدنى ريب؛ وهو مساهم مساهمةً فعّالةً في رفع معنويات النخبة الواعية، وجعلها تستميت في سبيل المبادئ السامية، مع العلم القطعي بتلك النتيجة النهائية، التي وضعها لهم القائد الذي أخذ على عاتقه تهيئة كلّ مستلزمات الحرب؛ 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وانتهاءً بحفر الخندق خلف معسكر القيادة؛ وذلك لاستخدامه وفقاً لاستخدامات الحرب الوشيكة ـ بل الحتمية ـ الوقوع؛ ممّا جعل النخبة الرسالية تقطع بعدم التقصير في مسألة التابع للمتبوع؛ لذا نراهم </w:t>
      </w:r>
    </w:p>
    <w:p>
      <w:pPr>
        <w:pStyle w:val="BookText"/>
        <w:rPr/>
      </w:pPr>
      <w:r>
        <w:rPr>
          <w:rFonts w:ascii="Amiri" w:hAnsi="Amiri" w:eastAsia="Amiri" w:cs="Amiri"/>
          <w:color w:val="111111"/>
          <w:sz w:val="28"/>
          <w:sz w:val="28"/>
          <w:szCs w:val="28"/>
          <w:rtl w:val="true"/>
          <w:lang w:bidi="ar-SA"/>
        </w:rPr>
        <w:t>يوم الواقعة كانوا على استعداد منقطع النظير، رابطي الجأش شديدي المراس، ممّا حقّق المراد في الآية الكريمة بإيجاد الرهبة في قلوب الأعداء بصنفيهم، أعداء الله وأعدائهم، أوجدوا الرهبة في قلوب الأعداء باعتمادهم الأسباب الطبيعية في المواجهة، بعد الاعتماد على عنصر الغيب الذي ضمن للجميع التكامل من الحقوق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وزوّدهم بعناصر الاستماتة، وأعطاهم الآيات المناسبة لخوض غمار المعركة الرابحة في الميدان الكربلائي، الذي حوى الكون بأجمعه يوم التقى فيه صنفان من القوّة، مميّزان بخصائص ميّزت أحدهما عن الآخر، صنفٌ مثّل كلّ قِوى الخير في الكون، وآخر مثّل كلّ قوى الشرّ، المتمثّلة بالأنانيات القاتلة، التي أخلّت بمسيرة الإصلاح التي تبنّتها قوى الخير، المتمثّلة بأبطالها الشرعيين ذوي التأييد السماوي، الذين خاضوا المعركة بأخلاقية لا نظير لها في التاريخ، وابتعدوا فيها عن كلّ الممارسات الإلجائية إلى الطاعة، والانخراط في المعركة؛ إذ يقول القائد الذي أخذ على عاتقه تنفيذ أمر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أن يراني قتيلاً</w:t>
      </w:r>
      <w:r>
        <w:rPr>
          <w:rFonts w:eastAsia="Amiri" w:cs="Amiri" w:ascii="Amiri" w:hAnsi="Amiri"/>
          <w:color w:val="111111"/>
          <w:sz w:val="28"/>
          <w:szCs w:val="28"/>
          <w:rtl w:val="true"/>
          <w:lang w:bidi="ar-SA"/>
        </w:rPr>
        <w:t>»</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أُكرهكم؛ مَن أحبَّ أن يمضي معنا إلى العراق أوفينا كرائه، وأحسنّا صحبته، ومَن أحبَّ أن يفارقنا من مكانه هذا أعطيناه من الكراء على قدر ما قطع من الأرض</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 أن يعلّم التاريخ ـ بجميع أجياله ـ المنهجية الصالحة للتعامل مع الجماهير الثائرة، للوصول بها إلى أفضل النتائج المرجوّة في عمليّة التغيير والإصلاح في مساحات الأُمّة المخرّبة، دون اللجوء إلى أساليب من شأنها أن تحقّق عمليات انتصار طوباوية، لا تلبث أن تفارق التاريخ وتتلاشى مع أوّل استيقاظات الأُمم، صرخات الحسين علیه السلام  التي هتفت بها حناجر الموحّدين يوم المنازلة؛ فكان النصر حليفاً له ولأتباعه، بعد أن وقف منادياً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وإنّي قد أذنت لكم؛ فانطلِقوا جميعاً في </w:t>
      </w:r>
    </w:p>
    <w:p>
      <w:pPr>
        <w:pStyle w:val="BookText"/>
        <w:rPr/>
      </w:pPr>
      <w:r>
        <w:rPr>
          <w:rFonts w:ascii="Amiri" w:hAnsi="Amiri" w:eastAsia="Amiri" w:cs="Amiri"/>
          <w:color w:val="111111"/>
          <w:sz w:val="28"/>
          <w:sz w:val="28"/>
          <w:szCs w:val="28"/>
          <w:rtl w:val="true"/>
          <w:lang w:bidi="ar-SA"/>
        </w:rPr>
        <w:t>حلّ، ليس عليكم حرج منّي ولا ذمام، هذا الليل قد غشيكم، فاتّخذوه جملاً، وليأخذ كلُّ رجلٍ منكم بيد رجلٍ من أهل بيتي، وتفرّقوا في سوادكم ومدائنكم، حتّى يفرّج الله، فإنّ القوم إنّما يطلبونني، ولو أصابوني لهوا عن طلب غيري</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الروحية الخاصّة في الخطاب تناسب ـ تماماً ـ الإعداد العسكري الذي اتّبعه القائد في تخطيطه لقيادة النُّخبة الرسالية المؤمنة، التي اختارت الفناء معه على البقاء في ظلّ أجواء حرّة لم تعهدها الصراعات التي ذكرها لنا التاريخ، بعيدةً عن كلّ أجواء العنف والاستبداد والتفرّد المقيت، وهذه الأجواء جعلت الرسالي يدافع عن العقيدة بإبداع خلّده ورمّزه في ذاكرة الأجيال؛ لأنّ قائده كان معه بمنتهى الصدق والصراحة والنقاء، حتّى مع مَن هو في معسكر الندّ، كما في جوابه للوليد حاكم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الأمير، إنّا أهل بيت النبوة ومعدن الرسالة ومختلف الملائكة، بنا فتح الله وبنا ختم، ويزيد رجلٌ فاسق شارب الخمر قاتل النفس المحترمة معلن بالفسق، ومثلي لا يبايع مثله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المنهجية الصريحة الصادقة نراها تُمارس مع الجميع بلا استثناء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منكم الانصراف فلينصرف؛ ليس عليه منّا ذمام</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وفعلاً كان الباقي هو النخبة التي حملت أعباء المرحلة الخطيرة في تاريخ الرسالة، التي بها أعادوا للدين رونقه وفعاليته التي أخمدتها الأهواء والأطماع والممالك الواهية ذات العُقد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أخلاقية خاصّة مُورست مع الجميع، شملت حتّى القريب ممَّن كان معه قد شدّ الرحال نحو الحياة الأزلية؛ لذا نراه يخاطب النخبة لاستجلاء النوايا؛ ولكي يرتفع الغدر فيما بعد القول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ألّا تعلموا ذلك، أو تعلموا ولا تنصرفوا للحياء منّي، ويحرم المكر والخديعة عندنا أهل البيت</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الواقعة، وقد وصف القائد فيها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 أصحاباً أوفى ولا خيراً </w:t>
      </w:r>
      <w:bookmarkStart w:id="262" w:name="pg7448_76909"/>
    </w:p>
    <w:p>
      <w:pPr>
        <w:pStyle w:val="BookText"/>
        <w:rPr/>
      </w:pPr>
      <w:bookmarkEnd w:id="262"/>
      <w:r>
        <w:rPr>
          <w:rFonts w:ascii="Amiri" w:hAnsi="Amiri" w:eastAsia="Amiri" w:cs="Amiri"/>
          <w:color w:val="111111"/>
          <w:sz w:val="28"/>
          <w:sz w:val="28"/>
          <w:szCs w:val="28"/>
          <w:rtl w:val="true"/>
          <w:lang w:bidi="ar-SA"/>
        </w:rPr>
        <w:t>من أصحابي، ولا أهل بيت أبرّ و لا أوصل من أهل بيتي، فجزاكم الله عنّي خيراً</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تمخّض عن قوله أروع النتائج في الدفاع عن العقيدة والمبدأ في أروع صور الاستقبال القتالي، متمثلاً بقول الأسدي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صار الصباح فأوّل مَن يبرز إلى القتال أنتم، نحن نقدمهم للقتال، ولا نرى هاشمياً مضرّجاً بدمه وفينا عرق يضرب؛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ساداتهم للقتال وبخلوا عليهم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لنا التاريخ أجمل المشاهد الإبداعية في الاستماتة والامتثال، تدلّ على نضوج الوعي لدى النخبة الواعية، شيخ كبير طاعن في السنّ، وامرأة عجوز، طفل رضيع، شباب بعمر الورود، الجميع أعطوا المبرّرات اللازمة لخلود الثورة وقائدها وأصحابه الأوفياء في سبيل إعلاء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وجعلها منهجاً صالحاً مستمراً قابلاً للشمول والامتداد</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936824_1051229030"/>
      <w:bookmarkStart w:id="264" w:name="_Toc97"/>
      <w:bookmarkEnd w:id="263"/>
      <w:r>
        <w:rPr>
          <w:rtl w:val="true"/>
        </w:rPr>
        <w:t>النتائج الحتمية</w:t>
      </w:r>
      <w:bookmarkEnd w:id="264"/>
    </w:p>
    <w:p>
      <w:pPr>
        <w:pStyle w:val="BookText"/>
        <w:rPr/>
      </w:pPr>
      <w:r>
        <w:rPr>
          <w:rFonts w:ascii="IRNazanin" w:hAnsi="IRNazanin" w:eastAsia="IRNazanin"/>
          <w:color w:val="111111"/>
          <w:sz w:val="28"/>
          <w:sz w:val="28"/>
          <w:szCs w:val="28"/>
          <w:rtl w:val="true"/>
          <w:lang w:bidi="fa-IR"/>
        </w:rPr>
        <w:t>مع أنّ عاشوراء الحسين علیه السلام  تتضمّن المأساة والتحدّي، فقد أحدثت في المجتمع الذي رضي بالذلّ والهوان هزات عنيفة، أعادت له بعض وعيه المفقود وإرادته المسلوبة، وهذا اللون من الوعي لم يفهمه المشفق والمعارض حينما نصحه بالتأجيل أو بتغيير المسار، فقد ردّ عليهم بقوله المستمدّ من وحي النبوّة المرتبطة بالسماء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يدعوني حتّى يستخرجوا هذه العلقة من جوفي، فإذا فعلوا سلّط الله عليهم مَن يذلّهم، حتّى يكونوا أذلّ من فرم الأمة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ولأنّه يعلم أنّ السنن التاريخية التي تحكم الحياة لا بدّ من تحريكها بواسطة إحداث هزّة في وجدان الأمة، وعصف في ضميرها، وإنتاج حالة الوعي لديها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والغرض من عملية تحريك السنن لأجل إصلاح القيم وبناء ما هو صالح للحياة، مع أنّ البعض قد منّى الإمام بالأمان والمواصلة، وفتح صفحة جديدة تقوم على حسن المعاشرة والجوار، فأجابه الإمام بأن هذا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المشفق قد عرض على الإمام المشورة والنصح غير المستند إلى الجذر العلمي بمجريات الأُمور الحتميّة،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ليس يخفى عليَّ الرأي، ولكنّ الله تعالى لا يغلب على أمره</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فالإمام قاطع بحتمية الخروج؛ لأجل تصحيح المسارات الخاطئة في الشريعة والحياة، ولم يعر أهمية لما قد أُبدي له من المشفق والمعارض، فسار بوعيه السماوي ليحطّم أجهزة الحكم ومؤسساته الخاطئة، بطريقة حسينية معتمدة على الوعي والفهم الدقيق، وهو عصارة الفهم الحسيني لمجريات الأُمور؛ فحصلت عملية التغيير المتوخّاة في الخروج الحسيني، وتغيّرت بُنى الإنسان الداخلية، وخلقت الوعي لديه من خلال كشف وتحطيم الزيف، وكشف الممارسات الجاهلية التي لا تمتّ إلى الدين بصلة، وكذلك بثّت تلك النهضة في النفوس عقدة جلد الذات، وضرورة إماتة النفس التي لم تُشارك ولم تنصر في تلك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فتحت الآفاق أمام أعين الناس، ممّا جعلها تميّز بين الغث والسمين، وإن كانت مغلوبة على أمرها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جهة، ومن جهةٍ أُخرى نرى أنّ تلك النهضة مهّدت للعديد من الثورات، التي استمدّت روحها من واقعة كربلاء الشهادة، ومنها على سبيل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المدينة، وثورة التوابين، وثورة المختار الثقفي، وثورة عبد الرحمن بن محمد بن الأشعث سنة </w:t>
      </w:r>
      <w:r>
        <w:rPr>
          <w:rFonts w:ascii="IRNazanin" w:hAnsi="IRNazanin" w:eastAsia="IRNazanin"/>
          <w:color w:val="111111"/>
          <w:sz w:val="28"/>
          <w:sz w:val="28"/>
          <w:szCs w:val="28"/>
          <w:lang w:bidi="fa-IR"/>
        </w:rPr>
        <w:t>٨١</w:t>
      </w:r>
      <w:r>
        <w:rPr>
          <w:rFonts w:ascii="IRNazanin" w:hAnsi="IRNazanin" w:eastAsia="IRNazanin"/>
          <w:color w:val="111111"/>
          <w:sz w:val="28"/>
          <w:sz w:val="28"/>
          <w:szCs w:val="28"/>
          <w:rtl w:val="true"/>
          <w:lang w:bidi="fa-IR"/>
        </w:rPr>
        <w:t xml:space="preserve">ﻫ، وثورة زيد بن علي بن الحسين علیه السلام  </w:t>
      </w:r>
      <w:r>
        <w:rPr>
          <w:rFonts w:ascii="IRNazanin" w:hAnsi="IRNazanin" w:eastAsia="IRNazanin"/>
          <w:color w:val="111111"/>
          <w:sz w:val="28"/>
          <w:sz w:val="28"/>
          <w:szCs w:val="28"/>
          <w:lang w:bidi="fa-IR"/>
        </w:rPr>
        <w:t>١٢١</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بقيت ثورة الإمام الحسين علیه السلام  المصباح الذي يستضيء به كلّ ثائر يروم الثورة في كلّ أنحاء العالم؛ ليعيد للإنسان الاعتبار المفقود، ولكي يكون مؤثّراً في إحداث هزّات مناسبة في سنن الكون؛ لأجل الإصلاح والتغيير</w:t>
      </w:r>
      <w:r>
        <w:rPr>
          <w:rFonts w:eastAsia="IRNazanin" w:cs="IRNazanin"/>
          <w:color w:val="111111"/>
          <w:sz w:val="28"/>
          <w:szCs w:val="28"/>
          <w:rtl w:val="true"/>
          <w:lang w:bidi="fa-IR"/>
        </w:rPr>
        <w:t xml:space="preserve">. </w:t>
      </w:r>
      <w:bookmarkStart w:id="265" w:name="pg7448_76911"/>
    </w:p>
    <w:p>
      <w:pPr>
        <w:pStyle w:val="Heading4"/>
        <w:numPr>
          <w:ilvl w:val="3"/>
          <w:numId w:val="1"/>
        </w:numPr>
        <w:rPr/>
      </w:pPr>
      <w:bookmarkStart w:id="266" w:name="__RefHeading___Toc1936826_1051229030"/>
      <w:bookmarkStart w:id="267" w:name="_Toc98"/>
      <w:bookmarkEnd w:id="265"/>
      <w:bookmarkEnd w:id="266"/>
      <w:r>
        <w:rPr>
          <w:rtl w:val="true"/>
        </w:rPr>
        <w:t>طبيعة الصراع</w:t>
      </w:r>
      <w:bookmarkEnd w:id="267"/>
    </w:p>
    <w:p>
      <w:pPr>
        <w:pStyle w:val="BookText"/>
        <w:rPr/>
      </w:pPr>
      <w:r>
        <w:rPr>
          <w:rFonts w:ascii="Amiri" w:hAnsi="Amiri" w:eastAsia="Amiri" w:cs="Amiri"/>
          <w:color w:val="111111"/>
          <w:sz w:val="28"/>
          <w:sz w:val="28"/>
          <w:szCs w:val="28"/>
          <w:rtl w:val="true"/>
          <w:lang w:bidi="ar-SA"/>
        </w:rPr>
        <w:t>لا يخفى على اللبيب أنّ العنصر الفاعل في الحياة هو الإنسان، صاحب الدور الريادي في مسيرة رسم حركة التاريخ، وتحقيق الهدف المنشود من خلقته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وغالباً ما يتعرّض هذا العنصر الفعال إلى عملية هدم تشمل جميع بُناه الثقافية والفكرية، بل على جميع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كفرد مساهم ضمن جماعة يُطلق عليها المجتمع، كلاهما يتعرّض إلى عمليات الاستلاب والغزو المسبّبين عن عملية يُطلق عليها الركون إلى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تلك العملية نصّ عليها الكتاب الكريم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في هدم البناء الديني لكلا الطرفين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 لهما الإعاقة وتعطيل المسارات الإصلاحية عندهما؛ لأنّها تحدث فيهما الشلل التامّ، أو شبه التامّ؛ ممّا يجعلهما غير شاعرين بما ينويان له، أو على الأقلّ يجعلانهما يغضّان الطرف، فيؤثران الصمت على الكلام، والاستكانة على العمل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جرى في كربلاء ـ وما سبقها من أحداث يندى له جبين الإنسانية جمعاء ـ هو عبارة عن صراع بين ثقافتين، إحداهما مستندة في جذرها إلى السماء، ومؤيّدة بها ومتغلغلة في أعماق الفطرة الإنسانية، والأُخرى سطحية خالية من القيم، وتفتقر في النشأة والتكوّن إلى ما يؤيّدها، لكنّها تستخدم الآليات المحرّمة ممّا لا تستخدمه الأُولى، فلغة الثقافة الأُولى نزاهتها وشعورها الدائم بضرورة المحافظة على القيم، والسعي الحثيث لعدم هدمها، بل هي القيم بذاتها، وأمّا لغة الثقافة الثانية، فهي تقدّم نفسها على أنّها الأمثل، ولو سمح لها بالتمدد لأتت على كلّ شيء؛ ولذا كان الإمام الحسين علیه السلام  مصيباً على الدوام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الإسلام السلام؛ إذ قد بُليت الأُمّة براعٍ مثل يزيد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فالصراع لم يكن مجرّد خروج على حكم جائر، بل هو ثورة على القيم الفاسدة، التي طغت على المجتمع وأدّت إلى تلك الخرابية الواسعة، التي شملت وشلّت نظام القيم الصحيحة في الحياة، وإلّا لو كان الأمر كما يصوّره البعض لأمكن تسوية الأُمور، وإعطاء البيعة والعيش بوفور تقتضيه مفرداتها، فالإمام عند رفضه البيعة ليزيد ووصفه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شارب الخمر، قاتل النفس المحترمة، معلنٌ بالفسق</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 لم يكن رفضه مجرّداً عن الأسباب الداعية له، بل من أشدّه مواجهةً للانحراف الحاصل في ثوابت الشريعة ومبادئها؛ مما يجعل الإمام علیه السلام  رافضاً أبداً لهكذا نوع من البيعة، واستمرّ الصراع حتّى حصلت المواجهة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فبان الصبح لذي عينين، وهو ليس صراعاً جديداً، بل له من سابقاته من النظائر، ممّا لا تختلف عنه بكثير، فمنذ بدء الدعوة الإسلامية أُعلنت ثقافة الضدّ، قريش وحلفاؤها ـ عرباً ويهوداً ـ أُعلنت الحرب منكرةً وحي السماء تارةً، ومشكّكةً به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النصر دائماً وأبداً هو حليف الثقافة الأعمق جذراً، والممتدة والمعتمدة في جذرها إلى السماء؛ فانتصر الإسلام، وأصبحت كلمة لا إله إلا الله تصدح فوق المنابر والمآذن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تلك أُولى بدايات الصراع بين ثقافتين على أرض واحدة، مع كامل الانقطاع عن الممالك المجاورة لهما، ومع قلّة مواردهما في العدّة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والنظير الثاني ما آل إليه الأمر في صفّين والجمل، وكلا النظيرين جاء ليصحّح المسارات الخاطئة، وفضح الزمر المشوّهة للمفاهيم والقيم الصحيحة؛ ولذا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الصراع هو بين ثقافتين أُولاهما إصلاحية، والثانية إفسادية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نكون مجحفين لو وصفنا الثانية بأنّها انتهازية مستهترة، غير مقيّدة بضوابط الدين والأخلاق</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 واقع الحياة، بل المستفاد من سيرة الأنبياء والمرسلين أنّهم عملوا على نشر القيم بدءاً بآدم علیه السلام ، وختماً بنبوة الخاتم للرسل والرسالات محمد صلّى الله عليه و آله ، مضافاً إلى ما ورد في التاريخ من العِبَر الخالدة، الدالّة على أولويّة تقدّم القيم على المفاسد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ولذا؛ ورد التأكيد على أهمية حسن الخلق في المجتمعات، بقوله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أفاضلكم أحاسنكم أخلاقاً، الموطّئون أكنافاً، الذين يألفون ويُؤلفون، وتوطأ رحالهم</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تأكيد المنهج السماوي على أهميّة القيم في الحياة، من خلال الجهاد والمجاهدة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الجهاد هو العروة، والأمر بالمعروف هو الوفاء، والنهي عن المنكر هو الحجة</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أبرزت الثقافة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ثقافة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الرؤية في الإصلاح في إطار الأخلاق داخل المجتمعات؛ لما لها من الأهمّية في إدارة الواقع الحياتي للمجتمعات؛ لذا نراه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أوْلى مَن قام بنصرة دين الله، وإعزاز شرعه، والجهاد في سبيله؛ لتكون كلمة الله هي العليا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زال الصراع مستمراً إلى يومنا هذا، ولكلٍّ مسلكه الخاص به، وممارساته التي يتّبعها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معاوية يخاطب أتباعه صراحةً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قاتلتكم لتصلّوا ولا لتصوموا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قاتلتكم لأتأمّر عليكم؟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تكشف هذه الثقافة عن أخطر أوراقها، والأُمّة لا زالت تغطّ في السبات لا تحرّك ساكناً ولم تغيّر شيئاً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وفي المقابل نرى الثقافة الرافضة تضع في المعادلة ما يرجّحها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أُعطيهم بيدي إعطاء الذليل، ولا أُقرّ إقرار العبيد</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فكانت نتيجة الصراع هي الامتداد للمسار الذي رسمه الإمام علیه السلام  على مرّ </w:t>
      </w:r>
    </w:p>
    <w:p>
      <w:pPr>
        <w:pStyle w:val="BookText"/>
        <w:rPr/>
      </w:pPr>
      <w:r>
        <w:rPr>
          <w:rFonts w:ascii="Amiri" w:hAnsi="Amiri" w:eastAsia="Amiri" w:cs="Amiri"/>
          <w:color w:val="111111"/>
          <w:sz w:val="28"/>
          <w:sz w:val="28"/>
          <w:szCs w:val="28"/>
          <w:rtl w:val="true"/>
          <w:lang w:bidi="ar-SA"/>
        </w:rPr>
        <w:t>التاريخ، وهو ما يؤيّده الخطاب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فتح ذلك المعبّر عنه، عندما خرج من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الحسين بن علي إلى بني هاشم، أمّا بعد، فإنّه مَن لحق بي استُشهد، ومَن تخلّف عنّى لم يبلغ الفتح، والسلام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رسالة إلى بني هاشم سادة الأُمم وقادة الأخيار وأُمناء الرحمن، ليس فيها احتمال بالربح والخسارة في الدنيا، بل فيها قطع بالربح والفوز في الآخرة، وهو المراد والمبتغى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المراد ناتج عن الخطاب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أنّنا أثبتنا أنّ حقيقة الصراع هو بين ثقافتين، وأشرنا إلى بعض الخصوصيات التي تكتنفهما كليهما، والآن نودّ الإشارة إلى أنّ كلاً منهما لديه الآليات المناسبة لكي يوصل صوته إلى المجتمع، فالثقافة الأُولى تبتغي نشر القيم في الحياة، ولا بدّ أن تكون آلياتها تناسب ما تذهب إليه، وإلا لانخرم وعدها للمجتمعات، بأنّها ستكون ناشرة لقيم الحياة فيها، وبما أنّها الممدوحة على لسان ربها؛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فلا بدّ من أنّها ستقوم بنشر أجمل القول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تَذْكِرَةٌ فَمَنْ شَاءَ اتَّخَذَ إِلَى رَبِّهِ سَبِيلًا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ولا شكّ في أنّ السبيل الموصل إلى الربّ هو سبيل القيم الصالحة لا الفاسدة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أنّنا نظرنا إلى ما ألقاه صاحب هذه الثقافة ـ في مختلف مراحل حركته نحو كربلاء ـ نجده يحرص كلّ الحرص على القيم مع الآخرين،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اسمعوا قولي ولا تعجلوا حتى أعظكم بما يحقّ لكم عليَّ، وحتى أُعذر إليكم، فإن أعطيتموني النَّصف كنتم بذلك أسعد، وإن لم تعطوني النَّصف من أنفسكم، فأجمعوا </w:t>
      </w:r>
    </w:p>
    <w:p>
      <w:pPr>
        <w:pStyle w:val="BookText"/>
        <w:rPr/>
      </w:pPr>
      <w:r>
        <w:rPr>
          <w:rFonts w:ascii="Amiri" w:hAnsi="Amiri" w:eastAsia="Amiri" w:cs="Amiri"/>
          <w:color w:val="111111"/>
          <w:sz w:val="28"/>
          <w:sz w:val="28"/>
          <w:szCs w:val="28"/>
          <w:rtl w:val="true"/>
          <w:lang w:bidi="ar-SA"/>
        </w:rPr>
        <w:t>رأيكم، ثمّ لا يكن أمركم عليكم غمّة، ثمّ اقضوا إليَّ ولا تنظرون، إنّ وليّي الله الذي نزل الكتاب وهو يتولّى الصالحين</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أجمله من إعلان وإعلام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خطاب بضرورة الاستماع وعدم العجلة والتأنّي حتّى تصدر النصيحة الحقّ، ثمّ يكون العذر له منهم، وما أجمل الدعوة إلى النَّصف للأنفس التي هي أحبّ شيء إلى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إعطائها النَّصف، وعدم الإساءة إليها، وإقحامها فيما يسبّب لها المساءلة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أجمله من صوت حقٍّ وصدقٍ وصراحة ملتزم بضوابط القيم والأخلاق، كما أنّ تلك الثقافة قد استعانت بآليات أُخرى؛ لأجل إيصال صوتها إلى الحياة، ولترفع الإبهام عن ذهن كلّ مستفهم بعدها عن كلّ ما يدور في خلده من عدم أحقّية الخروج؛ لأجل إعادة الأُمور إلى نصابها الصحيح، ومن أبرز تلك الآليات هم الأصحاب الذين رافقوه إلى آخر المحطات في العملية التغييرية، فهذا برير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الناس، إنّ الله بعث محمداً بشيراً ونذيراً، وداعياً إلى الله 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أفجزاء محمد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 ثقل محمد قد أصبح بين أظهُركم، وهؤلاء ذريته وعترته وبناته وحرمه، فهاتوا ما عندكم، وما الذي تريدون أن تفعلوه بهم</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الحرّ ابن يزيد الرياحي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لأُمّكم الهبل والعبر؛ إذ دعوتموه وأخذتم بكظمه وأحطتم 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استمرّت تلك الثقافة بعرض ما عندها؛ لأجل إلقاء الحجّة على مَن لا يعلم، فكان الصوت المستمر لها يدوي ويصكّ الأسماع عن طريق سليل النبوة وعِقدها المنضود، الإمام علي بن الحسين علیه السلام  في أكثر من موقف؛ ليوضح بجلاء أحقّية أهل البيت علیهم السلام ، روّاد هذه الثقافة الأصيلة في إحداث عملية التغيير الإصلاحي للقيم في الكون والحياة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وهذه أخته ممثّلة المرأة في العالم الحرّ، ورائدة الديمقراطية، والمدافعة عمّا تعتقد به من قيم ورثتها عن جدّها النبي الأعظم صلّى الله عليه و آله وأبيها الوصيّ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المؤرخون أنّها أومأت إلى الناس فسكتوا، وراح صوتها الهادر يخترق الأسماع ويصكّها،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والصلاة على أبي محمد وآله الطيبين الأخيار، أمّا بعد، يا أهل الكوفة، يا أهل الختل والغدر، أتبكون فلا رقأت الدمعة ولا هدأت الرنّة، إنّما مَثَلكم كمَثل التي نقضت غزلها من بعد قوّة أنكاثاً، تتخذون أيمانكم دخلاً بينكم، ألا وهل فيكم إلّا الصلف النطف، والصدر الشنف، وملق الإماء وغمز الأعداء، أو كمرعى على دمنة أو كفضةٍ على ملحودة، ألا بئس ما قدّمت لكم أنفسكم أن سخط الله عليكم وفي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فابكوا كثيراً واضحكوا قليلاً، فلقد ذهبتم بعارها وشنارها، ولن ترحضوها بغسلٍ بعدها أبداً، وأنّى ترحضون قتل سليل خاتم النبوة، ومعدن الرسالة، وسيد شباب أهل الجنة، وملاذ حيرتكم، ومفزع نازلتكم، ومنار حجّتكم، ومدرة سنّتكم؟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فاندهش الجميع من هول ما سمعوا؛ فانتبهت القلوب والضمائر لما عرفت من عظيم الشأن والجناية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الدكتورة بنت الشاطئ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أفسدت زينب أخت الحسين على ابن زياد وبني أُمية لذّة النصر، وسكبت قطرات السم الزعاف في كؤوس الظافرين</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إلى أن وصلت في آخر خطابها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فكِد كيدك، واسعَ سعيك، وناصب جهدك، فو الله، لا تمحو ذكرنا، ولا تُميت وحينا، ولا يرحض عنك عارها، 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الذي ختم لنا ولأوّلنا بالسعادة والمغفرة، ولآخرنا بالشهادة والرحمة، ونسأل الله أن يُكمل لهم الثواب، ويُوجب لهم المزيد، ويحسن علينا الخلافة، إنّه رحيمٌ ودود، </w:t>
      </w:r>
    </w:p>
    <w:p>
      <w:pPr>
        <w:pStyle w:val="BookText"/>
        <w:rPr/>
      </w:pP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فأخذت هذه الآلية من الخطاب مأخذها من الناس؛ ممّا حدا بالثقافة الأُخرى إلى إخراج هذا الصوت الهادر الفاضح النهضوي، الموجب لنشر الوعي الإصلاحي، والفهم الصحيح للقيم الصحيحة، ونبذ القيم الفاسدة، لكن لا فائدة فقد اتّسع الخرق على الراقع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الثقافة الثانية، فهي تمتلك من الآليات غير النزيهة، والتي غالباً ما تتّصل بالواقع الجاهلي ذي النظرة الجاهلية والعصبية القبلية، ومن جملة آلياتها أنّها راحت تردّد ما يشمئز السمع عن قبوله، ويترفّع الذوق عن ذكره؛ لعدم صلاحيته؛ ولأنّه يعيد الوعي إلى ما قبل عملية الإصلاح الأُولى، التي جرت على أرض الواقع الإنساني، أي زمن الدعوة إلى الله الأُولى، زمن شروق شمس الإسلام على ربوع الأرض، ومن جملة قادة هذه الثقافة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وهو أمر غاية في الخطورة إذ أنّه يصوّر المنازلة على أنّها عملية ثأرية بين طائفتين لا غير، كما أنّ الخطر الأكبر الذي خفي على الكثير هو أنّ الثقافة الأُخرى تنحو منحى الغالب والمغلوب، ولا دخل للدين والعقيدة عندها في شيء، سوى الاستفادة من الإطار الخارجي، الذي به يمكنها أن تسيطر على الناس، وتغيّر المسارات في الوعي العام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ويقيناً إنّها ليست مؤمنة بالإسلام بالمرّة، وبذا يكون حالها حال أيّ ثقافة معتادة أُخرى، كاليهودية والنصرانية والرومية وغيرها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المؤسف له أنّ المجتمع قد انطلت عليه حيل هذه الثقافة؛ فسار في ركبها طائعاً أو مُرغماً دون أن يدقّق فيها، ولا فيما سيؤول إليه الأمر عند اتّباعها</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7448_76919"/>
      <w:bookmarkStart w:id="269" w:name="pg7448_76919"/>
      <w:bookmarkEnd w:id="269"/>
    </w:p>
    <w:p>
      <w:pPr>
        <w:pStyle w:val="Heading2"/>
        <w:numPr>
          <w:ilvl w:val="1"/>
          <w:numId w:val="1"/>
        </w:numPr>
        <w:rPr/>
      </w:pPr>
      <w:bookmarkStart w:id="270" w:name="pg7448_76919"/>
      <w:bookmarkStart w:id="271" w:name="__RefHeading___Toc1936828_1051229030"/>
      <w:bookmarkStart w:id="272" w:name="_Toc99"/>
      <w:bookmarkEnd w:id="270"/>
      <w:bookmarkEnd w:id="271"/>
      <w:r>
        <w:rPr>
          <w:rtl w:val="true"/>
        </w:rPr>
        <w:t>دِراسَاتٌ في تارِيخ وَتُرَاثِ النَهضَةِ الحُسَينِيَّة</w:t>
      </w:r>
      <w:bookmarkEnd w:id="272"/>
    </w:p>
    <w:p>
      <w:pPr>
        <w:pStyle w:val="Heading3"/>
        <w:numPr>
          <w:ilvl w:val="2"/>
          <w:numId w:val="1"/>
        </w:numPr>
        <w:rPr/>
      </w:pPr>
      <w:bookmarkStart w:id="273" w:name="__RefHeading___Toc1936830_1051229030"/>
      <w:bookmarkStart w:id="274" w:name="_Toc100"/>
      <w:bookmarkEnd w:id="273"/>
      <w:r>
        <w:rPr>
          <w:rtl w:val="true"/>
        </w:rPr>
        <w:t>اشارة</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في سماء الحسين علیه السلام</w:t>
      </w:r>
    </w:p>
    <w:p>
      <w:pPr>
        <w:pStyle w:val="BookText"/>
        <w:rPr/>
      </w:pPr>
      <w:r>
        <w:rPr>
          <w:rFonts w:ascii="Amiri" w:hAnsi="Amiri" w:eastAsia="Amiri" w:cs="Amiri"/>
          <w:color w:val="111111"/>
          <w:sz w:val="28"/>
          <w:sz w:val="28"/>
          <w:szCs w:val="28"/>
          <w:rtl w:val="true"/>
          <w:lang w:bidi="ar-SA"/>
        </w:rPr>
        <w:t>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انعطافة نحو المجد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 مخنف الأزدي الكوفي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أشهر المقاتل الحسينية </w:t>
      </w:r>
      <w:bookmarkStart w:id="275" w:name="pg7448_76920"/>
    </w:p>
    <w:p>
      <w:pPr>
        <w:pStyle w:val="Heading3"/>
        <w:numPr>
          <w:ilvl w:val="2"/>
          <w:numId w:val="1"/>
        </w:numPr>
        <w:rPr/>
      </w:pPr>
      <w:bookmarkStart w:id="276" w:name="__RefHeading___Toc1936832_1051229030"/>
      <w:bookmarkStart w:id="277" w:name="_Toc101"/>
      <w:bookmarkEnd w:id="275"/>
      <w:bookmarkEnd w:id="276"/>
      <w:r>
        <w:rPr>
          <w:rtl w:val="true"/>
        </w:rPr>
        <w:t>نُجُومٌ في سَمَاءِ الحُسَين علیه السلام زُهَيرُ بنُ القَين</w:t>
      </w:r>
      <w:r>
        <w:rPr>
          <w:rtl w:val="true"/>
        </w:rPr>
        <w:t xml:space="preserve">.. </w:t>
      </w:r>
      <w:r>
        <w:rPr>
          <w:rtl w:val="true"/>
        </w:rPr>
        <w:t>انعِطَافَةٌ نَحوَ المَجدِ</w:t>
      </w:r>
      <w:bookmarkEnd w:id="277"/>
    </w:p>
    <w:p>
      <w:pPr>
        <w:pStyle w:val="Heading4"/>
        <w:numPr>
          <w:ilvl w:val="3"/>
          <w:numId w:val="1"/>
        </w:numPr>
        <w:rPr/>
      </w:pPr>
      <w:bookmarkStart w:id="278" w:name="__RefHeading___Toc1936834_1051229030"/>
      <w:bookmarkStart w:id="279" w:name="_Toc102"/>
      <w:bookmarkEnd w:id="278"/>
      <w:r>
        <w:rPr>
          <w:rtl w:val="true"/>
        </w:rPr>
        <w:t>اشارة</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نُجُومٌ في سَمَاءِ الحُسَين علیه السلام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انعِطَافَةٌ نَحوَ المَجدِ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حاتم البخاتي</w:t>
      </w:r>
      <w:r>
        <w:rPr>
          <w:rStyle w:val="FootnoteAnchor"/>
          <w:rtl w:val="true"/>
        </w:rPr>
        <w:footnoteReference w:id="276"/>
      </w:r>
    </w:p>
    <w:p>
      <w:pPr>
        <w:pStyle w:val="Heading4"/>
        <w:numPr>
          <w:ilvl w:val="3"/>
          <w:numId w:val="1"/>
        </w:numPr>
        <w:rPr/>
      </w:pPr>
      <w:bookmarkStart w:id="280" w:name="__RefHeading___Toc1936836_1051229030"/>
      <w:bookmarkStart w:id="281" w:name="_Toc103"/>
      <w:bookmarkEnd w:id="280"/>
      <w:r>
        <w:rPr>
          <w:rtl w:val="true"/>
        </w:rPr>
        <w:t>توطئة</w:t>
      </w:r>
      <w:bookmarkEnd w:id="2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كانت ولا زالت نهضة الإمام الحسين علیه السلام  وثورته المعطاء معيناً لا ينضب لكلّ قيم الخير والنبل والفضيلة، ولا زال بإمكاننا أن نكتشف كنوزها، ونُثير دفائنها إن أحسنّا استخدام الآلات الصحيحة للكشف والتنقيب، وليس مجازفة أن ندّعي أنّ هذا الحدث التاريخي الموغل في القدم باستطاعتنا أن نبصر به الحاضر ونستشرف منه المستقبل، فنسير بخطى واثقة صوب الغاية المنشودة، ولكن يتطلّب ذلك منّا بصائر نافذة وقلوباً واعية؛ فإنّك لو وضعت يدك على أي جزء من أجزاء هذه اللوحة التي أبدعتها يد السماء بريشة المعصوم، فستقع على منجم غني بأنفس العبر وأبلغ العظات والدلائل، وكأنّ الله سبحانه أراد أن يُعطي البشرية عبر مواقف وأحداث النهضة الحسينيّة جرعة مركّزة من الفضائل والمناقب وأرقى درجات القيم الروحيّة والمعنويّة؛ لتكون إحدى حجج الله البالغة على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لَهَدَاكُمْ أَجْمَعِينَ</w:t>
      </w:r>
      <w:r>
        <w:rPr>
          <w:rFonts w:eastAsia="IRNazanin" w:cs="IRNazanin"/>
          <w:color w:val="111111"/>
          <w:sz w:val="28"/>
          <w:szCs w:val="28"/>
          <w:rtl w:val="true"/>
          <w:lang w:bidi="fa-IR"/>
        </w:rPr>
        <w:t>»</w:t>
      </w:r>
      <w:r>
        <w:rPr>
          <w:rStyle w:val="FootnoteAnchor"/>
          <w:rtl w:val="true"/>
        </w:rPr>
        <w:footnoteReference w:id="2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 وَإِنَّ اللَّهَ لَسَمِيعٌ عَلِيمٌ</w:t>
      </w:r>
      <w:r>
        <w:rPr>
          <w:rFonts w:eastAsia="Amiri" w:cs="Amiri" w:ascii="Amiri" w:hAnsi="Amiri"/>
          <w:color w:val="111111"/>
          <w:sz w:val="28"/>
          <w:szCs w:val="28"/>
          <w:rtl w:val="true"/>
          <w:lang w:bidi="ar-SA"/>
        </w:rPr>
        <w:t>»</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ينبغي أن يغيب عن بالنا أنّنا لا نقدر أن نغترف من </w:t>
      </w:r>
      <w:bookmarkStart w:id="282" w:name="pg7448_76921"/>
    </w:p>
    <w:p>
      <w:pPr>
        <w:pStyle w:val="BookText"/>
        <w:rPr/>
      </w:pPr>
      <w:bookmarkEnd w:id="282"/>
      <w:r>
        <w:rPr>
          <w:rFonts w:ascii="Amiri" w:hAnsi="Amiri" w:eastAsia="Amiri" w:cs="Amiri"/>
          <w:color w:val="111111"/>
          <w:sz w:val="28"/>
          <w:sz w:val="28"/>
          <w:szCs w:val="28"/>
          <w:rtl w:val="true"/>
          <w:lang w:bidi="ar-SA"/>
        </w:rPr>
        <w:t>هذا البحر الزخّار إلّا بقدر أوعيتنا المحدودة وجهودنا القاصرة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مِنَ السَّمَاءِ مَاءً فَسَالَتْ أَوْدِيَةٌ بِقَدَرِهَا </w:t>
      </w:r>
      <w:r>
        <w:rPr>
          <w:rFonts w:eastAsia="Amiri" w:cs="Amiri" w:ascii="Amiri" w:hAnsi="Amiri"/>
          <w:color w:val="111111"/>
          <w:sz w:val="28"/>
          <w:szCs w:val="28"/>
          <w:rtl w:val="true"/>
          <w:lang w:bidi="ar-SA"/>
        </w:rPr>
        <w:t>»</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ذلك ألّا نفرغ الوسع ونبذل الجهد، فإنّ لكلّ مجتهد نصيباً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في هذا المقال الموجز نروم الاقتراب من عَلَم شامخ من أعلام الشهادة؛ لنستنشق من روض سيرته المعطار عبير الولاء والوفاء والتضحية في سبيل الحقّ والهداية، ألا وهو الشهيد السعيد زهير بن القين البجلي رضوان الله تعالى عليه</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936838_1051229030"/>
      <w:bookmarkStart w:id="284" w:name="_Toc104"/>
      <w:bookmarkEnd w:id="283"/>
      <w:r>
        <w:rPr>
          <w:rtl w:val="true"/>
        </w:rPr>
        <w:t>بين يدي الشهيد زهير بن القين</w:t>
      </w:r>
      <w:bookmarkEnd w:id="28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الأُمور الغريبة التي تستوقف الباحث هي خلو الموسوعات الكبيرة المخصصة لسِيَر وتراجم الأعلام عن ذكر سِيَر وتراجم كثير من أصحاب الإمام الحسين علیه السلام ، على الرغم من وجود دلائل تاريخيّة تشير إلى أنّهم على درجة عالية من الأهمّية والشهرة في محيطهم الاجتماعي والسياسي، في حين تجد أن هذه المصادر لم تُهمل ذكر أشخاص لا يدانون هؤلاء الشهداء شرفاً ومنزلة بين عشائرهم وأقوامهم؛ وبسبب ذلك يواجه الباحث والكاتب في تاريخ هؤلاء وسيرتهم شحّة في المعلومات المتعلِّقة بنشأتهم وتحرّكاتهم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هذا الغياب أو التغييب له ما يُبرره في ظل الأجواء والظروف المرافقة لتأليف وتصنيف تلك الكتب التي رأت أكثرها النور في زمن الحكومات المناوئة لأهل البيت علیهم السلام  وأصحابهم، إن لم يكن كثير من هؤلاء المصنِّفين من المرتبطين بجهاز السلطات الحاكمة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وزهير بن القين البجلي بين هؤلاء الذين أُغمط حقُّهم، ولم ينالوا حقَّهم من الذكر والتنويه، على الرغم من أنّه من الأشخاص المبرّزين والأعيان ورؤساء القبائل وأصحاب المآثر والبطولات، وليس من الأغفال المجاهيل خاملي الذكر</w:t>
      </w:r>
      <w:r>
        <w:rPr>
          <w:rFonts w:eastAsia="IRNazanin" w:cs="IRNazanin"/>
          <w:color w:val="111111"/>
          <w:sz w:val="28"/>
          <w:szCs w:val="28"/>
          <w:rtl w:val="true"/>
          <w:lang w:bidi="fa-IR"/>
        </w:rPr>
        <w:t xml:space="preserve">. </w:t>
      </w:r>
      <w:bookmarkStart w:id="285" w:name="pg7448_76922"/>
    </w:p>
    <w:p>
      <w:pPr>
        <w:pStyle w:val="BookText"/>
        <w:rPr/>
      </w:pPr>
      <w:bookmarkEnd w:id="285"/>
      <w:r>
        <w:rPr>
          <w:rFonts w:ascii="Amiri" w:hAnsi="Amiri" w:eastAsia="Amiri" w:cs="Amiri"/>
          <w:color w:val="111111"/>
          <w:sz w:val="28"/>
          <w:sz w:val="28"/>
          <w:szCs w:val="28"/>
          <w:rtl w:val="true"/>
          <w:lang w:bidi="ar-SA"/>
        </w:rPr>
        <w:t>وزهير هو ابن القين بن قيس الأنماري البجلي، وفي الأنساب زهير بن القين بن الحرث البجلي</w:t>
      </w:r>
      <w:r>
        <w:rPr>
          <w:rStyle w:val="FootnoteAnchor"/>
          <w:rtl w:val="true"/>
        </w:rPr>
        <w:footnoteReference w:id="281"/>
      </w:r>
      <w:r>
        <w:rPr>
          <w:rFonts w:ascii="Amiri" w:hAnsi="Amiri" w:eastAsia="Amiri" w:cs="Amiri"/>
          <w:color w:val="111111"/>
          <w:sz w:val="28"/>
          <w:sz w:val="28"/>
          <w:szCs w:val="28"/>
          <w:rtl w:val="true"/>
          <w:lang w:bidi="ar-SA"/>
        </w:rPr>
        <w:t>، ولعل الحرث هو أحد أجداده، والبجلي نسبةً إلى قبيلة بجيلة، وذكر ابن عبد البرّ أنّه اختُلف في خثعم وبجيلة، وذهب أكثر أهل النسب إلى أنّهما ابنا أنمار بن نزار بن معد بن عدنان،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بجيلة امرأة، وهي ابنة صعب بن سعد العشيرة، ولدت لأنمار بن إراش بن عمرو بن الغوث، فنُسبوا إليها وعُرفوا بها، وقالت طائفة من أهل العلم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خثعم وبجيلة هما ابنا أنمار بن إراش بن عمرو بن الغوث بن النبت بن مالك بن زيد بن كهلان بن سبأ</w:t>
      </w:r>
      <w:r>
        <w:rPr>
          <w:rStyle w:val="FootnoteAnchor"/>
          <w:rtl w:val="true"/>
        </w:rPr>
        <w:footnoteReference w:id="282"/>
      </w:r>
      <w:r>
        <w:rPr>
          <w:rFonts w:ascii="Amiri" w:hAnsi="Amiri" w:eastAsia="Amiri" w:cs="Amiri"/>
          <w:color w:val="111111"/>
          <w:sz w:val="28"/>
          <w:sz w:val="28"/>
          <w:szCs w:val="28"/>
          <w:rtl w:val="true"/>
          <w:lang w:bidi="ar-SA"/>
        </w:rPr>
        <w:t>فيكونون من القبائل 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بطون عدّة سكنت اليمن والحجاز، ثمّ افترقوا أيام الفتح على الآفاق، كالعراق والشام، ولم يبقَ في مواطنهم الأصلية منهم إلّا القليل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1936840_1051229030"/>
      <w:bookmarkStart w:id="287" w:name="_Toc105"/>
      <w:bookmarkEnd w:id="286"/>
      <w:r>
        <w:rPr>
          <w:rtl w:val="true"/>
        </w:rPr>
        <w:t>زهير بن القين قبل واقعة عاشوراء</w:t>
      </w:r>
      <w:bookmarkEnd w:id="28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من بعض الأخبار هنا وهناك أنّ زهير بن القين كان رجلاً شجاعاً شريفاً في قومه، وله صيت وجاه عند سائر القبائل، ولم تتوافر معلومات كافية عن حياته ونشأته في المصادر التاريخية قبل واقعة عاشوراء سوى ما يُذكر من مشاركته في إحدى الفتوحات الإسلامية، وهو فتح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بَلَنْجَر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مدينة ببلاد الخزر بأرمينية</w:t>
      </w:r>
      <w:r>
        <w:rPr>
          <w:rStyle w:val="FootnoteAnchor"/>
          <w:rtl w:val="true"/>
        </w:rPr>
        <w:footnoteReference w:id="284"/>
      </w:r>
      <w:r>
        <w:rPr>
          <w:rFonts w:ascii="Amiri" w:hAnsi="Amiri" w:eastAsia="Amiri" w:cs="Amiri"/>
          <w:color w:val="111111"/>
          <w:sz w:val="28"/>
          <w:sz w:val="28"/>
          <w:szCs w:val="28"/>
          <w:rtl w:val="true"/>
          <w:lang w:bidi="ar-SA"/>
        </w:rPr>
        <w:t>، فتحها المسلمون في خلافة عثمان بقيادة سلمان بن ربيعة الباهلي سنة ثمان وعشرين، أو تسع وعشرين</w:t>
      </w:r>
      <w:r>
        <w:rPr>
          <w:rStyle w:val="FootnoteAnchor"/>
          <w:rtl w:val="true"/>
        </w:rPr>
        <w:footnoteReference w:id="285"/>
      </w:r>
      <w:r>
        <w:rPr>
          <w:rFonts w:ascii="Amiri" w:hAnsi="Amiri" w:eastAsia="Amiri" w:cs="Amiri"/>
          <w:color w:val="111111"/>
          <w:sz w:val="28"/>
          <w:sz w:val="28"/>
          <w:szCs w:val="28"/>
          <w:rtl w:val="true"/>
          <w:lang w:bidi="ar-SA"/>
        </w:rPr>
        <w:t xml:space="preserve">، وكان في مقدّمة الفاتحين زهير بن القين، وبعد أن وضعت الحرب أوزارها ـ وأسفرت الأُمور عن انتصار المسلمين ـ ينقل زهير خبراً عن هذه المعركة ظل عالقاً في ذهنه حتى سنة إحدى وستين للهجرة، وذلك حين </w:t>
      </w:r>
    </w:p>
    <w:p>
      <w:pPr>
        <w:pStyle w:val="BookText"/>
        <w:rPr/>
      </w:pPr>
      <w:r>
        <w:rPr>
          <w:rFonts w:ascii="IRNazanin" w:hAnsi="IRNazanin" w:eastAsia="IRNazanin"/>
          <w:color w:val="111111"/>
          <w:sz w:val="28"/>
          <w:sz w:val="28"/>
          <w:szCs w:val="28"/>
          <w:rtl w:val="true"/>
          <w:lang w:bidi="fa-IR"/>
        </w:rPr>
        <w:t>التقى بالحسين علیه السلام  ودعاه إلى نصرته وقرّر الالتحاق به، فلمّا عاد إلى أهله وأصحابه ليخبرهم بقراره المصيري حدَّثهم بهذا الخبر،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غزونا البحر، ففتح الله علينا وأصبنا غنائم، فقال لنا سلمان الفارسي</w:t>
      </w:r>
      <w:r>
        <w:rPr>
          <w:rStyle w:val="FootnoteAnchor"/>
          <w:rtl w:val="true"/>
        </w:rPr>
        <w:footnoteReference w:id="286"/>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وأصبتم من الغنائم؟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أدركتم شباب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محمد</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فكونوا أشدّ فرحاً بقتالكم معهم ممّا أصبتم اليوم من الغنائم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ويرشح من هذه الحادثة التي ينقلها لنا زهير بن القين عدّة أُمور، أهمّها أنّ زهيراً كان وهو في مقتبل عمره يسارع إلى المشاركة في الجهاد في سبيل الله ونشر الإسلام في البلاد البعيدة؛ ما يتطلّب ذلك أيضاً شجاعة وإقداماً وفروسية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يبدو أنّ له شخصية مميّزة جلبت انتباه شخص حكيم وخبير كسلمان الفارسي المحمدي؛ لينقل له ولبعض أصحابه مثل هذه المعلومة الغيبيّة، وليس ذلك إلّا لما يتوسّم به من أمارات الإيمان والتقوى والتضحيّة في سبيل المبادئ الحقّة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يتراءى للمتأمّل في هذا الخبر أنّ زهير بن القين رجل على منزلة جيدة من العلم والمعرفة والإدراك لعظائم الأُمور ومهمّاتها؛ فقد وعى هذا الحديث وأدرك مغزاه وظلّ محتفظاً به كلّ تلك الفترة، ولعل مواقفه وتصرفاته، والتي سنشير إلى بعضها تدعم ذلك بصورة جلية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لم يجُد لنا التاريخ المكتوب بشيء ذي بال عن حياة الشهيد زهير بعد تلك الواقعة غير أنّه كان من سكنة الكوفة قُبيل أحداث عاشوراء، وكان وجهاً من </w:t>
      </w:r>
      <w:bookmarkStart w:id="288" w:name="pg7448_76924"/>
    </w:p>
    <w:p>
      <w:pPr>
        <w:pStyle w:val="BookText"/>
        <w:rPr/>
      </w:pPr>
      <w:bookmarkEnd w:id="288"/>
      <w:r>
        <w:rPr>
          <w:rFonts w:ascii="Amiri" w:hAnsi="Amiri" w:eastAsia="Amiri" w:cs="Amiri"/>
          <w:color w:val="111111"/>
          <w:sz w:val="28"/>
          <w:sz w:val="28"/>
          <w:szCs w:val="28"/>
          <w:rtl w:val="true"/>
          <w:lang w:bidi="ar-SA"/>
        </w:rPr>
        <w:t>وجوه عشيرته وقومه، وله مكانته المرموقة بين القبائل، وأنّه قد أدرك عاشوراء وهو شيخ كبير، إذا التفتنا إلى أنّه قد أدرك خلافة عثمان وهو رجل قادر على حمل السلاح والمشاركة في فتوح البلدان النائية، فيبدو أنّه كان شابّاً في العقد الثاني من عمره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1936842_1051229030"/>
      <w:bookmarkStart w:id="290" w:name="_Toc106"/>
      <w:bookmarkEnd w:id="289"/>
      <w:r>
        <w:rPr>
          <w:rtl w:val="true"/>
        </w:rPr>
        <w:t>زهير بن القين والهوى العثماني</w:t>
      </w:r>
      <w:bookmarkEnd w:id="290"/>
    </w:p>
    <w:p>
      <w:pPr>
        <w:pStyle w:val="BookText"/>
        <w:rPr/>
      </w:pPr>
      <w:r>
        <w:rPr>
          <w:rFonts w:ascii="IRNazanin" w:hAnsi="IRNazanin" w:eastAsia="IRNazanin"/>
          <w:color w:val="111111"/>
          <w:sz w:val="28"/>
          <w:sz w:val="28"/>
          <w:szCs w:val="28"/>
          <w:rtl w:val="true"/>
          <w:lang w:bidi="fa-IR"/>
        </w:rPr>
        <w:t>من العلامات الفارقة في مسيرة حياة الشهيد زهير بن القين اتهامه بأنّه عثماني الهوى، وهو مصطلح سياسي يعني في بعض تفسيراته ميل الشخص إلى عثمان والانحراف عن أهل البيت علیهم السلام ، والاعتقاد بأنّه قُتل مظلوماً ويفضله على أمير المؤمنين علیه السلام ، وربما يحمّل الإمام تبعات قتله، أو الاشتراك ضده علیه السلام  في حروبه التي خاضها</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 الشخصِ بأنّه عثماني الهوى، يعنى على وجه الدقّة والتحديد هو أنّه أُموي الهوى، في قبال مَن يكون علوي الهوى والانتماء والعقيدة؛ لأنّ وصفه بهذه الصفة أقرب للقبول عند العامّة من الناس؛ لكونه خليفةً وصحابياً قُتل مظلوماً كما رُوّج لذلك، وإلّا فلا يوجد وجه صحيح في جعل هذه المقابلة بين أمير المؤمنين وعثمان؛ في الوقت الذي لم يكن أمير المؤمنين من المؤلِّبين على قتله، أو الخاذلين له كما فعل غيره من الصحابة، كطلحة وعائشة ومعاوية نفسه الذي خذله في وقت كان عثمان أحوج إلى نصرته، ولم ينصره، وظل متربّصاً حتى يُقتل؛ ليجعل من مقتله ذريعةً للوصول إلى مآربه وغاياته، في حين نجد أنّ أمير المؤمنين علیه السلام  بذل الوسع في تسوية الأُمور بين عثمان وبين الساخطين على تصرّفاته، ولم يُجدِ نفعاً حتى وصلت الأُمور إلى ما وصلت إليه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وردت تهمة عثمانية زهيرٍ ـ أو عدم ميله نحو أهل البيت علیهم السلام  ـ في أُمّهات المصادر التاريخيّة، ومن بينها الطبري الذي أشار إلى عثمانية زهير، ففيما رواه أبو مخنف في حديث طويل جاء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عندما نادى عمر بن سعد بالزحف على معسكر الإمام الحسين علیه السلام  عصر يوم التاسع من المحرَّم، بعث الحسين أخاه العباس ليسألهم عمّا </w:t>
      </w:r>
    </w:p>
    <w:p>
      <w:pPr>
        <w:pStyle w:val="BookText"/>
        <w:rPr/>
      </w:pPr>
      <w:r>
        <w:rPr>
          <w:rFonts w:ascii="IRNazanin" w:hAnsi="IRNazanin" w:eastAsia="IRNazanin"/>
          <w:color w:val="111111"/>
          <w:sz w:val="28"/>
          <w:sz w:val="28"/>
          <w:szCs w:val="28"/>
          <w:rtl w:val="true"/>
          <w:lang w:bidi="fa-IR"/>
        </w:rPr>
        <w:t xml:space="preserve">يبغون؛ فأتاهم العباس علیه السلام  فاستقبلهم في نحو من عشرين فارساً فيهم زهير بن القين وحبيب بن مظاهر، فقال لهم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لكم؟ وما تريدون؟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أمر الأمير بأن نعرض عليكم أن تنزلوا على حكمه أو ننازلكم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العباس أن يُمهلوه كي يخبر الحسين بذلك، فقفل مسرعاً ليُعلِمَ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وبقي أصحابه يخاطبون القوم، فقال حبيب بن مظاهر لزهير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القوم إن شئت، وإن شئت كلّمتهم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بدأت بهذا فكن أنت تكلّمهم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حبيب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لبئس القوم عند الله غداً قومٌ يقدمون عليه قد قتلوا ذرية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وعبّاد أهل هذا المصر المجتهدين بالأسحار والذاكرين الله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عزرة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لتزكي نفسك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عزرة، إنّ الله قد زكّاها وهداها، فاتقِ الله يا عزرة؛ فإنّي لك من الناصحين، أُنشدك الله ـ يا عزرة ـ أن تكون ممّن يعين الضُّلّال على قتل النفوس الزكية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زهير، ما كنت عندنا من شيعة أهل هذا البيت، إنّما كنت عثمانياً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أفلست تستدلّ بموقفي هذا أنّي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كتبت إليه كتاباً قط، ولا أرسلت إليه رسولاً قط، ولا وعدته نصرتي قط، ولكن الطريق جمعني بيني وبينه، فلمّا رأيته ذكرت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ومكانه منه، وعرفت ما يقدم عليه من عدوه وحزبكم، فرأيت أن أنصره وأن أكون في حزبه، وأن أجعل نفسي دون نفسه؛ حفظاً لما ضيعتم من حقّ الله وحقّ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الطبري أيضاً في موضع آخر، عن أبي مخنف، عن السدي، عن رجل من بنى فزارة،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زهير بن القين البجلي حين أقبلنا من مكّة نُساير الحسين، فلم يكن شيء أبغض إلينا من أن نُسايره في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كراهته للقاء الإمام والاجتماع به تُستشف أيضاً عثمانيته وعدم ميله إلى أهل البيت علیهم السلام ، ثمّ يتابع الفزاري،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سار الحسين تخلّف زهير بن القين، وإذا نزل الحسين تقدّم زهير، حتى نزلنا يومئذٍ في منزل لم نجد بُداً من أن نُنازله فيه، فنزل الحسين في جانب ونزلنا في جانب، فبينا نحن جلوس نتغدى من طعام لنا إذا أقبل رسول الحسين حتى سلَّم، ثمّ دخل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زهير بن القين، إنّ أبا عبد الله الحسين بن علي بعثني إليك لتأتيه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كلّ إنسان ما في يده، حتى كأنّنا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تنبري دلهم بنت عمرو زوج زهير بن القين</w:t>
      </w:r>
      <w:r>
        <w:rPr>
          <w:rStyle w:val="FootnoteAnchor"/>
          <w:rtl w:val="true"/>
        </w:rPr>
        <w:footnoteReference w:id="291"/>
      </w:r>
      <w:r>
        <w:rPr>
          <w:rFonts w:ascii="Amiri" w:hAnsi="Amiri" w:eastAsia="Amiri" w:cs="Amiri"/>
          <w:color w:val="111111"/>
          <w:sz w:val="28"/>
          <w:sz w:val="28"/>
          <w:szCs w:val="28"/>
          <w:rtl w:val="true"/>
          <w:lang w:bidi="ar-SA"/>
        </w:rPr>
        <w:t>، لتقول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رسول الله ثمَّ لا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 فسمعت من كلامه، ثمَّ انصرفت، فأتاه زهير بن القين فما لبث أن جاء مستبشراً قد أسفر وجهه، فأمر بفسطاطه وثقله ومتاعه فقُدم وحُمل إلى الحسين، ثمَّ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الحقي بأهلك؛ فإنّي لا أحبّ أن يُصيبك من سببي إلّا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يتبعني وإلّا فإنّه آخر العهد</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القصّة أيضاً الشيخ المفيد في الإرشاد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الذين صرّحوا بعثمانيّةِ زهير، البلاذري المتوفَّى سنة </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ﻫ في أنساب الأشراف،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زهير بن القين البجلي بمكَّة ـ وكان عثمانيّاً ـ فانصرف من مكَّة متعجّلاً، فضمّه الطريق وحسيناً، فكان يُسايره ولا يُنازله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أيضاً قول عزرة بن قيس لزهير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عندنا عثمانيّاً فما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كتبت إلى الحسين ولا أرسلت إليه رسولاً، ولكن الطريق جمعني وإياه، فلمّا رأيته ذكرت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وعرفت ما تقدَّم إليه من غدركم ونكثكم وميلكم إلى الدنيا، فرأيت أن أنصره وأكون في حزبه حفظاً؛ لما ضيعتم من حقِّ رسول الله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91" w:name="pg7448_76927"/>
    </w:p>
    <w:p>
      <w:pPr>
        <w:pStyle w:val="BookText"/>
        <w:rPr/>
      </w:pPr>
      <w:bookmarkEnd w:id="291"/>
      <w:r>
        <w:rPr>
          <w:rFonts w:ascii="IRNazanin" w:hAnsi="IRNazanin" w:eastAsia="IRNazanin"/>
          <w:color w:val="111111"/>
          <w:sz w:val="28"/>
          <w:sz w:val="28"/>
          <w:szCs w:val="28"/>
          <w:rtl w:val="true"/>
          <w:lang w:bidi="fa-IR"/>
        </w:rPr>
        <w:t xml:space="preserve">وقد ذكر الدينوري المتوفّى سنة </w:t>
      </w:r>
      <w:r>
        <w:rPr>
          <w:rFonts w:ascii="IRNazanin" w:hAnsi="IRNazanin" w:eastAsia="IRNazanin"/>
          <w:color w:val="111111"/>
          <w:sz w:val="28"/>
          <w:sz w:val="28"/>
          <w:szCs w:val="28"/>
          <w:lang w:bidi="fa-IR"/>
        </w:rPr>
        <w:t>٢٨٢</w:t>
      </w:r>
      <w:r>
        <w:rPr>
          <w:rFonts w:ascii="IRNazanin" w:hAnsi="IRNazanin" w:eastAsia="IRNazanin"/>
          <w:color w:val="111111"/>
          <w:sz w:val="28"/>
          <w:sz w:val="28"/>
          <w:szCs w:val="28"/>
          <w:rtl w:val="true"/>
          <w:lang w:bidi="fa-IR"/>
        </w:rPr>
        <w:t>ﻫ كراهة زهير الاجتماعَ بالحسين فقط، الكاشف ربما عن عثمانيّته، فذكر أنّ الحسين علیه السلام  لمّا وصل إلى زرود نظر إلى فسطاطٍ مضروب، فسأل عنه،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لزهير بن القين ـ وكان حاجّاً أقبل من مكّة يريد الكوفة ـ فأرسل إليه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القني أكلّمك، فأبى أن يلقاه، وكانت مع زهير زوجه،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يبعث إليك ابن رسول الله صلّى الله عليه و آله فلا تجيبه؟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يمشي إلى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قصّة شبيهة بما أوردها الطبري آنفاً</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تابعهم على هذا القول الفتّال النيسابوري المتوفَّى سنة </w:t>
      </w:r>
      <w:r>
        <w:rPr>
          <w:rFonts w:ascii="Amiri" w:hAnsi="Amiri" w:eastAsia="Amiri" w:cs="Amiri"/>
          <w:color w:val="111111"/>
          <w:sz w:val="28"/>
          <w:sz w:val="28"/>
          <w:szCs w:val="28"/>
          <w:lang w:bidi="ar-SA"/>
        </w:rPr>
        <w:t>٥٠٨</w:t>
      </w:r>
      <w:r>
        <w:rPr>
          <w:rFonts w:ascii="Amiri" w:hAnsi="Amiri" w:eastAsia="Amiri" w:cs="Amiri"/>
          <w:color w:val="111111"/>
          <w:sz w:val="28"/>
          <w:sz w:val="28"/>
          <w:szCs w:val="28"/>
          <w:rtl w:val="true"/>
          <w:lang w:bidi="ar-SA"/>
        </w:rPr>
        <w:t>ﻫ</w:t>
      </w:r>
      <w:r>
        <w:rPr>
          <w:rStyle w:val="FootnoteAnchor"/>
          <w:rtl w:val="true"/>
        </w:rPr>
        <w:footnoteReference w:id="297"/>
      </w:r>
      <w:r>
        <w:rPr>
          <w:rFonts w:ascii="Amiri" w:hAnsi="Amiri" w:eastAsia="Amiri" w:cs="Amiri"/>
          <w:color w:val="111111"/>
          <w:sz w:val="28"/>
          <w:sz w:val="28"/>
          <w:szCs w:val="28"/>
          <w:rtl w:val="true"/>
          <w:lang w:bidi="ar-SA"/>
        </w:rPr>
        <w:t xml:space="preserve">، وابن الأثير المتوفَّى سنة </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ﻫ في الكامل</w:t>
      </w:r>
      <w:r>
        <w:rPr>
          <w:rStyle w:val="FootnoteAnchor"/>
          <w:rtl w:val="true"/>
        </w:rPr>
        <w:footnoteReference w:id="298"/>
      </w:r>
      <w:r>
        <w:rPr>
          <w:rFonts w:ascii="Amiri" w:hAnsi="Amiri" w:eastAsia="Amiri" w:cs="Amiri"/>
          <w:color w:val="111111"/>
          <w:sz w:val="28"/>
          <w:sz w:val="28"/>
          <w:szCs w:val="28"/>
          <w:rtl w:val="true"/>
          <w:lang w:bidi="ar-SA"/>
        </w:rPr>
        <w:t xml:space="preserve">، وابن نما الحلي المتوفَّى سنة </w:t>
      </w:r>
      <w:r>
        <w:rPr>
          <w:rFonts w:ascii="Amiri" w:hAnsi="Amiri" w:eastAsia="Amiri" w:cs="Amiri"/>
          <w:color w:val="111111"/>
          <w:sz w:val="28"/>
          <w:sz w:val="28"/>
          <w:szCs w:val="28"/>
          <w:lang w:bidi="ar-SA"/>
        </w:rPr>
        <w:t>٦٤٥</w:t>
      </w:r>
      <w:r>
        <w:rPr>
          <w:rFonts w:ascii="Amiri" w:hAnsi="Amiri" w:eastAsia="Amiri" w:cs="Amiri"/>
          <w:color w:val="111111"/>
          <w:sz w:val="28"/>
          <w:sz w:val="28"/>
          <w:szCs w:val="28"/>
          <w:rtl w:val="true"/>
          <w:lang w:bidi="ar-SA"/>
        </w:rPr>
        <w:t>ﻫ في مثير الأحزان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أردنا التوقّف عند اتّهام زهير بالعثمانيّة، فنحن إزاء حالتين لا ثالت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الحالة الأُولى هي نفي هذه التّهمة بحقِّ الشهيد زهير من الأساس، والحالة الثانية أن نتعاطى مع الشهيد زهير على فرض وجود مثل هذا الادّعاء، وما يمكن أن يقال في هذا الشأن</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936844_1051229030"/>
      <w:bookmarkStart w:id="293" w:name="_Toc107"/>
      <w:bookmarkEnd w:id="292"/>
      <w:r>
        <w:rPr>
          <w:rtl w:val="true"/>
        </w:rPr>
        <w:t>الحالة الأُولى</w:t>
      </w:r>
      <w:r>
        <w:rPr>
          <w:rtl w:val="true"/>
        </w:rPr>
        <w:t xml:space="preserve">: </w:t>
      </w:r>
      <w:r>
        <w:rPr>
          <w:rtl w:val="true"/>
        </w:rPr>
        <w:t>نفي اتّهام زهير بن القين بالعثمانيّة</w:t>
      </w:r>
      <w:bookmarkEnd w:id="29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يرى بعض الفضلاء والباحثين أنّ إلصاق هذه التّهمة بالشهيد زهير وراءها نيّات مبيّتة؛ هدفها الحطّ من قدر هؤلاء الأعاظم والشهداء الأماثل في أعين أتباع أهل البيت ومحبّيهم، وقد حاول صاحب موسوعة الركب الحسيني أن يعالج هذه الدعوى بالمناقشة فيما ورد من نصوص وأخبار، من جهة السند تارةً، ومن جهة المتن أُخرى؛ ففي مجال السند قد ضعف إحدى روايتي الطبري ـ وهي رواية منازل الطريق ـ بمجهولية الفزاري في سندها، وكذلك طرح رواية البلاذري لخلوها من </w:t>
      </w:r>
    </w:p>
    <w:p>
      <w:pPr>
        <w:pStyle w:val="BookText"/>
        <w:rPr/>
      </w:pPr>
      <w:r>
        <w:rPr>
          <w:rFonts w:ascii="Amiri" w:hAnsi="Amiri" w:eastAsia="Amiri" w:cs="Amiri"/>
          <w:color w:val="111111"/>
          <w:sz w:val="28"/>
          <w:sz w:val="28"/>
          <w:szCs w:val="28"/>
          <w:rtl w:val="true"/>
          <w:lang w:bidi="ar-SA"/>
        </w:rPr>
        <w:t>الإسناد، ولكونها مصدّرة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فقط</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اللون من التعامل مع المادّة التاريخيّة ومصادرها ليس صحيحاً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إسقاط المنهج الحديثي ـ منهج التصحيح والتضعيف والوثاقة ـ على المادّة التاريخية سوف يفضي إلى نسفها من الأساس، ولا يبقى لدينا ما يمكن التعويل عليه، لا سيما في أحداث النهضة الحسينيّة المعتمدة على أخبار ونقولات يفتقر كثير منها إلى الأسانيد، فضلاً عن صحّتها واعتبارها وفق المنهج الحديثي وعلم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الوصول إلى الحقيقة التاريخيّة لا ينحصر بوجود الأسانيد الصحيحة أو المعتبرة؛ فإنّ منهج المؤرِّخين يعتمد على قدرة المؤرِّخ على اقتناص الأدلّة والشواهد ومقارنتها وتحليلها، واعتماد المادّة الأكثر اعتباراً، من قبيل نقلها وتداولها في المصادر المتقدِّمة ومن قِبَل مؤرِّخين معتمَدين وملاءمتها للمعطيات التاريخية الأُخرى، وعدم مخالفتها لمسلّمات العقل والنقل، وغير ذلك من القرائن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في المجال الدلالي، فلاحظ المستشكل على نصّين من نصوص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الأول هو رواية منازل الطريق التي رواها الطبري عن رجل من بني فزارة، فأشكل بأنّ متنها لا يستقيم مع الحقيقة التاريخيّة والجغرافية؛ لأنّ زهير بن القين كان عائداً من مكّة إلى الكوفة بعد الانتهاء من أداء الحجّ، فلو فرضنا أنّه قد خرج من مكّة بعد انتهاء مراسم الحجّ مباشرة؛ فإنّه يكون قد خرج منها يوم الثالث عشر من ذي الحجّة على أفضل التقادير؛ وبهذا يكون الفرق الزمني بين يوم خروجه ويوم خروج الإمام علیه السلام  منها خمسة أيام على الأقل، وإذا كان هذا فكيف يصحّ ما في متن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مع زهير بن القين البجلي حين أقبلنا من مكّة نُساير الحسين؟</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صاحب الملاحظة قد فهم من كلام الراوي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كنّا </w:t>
      </w:r>
    </w:p>
    <w:p>
      <w:pPr>
        <w:pStyle w:val="BookText"/>
        <w:rPr/>
      </w:pPr>
      <w:r>
        <w:rPr>
          <w:rFonts w:ascii="IRNazanin" w:hAnsi="IRNazanin" w:eastAsia="IRNazanin"/>
          <w:color w:val="111111"/>
          <w:sz w:val="28"/>
          <w:sz w:val="28"/>
          <w:szCs w:val="28"/>
          <w:rtl w:val="true"/>
          <w:lang w:bidi="fa-IR"/>
        </w:rPr>
        <w:t>مع زهير وكنّا نُساير الحسين من مكّة، وهذا لا يستقيم مع الفارق الزمني بين خروج الإمام الحسين علیه السلام  من مكّة يوم الثامن، وخروج زهير وأصحابه يوم الثالث عشر على أقلّ تقدير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الظاهر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حينما أقبلنا من مكّة بعد إتمام الحجّ كنّا نُساير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بالضرورة أنّه كان يقصد مسايرته من مكّة، بل يصحّ كلامه فيما لو قصد أنّهم كانوا يسايرونه ولو في بعض الطريق، ومن الممكن أن يلحقوا بركب الإمام لوجود النساء والأطفال الذي يستوجب أن يبطئوا في السير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علیه السلام  كان يتحيّن الفرص لدعوة الناس ومَن يقابلهم في الطريق لنصرته والالتحاق به؛ ما يقتضي التأني في المسير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 سائر المصادر الأُخرى التي نقلت الخبر ليس فيها هذا الإيهام والالتباس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والنصّ الثاني الذي نوقش في دلالته على عثمانيّة زهير بن القين هو ما رواه الطبري من المحاورة الحاصلة بين عزرة بن قيس وزهير، بدعوى أنّها كشفت لنا أنّ زهير بن القين لم يكن عثمانيّاً في يوم من الأيام؛ لأنّ زهيراً أجاب عزرة الذي اتّهمه بالعثمانيّة فيما مضى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أفلستَ تستدلّ بموقفي هذا أنّي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هذا البيت علیهم السلام  رأياً وميلاً وانتماءً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يقل له ـ مثلاً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عثمانيّاً ـ كما تقول ـ ثمّ هداني الله؛ فصرت من أتباع أهل هذا البيت وأنصارهم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في قوله المتقدِّم نفي ضمني لعثمانيته مطلقاً في الماضي والحاضر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سكوت عُزرة بعد ذلك عن الردّ كاشف عن تراجعه عن تهمة العثمانية</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ما ذُكر من معنى قد تحتمله العبارة، ولكنّه لا يبدو أنّه هو المعنى الأقرب، بل غاية ما يظهر من كلام زهير أنّ في وجوده الآن مع الإمام الحسين علیه السلام ، دلالة واضحة على أنّه من أهل البيت علیهم السلام  ومن شيعتهم، وأمّا أنّه قد نفى أنّه لم يكن عثمانيّاً في يوم </w:t>
      </w:r>
    </w:p>
    <w:p>
      <w:pPr>
        <w:pStyle w:val="BookText"/>
        <w:rPr/>
      </w:pPr>
      <w:r>
        <w:rPr>
          <w:rFonts w:ascii="Amiri" w:hAnsi="Amiri" w:eastAsia="Amiri" w:cs="Amiri"/>
          <w:color w:val="111111"/>
          <w:sz w:val="28"/>
          <w:sz w:val="28"/>
          <w:szCs w:val="28"/>
          <w:rtl w:val="true"/>
          <w:lang w:bidi="ar-SA"/>
        </w:rPr>
        <w:t>من الأيام، وأن عزرة بسكوته قد تراجع عن هذه التّهمة، فهو تحميل للكلام أكثر ممّا يحتمل، مع أنّه قد توجد هناك قرائن حالية أو مقالية مفقودة في البين تدلّ على خلاف ما فهمه المستشكل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بالإضافة إلى أنّ زهيراً نفسه في ذيل كلامه ينفي أنّ التحاقه بالإمام علیه السلام  كان مخطَطاً له من قِبَله، وإنّما قد جمعه معه الطريق؛ فذكر به رسول الله صلّى الله عليه و آله ومنزلته منه؛ فأراد أن ينصره، وأنّ زهيراً أقسم في كلامه أيضاً أنّه لم يكتب له كتاباً قط، ولا أرسل إليه كتاباً قط، ولا أوعده بنصرٍ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كان حال زهير سابقاً كحاله حين التحق بالحسين علیه السلام  وما أبداه من مواقف فذّة في عاشوراء ـ ولم يكن عثمانيّاً في يوم من الأيام ـ لكان من المبادرين لدعوة الإمام، ومن المكاتبين له، خصوصاً وأنّه من أهل الكوفة ومن أشرافها المعروفين، ولالتحق به وهو في مكّة وجاء معه، علماً أنّ أحداث الكوفة وثورة أهلها كانت قد بدأت منذ مدّة طويلة، وعدم بيعة الإمام علیه السلام  ليزيد وخروجه إلى مكّة واتصالات أهل الكوفة ومكاتباتهم أمر معروف ومشهور بين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تُمسّك به لنفي عثمانيّة الشهيد زهير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التاريخ لم يحدِّثنا في إطار سيرته عن أي واقعة أو حدث، أو محاورة أو تصريح من زهير نفسه، تتجلى فيه هذه العثمانيّة التي أُلصقت فيه، مع أنّ الآخرين ممَّن عُرفوا بعثمانيتهم كانوا قد عُرفوا بها من خلال آرائهم ومواقفهم واشتراكهم في حرب أو أكثر ضد أمير المؤمنين علیه السلام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الوجه يمكن أن 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بأنّنا أشرنا فيما سبق إلى أنّ التاريخ المكتوب الواصل إلينا قد ظلم الشهيد زهيراً ولم يُعطه ما يستحقّ من الذكر، فالتاريخ لم يحدِّثنا عن زهير شيئاً لا خيراً ولا شرّاً؛ حتى نستدلّ بعدم ذلك على أنّه لم يكن عثمانيّاً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فإنّ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محرراً وواضحاً، فليس كلّ عثماني الهوى لا بدّ أن تظهر منه مواقف عدوانية تجاه أهل البيت علیهم السلام ، أو يشترك في حرب ضدهم؛ فإنّنا نجد بعض الشخصيات توصف بهذا الوصف وليس لها تلك المواقف، ومن ذلك ما </w:t>
      </w:r>
    </w:p>
    <w:p>
      <w:pPr>
        <w:pStyle w:val="BookText"/>
        <w:rPr/>
      </w:pPr>
      <w:r>
        <w:rPr>
          <w:rFonts w:ascii="Amiri" w:hAnsi="Amiri" w:eastAsia="Amiri" w:cs="Amiri"/>
          <w:color w:val="111111"/>
          <w:sz w:val="28"/>
          <w:sz w:val="28"/>
          <w:szCs w:val="28"/>
          <w:rtl w:val="true"/>
          <w:lang w:bidi="ar-SA"/>
        </w:rPr>
        <w:t>أخرجه الطبراني في المعجم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عطاء بن السائب، عن ميمون بن مهران، عن شيبان بن مخرم وكان عثمانيّاً،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 علي رضي الله عنه إذ أتى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في هذا الموضع شهداء ليس مثلهم شهداء إلّا شهداء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كذباته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 رِجْل حمار ميت،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رِجْل هذا الحمار فأوتدها في مقعده وغيبها، فضرب الدهر ضربة، فلمّا قُتل الحسين بن علي رضي الله عنهما انطلقت ومعي أصحاب لي فإذا جثّة الحسين بن علي رضي الله عنه على رجل ذاك الحمار، وإذا أصحابه ربضة حوله</w:t>
      </w:r>
      <w:r>
        <w:rPr>
          <w:rFonts w:eastAsia="Amiri" w:cs="Amiri" w:ascii="Amiri" w:hAnsi="Amiri"/>
          <w:color w:val="111111"/>
          <w:sz w:val="28"/>
          <w:szCs w:val="28"/>
          <w:rtl w:val="true"/>
          <w:lang w:bidi="ar-SA"/>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الشخص وُصِف بأنّه عثمانيّ بينما هو في جيش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 عن أبي بردة بن عوف الأزدي أنّه كان عثمانيّاً تخلّف عن أمير المؤمنين في واقعة الجمل وحضر معه صفين على ضعف نية في نصرته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الاستيعاب عن أبي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عثمان يحبّ زيد بن ثابت، وكان زيد عثمانيّاً، ولم يكن فيمَن شهد شيئاً من مشاهد عليّ مع الأنصار، وكان مع ذلك يفضّل علياً ويظهر حبّه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 ذلك من الشواهد على أنّ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ويستعين صاحب موسوعة الركب الحسيني </w:t>
      </w:r>
      <w:r>
        <w:rPr>
          <w:rStyle w:val="FootnoteAnchor"/>
          <w:rtl w:val="true"/>
        </w:rPr>
        <w:footnoteReference w:id="307"/>
      </w:r>
      <w:r>
        <w:rPr>
          <w:rFonts w:ascii="IRNazanin" w:hAnsi="IRNazanin" w:eastAsia="IRNazanin"/>
          <w:color w:val="111111"/>
          <w:sz w:val="28"/>
          <w:sz w:val="28"/>
          <w:szCs w:val="28"/>
          <w:rtl w:val="true"/>
          <w:lang w:bidi="fa-IR"/>
        </w:rPr>
        <w:t>أيضاً في نفي التهمة عن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ابن أعثم المعاصر للطبري والدينوري والبلاذري يروي قصّة هذا اللقاء بدون أي ذكر للعثمانيّة أو للامتناع،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مضى الحسين علیه السلام  فلقيه زهير بن القين، فدعاه الحسين علیه السلام  إلى نصرته فأجابه لذلك، وحمل إليه فسطاطه، وطلّق امرأته</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الاستدلال لا ينهض لإثبات المدّعى؛ فإنّ المؤرِّخين عادة ما يعمدون في بعض الأحيان إلى الإجمال والاختصار في نقل الخبر، وقد يفصّلون في أحيان أُخرى، </w:t>
      </w:r>
    </w:p>
    <w:p>
      <w:pPr>
        <w:pStyle w:val="BookText"/>
        <w:rPr/>
      </w:pPr>
      <w:r>
        <w:rPr>
          <w:rFonts w:ascii="Amiri" w:hAnsi="Amiri" w:eastAsia="Amiri" w:cs="Amiri"/>
          <w:color w:val="111111"/>
          <w:sz w:val="28"/>
          <w:sz w:val="28"/>
          <w:szCs w:val="28"/>
          <w:rtl w:val="true"/>
          <w:lang w:bidi="ar-SA"/>
        </w:rPr>
        <w:t>حسب طبيعة الخبر الذي يصلهم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واللطيف في الأمر، أنّ البلاذري نفسه الذي ذكر أنّ زهيراً كان عثمانيّاً، أورد في الأنساب في موضع آخر خبر لقاء زهير بالحسين علیه السلام  من دون الإشارة إلى العثمانيّة أو إبائه عن اللقاء،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وذكروا أنّ زهير بن 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 الحسين وكان حاجّاً، فأقبل معه</w:t>
      </w:r>
      <w:r>
        <w:rPr>
          <w:rFonts w:eastAsia="IRNazanin" w:cs="IRNazanin"/>
          <w:color w:val="111111"/>
          <w:sz w:val="28"/>
          <w:szCs w:val="28"/>
          <w:rtl w:val="true"/>
          <w:lang w:bidi="fa-IR"/>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أنّ زهير بن القين البجلي لقى الحسين وكان حاجّاً، فأقبل معه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استشهد به على نفي التهمة كذلك مواقف زهير وزوجه وأقوالهم بعد أن عاد من لقائه مع الحسين علیه السلام ؛ فإنّها أقوال ومواقف تنمّ عن أنّهما كانا عارفين بحقّ أهل البيت علیهم السلام  وتعمر قلبيهما مودّتُهم، كقوله لزوجته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عزمت على صحبة الحسين علیه السلام  لأفديه بنفسي وأقيه بروحي</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وقولها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الله عوناً ومعيناً، خار الله لك، أسالك أن تذكرني في القيامة عند جدِّ الحسين علیه السلام </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وقوله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فإنّي قد وطّنت نفسي على الموت مع الحسين علیه السلام </w:t>
      </w:r>
      <w:r>
        <w:rPr>
          <w:rFonts w:eastAsia="IRNazanin" w:cs="IRNazanin"/>
          <w:color w:val="111111"/>
          <w:sz w:val="28"/>
          <w:szCs w:val="28"/>
          <w:rtl w:val="true"/>
          <w:lang w:bidi="fa-IR"/>
        </w:rPr>
        <w:t>»</w:t>
      </w:r>
      <w:r>
        <w:rPr>
          <w:rStyle w:val="FootnoteAnchor"/>
          <w:rtl w:val="true"/>
        </w:rPr>
        <w:footnoteReference w:id="313"/>
      </w:r>
      <w:r>
        <w:rPr>
          <w:rFonts w:ascii="Amiri" w:hAnsi="Amiri" w:eastAsia="Amiri" w:cs="Amiri"/>
          <w:color w:val="111111"/>
          <w:sz w:val="28"/>
          <w:sz w:val="28"/>
          <w:szCs w:val="28"/>
          <w:rtl w:val="true"/>
          <w:lang w:bidi="ar-SA"/>
        </w:rPr>
        <w:t>، وقول زهير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منكم الشهادة فليقم</w:t>
      </w:r>
      <w:r>
        <w:rPr>
          <w:rFonts w:eastAsia="Amiri" w:cs="Amiri" w:ascii="Amiri" w:hAnsi="Amiri"/>
          <w:color w:val="111111"/>
          <w:sz w:val="28"/>
          <w:szCs w:val="28"/>
          <w:rtl w:val="true"/>
          <w:lang w:bidi="ar-SA"/>
        </w:rPr>
        <w:t>»</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وإخباره إياهم بحديث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أدركتم شباب آل محمد فكونوا أشدّ فرحاً بقتالكم معهم ممّا أصبتم اليوم من الغنائم</w:t>
      </w:r>
      <w:r>
        <w:rPr>
          <w:rFonts w:eastAsia="Amiri" w:cs="Amiri" w:ascii="Amiri" w:hAnsi="Amiri"/>
          <w:color w:val="111111"/>
          <w:sz w:val="28"/>
          <w:szCs w:val="28"/>
          <w:rtl w:val="true"/>
          <w:lang w:bidi="ar-SA"/>
        </w:rPr>
        <w:t>»</w:t>
      </w:r>
      <w:r>
        <w:rPr>
          <w:rStyle w:val="FootnoteAnchor"/>
          <w:rtl w:val="true"/>
        </w:rPr>
        <w:footnoteReference w:id="315"/>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لا يخفى على المتأمِّل أنّ هذه الأقوال كما تنسجم مع رؤية مَن يدّعي نفي التهمة عن زهير، وأنّها تكشف عن علوية زهير وزوجه وموالاتهما لأهل البيت علیهم السلام </w:t>
      </w:r>
      <w:bookmarkStart w:id="294" w:name="pg7448_76933"/>
    </w:p>
    <w:p>
      <w:pPr>
        <w:pStyle w:val="BookText"/>
        <w:rPr/>
      </w:pPr>
      <w:bookmarkEnd w:id="294"/>
      <w:r>
        <w:rPr>
          <w:rFonts w:ascii="IRNazanin" w:hAnsi="IRNazanin" w:eastAsia="IRNazanin"/>
          <w:color w:val="111111"/>
          <w:sz w:val="28"/>
          <w:sz w:val="28"/>
          <w:szCs w:val="28"/>
          <w:rtl w:val="true"/>
          <w:lang w:bidi="fa-IR"/>
        </w:rPr>
        <w:t>من أول الأمر، كذلك تنسجم تمام الانسجام مع حصول التحوّل والانقلاب الحاصل في رؤيتهما ومعتقدهما؛ فإنّهما بعد أن زالت عن قلبيهما الغشاوة وأبصرا الحقَّ جلياً لا يستغرب أن تبدر منهما هذه الأقوال والمواقف، على أنّه لا ملازمة بين عثمانيّة زهير ـ حسب الفرض ـ وبين عثمانيّة زوجته؛ فقد تكون دلهم بنت عمرو امرأة زهير علويةً مواليةً وزوجها لم يكن كذلك، وهذا كثير الحصول في المجتمع، بل ربما يُستدلّ على كونها من الموالين لأهل البيت علیهم السلام  من قولها لزوجها حين دعاه رسول الحسين علیه السلام  فأحجم عن إجابته، فقالت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أيبعث إليك ابن رسول الله ثمَّ لا تأتيه؟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أتيته فسمعت من كلامه</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هناك تشكيكات واستبعادات أُخر أعرضنا عن ذكرها خوف الإطالة، وليس غرضنا أن نجتهد في إثبات عثمانيّة زهير بقدر ما نريد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كان عليه من توجه ـ لو صحّ ـ لا يعني بأي حال التقليلَ من شأن زهير بن القين الذي تسنّم ذرى المجد وفاز فوزاً عظيماً في مقعد صدق عند مليك مقتدر مع النبيين الشهداء والصدِّيقين، ولكن بعض أتباع أهل البيت قد يتصوّر أنّ هذا فيه نوع من الخدشة بمكانة هذا الشهيد؛ فيحاول بشتّى الطرق نفي هذه التهمة، بل يمكن أن ندّعي بأنّ هذه الانعطافة التاريخيّة نحو المجد والعلى هي إحدى دروس وعبر النهضة الحسينيّة التي على الأجيال أن تقف عندها وتتمعّن فيها، وفيها أكبر دليل على بصيرة زهير الثاقبة وسريرته النقيّة التي أينعت بالإيمان، فأنتجت مواقف بطولية أذهلت التاريخ، فخشعت صفحاته إجلالاً لها، فبزّ بذلك أقرانه وفاق أترابه، حتى ممّن كانوا محسوبين في ولائهم وحبّهم لأهل البيت علیهم السلام </w:t>
      </w:r>
      <w:r>
        <w:rPr>
          <w:rFonts w:eastAsia="IRNazanin" w:cs="IRNazanin"/>
          <w:color w:val="111111"/>
          <w:sz w:val="28"/>
          <w:szCs w:val="28"/>
          <w:rtl w:val="true"/>
          <w:lang w:bidi="fa-IR"/>
        </w:rPr>
        <w:t>.</w:t>
      </w:r>
    </w:p>
    <w:p>
      <w:pPr>
        <w:pStyle w:val="Heading4"/>
        <w:numPr>
          <w:ilvl w:val="3"/>
          <w:numId w:val="1"/>
        </w:numPr>
        <w:rPr/>
      </w:pPr>
      <w:bookmarkStart w:id="295" w:name="__RefHeading___Toc1936846_1051229030"/>
      <w:bookmarkStart w:id="296" w:name="_Toc108"/>
      <w:bookmarkEnd w:id="295"/>
      <w:r>
        <w:rPr>
          <w:rtl w:val="true"/>
        </w:rPr>
        <w:t>الحالة الثانية</w:t>
      </w:r>
      <w:r>
        <w:rPr>
          <w:rtl w:val="true"/>
        </w:rPr>
        <w:t xml:space="preserve">: </w:t>
      </w:r>
      <w:r>
        <w:rPr>
          <w:rtl w:val="true"/>
        </w:rPr>
        <w:t>أن يكون زهير عثماني الهوى</w:t>
      </w:r>
      <w:bookmarkEnd w:id="29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لم تستطع المحاولات السابقة المذكورة وغيرها أن تبني في نفوسنا جداراً بينها وبين الاعتقاد بعثمانيّة زهير، وظلّ ما نقله لنا التاريخ هو السائد؛ فيمكننا ـ فيما لو </w:t>
      </w:r>
    </w:p>
    <w:p>
      <w:pPr>
        <w:pStyle w:val="BookText"/>
        <w:rPr/>
      </w:pPr>
      <w:r>
        <w:rPr>
          <w:rFonts w:ascii="Amiri" w:hAnsi="Amiri" w:eastAsia="Amiri" w:cs="Amiri"/>
          <w:color w:val="111111"/>
          <w:sz w:val="28"/>
          <w:sz w:val="28"/>
          <w:szCs w:val="28"/>
          <w:rtl w:val="true"/>
          <w:lang w:bidi="ar-SA"/>
        </w:rPr>
        <w:t>أردنا أن نحلل هذه القضية ـ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التوجّه الفكري والعقدي لزهير بن القين لا يخرج عن فرضين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انحراف زهير عن أهل البيت علیهم السلام  كان متجذرّاً في وجدانه، ووليد تراكمات فكرية أو بيئية أو مجتمعية، وعلى مدى زمن طويل، ولم يكن حالة طارئة، فعلى هذا الفرض للمرء أن يتساءل عن سرّ هذا التحوّل الكبير في المسار الفكري للشهيد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بتأثير شخصية الإمام الحسين علیه السلام ؟ وهل أطلعه على أُمورٍ غيّرت مجرى تفكيره؟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ولاستجلاء بعض جوانب هذه المسألة نسلِّط الضوء على شاهد قرآني شبيه ـ إلى حدّ بعيد ـ بقصّة زهير بن القين في هذا الفرض، وهو ما يرتبط بسحرة فرعون الذين حشدهم للانتصار على نبي الله موسى علیه السلام  ومعجزته العصا، وبدأت المبارزة، فنادى السحرة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مُوسَى إِمَّا أَنْ تُلْقِيَ وَإِمَّا أَنْ نَكُونَ نَحْنُ الْمُلْقِينَ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أَلْقُوا فَلَمَّا أَلْقَوْا سَحَرُوا أَعْيُنَ النَّاسِ وَاسْتَرْهَبُوهُمْ وَجَاءُوا بِسِحْرٍ عَظِيمٍ</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فَأَوْجَسَ فِي نَفْسِهِ خِيفَةً مُوسَى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فجاء النداء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لَا تَخَفْ إِنَّكَ أَنْتَ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 مَا فِي يَمِينِكَ تَلْقَفْ مَا صَنَعُوا إِنَّمَا صَنَعُوا كَيْدُ سَاحِرٍ وَلَا يُفْلِحُ السَّاحِرُ حَيْثُ أَتَى</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وتحققت الإرادة الإلهية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الْحَقُّ وَبَطَلَ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فَغُلِبُوا هُنَالِكَ وَانْقَلَبُوا صَاغِرِينَ</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وعندما تبيّن لهم الحقّ، وأنّ هذا ليس من صُنْع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يجدوا بُداً دون أن يخرّوا على الأرض سُجَّداً، كأنّهم لا إرادة لهم في ذلك</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فَأُلْقِيَ السَّحَرَةُ سُجَّدًا قَالُوا آمَنَّا بِرَبِّ هَارُونَ وَمُوسَى </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فأُصيب الناس بالدهشة وخيّم عليهم الذهول وهم يرون أمامهم شخصاً واحداً ينتصر على عظماء </w:t>
      </w:r>
    </w:p>
    <w:p>
      <w:pPr>
        <w:pStyle w:val="BookText"/>
        <w:rPr/>
      </w:pPr>
      <w:r>
        <w:rPr>
          <w:rFonts w:ascii="Amiri" w:hAnsi="Amiri" w:eastAsia="Amiri" w:cs="Amiri"/>
          <w:color w:val="111111"/>
          <w:sz w:val="28"/>
          <w:sz w:val="28"/>
          <w:szCs w:val="28"/>
          <w:rtl w:val="true"/>
          <w:lang w:bidi="ar-SA"/>
        </w:rPr>
        <w:t xml:space="preserve">السحرة، بل يُؤمنون به وبدينه؛ فيجنّ فرعون ممَّا يرى وتثور ثائرته،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آمَنْتُمْ لَهُ قَبْلَ أَنْ آذَنَ لَكُمْ إِنَّهُ لَكَبِيرُكُمُ الَّذِي عَلَّمَكُمُ السِّحْرَ فَلَأُقَطِّعَنَّ أَيْدِيَكُمْ وَأَرْجُلَكُمْ مِنْ خِلَافٍ وَلَأُصَلِّبَنَّكُمْ فِي جُذُوعِ النَّخْلِ وَلَتَعْلَمُنَّ أَيُّنَا أَشَدُّ عَذَابًا وَأَبْقَى</w:t>
      </w:r>
      <w:r>
        <w:rPr>
          <w:rFonts w:eastAsia="Amiri" w:cs="Amiri" w:ascii="Amiri" w:hAnsi="Amiri"/>
          <w:color w:val="111111"/>
          <w:sz w:val="28"/>
          <w:szCs w:val="28"/>
          <w:rtl w:val="true"/>
          <w:lang w:bidi="ar-SA"/>
        </w:rPr>
        <w:t>»</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حصل؟ ما السبب في هذا التغيير السريع من الكفر إلى الإيمان، ومن الانحراف إلى الاستقامة، ومن الاعوجاج إلى الطريق المستقيم، ومن الظلمة إلى النور؟ قد جعل الجميع في دهشة، وربما كان هذا الأمر غير قابل للتصديق حتى من قِبَل فرعون نفسه؟ أي عاملٍ كان السبب في هذا التحول العميق السريع؟ وأي عاملٍ أضاء قلوبهم بنور الإيمان الوهّاج؟ إلى درجة أبدوا استعدادهم فيها لأن يضعوا كلَّ وجودهم في خدمة هذا العمل، بل وضعوه فعلاً على ما نقل التاريخ؛ لأنّ فرعون قد نفَّذ تهديده، وقتل هؤلاء بطريقة وحشية،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أوّل النهار كفاراً سحرة، وآخر النهار شهداء بررة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نجد هنا عاملاً ـ في هذا التغيير الجذري ـ غير العلم والوعي؟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لَنْ نُؤْثِرَكَ عَلَى مَا جَاءَنَا مِنَ الْبَيِّنَاتِ وَالَّذِي فَطَرَنَا </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إنّ هؤلاء لمّا كانوا عالمين بفنون السحر وأسراره، وأيقنوا ـ بوضوح تامّ ـ أنّ عمل موسى لم يكن سحراً، بل هو معجزة إلهية، غيّروا مسيرهم بتلك الشجاعة والحزم</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وردّوا على تهديد فرعون لهم بالتعذيب والقتل بكلِّ ثقة واطمئنان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 إِنَّمَا تَقْضِي هَذِهِ الْحَيَاةَ الدُّنْيَا</w:t>
      </w:r>
      <w:r>
        <w:rPr>
          <w:rFonts w:eastAsia="Amiri" w:cs="Amiri" w:ascii="Amiri" w:hAnsi="Amiri"/>
          <w:color w:val="111111"/>
          <w:sz w:val="28"/>
          <w:szCs w:val="28"/>
          <w:rtl w:val="true"/>
          <w:lang w:bidi="ar-SA"/>
        </w:rPr>
        <w:t>»</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المؤمنون وقد أدركهم الحقُّ وغشيهم فأصفاهم وأخلصهم لنفسه، فهم يرون ما يعده فرعون حقيقة ـ من أمتعة الحياة الدنيا من مالها ومنزلتها ـ سراباً خيالياً وزينة غارّة باطلة، وأنّهم إذا خُيِّروا بينه وبين ما آمنوا به فقد خُيِّروا بين الحقِّ </w:t>
      </w:r>
    </w:p>
    <w:p>
      <w:pPr>
        <w:pStyle w:val="BookText"/>
        <w:rPr/>
      </w:pPr>
      <w:r>
        <w:rPr>
          <w:rFonts w:ascii="Amiri" w:hAnsi="Amiri" w:eastAsia="Amiri" w:cs="Amiri"/>
          <w:color w:val="111111"/>
          <w:sz w:val="28"/>
          <w:sz w:val="28"/>
          <w:szCs w:val="28"/>
          <w:rtl w:val="true"/>
          <w:lang w:bidi="ar-SA"/>
        </w:rPr>
        <w:t>والباطل، والحقيقة والسراب</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فلأجل تحقيق التغيير وإيجاد تحوّل في مسيرة الأفراد والمجتمعات المنحرفة لا بدّ أولاً وقبل كلِّ شيء من إيجاد الوعي الصحيح في وجدان أفراد الأُمّة ووضع مؤشر تفكيرهم في الاتّجاه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حصل لزهير بن القين حين التقى بالإمام الحسين علیه السلام ، فيمكن أن يكون الإمام قد شخّص له مواطن خطئه واشتباهه، وبيّن له ما ينتظره من النعيم المقيم فيما إذا التحق بأهل البيت علیهم السلام  ونصرهم؛ فانقشعت بنور كلمات الإمام علیه السلام  ظلمات وجدان زهير بن القين وأشرقت روحه بحبّ آل رسول الله صلّى الله عليه و آله ؛ فحدث في نفسه هذا التحوّل الذي طلّق معه الدنيا بكلِّ ما فيها؛ وآثر الاستشهاد مع ابن بنت رسول الله غير آبهٍ بما يُصيبه من أذى في سبيل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مع الالتفات إلى أنّ مثل هذا الانقلاب والتحوّل والاستقامة، ليس ممكناً إلّا في ظل الإمدادات الإلهية، ومن المسلَّم أنّ كلَّ مَن اختار سلوك طريق الحقّ، شملته هذه العنايات الربّانية، والإمدادات الإلهية</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الفرض الثاني في عثمانيّة زهير، فقد تكون ناشئة من شبهة عارضة وقناعات مبنيّة على أُمور وهمية، ولم تكن اعتقاداً متأصّلاً في قرارة نفسه، فمن الممكن أن يكون زهير من الموالين والمحبّين لأهل البيت علیه السلام ، وقد يشهد لذلك أنّ سلمان الفارسي كان يتفرّس فيه محبّة أهل البيت علیهم السلام  وموالاتهم، فحثّه على نصرة الإمام الحسين علیه السلام  يوم عاشوراء، وطلب منه ومن رفقائه أن يكونوا أشدّ فرحاً بنصرة الإمام من فرحهم بالغنائم، إلّا أنّه قد عرض له عارض غيَّر فيه بعض القناعات؛ فاعتقد ـ مثلاً ـ أنّ الخليفة عثمان قُتل مظلوماً، وكان يفترض بالإمام علیه السلام  أن يقتص من قتلته، وما شابه ذلك، ولكن من دون أن يكون مبغضاً لأهل البيت علیهم السلام  أو محارباً لهم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العوارض الفكرية والعقدية طالما تحصل لبعض الموالين؛ فتتشوّش لديه الرؤية، ومن ذلك ما ينقله الشيخ المفيد، عن المسعودي، عن هاشم بن الوليد، عن </w:t>
      </w:r>
      <w:bookmarkStart w:id="297" w:name="pg7448_76937"/>
    </w:p>
    <w:p>
      <w:pPr>
        <w:pStyle w:val="BookText"/>
        <w:rPr/>
      </w:pPr>
      <w:bookmarkEnd w:id="297"/>
      <w:r>
        <w:rPr>
          <w:rFonts w:ascii="IRNazanin" w:hAnsi="IRNazanin" w:eastAsia="IRNazanin"/>
          <w:color w:val="111111"/>
          <w:sz w:val="28"/>
          <w:sz w:val="28"/>
          <w:szCs w:val="28"/>
          <w:rtl w:val="true"/>
          <w:lang w:bidi="fa-IR"/>
        </w:rPr>
        <w:t>ابن سعيد التميمي، عن أبي ثابت مولى أبي 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مع أمير المؤمنين علیه السلام  الجمل، فلما رأيت عائشة واقفة بين الصفّين ومعها طلحة والزبير،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المؤمنين وزوجة الرسول وحواري الرسول وصاحبيه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فدخلني ما يدخل الناس من الشكّ، حتى كان عند صلاة الظهر كشف الله ذلك عن قلبي،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 وأخو سيد المرسلين وأولهم إسلاماً، لم يكن بالذي يقدم على 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فقاتلت معه قتالاً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عاد إلى المدينة استأذن بالدخول على أُمّ سلمة، وقصّ عليها خبره،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مع القرآن والقرآن مع علي، لا يفترقا حتى يردا الحوض</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فيمكن أن تكون حالة زهير من هذا النوع، ولكن حين جمعه الطريق بالحسين علیه السلام  أزال الإمام ما قد علق في روحه من خبث ودرن، فعادت نقية صافية مبصرة للحقّ؛ فحدث عنده هذا التغيير ليعلن ولاءه ونصرته للإمام علیه السلام </w:t>
      </w:r>
      <w:r>
        <w:rPr>
          <w:rFonts w:eastAsia="IRNazanin" w:cs="IRNazanin"/>
          <w:color w:val="111111"/>
          <w:sz w:val="28"/>
          <w:szCs w:val="28"/>
          <w:rtl w:val="true"/>
          <w:lang w:bidi="fa-IR"/>
        </w:rPr>
        <w:t>.</w:t>
      </w:r>
    </w:p>
    <w:p>
      <w:pPr>
        <w:pStyle w:val="Heading4"/>
        <w:numPr>
          <w:ilvl w:val="3"/>
          <w:numId w:val="1"/>
        </w:numPr>
        <w:rPr/>
      </w:pPr>
      <w:bookmarkStart w:id="298" w:name="__RefHeading___Toc1936848_1051229030"/>
      <w:bookmarkStart w:id="299" w:name="_Toc109"/>
      <w:bookmarkEnd w:id="298"/>
      <w:r>
        <w:rPr>
          <w:rtl w:val="true"/>
        </w:rPr>
        <w:t>في ركب الخلود</w:t>
      </w:r>
      <w:bookmarkEnd w:id="299"/>
    </w:p>
    <w:p>
      <w:pPr>
        <w:pStyle w:val="BookText"/>
        <w:rPr/>
      </w:pPr>
      <w:r>
        <w:rPr>
          <w:rFonts w:ascii="IRNazanin" w:hAnsi="IRNazanin" w:eastAsia="IRNazanin"/>
          <w:color w:val="111111"/>
          <w:sz w:val="28"/>
          <w:sz w:val="28"/>
          <w:szCs w:val="28"/>
          <w:rtl w:val="true"/>
          <w:lang w:bidi="fa-IR"/>
        </w:rPr>
        <w:t>إننا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الشهيد زهير بن القين البجلي كان علوي الهوى ومن أتباع أهل البيت علیهم السلام  ومواليهم، وإنه اجتمع بالحسين في الطريق وانضمّ إليه، أم اعتقدنا أنّه كان عثمانيّاً يحمل في قلبه شيئاً تجاه أهل البيت علیهم السلام ، ولكن لقاءه التاريخي بالإمام الحسين علیه السلام  قلب كيانه رأساً على عقب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كلا التقديرين؛ فإنّ التحاقه بركب الحسين علیه السلام  يعدّ انعطافة تاريخية في حياة الشهيد زهير نحو المجد والخلود والفوز برضوان الله تعالى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ويظهر من بعض الدلائل والنصوص التاريخية أنّ وجود الشهيد زهير في الركب الحسيني كان وجوداً مميّزاً، فرضته شخصية الشهيد المتّزنة وعقله الراجح، وهذا ما نلمسه حين أشار على الإمام الحسين علیه السلام  بمناجزة جيش الحرّ حين حاصرهم ومنعهم من النزول في الغاضرية أو نينوى، فقال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ذرنا حتى نقاتل </w:t>
      </w:r>
      <w:bookmarkStart w:id="300" w:name="pg7448_76938"/>
    </w:p>
    <w:p>
      <w:pPr>
        <w:pStyle w:val="BookText"/>
        <w:rPr/>
      </w:pPr>
      <w:bookmarkEnd w:id="300"/>
      <w:r>
        <w:rPr>
          <w:rFonts w:ascii="Amiri" w:hAnsi="Amiri" w:eastAsia="Amiri" w:cs="Amiri"/>
          <w:color w:val="111111"/>
          <w:sz w:val="28"/>
          <w:sz w:val="28"/>
          <w:szCs w:val="28"/>
          <w:rtl w:val="true"/>
          <w:lang w:bidi="ar-SA"/>
        </w:rPr>
        <w:t>هؤلاء القوم، فإنّ قتالنا الساعة نحن وإياهم أيسر علينا وأهون من قتال مَن يأتينا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أيّده الإمام وصوّب رأيه،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كره أن يبدأهم بقتال حتى يبدؤوا</w:t>
      </w:r>
      <w:r>
        <w:rPr>
          <w:rStyle w:val="FootnoteAnchor"/>
          <w:rtl w:val="true"/>
        </w:rPr>
        <w:footnoteReference w:id="332"/>
      </w:r>
      <w:r>
        <w:rPr>
          <w:rFonts w:ascii="IRNazanin" w:hAnsi="IRNazanin" w:eastAsia="IRNazanin"/>
          <w:color w:val="111111"/>
          <w:sz w:val="28"/>
          <w:sz w:val="28"/>
          <w:szCs w:val="28"/>
          <w:rtl w:val="true"/>
          <w:lang w:bidi="fa-IR"/>
        </w:rPr>
        <w:t>، وهو الأمر الذي تمليه مبادئ النهضة الحسينيّة السامية، وأخلاق أهل البيت علیهم السلام  في الحرب والقتال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يرويه الطبري في 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عندما صحب زهيرٌ الإمامَ الحسين علیه السلام  ووصلوا إلى كربلاء، 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زهير، اعلم أنّ ها هنا مشهدي، ويحمل هذا من جسدي ـ يعني رأسه ـ زحر بن قيس، فيدخل به على يزيد يرجو نواله، فلا يُعطيه شيئاً</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يكشف بطبيعة الحال عن المكانة التي يتبوؤها زهير عند الإمام الحسين علیه السلام ، والدرجة العالية التي وصلها زهير؛ حتى استحقّ أن يخصَّه الإمام علیه السلام  بهذا الحديث المهم</w:t>
      </w:r>
      <w:r>
        <w:rPr>
          <w:rFonts w:eastAsia="IRNazanin" w:cs="IRNazanin"/>
          <w:color w:val="111111"/>
          <w:sz w:val="28"/>
          <w:szCs w:val="28"/>
          <w:rtl w:val="true"/>
          <w:lang w:bidi="fa-IR"/>
        </w:rPr>
        <w:t>.</w:t>
      </w:r>
    </w:p>
    <w:p>
      <w:pPr>
        <w:pStyle w:val="Heading4"/>
        <w:numPr>
          <w:ilvl w:val="3"/>
          <w:numId w:val="1"/>
        </w:numPr>
        <w:rPr/>
      </w:pPr>
      <w:bookmarkStart w:id="301" w:name="__RefHeading___Toc1936850_1051229030"/>
      <w:bookmarkStart w:id="302" w:name="_Toc110"/>
      <w:bookmarkEnd w:id="301"/>
      <w:r>
        <w:rPr>
          <w:rtl w:val="true"/>
        </w:rPr>
        <w:t>زهير بن القين</w:t>
      </w:r>
      <w:r>
        <w:rPr>
          <w:rtl w:val="true"/>
        </w:rPr>
        <w:t xml:space="preserve">.. </w:t>
      </w:r>
      <w:r>
        <w:rPr>
          <w:rtl w:val="true"/>
        </w:rPr>
        <w:t>إيمان راسخ ولسان ناصح</w:t>
      </w:r>
      <w:bookmarkEnd w:id="3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أفصحت مواقف زهير بن القين قُبيل عاشوراء وأثناءها عن أنّ لديه يقيناً ثابتاً وإيماناً راسخاً يضارع الجبال في ثباتها وشموخها؛ فحينما رأى الحسين علیه السلام  تكالُب الأعداء وتواتر الجيوش المدجّجة بالسلاح والعتاد،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 وتفرَّقوا في سواده؛ فإنّ القوم إنّما يطلبونني، ولو ظفروا بي لذُهلوا عن طلب غيري</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 فأجابه الأصحاب بإجابات متعددة رافضين فيها التخلّي عنه، وموطِّنين أنفسَهم على الموت معه والتضحية دونه، </w:t>
      </w:r>
    </w:p>
    <w:p>
      <w:pPr>
        <w:pStyle w:val="BookText"/>
        <w:rPr/>
      </w:pPr>
      <w:r>
        <w:rPr>
          <w:rFonts w:ascii="Amiri" w:hAnsi="Amiri" w:eastAsia="Amiri" w:cs="Amiri"/>
          <w:color w:val="111111"/>
          <w:sz w:val="28"/>
          <w:sz w:val="28"/>
          <w:szCs w:val="28"/>
          <w:rtl w:val="true"/>
          <w:lang w:bidi="ar-SA"/>
        </w:rPr>
        <w:t>ولكن كانت لكلمات الشهيد زهير وقعٌ مختلف ورنين خاصّ جعل المؤرِّخين يقفون عندها ويتناقلونها،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لوددت أنّي قُتلت ثمَّ نُشرت ثمَّ قُتلت حتى أُقتل كذا ألف قتلة وأنّ الله يدفع بذلك القتل عن نفسك وعن أنفس هؤلاء الفتية من أهل بيتك</w:t>
      </w:r>
      <w:r>
        <w:rPr>
          <w:rFonts w:eastAsia="Amiri" w:cs="Amiri" w:ascii="Amiri" w:hAnsi="Amiri"/>
          <w:color w:val="111111"/>
          <w:sz w:val="28"/>
          <w:szCs w:val="28"/>
          <w:rtl w:val="true"/>
          <w:lang w:bidi="ar-SA"/>
        </w:rPr>
        <w:t>»</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يجد الموت بحدِّ السيوف آلاف المرّات دفاعاً عن الحسين وأهل بيته أقلّ ما يمكن أن يقدِّمَه في هذا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كلام له قاله نيابةً عن أصحابه عَقِبَ كلامٍ للإمام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بذي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من الأمر ما قد تَرَون، وإنّ الدنيا قد تغيَّرت وتنكَّرت وأدبر معروفها واستمرّت جداً، فلم يبقَ منها إلّا صبابة كصبابة الإناء، وخسيس عيش كالمرعى الوبيل، ألا تَرَون أنّ الحقَّ لا يُعمل به وأنّ الباطل لا يُتناهى عنه؛ ليرغب المؤمن في لقاء الله محقّاً، فإنّي لا أرى الموت إلّا شهادة، ولا الحياة مع الظالمين إلّا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فإجاب زهير بعد أن استأذن أصحابه، فحمد الله وأثنى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ـ هداك الله يا بن رسول الله ـ مقالتك، والله، لو كانت الدنيا لنا باقية، وكنّا فيها مخلَّدين، إلّا أنّ فراقها في نصرك ومواساتك لآثرنا الخروج معك على الإقامة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الحسين، ثمَّ قال له خيراً</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الإيمان الذي طفحت به نفس زهير بن القين، كان من الطبيعي أن يفيض حبّاً وشفقة حتى على أعدائه ومناوئيه، فبعد أن بان أمامه طريق الحقِّ واضحاً أبلج، راح يقدِّم النُصح الإرشاد لقومه، ويبالغ في استمالتهم نحو طريق الهداية والاستقامة، ومن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نذارِ لكم من عذاب الله 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حقّاً على المسلم نصيحة أخيه المسلم، ونحن حتى الآن إخوة وعلى دين واحد وملّة واحدة ما لم يقع بيننا وبينكم السيف، وأنتم للنصيحة منّا أهل، فإذا وقع السيف انقطعت العصمة، وكنّا أُمّة وأنتم أُمّة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ابتلانا وإياكم بذرية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لينظر ما نحن وأنتم </w:t>
      </w:r>
      <w:bookmarkStart w:id="303" w:name="pg7448_76940"/>
    </w:p>
    <w:p>
      <w:pPr>
        <w:pStyle w:val="BookText"/>
        <w:rPr/>
      </w:pPr>
      <w:bookmarkEnd w:id="303"/>
      <w:r>
        <w:rPr>
          <w:rFonts w:ascii="Amiri" w:hAnsi="Amiri" w:eastAsia="Amiri" w:cs="Amiri"/>
          <w:color w:val="111111"/>
          <w:sz w:val="28"/>
          <w:sz w:val="28"/>
          <w:szCs w:val="28"/>
          <w:rtl w:val="true"/>
          <w:lang w:bidi="ar-SA"/>
        </w:rPr>
        <w:t>عاملون، إنّا ندعوكم إلى نصرهم وخذلان الطاغية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منهم إلّا أن سبّوه وأثنوا على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الجدال والكلام بينه وبينهم، فناداه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فلعمري، لئن كان مؤمن آل فرعون نصح لقومه وأبلغ في الدعاء، لقد نصحتَ لهؤلاء وأبلغتَ لو نفع النُّصح والإبلاغ</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هكذا تكون النفوس حين تسمو وتتسامى فتستوعب حتى أعدائها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بعض ما تعلَّمه زهير من أبي الأحرار الإمام الحسين علیه السلام </w:t>
      </w:r>
      <w:r>
        <w:rPr>
          <w:rFonts w:eastAsia="IRNazanin" w:cs="IRNazanin"/>
          <w:color w:val="111111"/>
          <w:sz w:val="28"/>
          <w:szCs w:val="28"/>
          <w:rtl w:val="true"/>
          <w:lang w:bidi="fa-IR"/>
        </w:rPr>
        <w:t>.</w:t>
      </w:r>
    </w:p>
    <w:p>
      <w:pPr>
        <w:pStyle w:val="Heading4"/>
        <w:numPr>
          <w:ilvl w:val="3"/>
          <w:numId w:val="1"/>
        </w:numPr>
        <w:rPr/>
      </w:pPr>
      <w:bookmarkStart w:id="304" w:name="__RefHeading___Toc1936852_1051229030"/>
      <w:bookmarkStart w:id="305" w:name="_Toc111"/>
      <w:bookmarkEnd w:id="304"/>
      <w:r>
        <w:rPr>
          <w:rtl w:val="true"/>
        </w:rPr>
        <w:t>رجل المهمّات وصاحب الصولات</w:t>
      </w:r>
      <w:bookmarkEnd w:id="305"/>
    </w:p>
    <w:p>
      <w:pPr>
        <w:pStyle w:val="BookText"/>
        <w:rPr/>
      </w:pPr>
      <w:r>
        <w:rPr>
          <w:rFonts w:ascii="IRNazanin" w:hAnsi="IRNazanin" w:eastAsia="IRNazanin"/>
          <w:color w:val="111111"/>
          <w:sz w:val="28"/>
          <w:sz w:val="28"/>
          <w:szCs w:val="28"/>
          <w:rtl w:val="true"/>
          <w:lang w:bidi="fa-IR"/>
        </w:rPr>
        <w:t>وعندما بدأت نُذُر الحرب في كربلاء تلوح في الأُفق وتلبّدت سماؤها بغيوم المواجهة الحتميّة، فلا مكان حينذاك إلّا لمعادن الرجال الأصيلة والنفوس التي ألفتها الشجاعة؛ فلذا كنّا نسمع اسم زهير بن القين كان يتردد في أكثر من مناسبة، ونجده في أكثر من مهمّة، فنراه في كتيبة العباس علیه السلام  التي انتدبها الإمام لاستطلاع أمر الجموع الزاحفة عليهم في عصر يوم التاسع من المحرّم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ويقع عليه اختيار الإمام علیه السلام  في ظهر يوم عاشوراء، وهو ينظّم أصحابه ويعدّهم ليكون قائداً بارزاً على رأس ميمنة جيش الإمام علیه السلام </w:t>
      </w:r>
      <w:r>
        <w:rPr>
          <w:rStyle w:val="FootnoteAnchor"/>
          <w:rtl w:val="true"/>
        </w:rPr>
        <w:footnoteReference w:id="339"/>
      </w:r>
      <w:r>
        <w:rPr>
          <w:rFonts w:ascii="Amiri" w:hAnsi="Amiri" w:eastAsia="Amiri" w:cs="Amiri"/>
          <w:color w:val="111111"/>
          <w:sz w:val="28"/>
          <w:sz w:val="28"/>
          <w:szCs w:val="28"/>
          <w:rtl w:val="true"/>
          <w:lang w:bidi="ar-SA"/>
        </w:rPr>
        <w:t>لشجاعته ودرايته في أُمور الحرب والقتال التي خبرها منذ كان شابّاً في الفتوحات الإسلامية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وأبلى الشهيد زهير بن القين بلاءً حسناً، وهو يقارع الشجعان ويناجز الفرسان، مدافعاً عن حرائر النبوة وعقائل الرسالة، فلمّا يهجم شمر اللعين بمرتزقته على خيم النساء والأطفال ويُدخل الرعبَ في قلوبهم، يحمل عليهم زهير في عشرة من أصحابه؛ فيكشفهم عن البيوت، فيقتل بعضاً، ويولّي البعض الآخر هارباً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bookmarkStart w:id="306" w:name="pg7448_76941"/>
    </w:p>
    <w:p>
      <w:pPr>
        <w:pStyle w:val="BookText"/>
        <w:rPr/>
      </w:pPr>
      <w:bookmarkEnd w:id="306"/>
      <w:r>
        <w:rPr>
          <w:rFonts w:ascii="IRNazanin" w:hAnsi="IRNazanin" w:eastAsia="IRNazanin"/>
          <w:color w:val="111111"/>
          <w:sz w:val="28"/>
          <w:sz w:val="28"/>
          <w:szCs w:val="28"/>
          <w:rtl w:val="true"/>
          <w:lang w:bidi="fa-IR"/>
        </w:rPr>
        <w:t>وهكذا في موقف رسالي بطولي يقدِّمه لنا زهير، فحين تحضر الصلاة يأمره الإمام الحسين علیه السلام  هو وسعيد بن عبد الله الحنفي ليتقدّما أمامه فيقيانه من السهام والنبال؛ حتى يصلي بمَن تبقّى من أصحابه صلاة الخوف</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 w:name="__RefHeading___Toc1936854_1051229030"/>
      <w:bookmarkStart w:id="308" w:name="_Toc112"/>
      <w:bookmarkEnd w:id="307"/>
      <w:r>
        <w:rPr>
          <w:rtl w:val="true"/>
        </w:rPr>
        <w:t>وسام الشهادة</w:t>
      </w:r>
      <w:bookmarkEnd w:id="308"/>
    </w:p>
    <w:p>
      <w:pPr>
        <w:pStyle w:val="BookText"/>
        <w:rPr/>
      </w:pPr>
      <w:r>
        <w:rPr>
          <w:rFonts w:ascii="IRNazanin" w:hAnsi="IRNazanin" w:eastAsia="IRNazanin"/>
          <w:color w:val="111111"/>
          <w:sz w:val="28"/>
          <w:sz w:val="28"/>
          <w:szCs w:val="28"/>
          <w:rtl w:val="true"/>
          <w:lang w:bidi="fa-IR"/>
        </w:rPr>
        <w:t>وآن لهذه المسيرة المفعمة بكلِّ ألوان المكارم والفضائل أن تنال الشهادة وتنعم بالسعادة الأبدية، إذ ينقل المؤرِّخون أنّ زهيراً كان يقاتل قتالاً شديداً بين يدي أبي عبد الله علیه السلام  وهو يرتجز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أنـا زهير وأنـا ابـن القـين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أذودهم بالسيف عن حسين</w:t>
      </w:r>
    </w:p>
    <w:p>
      <w:pPr>
        <w:pStyle w:val="BookText"/>
        <w:rPr/>
      </w:pPr>
      <w:r>
        <w:rPr>
          <w:rFonts w:ascii="IRNazanin" w:hAnsi="IRNazanin" w:eastAsia="IRNazanin"/>
          <w:color w:val="111111"/>
          <w:sz w:val="28"/>
          <w:sz w:val="28"/>
          <w:szCs w:val="28"/>
          <w:rtl w:val="true"/>
          <w:lang w:bidi="fa-IR"/>
        </w:rPr>
        <w:t xml:space="preserve">ويقول للحسين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أقدم هُديت هادياً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فـاليوم تلقى جـدّك النبيــا</w:t>
      </w:r>
    </w:p>
    <w:p>
      <w:pPr>
        <w:pStyle w:val="BookText"/>
        <w:rPr/>
      </w:pPr>
      <w:r>
        <w:rPr>
          <w:rFonts w:ascii="Amiri" w:hAnsi="Amiri" w:eastAsia="Amiri" w:cs="Amiri"/>
          <w:color w:val="111111"/>
          <w:sz w:val="28"/>
          <w:sz w:val="28"/>
          <w:szCs w:val="28"/>
          <w:rtl w:val="true"/>
          <w:lang w:bidi="ar-SA"/>
        </w:rPr>
        <w:t>وحـسناً والمرتضى عـليا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الجناحين الفتى الكميا</w:t>
      </w:r>
    </w:p>
    <w:p>
      <w:pPr>
        <w:pStyle w:val="BookText"/>
        <w:rPr/>
      </w:pPr>
      <w:r>
        <w:rPr>
          <w:rFonts w:ascii="Amiri" w:hAnsi="Amiri" w:eastAsia="Amiri" w:cs="Amiri"/>
          <w:color w:val="111111"/>
          <w:sz w:val="28"/>
          <w:sz w:val="28"/>
          <w:szCs w:val="28"/>
          <w:rtl w:val="true"/>
          <w:lang w:bidi="ar-SA"/>
        </w:rPr>
        <w:t>وأسد الله الشهيد الحيّا</w:t>
      </w:r>
    </w:p>
    <w:p>
      <w:pPr>
        <w:pStyle w:val="BookText"/>
        <w:rPr/>
      </w:pPr>
      <w:r>
        <w:rPr>
          <w:rFonts w:ascii="Amiri" w:hAnsi="Amiri" w:eastAsia="Amiri" w:cs="Amiri"/>
          <w:color w:val="111111"/>
          <w:sz w:val="28"/>
          <w:sz w:val="28"/>
          <w:szCs w:val="28"/>
          <w:rtl w:val="true"/>
          <w:lang w:bidi="ar-SA"/>
        </w:rPr>
        <w:t>فشدّ عليه مهاجر بن أوس التميمي وكثير بن عبد الله الشعبي فقتلاه</w:t>
      </w:r>
      <w:r>
        <w:rPr>
          <w:rStyle w:val="FootnoteAnchor"/>
          <w:rtl w:val="true"/>
        </w:rPr>
        <w:footnoteReference w:id="342"/>
      </w:r>
      <w:r>
        <w:rPr>
          <w:rFonts w:ascii="Amiri" w:hAnsi="Amiri" w:eastAsia="Amiri" w:cs="Amiri"/>
          <w:color w:val="111111"/>
          <w:sz w:val="28"/>
          <w:sz w:val="28"/>
          <w:szCs w:val="28"/>
          <w:rtl w:val="true"/>
          <w:lang w:bidi="ar-SA"/>
        </w:rPr>
        <w:t>، لتلتحقّ روحه الطاهرة بقافلة الشهداء، وتسكن مع السعداء، فهنيئاً له هذا الوسام الإلهي والشارة الربّانية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وإنّا لله وإنّا إليه راجعون </w:t>
      </w:r>
      <w:bookmarkStart w:id="309" w:name="pg7448_76942"/>
    </w:p>
    <w:p>
      <w:pPr>
        <w:pStyle w:val="Heading3"/>
        <w:numPr>
          <w:ilvl w:val="2"/>
          <w:numId w:val="1"/>
        </w:numPr>
        <w:rPr/>
      </w:pPr>
      <w:bookmarkStart w:id="310" w:name="__RefHeading___Toc1936856_1051229030"/>
      <w:bookmarkStart w:id="311" w:name="_Toc113"/>
      <w:bookmarkEnd w:id="309"/>
      <w:bookmarkEnd w:id="310"/>
      <w:r>
        <w:rPr>
          <w:rtl w:val="true"/>
        </w:rPr>
        <w:t>مَقتَلُ أبي مِخنَفَ الَأزدي الكُوفيّ</w:t>
      </w:r>
      <w:bookmarkEnd w:id="311"/>
    </w:p>
    <w:p>
      <w:pPr>
        <w:pStyle w:val="Heading4"/>
        <w:numPr>
          <w:ilvl w:val="3"/>
          <w:numId w:val="1"/>
        </w:numPr>
        <w:rPr/>
      </w:pPr>
      <w:bookmarkStart w:id="312" w:name="__RefHeading___Toc1936858_1051229030"/>
      <w:bookmarkStart w:id="313" w:name="_Toc114"/>
      <w:bookmarkEnd w:id="312"/>
      <w:r>
        <w:rPr>
          <w:rtl w:val="true"/>
        </w:rPr>
        <w:t>اشارة</w:t>
      </w:r>
      <w:bookmarkEnd w:id="31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000-157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4"/>
        <w:numPr>
          <w:ilvl w:val="3"/>
          <w:numId w:val="1"/>
        </w:numPr>
        <w:rPr/>
      </w:pPr>
      <w:bookmarkStart w:id="314" w:name="__RefHeading___Toc1936860_1051229030"/>
      <w:bookmarkStart w:id="315" w:name="_Toc115"/>
      <w:bookmarkEnd w:id="314"/>
      <w:r>
        <w:rPr>
          <w:rtl w:val="true"/>
        </w:rPr>
        <w:t>أشهرُ المَقَاتِل الحُسَينيَّة</w:t>
      </w:r>
      <w:bookmarkEnd w:id="315"/>
    </w:p>
    <w:p>
      <w:pPr>
        <w:pStyle w:val="Heading5"/>
        <w:numPr>
          <w:ilvl w:val="4"/>
          <w:numId w:val="1"/>
        </w:numPr>
        <w:rPr/>
      </w:pPr>
      <w:bookmarkStart w:id="316" w:name="__RefHeading___Toc1936862_1051229030"/>
      <w:bookmarkStart w:id="317" w:name="_Toc116"/>
      <w:bookmarkEnd w:id="316"/>
      <w:r>
        <w:rPr>
          <w:rtl w:val="true"/>
        </w:rPr>
        <w:t>اشارة</w:t>
      </w:r>
      <w:bookmarkEnd w:id="317"/>
    </w:p>
    <w:p>
      <w:pPr>
        <w:pStyle w:val="BookText"/>
        <w:rPr/>
      </w:pPr>
      <w:r>
        <w:rPr>
          <w:rFonts w:ascii="Amiri" w:hAnsi="Amiri" w:eastAsia="Amiri" w:cs="Amiri"/>
          <w:color w:val="111111"/>
          <w:sz w:val="28"/>
          <w:sz w:val="28"/>
          <w:szCs w:val="28"/>
          <w:rtl w:val="true"/>
          <w:lang w:bidi="ar-SA"/>
        </w:rPr>
        <w:t>الشيخ عامر الجابري</w:t>
      </w:r>
      <w:r>
        <w:rPr>
          <w:rStyle w:val="FootnoteAnchor"/>
          <w:rtl w:val="true"/>
        </w:rPr>
        <w:footnoteReference w:id="343"/>
      </w:r>
    </w:p>
    <w:p>
      <w:pPr>
        <w:pStyle w:val="Heading5"/>
        <w:numPr>
          <w:ilvl w:val="4"/>
          <w:numId w:val="1"/>
        </w:numPr>
        <w:rPr/>
      </w:pPr>
      <w:bookmarkStart w:id="318" w:name="__RefHeading___Toc1936864_1051229030"/>
      <w:bookmarkStart w:id="319" w:name="_Toc117"/>
      <w:bookmarkEnd w:id="318"/>
      <w:r>
        <w:rPr>
          <w:rtl w:val="true"/>
        </w:rPr>
        <w:t>تقديم</w:t>
      </w:r>
      <w:bookmarkEnd w:id="319"/>
    </w:p>
    <w:p>
      <w:pPr>
        <w:pStyle w:val="BookText"/>
        <w:rPr/>
      </w:pPr>
      <w:r>
        <w:rPr>
          <w:rFonts w:ascii="Amiri" w:hAnsi="Amiri" w:eastAsia="Amiri" w:cs="Amiri"/>
          <w:color w:val="111111"/>
          <w:sz w:val="28"/>
          <w:sz w:val="28"/>
          <w:szCs w:val="28"/>
          <w:rtl w:val="true"/>
          <w:lang w:bidi="ar-SA"/>
        </w:rPr>
        <w:t>كان أبو مخنف في زمانه شيخ المؤرِّخين في الكوفة، وكان من أشدّ المؤرِّخين اهتماماً بجمع وتدوين أخبار كربلاء، وقد حاول أن يُحيط بأدقِّ التفاصيل المرتبطة بهذه الواقعة، فشملت أخباره أحداث ووقائع يوم عاشوراء، وما سبقه من إرهاصات وتمهيدات، وما تلاه من أحداث ووقائع السبي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محمد باقر القائني في كتابه الكبريت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أعطى قباءه ـ وهو برد يماني نفيس ـ ثمناً لكتابة أبيات من الشعر منسوبة لسيد الشهداء علیه السلام </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ـ إن صحّت ـ تكشف عن حرصه الشديد وتطلّعه إلى التقاط كلِّ شاردة وواردة حول هذه الواقعة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حاول أبو مخنف أن يُحيط بأدقِّ تفاصيل أحداث ووقائع كربلاء، فقد حاول ـ أيضاً ـ أن يستند في عمله إلى المنابع الأُولى المتمثّلة في الرواة الأوائل الذين عايشوا </w:t>
      </w:r>
    </w:p>
    <w:p>
      <w:pPr>
        <w:pStyle w:val="BookText"/>
        <w:rPr/>
      </w:pPr>
      <w:r>
        <w:rPr>
          <w:rFonts w:ascii="IRNazanin" w:hAnsi="IRNazanin" w:eastAsia="IRNazanin"/>
          <w:color w:val="111111"/>
          <w:sz w:val="28"/>
          <w:sz w:val="28"/>
          <w:szCs w:val="28"/>
          <w:rtl w:val="true"/>
          <w:lang w:bidi="fa-IR"/>
        </w:rPr>
        <w:t xml:space="preserve">الأحداث وباشروها، كعقبة بن سمعان مولى الرباب زوجة الحسين علیه السلام </w:t>
      </w:r>
      <w:r>
        <w:rPr>
          <w:rStyle w:val="FootnoteAnchor"/>
          <w:rtl w:val="true"/>
        </w:rPr>
        <w:footnoteReference w:id="345"/>
      </w:r>
      <w:r>
        <w:rPr>
          <w:rFonts w:ascii="Amiri" w:hAnsi="Amiri" w:eastAsia="Amiri" w:cs="Amiri"/>
          <w:color w:val="111111"/>
          <w:sz w:val="28"/>
          <w:sz w:val="28"/>
          <w:szCs w:val="28"/>
          <w:rtl w:val="true"/>
          <w:lang w:bidi="ar-SA"/>
        </w:rPr>
        <w:t>، ودلهم بنت عمرو زوجة زهير بن القين</w:t>
      </w:r>
      <w:r>
        <w:rPr>
          <w:rStyle w:val="FootnoteAnchor"/>
          <w:rtl w:val="true"/>
        </w:rPr>
        <w:footnoteReference w:id="346"/>
      </w:r>
      <w:r>
        <w:rPr>
          <w:rFonts w:ascii="Amiri" w:hAnsi="Amiri" w:eastAsia="Amiri" w:cs="Amiri"/>
          <w:color w:val="111111"/>
          <w:sz w:val="28"/>
          <w:sz w:val="28"/>
          <w:szCs w:val="28"/>
          <w:rtl w:val="true"/>
          <w:lang w:bidi="ar-SA"/>
        </w:rPr>
        <w:t>، وجعفر بن حذيفة الطائي</w:t>
      </w:r>
      <w:r>
        <w:rPr>
          <w:rStyle w:val="FootnoteAnchor"/>
          <w:rtl w:val="true"/>
        </w:rPr>
        <w:footnoteReference w:id="347"/>
      </w:r>
      <w:r>
        <w:rPr>
          <w:rFonts w:ascii="Amiri" w:hAnsi="Amiri" w:eastAsia="Amiri" w:cs="Amiri"/>
          <w:color w:val="111111"/>
          <w:sz w:val="28"/>
          <w:sz w:val="28"/>
          <w:szCs w:val="28"/>
          <w:rtl w:val="true"/>
          <w:lang w:bidi="ar-SA"/>
        </w:rPr>
        <w:t>، وعقبة بن أبي العيزار</w:t>
      </w:r>
      <w:r>
        <w:rPr>
          <w:rStyle w:val="FootnoteAnchor"/>
          <w:rtl w:val="true"/>
        </w:rPr>
        <w:footnoteReference w:id="348"/>
      </w:r>
      <w:r>
        <w:rPr>
          <w:rFonts w:ascii="Amiri" w:hAnsi="Amiri" w:eastAsia="Amiri" w:cs="Amiri"/>
          <w:color w:val="111111"/>
          <w:sz w:val="28"/>
          <w:sz w:val="28"/>
          <w:szCs w:val="28"/>
          <w:rtl w:val="true"/>
          <w:lang w:bidi="ar-SA"/>
        </w:rPr>
        <w:t>، ويحيى بن هانئ بن عروة المرادي</w:t>
      </w:r>
      <w:r>
        <w:rPr>
          <w:rStyle w:val="FootnoteAnchor"/>
          <w:rtl w:val="true"/>
        </w:rPr>
        <w:footnoteReference w:id="349"/>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تعذر الاتّصال بالراوي المباشر لعدم معاصرته ـ أو للبعد المكاني ـ كان أبو مخنف يتّصل بمَن اتّصل بالرواة المباشرين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واسطة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اتّصل بسليمان بن أبي راشد الأزدي للوصول إلى أخبار حميد بن مسلم الأزدي</w:t>
      </w:r>
      <w:r>
        <w:rPr>
          <w:rStyle w:val="FootnoteAnchor"/>
          <w:rtl w:val="true"/>
        </w:rPr>
        <w:footnoteReference w:id="35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أخذ أخبار عبد الله بن سليم والمذري بن المشمعل الأسديين</w:t>
      </w:r>
      <w:r>
        <w:rPr>
          <w:rStyle w:val="FootnoteAnchor"/>
          <w:rtl w:val="true"/>
        </w:rPr>
        <w:footnoteReference w:id="351"/>
      </w:r>
      <w:r>
        <w:rPr>
          <w:rFonts w:ascii="Amiri" w:hAnsi="Amiri" w:eastAsia="Amiri" w:cs="Amiri"/>
          <w:color w:val="111111"/>
          <w:sz w:val="28"/>
          <w:sz w:val="28"/>
          <w:szCs w:val="28"/>
          <w:rtl w:val="true"/>
          <w:lang w:bidi="ar-SA"/>
        </w:rPr>
        <w:t>، عن أبي جناب الكلبي، عن عدي بن حرملة الأسدي عنهما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20" w:name="pg7448_76944"/>
    </w:p>
    <w:p>
      <w:pPr>
        <w:pStyle w:val="BookText"/>
        <w:rPr/>
      </w:pPr>
      <w:bookmarkEnd w:id="320"/>
      <w:r>
        <w:rPr>
          <w:rFonts w:ascii="Amiri" w:hAnsi="Amiri" w:eastAsia="Amiri" w:cs="Amiri"/>
          <w:color w:val="111111"/>
          <w:sz w:val="28"/>
          <w:sz w:val="28"/>
          <w:szCs w:val="28"/>
          <w:rtl w:val="true"/>
          <w:lang w:bidi="ar-SA"/>
        </w:rPr>
        <w:t>من هنا؛ فقد جاءت روايات مقتل أبي مخنف غنية في تفاصيلها وإحاطتها بالجزئيات، مسندةً متّصلةً موثوقةً في مآخذها ومنابعها؛ ولذا أصبح مقتله من أشهر المقاتل الحسينيّة، وأكثرها اعتماداً لدى المؤرِّخين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وسنعود سريعاً للحديث عن مقتل أبي مخنف بشيءٍ من التفصيل، ولكن بعد أن نكون قد ترجمنا لأبي مِخْنَف، وحملنا فكرة كافية عن شخصيته</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936866_1051229030"/>
      <w:bookmarkStart w:id="322" w:name="_Toc118"/>
      <w:bookmarkEnd w:id="321"/>
      <w:r>
        <w:rPr>
          <w:rtl w:val="true"/>
        </w:rPr>
        <w:t>البحث الأول</w:t>
      </w:r>
      <w:r>
        <w:rPr>
          <w:rtl w:val="true"/>
        </w:rPr>
        <w:t xml:space="preserve">: </w:t>
      </w:r>
      <w:r>
        <w:rPr>
          <w:rtl w:val="true"/>
        </w:rPr>
        <w:t>ترجمته</w:t>
      </w:r>
      <w:bookmarkEnd w:id="322"/>
    </w:p>
    <w:p>
      <w:pPr>
        <w:pStyle w:val="Heading6"/>
        <w:numPr>
          <w:ilvl w:val="5"/>
          <w:numId w:val="1"/>
        </w:numPr>
        <w:rPr/>
      </w:pPr>
      <w:bookmarkStart w:id="323" w:name="__RefHeading___Toc1936868_1051229030"/>
      <w:bookmarkStart w:id="324" w:name="_Toc119"/>
      <w:bookmarkEnd w:id="323"/>
      <w:r>
        <w:rPr/>
        <w:t>١</w:t>
      </w:r>
      <w:r>
        <w:rPr>
          <w:rtl w:val="true"/>
        </w:rPr>
        <w:t>ـ اسمه، نسبه، كُنيته</w:t>
      </w:r>
      <w:bookmarkEnd w:id="324"/>
    </w:p>
    <w:p>
      <w:pPr>
        <w:pStyle w:val="BookText"/>
        <w:rPr/>
      </w:pPr>
      <w:r>
        <w:rPr>
          <w:rFonts w:ascii="Amiri" w:hAnsi="Amiri" w:eastAsia="Amiri" w:cs="Amiri"/>
          <w:color w:val="111111"/>
          <w:sz w:val="28"/>
          <w:sz w:val="28"/>
          <w:szCs w:val="28"/>
          <w:rtl w:val="true"/>
          <w:lang w:bidi="ar-SA"/>
        </w:rPr>
        <w:t xml:space="preserve">هو لوط بن يحيى بن سعيد بن مخنف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 وسكون الخاء وفتح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السين وفتح اللام وسكون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سالم</w:t>
      </w:r>
      <w:r>
        <w:rPr>
          <w:rStyle w:val="FootnoteAnchor"/>
          <w:rtl w:val="true"/>
        </w:rPr>
        <w:footnoteReference w:id="354"/>
      </w:r>
      <w:r>
        <w:rPr>
          <w:rFonts w:ascii="Amiri" w:hAnsi="Amiri" w:eastAsia="Amiri" w:cs="Amiri"/>
          <w:color w:val="111111"/>
          <w:sz w:val="28"/>
          <w:sz w:val="28"/>
          <w:szCs w:val="28"/>
          <w:rtl w:val="true"/>
          <w:lang w:bidi="ar-SA"/>
        </w:rPr>
        <w:t>أو سليمان</w:t>
      </w:r>
      <w:r>
        <w:rPr>
          <w:rStyle w:val="FootnoteAnchor"/>
          <w:rtl w:val="true"/>
        </w:rPr>
        <w:footnoteReference w:id="355"/>
      </w:r>
      <w:r>
        <w:rPr>
          <w:rFonts w:ascii="Amiri" w:hAnsi="Amiri" w:eastAsia="Amiri" w:cs="Amiri"/>
          <w:color w:val="111111"/>
          <w:sz w:val="28"/>
          <w:sz w:val="28"/>
          <w:szCs w:val="28"/>
          <w:rtl w:val="true"/>
          <w:lang w:bidi="ar-SA"/>
        </w:rPr>
        <w:t xml:space="preserve">، الأزدي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مشتهر بكُنيته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ويخطئ بعض الخطباء في تلفُّظ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ما أثبتناه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بكسر الميم وسكون الخاء وفتح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w:t>
      </w:r>
      <w:bookmarkStart w:id="325" w:name="pg7448_76945"/>
    </w:p>
    <w:p>
      <w:pPr>
        <w:pStyle w:val="BookText"/>
        <w:rPr/>
      </w:pPr>
      <w:bookmarkEnd w:id="325"/>
      <w:r>
        <w:rPr>
          <w:rFonts w:ascii="Amiri" w:hAnsi="Amiri" w:eastAsia="Amiri" w:cs="Amiri"/>
          <w:color w:val="111111"/>
          <w:sz w:val="28"/>
          <w:sz w:val="28"/>
          <w:szCs w:val="28"/>
          <w:rtl w:val="true"/>
          <w:lang w:bidi="ar-SA"/>
        </w:rPr>
        <w:t>ضبطه أئمة اللغة، وجهابذة علم الأنساب، وفحول فنّ المؤتلف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 الرجلُ بأنفه، إذا أمالَه من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خانف وخَنُوف، إذا أمالَ رأسَه في جريه أو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سير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كَتّان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خُنُف، شبيهٌ بالخَيْش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خَنفْتُ الأُتْرُجَّة، إذا قطعتها، والواحد مَن قَطْعها خَنِيفٌ أيضاً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الألف وسكون الزاي وكسر الدال، نسبة إلى أزد شنوءة، وهو أزد بن الغوث بن نبت بن مالك بن زيد بن كهلان بن سبأ</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والشَّنُوْءَةُ ـ على فَعُوْلَةٍ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التقَزّز وهو التباعد من الأدناس،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فيه شَنُوْءَةٌ، ومنه أزْدُ شَنُوءَةَ وهم حي من اليمن؛ يُنسب إليهم شَنَئيٌّ، 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شَنُوَّةَ ـ بالتشديد غير مَهْمُوزةٍ ـ ويُنسب إليها شَنَوِيٌّ</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الغين وكسر الميم والدال، هذه النسبة إلى غامد بطن من الأزد، واسم غامد ـ كما في أُسد الغابة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كعب بن الحارث بن كعب بن عبد الله بن مالك بن نصر بن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معدود في أهل الحجاز، سكن الطائف</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1936870_1051229030"/>
      <w:bookmarkStart w:id="327" w:name="_Toc120"/>
      <w:bookmarkEnd w:id="326"/>
      <w:r>
        <w:rPr>
          <w:rtl w:val="true"/>
        </w:rPr>
        <w:t>آل مخنف بن سليم زعماء الأزد في الكوفة</w:t>
      </w:r>
      <w:bookmarkEnd w:id="32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مخنف بن سليم هو أول مَن دخل في الإسلام من أسلاف أبي مخنف، وكانت له صحبة مع رسول الله صلّى الله عليه و آله ، ثمَّ نزل الكوفة بعد ذلك، وهو نقيب الأزديين فيها</w:t>
      </w:r>
      <w:r>
        <w:rPr>
          <w:rStyle w:val="FootnoteAnchor"/>
          <w:rtl w:val="true"/>
        </w:rPr>
        <w:footnoteReference w:id="360"/>
      </w:r>
      <w:r>
        <w:rPr>
          <w:rFonts w:ascii="Amiri" w:hAnsi="Amiri" w:eastAsia="Amiri" w:cs="Amiri"/>
          <w:color w:val="111111"/>
          <w:sz w:val="28"/>
          <w:sz w:val="28"/>
          <w:szCs w:val="28"/>
          <w:rtl w:val="true"/>
          <w:lang w:bidi="ar-SA"/>
        </w:rPr>
        <w:t xml:space="preserve">، وكان في الكوفة 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جبّانة مخنف بن سليم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عدّه الشيخ في رجاله في طبقة أصحاب أمير المؤمنين علي بن أبي طالب علیه السلام </w:t>
      </w:r>
      <w:r>
        <w:rPr>
          <w:rStyle w:val="FootnoteAnchor"/>
          <w:rtl w:val="true"/>
        </w:rPr>
        <w:footnoteReference w:id="362"/>
      </w:r>
      <w:r>
        <w:rPr>
          <w:rFonts w:ascii="IRNazanin" w:hAnsi="IRNazanin" w:eastAsia="IRNazanin"/>
          <w:color w:val="111111"/>
          <w:sz w:val="28"/>
          <w:sz w:val="28"/>
          <w:szCs w:val="28"/>
          <w:rtl w:val="true"/>
          <w:lang w:bidi="fa-IR"/>
        </w:rPr>
        <w:t>، بل عدّه ابن داود من خواصّ أصحابه</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حامل راية الأزد من أهل الكوفة في وقعة الجمل،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يومئذٍ</w:t>
      </w:r>
      <w:r>
        <w:rPr>
          <w:rStyle w:val="FootnoteAnchor"/>
          <w:rtl w:val="true"/>
        </w:rPr>
        <w:footnoteReference w:id="364"/>
      </w:r>
      <w:r>
        <w:rPr>
          <w:rFonts w:ascii="Amiri" w:hAnsi="Amiri" w:eastAsia="Amiri" w:cs="Amiri"/>
          <w:color w:val="111111"/>
          <w:sz w:val="28"/>
          <w:sz w:val="28"/>
          <w:szCs w:val="28"/>
          <w:rtl w:val="true"/>
          <w:lang w:bidi="ar-SA"/>
        </w:rPr>
        <w:t>، ولم يثبت؛ فإنّ الأخبار الدالّة على حياته بعد وقعة الجمل من الكثرة بحيث يسقط معها هذا القول عن الاعتبار التاريخي، ومنها على سبيل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روى نصر بن مزاحم المنقري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علياً علیه السلام  استعمله على أصفهان وهَمَدان بعد الجمل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وذكر المنقري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أراد علي علیه السلام  المسير إلى أهل الشام، كتب إلى عمّاله، فكتب إلى مخنف بن سليم كتاباً، يذكِّره فيه بفريضة الجهاد، ويخبره بنيّته في المسير إلى أهل الشام، ويصف له فيه ظلم بني أُمية وانحرافهم عن النهج الإسلامي العادل، وفي آخر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أتيت بكتابي هذا فاستخلف على عملك أوثق أصحابك في نفسك، وأقبل إلينا لعلّك تلقى هذا العدو المُحِلّ فتأمر بالمعروف وتنهى عن المنكر، وتجامع الحقّ وتباين الباطل، فإنّه لا غناء بنا ولا بك عن أجر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ونعم الوكيل، ولا حول ولا قوّة إلّا بالله العلي العظيم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أردف المنقري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فاستعمل مخنفَ على أصبهان الحارثُ بن أبي الحارث بن الربيع، واستعمل على هَمَدان سعيد بن وهب ـ وكلاهما من قومه ـ وأقبل حتى شهد مع عليّ صفين</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وذكر الطبري في أحداث سنة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ﻫ أنّ معاوية قد بعث النعمان بن بشير في </w:t>
      </w:r>
    </w:p>
    <w:p>
      <w:pPr>
        <w:pStyle w:val="BookText"/>
        <w:rPr/>
      </w:pPr>
      <w:r>
        <w:rPr>
          <w:rFonts w:ascii="IRNazanin" w:hAnsi="IRNazanin" w:eastAsia="IRNazanin"/>
          <w:color w:val="111111"/>
          <w:sz w:val="28"/>
          <w:sz w:val="28"/>
          <w:szCs w:val="28"/>
          <w:rtl w:val="true"/>
          <w:lang w:bidi="fa-IR"/>
        </w:rPr>
        <w:t>ألفي رجل إلى عين التمر، وبها مالك بن كعب مسلحة لعلي علیه السلام  في ألف رجل، فأذن لهم، فأتوا الكوفة، وأتاه النعمان، ولم يبقَ معه إلّا مائة رجل، فكتب مالك إلى أمير المؤمنين علیه السلام  يخبره بما جرى، فخطب علي علیه السلام  الناس، وأمرهم بالخروج، فتثاقلوا، وواقع مالك النعمان، فأمر مالك أصحابه أن يجعلوا جُدُر القرية في ظهورهم، واقتتلوا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وكتب إلى مخنف بن سليم يسأله أن يمدّه، وهو قريب منه، فوجه إليه ابنه عبد الرحمن بن مخنف في خمسين رجلاً، فانتهوا إلى مالك وأصحابه، وقد كسروا جفون سيوفهم، واستقتلوا، فلمّا رآهم أهل الشام وذلك عند المساء، ظنّوا أنّ لهم مدداً فانهزموا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هادي اليوسفي الغروي ـ بعد أن نقل ما نقلناه وما لم ننقله من الأحاديث الدالّة على بقاء مخنف بن سليم حياً بعد الجمل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فهذه الأحاديث كلّها تصرّح بحياة جدّه مخنف بن سليم بعد الجمل، بل حتّى بعد صفين، فإنّ غارات معاوية إنّما كانت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وقعة 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تنفرد تلك الرواية بأنّه قُتل يوم الجمل كما سلف آنفاً، ولم يفطن الطبري لذلك، فلم يعلّق عليه بشيء مع تصريحه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بحياته إلى سنة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نؤيده فيما ذهب إليه من بقاء مخنف بن سليم بعد الجمل، بل حتى بعد صفين كما قال، غير أنّنا لا نوافقه على عدم التفات الطبري إلى ذلك؛ فإنّ منهج الطبري في تاريخه هو نقل جميع الروايات المختلفة ووجهات النظر المتباينة حول الحادث، بغض النظر عن موافقتها للعقل والفكر أو عدم موافقتها، وبصرف النظر عن انسجامها مع الثوابت التاريخية أو عدم انسجامها، فعدم تعليق الطبري على ما شذّ من النقول التاريخية هو الموافق للنهج الذي ألزم نفسه السير عليه في مقدمة الكتاب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يكن في كتابي هذا من خبر ذكرناه عن بعض الماضين مما يستنكره قارئه، أو يستشنعه </w:t>
      </w:r>
    </w:p>
    <w:p>
      <w:pPr>
        <w:pStyle w:val="BookText"/>
        <w:rPr/>
      </w:pPr>
      <w:r>
        <w:rPr>
          <w:rFonts w:ascii="Amiri" w:hAnsi="Amiri" w:eastAsia="Amiri" w:cs="Amiri"/>
          <w:color w:val="111111"/>
          <w:sz w:val="28"/>
          <w:sz w:val="28"/>
          <w:szCs w:val="28"/>
          <w:rtl w:val="true"/>
          <w:lang w:bidi="ar-SA"/>
        </w:rPr>
        <w:t>سامعه، من أجل أنّه لم يعرف له وجهاً في الصحّة، ولا معنى في الحقيقة، فليعلم أنّه لم يؤتَ في ذلك من قِبَلنا، وإنّما أتى من قِبَل بعض ناقليه إلينا، وإنّا إنّما أديّنا ذلك على نحو ما أُدي إلينا</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منتخب ذيل المذيّل، فلم يظهر منه أنّه يسير على المنهج نفسه، بل الظاهر خلافه، وأنّ الآراء الموجودة فيه تمثِّل مختارات الطبري ممّا قيل في وفيات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منافاة بين تصريح الطبري في منتخب ذيل المذيّل بحياته إلى سنة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ﻫ، وبين نقله لخبر مقتله في يوم الجمل في تاريخه، ما دام لكلٍّ من الكتابين منهجه الخاصّ وأُسلوبه المتميِّز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انفرد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أنّ مخنف بن سليم كان ممَّن خرج مع سليمان بن صرد في وقعة عين الوردة، وقُتل بها سنة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ﻫ </w:t>
      </w:r>
      <w:r>
        <w:rPr>
          <w:rStyle w:val="FootnoteAnchor"/>
          <w:rtl w:val="true"/>
        </w:rPr>
        <w:footnoteReference w:id="371"/>
      </w:r>
      <w:r>
        <w:rPr>
          <w:rFonts w:ascii="Amiri" w:hAnsi="Amiri" w:eastAsia="Amiri" w:cs="Amiri"/>
          <w:color w:val="111111"/>
          <w:sz w:val="28"/>
          <w:sz w:val="28"/>
          <w:szCs w:val="28"/>
          <w:rtl w:val="true"/>
          <w:lang w:bidi="ar-SA"/>
        </w:rPr>
        <w:t>، ونحن نستبعد هذا الخبر ونشكك به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إنّ ابن حجر لم يعيّن لنا المصدر الذي استقى منه هذا الخبر، وقد تتبّعنا كتب قدامى الأخباريين والمؤرِّخين، فلم نعثر له على قائل قبل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إنّ مخنف بن سليم لم يكن شخصاً عادياً من عامّة المجتمع، وإنّما كان زعيم الأزديين في الكوفة، وأحد رجالات الشيعة البارزين، ولو كان حاضراً في معركة عين الوردة، وقُتل بها ـ كما زعم ابن حجر ـ لذَكَر ذلك المؤرِّخون الذين رووا أحداث ووقائع هذه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لمخنف بن سليم ـ على ما ذكره الطبري ـ إخوة ثلاثة يُقال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شمس، قُتل يوم النخيلة، والصقعب وعبد الله، قُتلا يوم الجمل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أولاد مخنف بن سليم عبد الرحمن بن مخنف زعيم الأزديين في الكوفة، </w:t>
      </w:r>
    </w:p>
    <w:p>
      <w:pPr>
        <w:pStyle w:val="BookText"/>
        <w:rPr/>
      </w:pPr>
      <w:r>
        <w:rPr>
          <w:rFonts w:ascii="IRNazanin" w:hAnsi="IRNazanin" w:eastAsia="IRNazanin"/>
          <w:color w:val="111111"/>
          <w:sz w:val="28"/>
          <w:sz w:val="28"/>
          <w:szCs w:val="28"/>
          <w:rtl w:val="true"/>
          <w:lang w:bidi="fa-IR"/>
        </w:rPr>
        <w:t>وأبرز قيادات الكوفة في زمانه، وكان إلى جانب أبيه مع أمير المؤمنين علیه السلام  في حربه ضد أهل الشام</w:t>
      </w:r>
      <w:r>
        <w:rPr>
          <w:rStyle w:val="FootnoteAnchor"/>
          <w:rtl w:val="true"/>
        </w:rPr>
        <w:footnoteReference w:id="373"/>
      </w:r>
      <w:r>
        <w:rPr>
          <w:rFonts w:ascii="Amiri" w:hAnsi="Amiri" w:eastAsia="Amiri" w:cs="Amiri"/>
          <w:color w:val="111111"/>
          <w:sz w:val="28"/>
          <w:sz w:val="28"/>
          <w:szCs w:val="28"/>
          <w:rtl w:val="true"/>
          <w:lang w:bidi="ar-SA"/>
        </w:rPr>
        <w:t xml:space="preserve">، إلّا أنّه تحوَّل بعد ذلك إلى الخطّ المعادي للعلويين، فعندما خرج المختار وقف عبد الرحمن ضده مع عبد الله بن مطيع، وكان في ليلة خروج المختار متمركزاً مع اتباعه في 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سار إبراهيم بن مالك الأشتر يريد الموصل، وتواطأ أهل الكوفة على حرب المختار، كان عبد الرحمن ممَّن خرج ضدّه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وقبيل حدوث وقعة المذار ـ التي وقعت بين أنصار المختار بقيادة أحمر بن شميط وأنصار مصعب بن الزبير بقيادة المهلّب بن أبي صفرة ـ دعا مصعب بن الزبير عبد الرحمن بن مخنف،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الكوفة مستخفياً حتى تُخرج إلي مَن استطعت إخراجه، وخذِّل الناس عن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حتى نزل منزله سرّاً فلم يظهر</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زمان عبد الملك بن مروان، في سنة</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ﻫ ناهض عبد الرحمن بن مخنف والمهلب بن أبي صفرة الأزارقة برامهرمز، بكتاب الحجاج إليهما لعشر بقين من شعبان، فأجْلَوهم عن رامهرمز من غير قتال شديد، وخرج القوم كأنّهم على حامية، حتى نزلوا سابور بأرضٍ منها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المهلب وعبد الرحمن بن مخنف حتى نزلوا بهم في أول رمضان، فخندق المهلب عليه، فذكر أهل البصرة أنّ المهلب قال لعبد الرحمن بن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أن تُخندق عليك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 عبد الرحمن أبوا عليه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خندقنا سيوفنا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الخوارج زحفوا إلى المهلب ليلاً ليبيتوه، فوجدوه قد أخذ حذره، فمالوا نحو عبد الرحمن بن مخنف فوجدوه لم يخندق، فقاتلوه، فانهزم عنه أصحابه، فنزل فقاتل في أُناس من أصحابه فقُتل، وقُتل أصحابه حوله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328" w:name="pg7448_76950"/>
    </w:p>
    <w:p>
      <w:pPr>
        <w:pStyle w:val="BookText"/>
        <w:rPr/>
      </w:pPr>
      <w:bookmarkEnd w:id="328"/>
      <w:r>
        <w:rPr>
          <w:rFonts w:ascii="Amiri" w:hAnsi="Amiri" w:eastAsia="Amiri" w:cs="Amiri"/>
          <w:color w:val="111111"/>
          <w:sz w:val="28"/>
          <w:sz w:val="28"/>
          <w:szCs w:val="28"/>
          <w:rtl w:val="true"/>
          <w:lang w:bidi="ar-SA"/>
        </w:rPr>
        <w:t>وأمّا سعيد بن مخنف الجدّ المباشر للوط، فلم أعثر له على ذكر عدا وروده في سلسلة نسب أبي مخنف، على أنّ بعض المصادر قد أسقطته من سلسلة نسب أبي مخنف وذكرت نسبه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لوط بن يحيى بن مخنف</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فجعلت مخنف الجدّ المباشر للوط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يحيى والد لوط، فلم أجد له ترجمة خاصّة، ولم أعرف عنه شيئاً سوى عد الطوسي له في طبقة أصحاب أمير المؤمنين علیه السلام </w:t>
      </w:r>
      <w:r>
        <w:rPr>
          <w:rStyle w:val="FootnoteAnchor"/>
          <w:rtl w:val="true"/>
        </w:rPr>
        <w:footnoteReference w:id="379"/>
      </w:r>
      <w:r>
        <w:rPr>
          <w:rFonts w:ascii="IRNazanin" w:hAnsi="IRNazanin" w:eastAsia="IRNazanin"/>
          <w:color w:val="111111"/>
          <w:sz w:val="28"/>
          <w:sz w:val="28"/>
          <w:szCs w:val="28"/>
          <w:rtl w:val="true"/>
          <w:lang w:bidi="fa-IR"/>
        </w:rPr>
        <w:t>، وقول ابن شهر آشوب في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أمير المؤمنين والحسن والحسين علیهم السلام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أنّ ولادته كانت قبل عام</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ﻫ، بفترة تؤهِّله لتلقّي الحديث عن أمير المؤمنين علیه السلام  المستشهَد في هذا العامّ، وأنّه كان حياً بعد سنة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ﻫ، وهي السنة التي استُشهِد فيها الإمام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ينبغي أن يشار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جلّ مَن ترجم لمخنف بن سليم أشار إلى أنّ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بن يحيى صاحب الترجمة، ممّا يدلل على أنّه أشهر شخصيّة في هذا البيت</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1936872_1051229030"/>
      <w:bookmarkStart w:id="330" w:name="_Toc121"/>
      <w:bookmarkEnd w:id="329"/>
      <w:r>
        <w:rPr/>
        <w:t>٢</w:t>
      </w:r>
      <w:r>
        <w:rPr>
          <w:rtl w:val="true"/>
        </w:rPr>
        <w:t>ـ ولادته ونشأته</w:t>
      </w:r>
      <w:bookmarkEnd w:id="33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أبو مخنف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مصادر</w:t>
      </w:r>
      <w:r>
        <w:rPr>
          <w:rStyle w:val="FootnoteAnchor"/>
          <w:rtl w:val="true"/>
        </w:rPr>
        <w:footnoteReference w:id="381"/>
      </w:r>
      <w:r>
        <w:rPr>
          <w:rFonts w:ascii="Amiri" w:hAnsi="Amiri" w:eastAsia="Amiri" w:cs="Amiri"/>
          <w:color w:val="111111"/>
          <w:sz w:val="28"/>
          <w:sz w:val="28"/>
          <w:szCs w:val="28"/>
          <w:rtl w:val="true"/>
          <w:lang w:bidi="ar-SA"/>
        </w:rPr>
        <w:t xml:space="preserve">، وما ذلك إلّا لكونه كوفي المولد، </w:t>
      </w:r>
    </w:p>
    <w:p>
      <w:pPr>
        <w:pStyle w:val="BookText"/>
        <w:rPr/>
      </w:pPr>
      <w:r>
        <w:rPr>
          <w:rFonts w:ascii="Amiri" w:hAnsi="Amiri" w:eastAsia="Amiri" w:cs="Amiri"/>
          <w:color w:val="111111"/>
          <w:sz w:val="28"/>
          <w:sz w:val="28"/>
          <w:szCs w:val="28"/>
          <w:rtl w:val="true"/>
          <w:lang w:bidi="ar-SA"/>
        </w:rPr>
        <w:t>ولا نقاش في ذلك، كما لا نقاش في كونه نشأ وتعلّم في الكوفة أيضاً، كما يشهد بذلك التأمّل في كثرة مشايخه وأساتذته من أهل الكوفة، وإنّما ينحصر الكلام في زمان ولادته؛ إذ لا يوجد نصّ يُعتمد عليه في تحديدها، وإنّما يتوفر في أيدينا معطيان تاريخيان نستطيع أن نستنتج في ضوئهما أنّ ولادته كانت في بداية خمسينيّات القرن الهجري الأول، 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المعطى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علينا أنّ والده يحيى كان من أصحاب أمير المؤمنين علیه السلام  ـ بحسب الطوسي وابن شهر آشوب ـ وقد قال الطوسي عن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يلقَ أمير المؤمنين علیه السلام </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فقد نفى اللقاء الذي هو أعمّ من تلقّي الحديث، وهذا يعني أنّ أبا مخنف لم يكن قد ولد في حياة أمير المؤمنين علیه السلام ، وإنّ ولادته كانت بعد عام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 xml:space="preserve">ﻫ الذي هو عام مقتله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المعطى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الآن أنّ أبا مخنف قد ولد بعد عام </w:t>
      </w:r>
      <w:r>
        <w:rPr>
          <w:rFonts w:ascii="IRNazanin" w:hAnsi="IRNazanin" w:eastAsia="IRNazanin"/>
          <w:color w:val="111111"/>
          <w:sz w:val="28"/>
          <w:sz w:val="28"/>
          <w:szCs w:val="28"/>
          <w:lang w:bidi="fa-IR"/>
        </w:rPr>
        <w:t>٤٠</w:t>
      </w:r>
      <w:r>
        <w:rPr>
          <w:rFonts w:ascii="IRNazanin" w:hAnsi="IRNazanin" w:eastAsia="IRNazanin"/>
          <w:color w:val="111111"/>
          <w:sz w:val="28"/>
          <w:sz w:val="28"/>
          <w:szCs w:val="28"/>
          <w:rtl w:val="true"/>
          <w:lang w:bidi="fa-IR"/>
        </w:rPr>
        <w:t>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ولد قبل عام </w:t>
      </w:r>
      <w:r>
        <w:rPr>
          <w:rFonts w:ascii="IRNazanin" w:hAnsi="IRNazanin" w:eastAsia="IRNazanin"/>
          <w:color w:val="111111"/>
          <w:sz w:val="28"/>
          <w:sz w:val="28"/>
          <w:szCs w:val="28"/>
          <w:lang w:bidi="fa-IR"/>
        </w:rPr>
        <w:t>٥٠</w:t>
      </w:r>
      <w:r>
        <w:rPr>
          <w:rFonts w:ascii="IRNazanin" w:hAnsi="IRNazanin" w:eastAsia="IRNazanin"/>
          <w:color w:val="111111"/>
          <w:sz w:val="28"/>
          <w:sz w:val="28"/>
          <w:szCs w:val="28"/>
          <w:rtl w:val="true"/>
          <w:lang w:bidi="fa-IR"/>
        </w:rPr>
        <w:t xml:space="preserve">ﻫ؛ فهذا هو المنسجم مع ذكره في طبقة أصحاب الحسن علیه السلام </w:t>
      </w:r>
      <w:r>
        <w:rPr>
          <w:rStyle w:val="FootnoteAnchor"/>
          <w:rtl w:val="true"/>
        </w:rPr>
        <w:footnoteReference w:id="383"/>
      </w:r>
      <w:r>
        <w:rPr>
          <w:rFonts w:ascii="IRNazanin" w:hAnsi="IRNazanin" w:eastAsia="IRNazanin"/>
          <w:color w:val="111111"/>
          <w:sz w:val="28"/>
          <w:sz w:val="28"/>
          <w:szCs w:val="28"/>
          <w:rtl w:val="true"/>
          <w:lang w:bidi="fa-IR"/>
        </w:rPr>
        <w:t xml:space="preserve">المتوفّى في هذا العامّ، فإذا عرفنا أنّ عدَّ الشخص من أصحاب الإمام علیه السلام  معناه أنّه قد سمع حديثه ووعاه؛ فلا بدّ لنا أن نفترض أنّ ولادة أبي مخنف كانت في بداية الخمسينيات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أو</w:t>
      </w:r>
      <w:r>
        <w:rPr>
          <w:rFonts w:ascii="IRNazanin" w:hAnsi="IRNazanin" w:eastAsia="IRNazanin"/>
          <w:color w:val="111111"/>
          <w:sz w:val="28"/>
          <w:sz w:val="28"/>
          <w:szCs w:val="28"/>
          <w:lang w:bidi="fa-IR"/>
        </w:rPr>
        <w:t>٤٣</w:t>
      </w:r>
      <w:r>
        <w:rPr>
          <w:rFonts w:ascii="IRNazanin" w:hAnsi="IRNazanin" w:eastAsia="IRNazanin"/>
          <w:color w:val="111111"/>
          <w:sz w:val="28"/>
          <w:sz w:val="28"/>
          <w:szCs w:val="28"/>
          <w:rtl w:val="true"/>
          <w:lang w:bidi="fa-IR"/>
        </w:rPr>
        <w:t xml:space="preserve">ﻫ ـ مثلاً ـ لكي يكون صبياً مميزاً على أقل تقدير في نهايات حياة الإمام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ندعم هذا الرأي ونؤكده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الرأي ينسجم مع إدراك أبي مخنف لعددٍ من رواة الطف المباشرين، ونقله عنهم بلا واسطة، كعقبة بن سمعان، ودلهم بنت عمرو زوجة زهير بن القين وغيرهما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الرأي ينسجم مع كون المشهور في وفاة أبي مخنف هو عام </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ﻫ ـ كما سيأتي في آخر الترجمة ـ فإنّ عمره سيكون حين وفاته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سنة أو أقل بقليل، وليس في هذا شذوذ أو مخالفة للمألوف من معدل الأعمار في تلك الأزمان</w:t>
      </w:r>
      <w:r>
        <w:rPr>
          <w:rFonts w:eastAsia="Amiri" w:cs="Amiri" w:ascii="Amiri" w:hAnsi="Amiri"/>
          <w:color w:val="111111"/>
          <w:sz w:val="28"/>
          <w:szCs w:val="28"/>
          <w:rtl w:val="true"/>
          <w:lang w:bidi="ar-SA"/>
        </w:rPr>
        <w:t xml:space="preserve">. </w:t>
      </w:r>
      <w:bookmarkStart w:id="331" w:name="pg7448_76952"/>
    </w:p>
    <w:p>
      <w:pPr>
        <w:pStyle w:val="Heading6"/>
        <w:numPr>
          <w:ilvl w:val="5"/>
          <w:numId w:val="1"/>
        </w:numPr>
        <w:rPr/>
      </w:pPr>
      <w:bookmarkStart w:id="332" w:name="__RefHeading___Toc1936874_1051229030"/>
      <w:bookmarkStart w:id="333" w:name="_Toc122"/>
      <w:bookmarkEnd w:id="331"/>
      <w:bookmarkEnd w:id="332"/>
      <w:r>
        <w:rPr/>
        <w:t>٣</w:t>
      </w:r>
      <w:r>
        <w:rPr>
          <w:rtl w:val="true"/>
        </w:rPr>
        <w:t>ـ مكانته العلمية، طبقته، مصنفاته</w:t>
      </w:r>
      <w:bookmarkEnd w:id="333"/>
    </w:p>
    <w:p>
      <w:pPr>
        <w:pStyle w:val="BookText"/>
        <w:rPr/>
      </w:pPr>
      <w:r>
        <w:rPr>
          <w:rFonts w:ascii="Amiri" w:hAnsi="Amiri" w:eastAsia="Amiri" w:cs="Amiri"/>
          <w:color w:val="111111"/>
          <w:sz w:val="28"/>
          <w:sz w:val="28"/>
          <w:szCs w:val="28"/>
          <w:rtl w:val="true"/>
          <w:lang w:bidi="ar-SA"/>
        </w:rPr>
        <w:t>يُعدّ أبو مخنف من كبار الأخباريين والمؤرِّخين الأوائل الذين سارعوا إلى كتابة التاريخ الإسلامي، وقد تركّز نشاطه على تاريخ العراق بصورة خاصّة، كما انصبّت جهوده على الأحداث التي وقعت بعد رحيل النبي صلّى الله عليه و آله إلى أواخر العهد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بخطّ أحمد بن الحارث الخزاز،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 بأمر العراق وأخبارها وفتوحها يزيد على غيره، والمدائني بأمر خراسان والهند وفارس، والواقدي بالحجاز والسيرة، وقد اشتركوا في فتوح الشام</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وأخبار العراق وفتوحها هو تعبير آخر عن تاريخ التشيّع؛ إذ ارتبط التشيّع منذ بدايات وجوده ـ كقوّة اجتماعية ـ بالعراق؛ ومن هنا قال فلهاوزن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وأبو مخنف هو أَثْبَتُ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الشيعة، طالما اتّصل بالكوفة، والطبري يكاد لا يعتمد على غيره في ذكر أخبارهم وما أطولها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تركّزت جهود أبي مخنف على جمع وتدوين أخبار الكوفة بنحو خاصّ، حتى وصفه النجاشي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أصحاب الأخبار بالكوفة ووجههم</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والكوفة كانت آنذاك مركز التشيّع وجمجمة العراق، وحينما يكون أبو مخنف شيخ مؤرِّخيها فهذا يعني أنّه شيخ مؤرِّخي أهل العراق بشكل عامّ، أو يكون من كبار مؤرِّخي العراق على أقل تقدير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أنّه ممّا ينبغي أن يُشار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أبي مخنف بالتشيّع ربما تكون علاقة علمية، وليست روحية، وإذا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مؤرِّخي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المقصود أنّه من المهتمّين بتاريخ الشيعة وجمع أخبارهم، وليس بالضرورة أن يكون المقصود من هكذا عبارة أنّه كان شيعيّاً بالمعنى الخاصّ للتشيّع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أمّا طبقة أبي مخنف، فلا يمكن ضبطها من خلال ملاحظة أساتذته وشيوخه؛ إذ اختُلف في ذلك اختلافاً كبيراً، فقد عدّه الكشي في طبقة أصحاب الإمام علي علیه السلام ، ونفى الطوسي ذلك</w:t>
      </w:r>
      <w:r>
        <w:rPr>
          <w:rStyle w:val="FootnoteAnchor"/>
          <w:rtl w:val="true"/>
        </w:rPr>
        <w:footnoteReference w:id="387"/>
      </w:r>
      <w:r>
        <w:rPr>
          <w:rFonts w:ascii="IRNazanin" w:hAnsi="IRNazanin" w:eastAsia="IRNazanin"/>
          <w:color w:val="111111"/>
          <w:sz w:val="28"/>
          <w:sz w:val="28"/>
          <w:szCs w:val="28"/>
          <w:rtl w:val="true"/>
          <w:lang w:bidi="fa-IR"/>
        </w:rPr>
        <w:t xml:space="preserve">، وأثبت صحبته للحسنين علیهماالسلام  </w:t>
      </w:r>
      <w:r>
        <w:rPr>
          <w:rStyle w:val="FootnoteAnchor"/>
          <w:rtl w:val="true"/>
        </w:rPr>
        <w:footnoteReference w:id="388"/>
      </w:r>
      <w:r>
        <w:rPr>
          <w:rFonts w:ascii="IRNazanin" w:hAnsi="IRNazanin" w:eastAsia="IRNazanin"/>
          <w:color w:val="111111"/>
          <w:sz w:val="28"/>
          <w:sz w:val="28"/>
          <w:szCs w:val="28"/>
          <w:rtl w:val="true"/>
          <w:lang w:bidi="fa-IR"/>
        </w:rPr>
        <w:t xml:space="preserve">، ونفى النجاشي أن تكون له صحبة مع الإمام الباقر علیه السلام ، فضلاً عمَّن سبقه من أئمّة أهل البيت علیهم السلام ، وعدَّه من أصحاب الإمام الصادق علیه السلام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فلا يمكن أن نضبط طبقة أبي مخنف من خلال أساتذته وشيوخه مع الاختلاف المشار إليه، والقدر المتيقّن أنّه من طبقة أصحاب الإمام الصادق علیه السلام ، مع احتمال أن يكون من طبقةٍ أقدم، وإنّما يمكن تحديد طبقته من خلال ملاحظة الآخذين عنه والمتتلمذين على يديه، ومنهم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أبو المنذر، هشام بن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أو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النسّابة المشهور</w:t>
      </w:r>
      <w:r>
        <w:rPr>
          <w:rStyle w:val="FootnoteAnchor"/>
          <w:rtl w:val="true"/>
        </w:rPr>
        <w:footnoteReference w:id="390"/>
      </w:r>
      <w:r>
        <w:rPr>
          <w:rFonts w:ascii="Amiri" w:hAnsi="Amiri" w:eastAsia="Amiri" w:cs="Amiri"/>
          <w:color w:val="111111"/>
          <w:sz w:val="28"/>
          <w:sz w:val="28"/>
          <w:szCs w:val="28"/>
          <w:rtl w:val="true"/>
          <w:lang w:bidi="ar-SA"/>
        </w:rPr>
        <w:t>، وهو الراوي لمقتله كما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أبو الفضل، نصر بن مزاحم بن سيار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391"/>
      </w:r>
      <w:r>
        <w:rPr>
          <w:rFonts w:ascii="Amiri" w:hAnsi="Amiri" w:eastAsia="Amiri" w:cs="Amiri"/>
          <w:color w:val="111111"/>
          <w:sz w:val="28"/>
          <w:sz w:val="28"/>
          <w:szCs w:val="28"/>
          <w:rtl w:val="true"/>
          <w:lang w:bidi="ar-SA"/>
        </w:rPr>
        <w:t>، صاحب كتاب وقعة صفين، وقد أخطأ ابن النديم في عدِّ نصر بن مزاحم من طبقة أبي مخنف</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أبو الحسن، علي بن محمد المدائني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المؤرِّخ المعروف</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الثلاثة هم من كبار الأخباريين والمؤرِّخين الذين برزوا في نهايات المائة الثانية وبدايات المائة الثالثة، وهم من تلاميذ أبي مخنف؛ فيكون أبو مخنف في الطبقة التي فوقهم، مع أنّه لا مانع من أن يندرج في طبقات أعلى أيضاً لو احتملنا طول </w:t>
      </w:r>
    </w:p>
    <w:p>
      <w:pPr>
        <w:pStyle w:val="BookText"/>
        <w:rPr/>
      </w:pPr>
      <w:r>
        <w:rPr>
          <w:rFonts w:ascii="Amiri" w:hAnsi="Amiri" w:eastAsia="Amiri" w:cs="Amiri"/>
          <w:color w:val="111111"/>
          <w:sz w:val="28"/>
          <w:sz w:val="28"/>
          <w:szCs w:val="28"/>
          <w:rtl w:val="true"/>
          <w:lang w:bidi="ar-SA"/>
        </w:rPr>
        <w:t>عمره وأنّه قد ولد في خمسينيّات القرن الهجري الأول، كما احتملنا ذلك عند الحديث عن ولادته ونشأته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أبو مخنف كُتُباً كثيرة يطول تعدادها، وقد ذكرها النجاشي في رجاله</w:t>
      </w:r>
      <w:r>
        <w:rPr>
          <w:rStyle w:val="FootnoteAnchor"/>
          <w:rtl w:val="true"/>
        </w:rPr>
        <w:footnoteReference w:id="394"/>
      </w:r>
      <w:r>
        <w:rPr>
          <w:rFonts w:ascii="Amiri" w:hAnsi="Amiri" w:eastAsia="Amiri" w:cs="Amiri"/>
          <w:color w:val="111111"/>
          <w:sz w:val="28"/>
          <w:sz w:val="28"/>
          <w:szCs w:val="28"/>
          <w:rtl w:val="true"/>
          <w:lang w:bidi="ar-SA"/>
        </w:rPr>
        <w:t>، وابن النديم في فهرسته</w:t>
      </w:r>
      <w:r>
        <w:rPr>
          <w:rStyle w:val="FootnoteAnchor"/>
          <w:rtl w:val="true"/>
        </w:rPr>
        <w:footnoteReference w:id="395"/>
      </w:r>
      <w:r>
        <w:rPr>
          <w:rFonts w:ascii="Amiri" w:hAnsi="Amiri" w:eastAsia="Amiri" w:cs="Amiri"/>
          <w:color w:val="111111"/>
          <w:sz w:val="28"/>
          <w:sz w:val="28"/>
          <w:szCs w:val="28"/>
          <w:rtl w:val="true"/>
          <w:lang w:bidi="ar-SA"/>
        </w:rPr>
        <w:t>، والحموي في معجمه</w:t>
      </w:r>
      <w:r>
        <w:rPr>
          <w:rStyle w:val="FootnoteAnchor"/>
          <w:rtl w:val="true"/>
        </w:rPr>
        <w:footnoteReference w:id="396"/>
      </w:r>
      <w:r>
        <w:rPr>
          <w:rFonts w:ascii="Amiri" w:hAnsi="Amiri" w:eastAsia="Amiri" w:cs="Amiri"/>
          <w:color w:val="111111"/>
          <w:sz w:val="28"/>
          <w:sz w:val="28"/>
          <w:szCs w:val="28"/>
          <w:rtl w:val="true"/>
          <w:lang w:bidi="ar-SA"/>
        </w:rPr>
        <w:t>، والصفدي في وافيه</w:t>
      </w:r>
      <w:r>
        <w:rPr>
          <w:rStyle w:val="FootnoteAnchor"/>
          <w:rtl w:val="true"/>
        </w:rPr>
        <w:footnoteReference w:id="397"/>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المغازي، كتاب السقيفة، كتاب الردّة، كتاب فتوح الإسلام، كتاب فتوح العراق، كتاب فتوح خراسان، كتاب الشورى، كتاب قتل عثمان، كتاب الجمل، كتاب صفّين، كتاب النهر، كتاب الحكمين، كتاب الغارات، كتاب مقتل أمير المؤمنين علیه السلام ، كتاب قتل الحسن علیه السلام ، كتاب قتل الحسين علیه السلام ، كتاب مقتل حجر بن عدي، كتاب أخبار زياد، كتاب أخبار المختار، كتاب أخبار الحجاج، كتاب أخبار مطرف بن المغيرة بن شعبة، كتاب أخبار آل مخنف بن سليم، كتاب أخبار الحريث بن أسد الناجي وخروجه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كُتُب أبي مخنف ومصنفاته قد أُبيدت عن بكرة أبيها، ولم يتبقَّ منها سوى ما نقلته الموسوعات التاريخيّة المتأخِّرة عن عصر أبي مخنف، كموسوعة تاريخ الرسل والملوك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٣١٠</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نقلت عن أبي مخنف ما ينيف على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في موضوعات مختلفة، حيث تحتلّ الروايات التي تتحدَّث عن عهد خلافة الإمام علي علیه السلام  المرتبة الأُولى، فقد بلغت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تعقبها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حول حادثة كربلاء،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تناولت ثورة المختار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حاول العديد من الباحثين والمحققين إحياء تراث أبي مخنف؛ من خلال استخراج مروياته من بطون المدوَّنات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كمحاولة حسن الغفاري، ومحمد </w:t>
      </w:r>
      <w:bookmarkStart w:id="334" w:name="pg7448_76955"/>
    </w:p>
    <w:p>
      <w:pPr>
        <w:pStyle w:val="BookText"/>
        <w:rPr/>
      </w:pPr>
      <w:bookmarkEnd w:id="334"/>
      <w:r>
        <w:rPr>
          <w:rFonts w:ascii="IRNazanin" w:hAnsi="IRNazanin" w:eastAsia="IRNazanin"/>
          <w:color w:val="111111"/>
          <w:sz w:val="28"/>
          <w:sz w:val="28"/>
          <w:szCs w:val="28"/>
          <w:rtl w:val="true"/>
          <w:lang w:bidi="fa-IR"/>
        </w:rPr>
        <w:t xml:space="preserve">هادي اليوسفي الغروي في إحيائهما كتاب مقتل الحسين علیه السلام  لأبي مخنف، حيث كتب الأول مقتل الحسين علیه السلام  وكتب الآخر وقعة الطفّ، وكلاهما متّخذان من تاريخ الطبري، ومحاولة جليل تاري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السقيفة في دراسة رواية أبي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حاول فيها إحياء كتاب السقيفة على ما يبدو، ومحاولة الباحث السعودي يحيى اليحيى في دراسته المسماة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الخلافة الراشدة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حاول أن يدرس فيها ـ دراسة نقدية ـ مرويات أبي مخنف في تاريخ الطبري، والمختصّة بهذه الحقبة</w:t>
      </w:r>
      <w:r>
        <w:rPr>
          <w:rFonts w:eastAsia="IRNazanin" w:cs="IRNazanin"/>
          <w:color w:val="111111"/>
          <w:sz w:val="28"/>
          <w:szCs w:val="28"/>
          <w:rtl w:val="true"/>
          <w:lang w:bidi="fa-IR"/>
        </w:rPr>
        <w:t>.</w:t>
      </w:r>
    </w:p>
    <w:p>
      <w:pPr>
        <w:pStyle w:val="Heading6"/>
        <w:numPr>
          <w:ilvl w:val="5"/>
          <w:numId w:val="1"/>
        </w:numPr>
        <w:rPr/>
      </w:pPr>
      <w:bookmarkStart w:id="335" w:name="__RefHeading___Toc1936876_1051229030"/>
      <w:bookmarkStart w:id="336" w:name="_Toc123"/>
      <w:bookmarkEnd w:id="335"/>
      <w:r>
        <w:rPr/>
        <w:t>٤</w:t>
      </w:r>
      <w:r>
        <w:rPr>
          <w:rtl w:val="true"/>
        </w:rPr>
        <w:t xml:space="preserve"> ـ مذهبه ومعتقده</w:t>
      </w:r>
      <w:bookmarkEnd w:id="336"/>
    </w:p>
    <w:p>
      <w:pPr>
        <w:pStyle w:val="BookText"/>
        <w:rPr/>
      </w:pPr>
      <w:r>
        <w:rPr>
          <w:rFonts w:ascii="IRNazanin" w:hAnsi="IRNazanin" w:eastAsia="IRNazanin"/>
          <w:color w:val="111111"/>
          <w:sz w:val="28"/>
          <w:sz w:val="28"/>
          <w:szCs w:val="28"/>
          <w:rtl w:val="true"/>
          <w:lang w:bidi="fa-IR"/>
        </w:rPr>
        <w:t>إنّ التأمّل في مرويات أبي مخنف، وما نقله من فضائل ومحاسن أهل البيت علیه السلام ، ومثالب وقبائح أعدائهم، وتركيزه البالغ على تاريخ التشيّع هو الذي قاد بعض الباحثين والمحققين إلى القول بإماميته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التأمّل في مرويات أُخرى لأبي مخنف تتقاطع مع الإيمان بعصمة الأئمّة علیهم السلام  هو الذي أرغم بعض الباحثين والمحققين على التوقّف عن القول بإماميته</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والذي يبدو لي ـ بعد الوقوف طويلاً على هذا الموضوع ـ أنّ أبا مخنف لم يكن إمامياً، وإنّما كان شيعياً بالمعنى العام للتشيّع، والمساوي للميل والمودّة الشديدة لأهل البيت علیهم السلام ، وهذا ما صرّح به ابن أبي الحديد المعتزلي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٦٥٥</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مخنف من المحدِّثين، وممَّن يرى صحّة الإمامة بالاختيار، وليس من الشيعة ولا معدوداً من رجالها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الكلام ذكره ابن أبي الحديد بعد أن نقل عن أبي مخنف أشعاراً وأراجيز تضمنت أنّ علياً علیه السلام  وصي رسول الله صلّى الله عليه و آله ، ومن المعلوم أنّ الوصية لديهم لا تساوي الاستخلاف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أبي الحديد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الوصية، فلا ريب عندنا أنّ علياً علیه السلام  كان وصي رسول الله صلّى الله عليه و آله وإن خالف في ذلك مَن هو منسوب عندنا إلى العناد، ولسنا نعني بالوصية النصّ والخلافة، ولكن أُموراً أُخرى لعلّها ـ إذا لمُحت ـ أشرف وأجل</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فإنّ تعجّب المامقاني من نفي ابن أبي الحديد لإمامية أبي مخنف في غير محلّه حينما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والعجب العجاب أنّ ابن أبي الحديد نطق بما سمعت، بعد أن روى أشعاراً في أنّ علياً علیه السلام  وصيّ رسول الله صلّى الله عليه و آله </w:t>
      </w:r>
      <w:r>
        <w:rPr>
          <w:rFonts w:eastAsia="IRNazanin" w:cs="IRNazanin"/>
          <w:color w:val="111111"/>
          <w:sz w:val="28"/>
          <w:szCs w:val="28"/>
          <w:rtl w:val="true"/>
          <w:lang w:bidi="fa-IR"/>
        </w:rPr>
        <w:t>»</w:t>
      </w:r>
      <w:r>
        <w:rPr>
          <w:rStyle w:val="FootnoteAnchor"/>
          <w:rtl w:val="true"/>
        </w:rPr>
        <w:footnoteReference w:id="402"/>
      </w:r>
      <w:r>
        <w:rPr>
          <w:rFonts w:ascii="Amiri" w:hAnsi="Amiri" w:eastAsia="Amiri" w:cs="Amiri"/>
          <w:color w:val="111111"/>
          <w:sz w:val="28"/>
          <w:sz w:val="28"/>
          <w:szCs w:val="28"/>
          <w:rtl w:val="true"/>
          <w:lang w:bidi="ar-SA"/>
        </w:rPr>
        <w:t>إذ لا منافاة بين القول بالوصية وبين القول بأنّ صحّة الإمامة بالاختيار، بحسب تفسير القوم لمفهوم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بعامّية أبي مخنف هو ما يظهر من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كتابه الجَمَل؛ فبعد أن نقل أخبار الجَمَل عن أبي مخنف وغيره من المؤرِّخين،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جملة من أخبار البصرة ـ وسبب فتنتها ومقالات أصحاب الآراء في حُكم الفتنة بها ـ قد أوردناها على سبيل الاختصار، وأثبَتنا ما أثبَتنا من الأخبار عن رجال العامّة دون الخاصّة، ولم نثبت في ذلك ما روته كتب الشيعة</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الشيخ المفيد من متقدِّمي علمائنا، وهو أخبر بحال أبي مخنف، ومن المرجّح أنّه استند في الحكم بعامّيته على شواهد حسّية، وليست حدْسية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تأكيد هذا الرأي ودعمه بعدّة قرائن ـ وإن كانت جميعاً قابلةً للنقاش ـ</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يُستدلّ على عدم تشيّع أبي مخنف بالمصطلح الخاصّ للتشيّع بندرة روايته عن الأئمّة علیه السلام ، مع معاصرته لأربعة منهم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السجّاد، والباقر، والصادق، والكاظم علیهم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ممّا قد يدلّنا على أنّه لم يكن شيعيّاً، ومن صحابة الأئمّة علیهم السلام  بالمعنى المصطلح الشيعي الإمامي، الذي يعبّر عنه العامّة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كان شيعيّاً في الرأي والهوى كأكثر الكوفيّين، غير رافض لمذهب عامّة المسلمين آنذاك</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ولكن هذه القرينة قابلة للنقاش، فإنّ ندرة الرواية عن الأئمّة علیهم السلام  ليست بالضرورة مباينة للتشيّع بالمصطلح الخاصّ له، كما أنّ كثرة الرواية عنهم علیهم السلام ، ليست مساوية له أيضاً، وإنّما الصحيح أنّ النسبة بين ندرة الرواية وعدم التشيّع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والخصوص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يكون الراوي مقلّاً وهو من الشيعة بالمصطلح الخاصّ، وقد يكون الراوي مكثراً وهو ليس منهم، والنماذج على ذلك كثيرة يمكن استخراجها بسهولة من كُتب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القرينة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اليوسفي الغروي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يكون ممّا يؤيد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كونه غير 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من العامّة لم يرمِه بالرفض، كما هو المعروف من مصطلحهم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يقصدون بالتشيّع سوى الميل إلى أهل‏ البيت علیهم السلام ، وأمّا مَن علموا من اتّباع أهل البيت علیهم السلام  في مذهبه فإنّهم يرمونه بالرفض لا التشيّع فحسب، وهذا هو الفارق في مصطلحهم بين الموردين</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يناقش في 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أحداً من العامّة لم يرمِه 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 فقد وصفه الذهبي بذلك في كتابه تاريخ الإسلام،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مخنف الكوفي الرافضي الأخباري صاحب هاتيك التصانيف</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تفسيره للتشيّع ـ عند العامّة ـ بالميل إلى أهل البيت علیهم السلام  غير دقيق، والصحيح أنّ التشيّع في اصطلاحهم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يُستخدم بمعنى الميل إلى أهل البيت علیهم السلام ، وهذا لا يؤدّي إلى ردّ الرواية لديهم، وأُخرى يستخدم بما يساوي الإيمان بالإمامة، وهذا ما يُطلق عليه أيضاً الرفض، وهو ما يؤدّي إلى ردّ الرواية عندهم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مخنف هي بالمعنى الثاني دون الأول، وذلك لعدّة شواهد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عدي قبل أن يصف أبا مخنف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بأخبار مَن تقدَّم من السلف الصالحين، ولا يبعد منه أن يتناولهم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ـ بلا فصل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شيعي محترق</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فإنّ الدليل لديهم على تشيّعه هو تناوله لسلفهم ونقله لمخازيهم ومثالبهم، فهذا شاهد على أنّ تشيّعه بمعنى الرفض لا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تشيّعه بمعنى الميل لما أدّى ذلك إلى ردّ روايته، مع أنّهم أجمعوا على ردّها، فيشهد هذا على أنّ تشيّعه بمعنى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نقلناه من وصف الذهبي له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قرينة على أنّ مراد أسلافه من تشيّع أبي مخنف هو التشيّع بمعنى الرفض لا مجرّد 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التستري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أبا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وابن النديم في الشيعة، مع عقد باب في كتاب كلٍّ منهما للشيعة، ولو كان إمامياً لأشار إليه أحدهم، بل ظاهر سكوتهم عامّيته</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القرينة لا تصمد أمام النقاش أيضاً لـمَن خبر منهجي ابن قتيبة وابن النديم في كتابيهما المعارف والفهرست، فإنّهما لم يقسّما أبحاث كتابيهما تقسيماً منطقياً يمنع من تداخل الأقسام، فليس هناك أساس واحد قُسِّمت على ضوئه المباحث، كما أنّهما لم يقصدا الاستيعاب في كلِّ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أتينا إلى كتاب المعارف لابن قتيبة لوجدنا أبا مخنف مذكوراً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النسّابون وأصحاب الأخبار</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 ثمَّ بعد ذلك دخل في تعداد الفِرَق، وذُكر من ضمن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ممَّن يُحسَبون على التشيّع</w:t>
      </w:r>
      <w:r>
        <w:rPr>
          <w:rStyle w:val="FootnoteAnchor"/>
          <w:rtl w:val="true"/>
        </w:rPr>
        <w:footnoteReference w:id="410"/>
      </w:r>
      <w:r>
        <w:rPr>
          <w:rFonts w:ascii="Amiri" w:hAnsi="Amiri" w:eastAsia="Amiri" w:cs="Amiri"/>
          <w:color w:val="111111"/>
          <w:sz w:val="28"/>
          <w:sz w:val="28"/>
          <w:szCs w:val="28"/>
          <w:rtl w:val="true"/>
          <w:lang w:bidi="ar-SA"/>
        </w:rPr>
        <w:t>، وأهمل العديد من الشخصيات المعاصرة لهؤلاء المذكورين، فهل يُعدُّ إهمالهم قرينة على عدم تشيّعهم؟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وحينما نأتي إلى كتاب الفهرست لابن النديم نجده قد قسَّم كتابه على عشر </w:t>
      </w:r>
      <w:bookmarkStart w:id="337" w:name="pg7448_76959"/>
    </w:p>
    <w:p>
      <w:pPr>
        <w:pStyle w:val="BookText"/>
        <w:rPr/>
      </w:pPr>
      <w:bookmarkEnd w:id="337"/>
      <w:r>
        <w:rPr>
          <w:rFonts w:ascii="Amiri" w:hAnsi="Amiri" w:eastAsia="Amiri" w:cs="Amiri"/>
          <w:color w:val="111111"/>
          <w:sz w:val="28"/>
          <w:sz w:val="28"/>
          <w:szCs w:val="28"/>
          <w:rtl w:val="true"/>
          <w:lang w:bidi="ar-SA"/>
        </w:rPr>
        <w:t xml:space="preserve">مقالات، وجعل المقالة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الأخباريين والنسّابين وأصحاب الأحداث والآيات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وقسّمها على ثلاثة فنون، فجعل الفنّ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الأخباريين والنسّابين وأصحاب السِّيَر والأحداث وأسماء كتبهم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بغضّ النظر عن اتّجاهاتهم وميولهم العقدية والمذهبية،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كأحد أعمدة هذا الفنّ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يخصص ابن النديم بعد ذلك باباً خاصّاً بعلماء الشيعة بمختلف تخصصاتهم في العلوم، لكي يكون إهمال أبي مخنف وعدم ذكره في هذا الباب قرينة على عدم تشيّعه كما زعم التستري، وإنّما خصص الفنّ الثاني من المقالة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متكلمي الشيعة والإمامية والزيدية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خصص الفنّ الخامس من المقالة 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أخبار فقهاء الشيعة وأسماء كتبهم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أبا مخنف ليس من حملة هذين الفنين لكي يكون إهماله مؤشراً على عدم تشيّعه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قرائن أُخر يمكن أن يُستفاد منها عدم إمامية أبي مخنف صرفنا النظر عنها خوفاً من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 في مذهب أبي مخنف ومعتقده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شيعيّاً بالمعنى العام للتشيّع، وأمّا إماميته فلم يقم عندنا دليل قاطع عليها، ولم يصرِّح بها أحد من علمائنا المتقدِّمين</w:t>
      </w:r>
      <w:r>
        <w:rPr>
          <w:rFonts w:eastAsia="Amiri" w:cs="Amiri" w:ascii="Amiri" w:hAnsi="Amiri"/>
          <w:color w:val="111111"/>
          <w:sz w:val="28"/>
          <w:szCs w:val="28"/>
          <w:rtl w:val="true"/>
          <w:lang w:bidi="ar-SA"/>
        </w:rPr>
        <w:t>.</w:t>
      </w:r>
    </w:p>
    <w:p>
      <w:pPr>
        <w:pStyle w:val="Heading6"/>
        <w:numPr>
          <w:ilvl w:val="5"/>
          <w:numId w:val="1"/>
        </w:numPr>
        <w:rPr/>
      </w:pPr>
      <w:bookmarkStart w:id="338" w:name="__RefHeading___Toc1936878_1051229030"/>
      <w:bookmarkStart w:id="339" w:name="_Toc124"/>
      <w:bookmarkEnd w:id="338"/>
      <w:r>
        <w:rPr/>
        <w:t>٥</w:t>
      </w:r>
      <w:r>
        <w:rPr>
          <w:rtl w:val="true"/>
        </w:rPr>
        <w:t xml:space="preserve"> ـ وثاقته وعدالته</w:t>
      </w:r>
      <w:bookmarkEnd w:id="339"/>
    </w:p>
    <w:p>
      <w:pPr>
        <w:pStyle w:val="BookText"/>
        <w:rPr/>
      </w:pPr>
      <w:r>
        <w:rPr>
          <w:rFonts w:ascii="Amiri" w:hAnsi="Amiri" w:eastAsia="Amiri" w:cs="Amiri"/>
          <w:color w:val="111111"/>
          <w:sz w:val="28"/>
          <w:sz w:val="28"/>
          <w:szCs w:val="28"/>
          <w:rtl w:val="true"/>
          <w:lang w:bidi="ar-SA"/>
        </w:rPr>
        <w:t>بالرغم من الخلاف الذي أشرنا إليه حول مذهب أبي مخنف ومعتقده، غير أنّ الطائفة تكاد تتّفق كلمة رجالييها على قبول مروياته الفقهية، فضلاً عن التاريخية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الأصل في ذلك هو قول شيخ الرجاليين النجاشي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مخنف شيخ أصحاب الأخبار بالكوفة ووجههم، وكان يُسكن إلى ما يرويه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الذي قاله النجاشي يوافقه عليه أغلب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خلاصة الأقوال</w:t>
      </w:r>
      <w:r>
        <w:rPr>
          <w:rStyle w:val="FootnoteAnchor"/>
          <w:rtl w:val="true"/>
        </w:rPr>
        <w:footnoteReference w:id="414"/>
      </w:r>
      <w:r>
        <w:rPr>
          <w:rFonts w:ascii="Amiri" w:hAnsi="Amiri" w:eastAsia="Amiri" w:cs="Amiri"/>
          <w:color w:val="111111"/>
          <w:sz w:val="28"/>
          <w:sz w:val="28"/>
          <w:szCs w:val="28"/>
          <w:rtl w:val="true"/>
          <w:lang w:bidi="ar-SA"/>
        </w:rPr>
        <w:t>، والتفرشي في نقد الرجال</w:t>
      </w:r>
      <w:r>
        <w:rPr>
          <w:rStyle w:val="FootnoteAnchor"/>
          <w:rtl w:val="true"/>
        </w:rPr>
        <w:footnoteReference w:id="415"/>
      </w:r>
      <w:r>
        <w:rPr>
          <w:rFonts w:ascii="Amiri" w:hAnsi="Amiri" w:eastAsia="Amiri" w:cs="Amiri"/>
          <w:color w:val="111111"/>
          <w:sz w:val="28"/>
          <w:sz w:val="28"/>
          <w:szCs w:val="28"/>
          <w:rtl w:val="true"/>
          <w:lang w:bidi="ar-SA"/>
        </w:rPr>
        <w:t xml:space="preserve">، والسيد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١٣١٣</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طرائف المقال</w:t>
      </w:r>
      <w:r>
        <w:rPr>
          <w:rStyle w:val="FootnoteAnchor"/>
          <w:rtl w:val="true"/>
        </w:rPr>
        <w:footnoteReference w:id="416"/>
      </w:r>
      <w:r>
        <w:rPr>
          <w:rFonts w:ascii="Amiri" w:hAnsi="Amiri" w:eastAsia="Amiri" w:cs="Amiri"/>
          <w:color w:val="111111"/>
          <w:sz w:val="28"/>
          <w:sz w:val="28"/>
          <w:szCs w:val="28"/>
          <w:rtl w:val="true"/>
          <w:lang w:bidi="ar-SA"/>
        </w:rPr>
        <w:t>، والمحقق السيد الخوئي في معجم رجال الحديث</w:t>
      </w:r>
      <w:r>
        <w:rPr>
          <w:rStyle w:val="FootnoteAnchor"/>
          <w:rtl w:val="true"/>
        </w:rPr>
        <w:footnoteReference w:id="417"/>
      </w:r>
      <w:r>
        <w:rPr>
          <w:rFonts w:ascii="IRNazanin" w:hAnsi="IRNazanin" w:eastAsia="IRNazanin"/>
          <w:color w:val="111111"/>
          <w:sz w:val="28"/>
          <w:sz w:val="28"/>
          <w:szCs w:val="28"/>
          <w:rtl w:val="true"/>
          <w:lang w:bidi="fa-IR"/>
        </w:rPr>
        <w:t xml:space="preserve">، والشبستري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في رواة وأصحاب الإمام الصادق علیه السلام </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فجميع هؤلاء وغيرهم قد نعتوه بما نعته به النجاشي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يُسكن إلى ما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شيخ الطائفة قد أهمل أبا مخنف، ولم يحكم عليه بجرح ولا تعديل، غير أنّ ذلك لم يمنع أغلب الرجاليين من متابعة رأي النجاشي فيه، وذلك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الطوسي وإن لم يوثق أبا مخنف، إلّا أنّه لم يطعن عليه أيضاً،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مجهول الحال، والمهمَل غير المجهول، الذي صرح علماء الرجال بجهالة حاله، فالمهمَل لا توصف روايته بضعف أو صحّة أو توثيق أو حسن، ما لم تتبيّن حاله من جهة تتبّع القرائن والمؤشرات، وقد كان ابن داود يعمل بخبر المهمَل كما يعمل بخبر الممدوح</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سكوت الطوسي يُعدّ جرحاً بأبي مخنف، فإنّنا في هذه الحالة سنقدِّم رأي النجاشي على رأي الشيخ أيضاً؛ وذلك لاتّفاقهم على تقديمه عند المعارضة،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منهم تقديم قوله ولو كان ظاهراً على قول غيره من أئمّة الرجال في مقام المعارضة في الجرح والتعديل، ولو كان نصّاً</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حال النجاشي أنّه أضبط الجماعة، وأعرفهم بحال الرجال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حفيده الشيخ محمد بن الشيخ حسن بن الشهيد الثاني ـ بعد ذكر كلامي النجاشي والشيخ في سماعة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والنجاشي يُقدَّم على الشيخ في هذه المقامات، كما يعلم بالممارسة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الميرزا محمد الإسترابادي ـ في ترجمة سليمان بن صالح الجصاص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تخالف ما بين طريقي الشيخ والنجاشي، ولعل النجاشي أثبت</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نكتة مهمّة ينبغي أن يشار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يُسكن إلى 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ألفاظ المدح من المرتبة الثانية عند الدرائيين</w:t>
      </w:r>
      <w:r>
        <w:rPr>
          <w:rStyle w:val="FootnoteAnchor"/>
          <w:rtl w:val="true"/>
        </w:rPr>
        <w:footnoteReference w:id="424"/>
      </w:r>
      <w:r>
        <w:rPr>
          <w:rFonts w:ascii="Amiri" w:hAnsi="Amiri" w:eastAsia="Amiri" w:cs="Amiri"/>
          <w:color w:val="111111"/>
          <w:sz w:val="28"/>
          <w:sz w:val="28"/>
          <w:szCs w:val="28"/>
          <w:rtl w:val="true"/>
          <w:lang w:bidi="ar-SA"/>
        </w:rPr>
        <w:t>، والمعروف عند الرجاليين والدرائيين ـ منا ـ أنّ الراوي الممدوح تُعتبر مروياته من قسم الحسن إن كان إمامياً، ومن قسم الموثَّق إن كان على غير نهج الإمامية، وفي ضوء الخلاف المتقدِّم حول عقيدة أبي مخنف؛ فإنّ أحاديثه تكون إما من قسم الحسن لـمَن يرى إماميته، وإما من قسم الموثّق لمن يرى عامّيته، وممّا يهوِّن الخطب أنّ كليهما ممّا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رجالنا، وأمّا أهل السنّة فقد أجمع أئمّة الرجال منهم على تضعيفه وترك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حاتم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الدارقطني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 ـ بعد أن نقل رأي يحيى بن معين في أبي مخنف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الذي قاله ابن معين يوافقه عليه الأئمّة؛ فإنّ لوط بن يحيى معروف بكُنيته وباسمه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بأخبار </w:t>
      </w:r>
      <w:bookmarkStart w:id="340" w:name="pg7448_76962"/>
    </w:p>
    <w:p>
      <w:pPr>
        <w:pStyle w:val="BookText"/>
        <w:rPr/>
      </w:pPr>
      <w:bookmarkEnd w:id="340"/>
      <w:r>
        <w:rPr>
          <w:rFonts w:ascii="Amiri" w:hAnsi="Amiri" w:eastAsia="Amiri" w:cs="Amiri"/>
          <w:color w:val="111111"/>
          <w:sz w:val="28"/>
          <w:sz w:val="28"/>
          <w:szCs w:val="28"/>
          <w:rtl w:val="true"/>
          <w:lang w:bidi="ar-SA"/>
        </w:rPr>
        <w:t>مَن تقدَّم من السلف الصالحين، ولا يبعد منه أن يتناولهم، وهو شيعي محترق صاحب أخبارهم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يتّضح السبب الذي تركوا حديث أبي مخنف من أجله؛ وهو ميله ومودّته لأهل البيت علیهم السلام  من جانب، ونقله لمثالب ومخازي أعدائهم من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الإعراض عن مرويات أبي مخنف فيما يخصّ الفقه والعقيدة، غير أنّهم قد اعتمدوا عليه اعتماداً منقطع النظير في مروياته التاريخية، لا سيما الطبري الذي شحن موسوعته التاريخية الكبرى بمرويات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أحد أئمّة هذا الشأن</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وقال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شيعياً، وهو ضعيف الحديث عند الأئمّة، ولكنّه أخباري حافظ، عنده من هذه الأشياء ما ليس عند غيره، ولهذا يترامى عليه كثير من المصنِّفين في هذا الشأن ممّن بعده</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1" w:name="__RefHeading___Toc1936880_1051229030"/>
      <w:bookmarkStart w:id="342" w:name="_Toc125"/>
      <w:bookmarkEnd w:id="341"/>
      <w:r>
        <w:rPr/>
        <w:t>٦</w:t>
      </w:r>
      <w:r>
        <w:rPr>
          <w:rtl w:val="true"/>
        </w:rPr>
        <w:t>ـ وفاته</w:t>
      </w:r>
      <w:bookmarkEnd w:id="34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أبو مخنف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مولد العلماء ووفياتهم للربعي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 ومعجم الأُدباء للحموي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وسير أعلام النبلاء</w:t>
      </w:r>
      <w:r>
        <w:rPr>
          <w:rStyle w:val="FootnoteAnchor"/>
          <w:rtl w:val="true"/>
        </w:rPr>
        <w:footnoteReference w:id="431"/>
      </w:r>
      <w:r>
        <w:rPr>
          <w:rFonts w:ascii="Amiri" w:hAnsi="Amiri" w:eastAsia="Amiri" w:cs="Amiri"/>
          <w:color w:val="111111"/>
          <w:sz w:val="28"/>
          <w:sz w:val="28"/>
          <w:szCs w:val="28"/>
          <w:rtl w:val="true"/>
          <w:lang w:bidi="ar-SA"/>
        </w:rPr>
        <w:t>، وتاريخ الإسلام</w:t>
      </w:r>
      <w:r>
        <w:rPr>
          <w:rStyle w:val="FootnoteAnchor"/>
          <w:rtl w:val="true"/>
        </w:rPr>
        <w:footnoteReference w:id="432"/>
      </w:r>
      <w:r>
        <w:rPr>
          <w:rFonts w:ascii="Amiri" w:hAnsi="Amiri" w:eastAsia="Amiri" w:cs="Amiri"/>
          <w:color w:val="111111"/>
          <w:sz w:val="28"/>
          <w:sz w:val="28"/>
          <w:szCs w:val="28"/>
          <w:rtl w:val="true"/>
          <w:lang w:bidi="ar-SA"/>
        </w:rPr>
        <w:t>للذهبي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والوافي بالوفيات لصلاح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٧٦٤</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والذريعة للطهراني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 والأعلام لخير الدين الزركلي </w:t>
      </w:r>
    </w:p>
    <w:p>
      <w:pPr>
        <w:pStyle w:val="BookText"/>
        <w:rPr/>
      </w:pPr>
      <w:r>
        <w:rPr>
          <w:rFonts w:ascii="Amiri" w:hAnsi="Amiri" w:eastAsia="Amiri" w:cs="Amiri"/>
          <w:color w:val="111111"/>
          <w:sz w:val="28"/>
          <w:sz w:val="28"/>
          <w:szCs w:val="28"/>
          <w:rtl w:val="true"/>
          <w:lang w:bidi="ar-SA"/>
        </w:rPr>
        <w:t xml:space="preserve">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 ومعجم المؤلفين لعمر كحالة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وغير ذلك من مصادر ومراجع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الجميع قد نهلوا هذا القول من مصدر واحد هو تاريخ مولد العلماء ووفياتهم للربعي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نظراً لكونه أقدم مَن صرّح بهذا القول بحسب تتبّعنا للمصادر والمراجع التي تعرَّضت لوفاة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قبال هذا القول يوجد قولان ضعيفان، وغير 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قبل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قول الذهبي في ميزان الاعتدال</w:t>
      </w:r>
      <w:r>
        <w:rPr>
          <w:rStyle w:val="FootnoteAnchor"/>
          <w:rtl w:val="true"/>
        </w:rPr>
        <w:footnoteReference w:id="437"/>
      </w:r>
      <w:r>
        <w:rPr>
          <w:rFonts w:ascii="Amiri" w:hAnsi="Amiri" w:eastAsia="Amiri" w:cs="Amiri"/>
          <w:color w:val="111111"/>
          <w:sz w:val="28"/>
          <w:sz w:val="28"/>
          <w:szCs w:val="28"/>
          <w:rtl w:val="true"/>
          <w:lang w:bidi="ar-SA"/>
        </w:rPr>
        <w:t>، 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إنّه لم يذكر الحادثة التي بسببها استنتج كون وفاته قبل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الإشكال لا يرد على أصحاب القول الأول؛ لأنّهم قد استندوا إلى قول الربعي المتوفّى عام </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ﻫ، وهو يحكم عن حسٍّ لا عن حدْس، فإنّه لا يفصله عن أبي مخنف سوى طبقة واحدة، فهو من طبقة تلاميذ تلاميذ أبي مخنف،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أقران أحفاده، بخلاف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يفصله عن أبي مخنف قرابة خمسة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إنّه مخالف لما اشتُهر من كون وفاته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مخالف لما ذهب إليه الذهبي نفسه في سير أعلام النبلاء وتاريخ الإسلام كما مرّ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١٣٣٩</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يُشر إلى مستنده في هذا القول، ولولا أنّه قد أكد على ذلك ثلاث مرّات، مرّتين في إيضاح المكنون</w:t>
      </w:r>
      <w:r>
        <w:rPr>
          <w:rStyle w:val="FootnoteAnchor"/>
          <w:rtl w:val="true"/>
        </w:rPr>
        <w:footnoteReference w:id="438"/>
      </w:r>
      <w:r>
        <w:rPr>
          <w:rFonts w:ascii="Amiri" w:hAnsi="Amiri" w:eastAsia="Amiri" w:cs="Amiri"/>
          <w:color w:val="111111"/>
          <w:sz w:val="28"/>
          <w:sz w:val="28"/>
          <w:szCs w:val="28"/>
          <w:rtl w:val="true"/>
          <w:lang w:bidi="ar-SA"/>
        </w:rPr>
        <w:t>، ومرّة واحدة في هدية العارفين</w:t>
      </w:r>
      <w:r>
        <w:rPr>
          <w:rStyle w:val="FootnoteAnchor"/>
          <w:rtl w:val="true"/>
        </w:rPr>
        <w:footnoteReference w:id="439"/>
      </w:r>
      <w:r>
        <w:rPr>
          <w:rFonts w:ascii="Amiri" w:hAnsi="Amiri" w:eastAsia="Amiri" w:cs="Amiri"/>
          <w:color w:val="111111"/>
          <w:sz w:val="28"/>
          <w:sz w:val="28"/>
          <w:szCs w:val="28"/>
          <w:rtl w:val="true"/>
          <w:lang w:bidi="ar-SA"/>
        </w:rPr>
        <w:t xml:space="preserve">، ولولا أنّه قد ذكر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رقماً وكتابةً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الثلاثة، لولا ذلك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بحصول تصحيف </w:t>
      </w:r>
      <w:bookmarkStart w:id="343" w:name="pg7448_76964"/>
    </w:p>
    <w:p>
      <w:pPr>
        <w:pStyle w:val="BookText"/>
        <w:rPr/>
      </w:pPr>
      <w:bookmarkEnd w:id="343"/>
      <w:r>
        <w:rPr>
          <w:rFonts w:ascii="Amiri" w:hAnsi="Amiri" w:eastAsia="Amiri" w:cs="Amiri"/>
          <w:color w:val="111111"/>
          <w:sz w:val="28"/>
          <w:sz w:val="28"/>
          <w:szCs w:val="28"/>
          <w:rtl w:val="true"/>
          <w:lang w:bidi="ar-SA"/>
        </w:rPr>
        <w:t xml:space="preserve">للتشابه الكبير بين 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936882_1051229030"/>
      <w:bookmarkStart w:id="345" w:name="_Toc126"/>
      <w:bookmarkEnd w:id="344"/>
      <w:r>
        <w:rPr>
          <w:rtl w:val="true"/>
        </w:rPr>
        <w:t>البحث الثاني</w:t>
      </w:r>
      <w:r>
        <w:rPr>
          <w:rtl w:val="true"/>
        </w:rPr>
        <w:t xml:space="preserve">: </w:t>
      </w:r>
      <w:r>
        <w:rPr>
          <w:rtl w:val="true"/>
        </w:rPr>
        <w:t xml:space="preserve">كتابه </w:t>
      </w:r>
      <w:r>
        <w:rPr>
          <w:rtl w:val="true"/>
        </w:rPr>
        <w:t>(</w:t>
      </w:r>
      <w:r>
        <w:rPr>
          <w:rtl w:val="true"/>
        </w:rPr>
        <w:t xml:space="preserve">مقتل الحسين علیه السلام </w:t>
      </w:r>
      <w:r>
        <w:rPr>
          <w:rtl w:val="true"/>
        </w:rPr>
        <w:t>)</w:t>
      </w:r>
      <w:bookmarkEnd w:id="345"/>
    </w:p>
    <w:p>
      <w:pPr>
        <w:pStyle w:val="BookText"/>
        <w:rPr/>
      </w:pPr>
      <w:r>
        <w:rPr>
          <w:rFonts w:ascii="Amiri" w:hAnsi="Amiri" w:eastAsia="Amiri" w:cs="Amiri"/>
          <w:color w:val="111111"/>
          <w:sz w:val="28"/>
          <w:sz w:val="28"/>
          <w:szCs w:val="28"/>
          <w:rtl w:val="true"/>
          <w:lang w:bidi="ar-SA"/>
        </w:rPr>
        <w:t>الحديث حول مقتل أبي مخنف حديث ذو شجون، والإحاطة به من جميع الجهات يحتاج إلى بحث مستقلّ ودراسة مفردة؛ ولذا سنحاول أن نتحدَّث بإيجاز عن عدّة أُمور أساسية ورئيسية حول هذا المقتل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ريب ولا شبهة في أنّ أبا مخنف قد كتب كتاباً حول واقعة الطف أسماه مقتل أو قتل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ذكره ابن النديم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٤٣٨</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قائمة كتبه، وذكر أنّ اسمه مقتل الحسين علیه السلام </w:t>
      </w:r>
      <w:r>
        <w:rPr>
          <w:rStyle w:val="FootnoteAnchor"/>
          <w:rtl w:val="true"/>
        </w:rPr>
        <w:footnoteReference w:id="440"/>
      </w:r>
      <w:r>
        <w:rPr>
          <w:rFonts w:ascii="IRNazanin" w:hAnsi="IRNazanin" w:eastAsia="IRNazanin"/>
          <w:color w:val="111111"/>
          <w:sz w:val="28"/>
          <w:sz w:val="28"/>
          <w:szCs w:val="28"/>
          <w:rtl w:val="true"/>
          <w:lang w:bidi="fa-IR"/>
        </w:rPr>
        <w:t xml:space="preserve">، ولعل ابن النديم هو أقدم مَن نصّ على وجود كتاب لأبي مخنف في مقتل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وذكره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٤٥٠</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 قائمة مصنفاته، وذكر أنّ اسمه قتل الحسين علیه السلام ، ثمَّ ذكر طريقه إلى هذا الكتاب وسائر كتب أبي مخنف،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علي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الجبار بن شيران الساكن بنهر جطا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زكريا بن دينار الغلابي،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الضحاك المرادي،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بن السائب الكلبي، عن أبي مخنف</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ذكره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٤٦٠</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في الفهرست، وذكر أنّ اسمه مقتل الحسين علیه السلام ، ثمَّ ذكر طريقه إلى مصنفات أبي مخنف بما فيها كتاب المقتل،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بها أحمد بن عبدون، والحسين بن عبيد الله جميعاً، عن أبي بكر الدوري، عن القاضي أبي بكر أحمد بن كامل، عن محمد بن موسى بن حماد، عن ابن أبي السري محمد، قال أخبرنا هشام بن محمد الكلبي، عنه</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بعدهما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فأكَّد لنا وجود هذا الكتاب في قائمة </w:t>
      </w:r>
    </w:p>
    <w:p>
      <w:pPr>
        <w:pStyle w:val="BookText"/>
        <w:rPr/>
      </w:pPr>
      <w:r>
        <w:rPr>
          <w:rFonts w:ascii="IRNazanin" w:hAnsi="IRNazanin" w:eastAsia="IRNazanin"/>
          <w:color w:val="111111"/>
          <w:sz w:val="28"/>
          <w:sz w:val="28"/>
          <w:szCs w:val="28"/>
          <w:rtl w:val="true"/>
          <w:lang w:bidi="fa-IR"/>
        </w:rPr>
        <w:t>كتب أبي مخنف، فقال ـ بعد التعريف بأبي مخنف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كُتُب كثيرة في السير، كمقتل الحسين علیه السلام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ذكره أيضاً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 الأدباء، وهو يذكر ذلك عن محمد بن إسحاق</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أهمّ النصوص الأصيلة الموجودة في هذا المجال، وقد اخترناها من أشهر المصادر في عالم الفهارس ومعاجم المؤلفات، وجميعها صرحت بوجود كتاب لأبي مخنف في مقتل الحسين علیه السلام ، وهناك نصوص أُخرى صرحت بوجود هذا الكتاب في قائمة أبي مخنف، ولكنّها بأجمعها تنهل من المصادر التي ذكرناها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الباحثين إلى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مقتل أبي مخنف هو أقدم المقاتل الحسينيّة وأسبقها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مهدي شمس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فكُتُب المقتل تصلح أن تكون موضوعاً لدراسة علمية واسعة وعميقة تشتمل على تاريخ نشوء هذا النوع من كتابة التاريخ وتطوره، ومنهجه ومحتوياته، ونوعيات المؤلفين، والأُسلوب الذي كتب به، وتطور هذا الأُسلوب خلال العصور، وعلاقة هذا الأُسلوب بلغة الكتابة في المجالات الأُخرى، واللغات التي كتبت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والفارسية، والتركية، والأردو،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والمحتوى الشعري لهذه الكتب التي بدأت ـ فيما نحسب ـ بأبي مخنف ولم تنته بعد</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اليوسفي الغروي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وكذلك بقيت هذه الحادثة الأليمة في سنة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ﻫ، أحاديث شجون تتناقلها الألسن نقلاً عن الذين كانوا قد شهدوا المعركة، أو الحوادث السّابقة عليها أو التالية لها، كسائر أحاديث المغازي والحروب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انبرى لها في أوائل المئة الثانية للهجرة أبو مِخْنف، لوط بن يحيى بن سعيد بن مِخْنف بن سليم الأزدي الغامدي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ascii="IRNazanin" w:hAnsi="IRNazanin" w:eastAsia="IRNazanin"/>
          <w:color w:val="111111"/>
          <w:sz w:val="28"/>
          <w:sz w:val="28"/>
          <w:szCs w:val="28"/>
          <w:lang w:bidi="fa-IR"/>
        </w:rPr>
        <w:t>١٥٨</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فجمعها من أفواه الرواة وأودعها كتاباً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 xml:space="preserve">مقتل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قائمة 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أوّل كتاب في تاريخ هذه الحادثة العظمى على الإطلاق</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لا نوافق ما ذهب إليه هذان المحققان وغيرهما، فقد أثبتنا ـ في بحوثنا السابقة ـ أنّ أول مَن كتب في المقتل الحسيني هو الأصبغ بن نباتة، ثمَّ جاء بعده جابر بن يزيد الجعفي، ثمَّ جاء بعدهما عمّار الدهني، فلا يكون أبو مخنف هو أول مَن كتب في المقتل الحسيني، وإن جرى ذكر ذلك على بعض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مقتل أبي مخنف مفقود، ولم يصل إلينا منه إلا ما انتقل إلينا عِبر مطاوي الكتب، وفي ضوئه؛ فإنّ المقتل المتداول بين الناس والمنسوب لأبي مخنف، ليس له بإجماع المحققين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السيد عبد الحسين شرف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يخفى أنّ الكتاب المتداول في مقتله علیه السلام ، المنسوب إلى أبي مِخْنف قد اشتمل على كثير من الأحاديث التي لا علم لأبي مِخْنَف به، وإنّما هي مكذوبة على الرجل، وقد كثرت عليه الكذّابة وهذا شاهد على جلالته</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الشيخ عباس القمّي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وليعلم أنّ لأبي مِخْنف كُتُباً كثيرةً في التاريخ والسير، منها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الحسين علیه السلام  الذي نقل عنه أعاظم العلماء المتقدِّمين واعتمدوا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للأسف أنّه فُقد ولا يوجد منه نسخة، وأمّا المقتل الذي بأيدينا ويُنسب إليه، فليس له، بل ولا لأحد من المؤرِّخين المعتمدين، ومَن أراد تصديق ذلك، فليقابل ما في هذا المقتل وما نقله الطبري وغيره عنه حتّى يعلم ذلك، وقد بيّنت ذلك في نفس المهموم، في طرمّاح بن عدي، والله العالم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اليوسفي الغروي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تتداول الأيدي والمطابع في هذه العهود المتأخّرة كتاباً في مقتل الحسين علیه السلام ، نُسب إلى أبي مخنف، ومن المعلوم الواضح أنّه ليس لأبي مخنف، وإنّما هو من جمعِ جامعٍ غير أبي مخنف، ولا يُدرى بالضبط متى؟ وأين؟ وممّن وجد هذا </w:t>
      </w:r>
    </w:p>
    <w:p>
      <w:pPr>
        <w:pStyle w:val="BookText"/>
        <w:rPr/>
      </w:pPr>
      <w:r>
        <w:rPr>
          <w:rFonts w:ascii="Amiri" w:hAnsi="Amiri" w:eastAsia="Amiri" w:cs="Amiri"/>
          <w:color w:val="111111"/>
          <w:sz w:val="28"/>
          <w:sz w:val="28"/>
          <w:szCs w:val="28"/>
          <w:rtl w:val="true"/>
          <w:lang w:bidi="ar-SA"/>
        </w:rPr>
        <w:t>الكتاب؟ ومتى طبع لأول مرّة؟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صاحب الذريعة قد صرّح بأنّ الطبعة الأُولى لهذا المقتل كانت على الحجر في بمبئي منضمّاً إلى المجلد العاشر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ascii="Amiri" w:hAnsi="Amiri" w:eastAsia="Amiri" w:cs="Amiri"/>
          <w:color w:val="111111"/>
          <w:sz w:val="28"/>
          <w:sz w:val="28"/>
          <w:szCs w:val="28"/>
          <w:lang w:bidi="ar-SA"/>
        </w:rPr>
        <w:t>١٢٨٧</w:t>
      </w:r>
      <w:r>
        <w:rPr>
          <w:rFonts w:ascii="Amiri" w:hAnsi="Amiri" w:eastAsia="Amiri" w:cs="Amiri"/>
          <w:color w:val="111111"/>
          <w:sz w:val="28"/>
          <w:sz w:val="28"/>
          <w:szCs w:val="28"/>
          <w:rtl w:val="true"/>
          <w:lang w:bidi="ar-SA"/>
        </w:rPr>
        <w:t xml:space="preserve">ﻫ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أُعيدت طباعته على الحجر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بمبئي عام </w:t>
      </w:r>
      <w:r>
        <w:rPr>
          <w:rFonts w:ascii="Amiri" w:hAnsi="Amiri" w:eastAsia="Amiri" w:cs="Amiri"/>
          <w:color w:val="111111"/>
          <w:sz w:val="28"/>
          <w:sz w:val="28"/>
          <w:szCs w:val="28"/>
          <w:lang w:bidi="ar-SA"/>
        </w:rPr>
        <w:t>١٣٢٦</w:t>
      </w:r>
      <w:r>
        <w:rPr>
          <w:rFonts w:ascii="Amiri" w:hAnsi="Amiri" w:eastAsia="Amiri" w:cs="Amiri"/>
          <w:color w:val="111111"/>
          <w:sz w:val="28"/>
          <w:sz w:val="28"/>
          <w:szCs w:val="28"/>
          <w:rtl w:val="true"/>
          <w:lang w:bidi="ar-SA"/>
        </w:rPr>
        <w:t>ﻫ، منضمّاً إلى مثير الأحزان واللهوف، كما نصّ على ذلك التبريزي في مرآة الكتب</w:t>
      </w:r>
      <w:r>
        <w:rPr>
          <w:rStyle w:val="FootnoteAnchor"/>
          <w:rtl w:val="true"/>
        </w:rPr>
        <w:footnoteReference w:id="451"/>
      </w:r>
      <w:r>
        <w:rPr>
          <w:rFonts w:ascii="Amiri" w:hAnsi="Amiri" w:eastAsia="Amiri" w:cs="Amiri"/>
          <w:color w:val="111111"/>
          <w:sz w:val="28"/>
          <w:sz w:val="28"/>
          <w:szCs w:val="28"/>
          <w:rtl w:val="true"/>
          <w:lang w:bidi="ar-SA"/>
        </w:rPr>
        <w:t xml:space="preserve">، والأُخرى في النجف الأشرف عام </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ﻫ، كما صرح بذلك الأميني في معجم المطبوعات النجفيّة</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وللمقتل المتداول علامتان أساسيتان يمكن معرفته من خلالهما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العلامة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العنوان؛ حيث إنّ هذه النسخة عادة ما تُطبع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  ومصرع أهل بيته وأصحابه في كربلاء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العلامة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الكلمات الأُولى فيه؛ حيث يبدأ بهذه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المنذر هشام بن محمد بن السائب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الكلمات هي أول مؤاخذة على هذا المقتل؛ فإنّ أبا مخنف هو شيخ هشام بن محمد وأُستاذه، فكيف يصح أن يحدِّث الأستاذ عن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 الأمر السابق إلى أنّ الباحثين المحققين قد أجمعوا على ضياع مقتل أبي مخنف، وأنّه لم يصلنا منه إلّا ما نقله المؤرِّخون عن هذا المقتل، والمعروف بين المحققين أنّ أقدم نصٍّ نقل مرويات هذا المقتل هو كتاب تاريخ الرسل والملوك للطبري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اليوسفي الغروي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وأقدم نصّ معروف لدينا ممّن نقل أحاديث هشام الكلبي في كتابه عن أبي مِخْنَف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لمْ يُفرِد لها تأليفاً خاصّاً، وإنّما ذكر الوقعة في أثناء تاريخه لحوادث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حسن غفاري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أردت أن أجمع الأخبار الواردة في مقتل مولانا الشهيد أبي عبد الله الحسين ـ روحي له الفداء ـ بحيث كان كلّ مَن نظر فيه وتأمّل في مضامينه أغناه عن الرجوع إلى سائر المقاتل، وبينا أنا كنت مشغولاً بذلك بان لي أنّ من جملة المقاتل التي استندوا إليها ونقلوا عنها مقتل أبي مخنف المشهور بين الخواصّ والعوام، ونقل مهرة الفنّ عنه في زبرهم القديمة، كمحمد بن جرير الطبري في كتابه تاريخ الأُمم والملوك</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ويتكوّن مقتل أبي مخنف المستخرَج من تاريخ الطبري ـ بحسب ما حققه اليوسفي الغروي ـ من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حديثاً مسنداً</w:t>
      </w:r>
      <w:r>
        <w:rPr>
          <w:rStyle w:val="FootnoteAnchor"/>
          <w:rtl w:val="true"/>
        </w:rPr>
        <w:footnoteReference w:id="455"/>
      </w:r>
      <w:r>
        <w:rPr>
          <w:rFonts w:ascii="Amiri" w:hAnsi="Amiri" w:eastAsia="Amiri" w:cs="Amiri"/>
          <w:color w:val="111111"/>
          <w:sz w:val="28"/>
          <w:sz w:val="28"/>
          <w:szCs w:val="28"/>
          <w:rtl w:val="true"/>
          <w:lang w:bidi="ar-SA"/>
        </w:rPr>
        <w:t xml:space="preserve">، رواها أبو مخنف بالمباشرة وبالواسطة عن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راوياً، وقد وضع اليوسفي الغروي ستّ قوائم تفصيليّة بأسماء الرواة الوسائط بين أبي مخنف والأحداث، ووضع أمام اسم كلّ راوٍ منهم الحديث الذي رواه، فكانت هذه القوائم هي في حدّ ذاتها فهرستاً لأحاديث الكتاب أيضاً</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وتتوّزع هذه الأحاديث المتناثرة في الطبري على حوادث المعركة وما قبلها وما بعدها، بشكل يغطّي أكثر التفاصيل، ويجيب على أغلب التساؤلات التي تشغل الباحث؛ ومن هنا أمكن إعادة تنسيقها وتشكيلها بحسب التسلسل الزمني للأحداث والخروج بمقتل متكامل أو شبه متكامل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قام المحققان الميرزا حسن الغفاري والشيخ اليوسفي الغروي بالتصدّي لإحياء مقتل أبي مخنف من خلال العمل على استخراج روايات أبي مخنف من تاريخ الطبري، ثمَّ تنسيقها بحسب تسلسل الأحداث ووضعها في كتاب مفرد يكون بديلاً للطبعة المتداولة بين الناس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الأول مقتل الحسين علیه السلام ، وكتب الثاني وقعة الطفّ، وكلاهما مستخرَجان من تاريخ الطبري</w:t>
      </w:r>
      <w:r>
        <w:rPr>
          <w:rFonts w:eastAsia="IRNazanin" w:cs="IRNazanin"/>
          <w:color w:val="111111"/>
          <w:sz w:val="28"/>
          <w:szCs w:val="28"/>
          <w:rtl w:val="true"/>
          <w:lang w:bidi="fa-IR"/>
        </w:rPr>
        <w:t xml:space="preserve">. </w:t>
      </w:r>
      <w:bookmarkStart w:id="346" w:name="pg7448_76969"/>
    </w:p>
    <w:p>
      <w:pPr>
        <w:pStyle w:val="Heading5"/>
        <w:numPr>
          <w:ilvl w:val="4"/>
          <w:numId w:val="1"/>
        </w:numPr>
        <w:rPr/>
      </w:pPr>
      <w:bookmarkStart w:id="347" w:name="__RefHeading___Toc1936884_1051229030"/>
      <w:bookmarkStart w:id="348" w:name="_Toc127"/>
      <w:bookmarkEnd w:id="346"/>
      <w:bookmarkEnd w:id="347"/>
      <w:r>
        <w:rPr>
          <w:rtl w:val="true"/>
        </w:rPr>
        <w:t>طريق الطبري إلى مقتل أبي مخنف</w:t>
      </w:r>
      <w:bookmarkEnd w:id="348"/>
    </w:p>
    <w:p>
      <w:pPr>
        <w:pStyle w:val="BookText"/>
        <w:rPr/>
      </w:pPr>
      <w:r>
        <w:rPr>
          <w:rFonts w:ascii="Amiri" w:hAnsi="Amiri" w:eastAsia="Amiri" w:cs="Amiri"/>
          <w:color w:val="111111"/>
          <w:sz w:val="28"/>
          <w:sz w:val="28"/>
          <w:szCs w:val="28"/>
          <w:rtl w:val="true"/>
          <w:lang w:bidi="ar-SA"/>
        </w:rPr>
        <w:t xml:space="preserve">طريق الطبري إلى مقتل أبي مخنف هو أبو المنذر هشام بن محمد بن السائب الكلبي،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الطبري لم يتّصل بهشام بن محمد، فقد توفّي الأخير قبل ولادة الطبري بحوالي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عاماً، ومع ذلك نجد أنّ الطبري ـ في أحداث سنتي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ﻫ ـ يسند مروياته إلى هشام من دون أن يذكر الواسطة بينهما، ويمكن أن نتصوّر في هذا الخصوص ثلاث فرضيات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بانقطاع السند بين الطبري وهشام الكلبي؛ وبالتالي سنحكم على مجموع روايات الطبري عن أبي مخنف بالإرسال؛ فتكون ضعيفة بحسب المقاييس الفقهية؛ لأنّنا نجهل الواسطة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أردنا أن نتكلّم بلغة مبسَّطة وواضحة للجميع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أنّنا نجهل الواسطة التي نقلت مقتل أبي مخنف من هشام إلى الطبري، فلا يمكننا الجزم بنسبة هذا المقتل إلى أبي مخنف، فلا تكون قيمته التاريخية أفضل من المقتل المتداول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اليوسفي الغروي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الطبري كان يمتلك نسخة من مقتل أبي مخنف، فكان ينقل من الكتاب بشكل مباشر، وكان يعزز ذلك بمرويات من هذا المقتل، وردت إليه عن طريق تلميذه هشام، ولا يعيِّن لنا مَن حدَّثه عن هشام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الفرضية؛ يكون دور هشام بن محمد دوراً هامشياً، والمصدر الأساسي الذي اعتمده الطبري هو كتاب مقتل أبي مخنف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يعزّز هذه الفرضية، أنّ الطبري كثيراً ما يتجاوز هشام ويحدِّث عن أبي مخنف بالمباشرة، فيقول ـ مثلاً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ما توصلنا إليه في المقام ـ فنحن نرى أنّ طريق الطبري إلى </w:t>
      </w:r>
    </w:p>
    <w:p>
      <w:pPr>
        <w:pStyle w:val="BookText"/>
        <w:rPr/>
      </w:pPr>
      <w:r>
        <w:rPr>
          <w:rFonts w:ascii="Amiri" w:hAnsi="Amiri" w:eastAsia="Amiri" w:cs="Amiri"/>
          <w:color w:val="111111"/>
          <w:sz w:val="28"/>
          <w:sz w:val="28"/>
          <w:szCs w:val="28"/>
          <w:rtl w:val="true"/>
          <w:lang w:bidi="ar-SA"/>
        </w:rPr>
        <w:t xml:space="preserve">هشام بن محمد معروف، فإنّ الطبري يروي عن الحارث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٢٨٢</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 عن محمد بن سعد صاحب الطبقات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هشام بن محمد، عن أبي مخنف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للطبري طريق إلى هشام غير ما ذكرنا، وقد صرَّح الطبري بذلك في ستّة موارد في الجزء الأول من تاريخه</w:t>
      </w:r>
      <w:r>
        <w:rPr>
          <w:rStyle w:val="FootnoteAnchor"/>
          <w:rtl w:val="true"/>
        </w:rPr>
        <w:footnoteReference w:id="459"/>
      </w:r>
      <w:r>
        <w:rPr>
          <w:rFonts w:ascii="Amiri" w:hAnsi="Amiri" w:eastAsia="Amiri" w:cs="Amiri"/>
          <w:color w:val="111111"/>
          <w:sz w:val="28"/>
          <w:sz w:val="28"/>
          <w:szCs w:val="28"/>
          <w:rtl w:val="true"/>
          <w:lang w:bidi="ar-SA"/>
        </w:rPr>
        <w:t xml:space="preserve">، وبعد أن صار طريقه معروفاً إلى هشام بن محمد، بدأ يسند إلى هشام بن محمد بقوله ـ مثلاً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المبني للمجهول، وهذه الطريقة في الاختصار تُسمى في علم الرجال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طريقة معروفة بينهم، لا سيما بين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المعالم في منتقى الجمان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أنّه اتّفق لبعض الأصحاب توهم الانقطاع في جملة من أسانيد الكافي؛ لغفلتهم عن ملاحظة بنائه لكثير منها على طرق سابقة، وهي طريقة معروفة بين القدماء، والعجب أنّ الشيخ رحمه الله ربما غفل عن مراعاتها؛ فأورد الإسناد من الكافي بصورته ووصله بطرقه عن الكليني من غير ذكر للواسطة المتروكة؛ فيصير الإسناد في رواية الشيخ له منقطعاً، ولكن مراجعة الكافي تفيد وصله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التوهم الذي أشرنا إليه فقد الممارسة المطّلعة على التزام تلك الطريقة</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جعفر السبحاني ـ حول طريقة الكليني في الإسناد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يحذف الكليني </w:t>
      </w:r>
    </w:p>
    <w:p>
      <w:pPr>
        <w:pStyle w:val="BookText"/>
        <w:rPr/>
      </w:pPr>
      <w:r>
        <w:rPr>
          <w:rFonts w:ascii="IRNazanin" w:hAnsi="IRNazanin" w:eastAsia="IRNazanin"/>
          <w:color w:val="111111"/>
          <w:sz w:val="28"/>
          <w:sz w:val="28"/>
          <w:szCs w:val="28"/>
          <w:rtl w:val="true"/>
          <w:lang w:bidi="fa-IR"/>
        </w:rPr>
        <w:t>صدر السند في خبرٍ مبتنياً على الخبر الذي قبله، وهذا ما يُعبَّر عنه في كلام أهل الدراية بالتعليق، فمثلاً يقول في الخبر الأول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إبراهيم، عن أبيه، عن ابن أبي عمير، عن منصور بن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 الثاني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الحسن بن عطية، عن عمر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 في الخبر الأول من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عن أبيه، عن ابن أبي عمير، عن أبي عبد الله صاحب السابري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 الثاني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عمير، عن ابن رئاب، عن إسماعيل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 الثالث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أبي عمير، عن حفص بن البختري، عن أبي عبد الله علیه السلام </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ـ أيضاً ـ نفسِّر إسناد الطبري إلى أبي مخنف مباشرة؛ فإنّه لم يسند إليه إلّا بعد أن صار واضحاً أنّه يروي عنه بواسطة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الفرضية تتهاوى الفرضيتان السابقتان، وإن كنّا في الوقت نفسه لا نمانع من وصول كتاب مقتل أبي مخنف إلى الطبري، من خلال هذا الطريق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أشرنا ـ فيما مضى ـ إلى أنّ أقدم نصٍّ تاريخي يحتوي على نقولات من مقتل أبي مخنف هو تاريخ الطبري، وهذا لا يعني أنّه النصّ الوحيد، فهناك العديد من النصوص التي اشتملت على مرويات من هذا المقتل، وهذه النصوص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طريقه إلى مقتل أبي مخنف يمرّ بالطبري، كالبلاذري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أنساب الأشراف، وابن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نحو</w:t>
      </w: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الفتوح، والمسعودي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مروج الذهب، وأبو الفرج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مقاتل الطالبيين، وغيرهم ممّن نقل عن أبي مخنف عن غير طريق الطبري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عدّ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الإرشاد، وسبط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٦٥٤</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التذكرة منهم؛ فإنّهما لا ينقلان عن مقتل أبي مخنف عن طريق الطبري على ما يبدو، ففي هذه الكتب وأمثالها يجد الباحث شذرات مبثوثة من هذا المقتل يمكن اقتصاصها وإضافتها إلى مقتل أبي مخنف المستخرَج من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معتمداً على نسخة الطبري من المؤرخين المتأخرين عنه، كابن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الكامل في التاريخ، والذهبي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الإسلام، وابن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البداية والنهاية، وابن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آل أبي طالب؛ فإنّ لكلّ واحد من هؤلاء طريقه الخاصّ إلى تاريخ الطبري، وبعض هذه النسخ غير مطابقة لنسخة الطبري المتداولة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المتتبّع لا يعدم ـ من خلال المقارنة ـ من التقاط بعض العبارات الساقطة من تاريخ الطبري، وهي وإن كانت نادرة جداً إلّا أنّنا بحاجة إليها أيضاً، فلعل فيها سداً لثغرة مهمّة في التاريخ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من مقتل أبي مخنف لا تتطابق مع نسخة الطبري، ولا مع الطبعة المتداولة، وأبرز نماذج ذلك نسختان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نسخة 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١٢٩٤</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خصص الباب الحادي والستين من الجزء الثالث من كتابه لما أورده أبو مخنف، وعند المقارنة يتّضح للباحث عدم تطابق هذه النسخة مع النسخة الشائعة المتداولة ولا نسخة الطبري، كما اتّضح لنا عند التحقيق أنّ هذه النسخة لا يمكن أن تكون ملفّقة من النسختين لانفرادها بالعديد من الموارد، مع أنّه يقول في صدر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الحادى والستّون في إيراد ما في الكتاب المسمى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ذكر فيه شهادة الحسين وأصحابه مفصلاً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صريح بأنّه ينقل عن كتابٍ كان لديه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هذه نسخة ثالثة من مقتل أبي مخنف ينبغي للباحثين والمحققين أن يلتفتوا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نسخة إعجاز حسين النيسابوري الكنتوري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١٢٨٦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كشف الحجب والأستار عن أسماء الكتب والأسفار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الحسين علیه السلام  للوط بن يحيى بن سعيد بن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الميم وإسكان الخاء المعجمة وفتح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سالم الأزدي الغامدي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منذر هشام بن السائب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 الله </w:t>
      </w:r>
    </w:p>
    <w:p>
      <w:pPr>
        <w:pStyle w:val="BookText"/>
        <w:rPr/>
      </w:pPr>
      <w:r>
        <w:rPr>
          <w:rFonts w:ascii="Amiri" w:hAnsi="Amiri" w:eastAsia="Amiri" w:cs="Amiri"/>
          <w:color w:val="111111"/>
          <w:sz w:val="28"/>
          <w:sz w:val="28"/>
          <w:szCs w:val="28"/>
          <w:rtl w:val="true"/>
          <w:lang w:bidi="ar-SA"/>
        </w:rPr>
        <w:t>بن الجاسر، قال أخبرنا أبو مخنف لوط بن يحيى الأزدي إلخ</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ريب في أنّ هذا المقتل الذي يتحدَّث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المقتل المشهور؛ لأنّ أوله ـ كما مرَّ علينا ـ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المنذر هشام بن محمد بن السائب الكلبي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بدّ أن يُشار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المحققين والمنقِّبين في الآثار، حيث يقول عنه شهاب الدين الحسيني المرعشى النجفي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سافر إلى العراق، وزار المشاهد المشرَّفة، واجتمع بعلمائها فأفاد واستفاد، وكثرت مجالسته مع العلّامة الحاج الميرزا حسين النوري شيخ مشايخنا في الرواية، وجمع هناك عدّة كُتب، ومن نفائس المخطوطات، فجاء بها إلى خزانة كُتب أخيه صاحب العبقات</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يخفى أنّ عصر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عصر اكتشاف الأُصول المندثرة، وقد اكتُشفت في هذه الفترة العديد من الكتب التراثية المفقودة</w:t>
      </w:r>
      <w:r>
        <w:rPr>
          <w:rStyle w:val="FootnoteAnchor"/>
          <w:rtl w:val="true"/>
        </w:rPr>
        <w:footnoteReference w:id="465"/>
      </w:r>
      <w:r>
        <w:rPr>
          <w:rFonts w:ascii="IRNazanin" w:hAnsi="IRNazanin" w:eastAsia="IRNazanin"/>
          <w:color w:val="111111"/>
          <w:sz w:val="28"/>
          <w:sz w:val="28"/>
          <w:szCs w:val="28"/>
          <w:rtl w:val="true"/>
          <w:lang w:bidi="fa-IR"/>
        </w:rPr>
        <w:t xml:space="preserve">ولذا لا نستبعد أن تكون نسخة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تلك الأُصول المكتشفة في تلك الفترة، ولكنّنا مع شديد الأسف لا نعلم شيئاً عن مصير تلك النسخة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هاتين النسختين ـ نسخة ينابيع المودّة، ونسخة كشف الحجب والأستار ـ هما أبرز نماذج نسخ مقتل أبي مخنف، التي لا تطابق نسخة الطبري، ولا النسخة المتداولة، ويظهر من خلال التأمّل في منقولات صاحب أسرار الشهادة عن مقتل أبي مخنف، ومقارنتها بالمقتل المتداول، ونسخة الطبري، وجود نسخ متعددة لمقتل أبي مخنف، ويبدو أنّ الدربندي كان ملتفتاً إلى ذلك، حيث يقول في بعض تلك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نسخة من نسخ كتاب أبي مخنف هكذا</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العبارة تدلّ بوضوح على تعدد نسخ مقتل أبي مخنف، وأنّ صاحب أسرار </w:t>
      </w:r>
      <w:bookmarkStart w:id="349" w:name="pg7448_76974"/>
    </w:p>
    <w:p>
      <w:pPr>
        <w:pStyle w:val="BookText"/>
        <w:rPr/>
      </w:pPr>
      <w:bookmarkEnd w:id="349"/>
      <w:r>
        <w:rPr>
          <w:rFonts w:ascii="Amiri" w:hAnsi="Amiri" w:eastAsia="Amiri" w:cs="Amiri"/>
          <w:color w:val="111111"/>
          <w:sz w:val="28"/>
          <w:sz w:val="28"/>
          <w:szCs w:val="28"/>
          <w:rtl w:val="true"/>
          <w:lang w:bidi="ar-SA"/>
        </w:rPr>
        <w:t>الشهادة كان ملتفتاً إلى هذا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ضوء هذه الحقائق التي ذكرناها؛ فإنّنا نرى أنّه يمكن ـ مع مضاعفة الجهود ـ أنّ يُكتب مقتل أبي مخنف بحجم أكبر من المقتل المستخرَج من تاريخ الطبري</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936886_1051229030"/>
      <w:bookmarkStart w:id="351" w:name="_Toc128"/>
      <w:bookmarkEnd w:id="350"/>
      <w:r>
        <w:rPr>
          <w:rtl w:val="true"/>
        </w:rPr>
        <w:t>خاتمة بأهم نتائج البحث</w:t>
      </w:r>
      <w:bookmarkEnd w:id="351"/>
    </w:p>
    <w:p>
      <w:pPr>
        <w:pStyle w:val="BookText"/>
        <w:rPr/>
      </w:pPr>
      <w:r>
        <w:rPr>
          <w:rFonts w:ascii="Amiri" w:hAnsi="Amiri" w:eastAsia="Amiri" w:cs="Amiri"/>
          <w:color w:val="111111"/>
          <w:sz w:val="28"/>
          <w:sz w:val="28"/>
          <w:szCs w:val="28"/>
          <w:rtl w:val="true"/>
          <w:lang w:bidi="ar-SA"/>
        </w:rPr>
        <w:t>في ختام بحثنا ـ حول أبي مخنف ومقتله ـ نرى أنّه من تمام البحث أن نقوم بتلخيص أهمّ النتائج التي خرجنا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إنّ أبا مخنف لوط بن يحيى الكوفي الأزدي هو من أعلام القرنين الأول والثاني الهجريين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كان أبو مخنف من كبار الأخباريين والمؤرِّخين في عصره، وقد اختصّ بتاريخ العراق والتشيّع في الفترة التي تلت رحيل النبي صلّى الله عليه و آله إلى أواخر العصر الأُموي، وقد عُدَّ أعلم المؤرِّخين بتاريخ العراق والتشيّع فيما يخصّ هذه الفترة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كان أبو مخنف شديد الولاء والمحبّة لأهل البيت علیه السلام ، متجاهراً في نقل مخازي أعدائهم إلى الحدّ الذي أوهم بعض الباحثين بكونه إمامياً، مع أنّه لم يكن على مذهب أهل البيت علیهم السلام ، ولكنّه لم يكن متعصباً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تكاد تتّفق كلمة الرجاليين منّا على توثيق أبي مخنف، وقبول مروياته، وفي المقابل تكاد تتّفق كلمة مخالفينا على ترك أبي مخنف وتضعيفه، ومع ذلك فقد أجمع المؤرِّخون من الفريقين على عدم الاستغناء عنه فيما يخصّ مروياته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يُعتبر أبو مخنف من أهمّ مؤرِّخي واقعة الطف، ويُعتبر مقتله أشهر المقاتل الحسينيّة على الإطلاق، وقد جاءت هذه الأهمّية والشهرة ممَّا تضمنه هذا المقتل من تفاصيل تكاد تكون مفقودة في غيره، ومما سلكه من طريق علمي في جمع أخباره وتدوينها، وهو طريق الإسناد المعمول به بين المحدثين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ـ مقتل أبي مخنف مفقود في هذا العصر، ولم يتبقَّ منه سوى ما نقله المؤرِّخون المتأخرون عنه، وفي مقدمتهم الطبري في تاريخه الكبير، وأمّا النسخة المتداولة فهي </w:t>
      </w:r>
    </w:p>
    <w:p>
      <w:pPr>
        <w:pStyle w:val="BookText"/>
        <w:rPr/>
      </w:pPr>
      <w:r>
        <w:rPr>
          <w:rFonts w:ascii="Amiri" w:hAnsi="Amiri" w:eastAsia="Amiri" w:cs="Amiri"/>
          <w:color w:val="111111"/>
          <w:sz w:val="28"/>
          <w:sz w:val="28"/>
          <w:szCs w:val="28"/>
          <w:rtl w:val="true"/>
          <w:lang w:bidi="ar-SA"/>
        </w:rPr>
        <w:t>منحولة عليه بإجماع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ـ تمكنّا من العثور على الواسطة المفقودة بين الطبري وهشام بن محمد الكلبي راوي مقتل أبي مخنف، وبذلك سددنا الطريق على مَن أراد أن يطعن بمرويات هذا المقتل بكونها مراسيل، ولا أتصور أنّ أحداً من الباحثين والمحققين قد سبقنا إلى هذه النتيجة المهمّة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ـ أثبتنا أنّ تاريخ الطبري ليس هو النصّ الوحيد المتضمِّن لمرويات أبي مخنف، وهذه النصوص بعضها لا يمرّ بالطبري، وينهل من أبي مخنف مباشرة، وبعضها ينهل من الطبري، ولكنّها تحتوي على زيادات غير موجودة في المطبوعة المتداولة، وبعضها عبارة عن نسخ من هذا المقتل لا تتطابق مع نسخة الطبري، والنسخة المتداولة؛ وبهذا نكون قد أعنَّا الباحثين والمحققين المختصّين في هذا الشأن على التوصل إلى إمكانية كتابة مقتل أبي مخنف بصورة أوسع من الصورة المستخرَجة من تاريخ الطبري</w:t>
      </w:r>
      <w:r>
        <w:rPr>
          <w:rFonts w:eastAsia="Amiri" w:cs="Amiri" w:ascii="Amiri" w:hAnsi="Amiri"/>
          <w:color w:val="111111"/>
          <w:sz w:val="28"/>
          <w:szCs w:val="28"/>
          <w:rtl w:val="true"/>
          <w:lang w:bidi="ar-SA"/>
        </w:rPr>
        <w:t xml:space="preserve">. </w:t>
      </w:r>
      <w:bookmarkStart w:id="352" w:name="pg7448_76976"/>
    </w:p>
    <w:p>
      <w:pPr>
        <w:pStyle w:val="Heading2"/>
        <w:numPr>
          <w:ilvl w:val="1"/>
          <w:numId w:val="1"/>
        </w:numPr>
        <w:rPr/>
      </w:pPr>
      <w:bookmarkStart w:id="353" w:name="__RefHeading___Toc1936888_1051229030"/>
      <w:bookmarkStart w:id="354" w:name="_Toc129"/>
      <w:bookmarkEnd w:id="352"/>
      <w:bookmarkEnd w:id="353"/>
      <w:r>
        <w:rPr>
          <w:rtl w:val="true"/>
        </w:rPr>
        <w:t>فِقهُ النَهضَةِ الحُسَينيَّة</w:t>
      </w:r>
      <w:bookmarkEnd w:id="354"/>
    </w:p>
    <w:p>
      <w:pPr>
        <w:pStyle w:val="Heading3"/>
        <w:numPr>
          <w:ilvl w:val="2"/>
          <w:numId w:val="1"/>
        </w:numPr>
        <w:rPr/>
      </w:pPr>
      <w:bookmarkStart w:id="355" w:name="__RefHeading___Toc1936890_1051229030"/>
      <w:bookmarkStart w:id="356" w:name="_Toc130"/>
      <w:bookmarkEnd w:id="355"/>
      <w:r>
        <w:rPr>
          <w:rtl w:val="true"/>
        </w:rPr>
        <w:t>اشارة</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البقاع</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الشعائر الحسينية</w:t>
      </w:r>
    </w:p>
    <w:p>
      <w:pPr>
        <w:pStyle w:val="BookText"/>
        <w:rPr/>
      </w:pPr>
      <w:r>
        <w:rPr>
          <w:rFonts w:ascii="Amiri" w:hAnsi="Amiri" w:eastAsia="Amiri" w:cs="Amiri"/>
          <w:color w:val="111111"/>
          <w:sz w:val="28"/>
          <w:sz w:val="28"/>
          <w:szCs w:val="28"/>
          <w:rtl w:val="true"/>
          <w:lang w:bidi="ar-SA"/>
        </w:rPr>
        <w:t>تعظيم لحرمات الله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النساء إلى كربلاء</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في الأدلة والنصوص الشرعية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7" w:name="pg7448_76978"/>
      <w:bookmarkStart w:id="358" w:name="pg7448_76978"/>
      <w:bookmarkEnd w:id="358"/>
    </w:p>
    <w:p>
      <w:pPr>
        <w:pStyle w:val="Heading3"/>
        <w:numPr>
          <w:ilvl w:val="2"/>
          <w:numId w:val="1"/>
        </w:numPr>
        <w:rPr/>
      </w:pPr>
      <w:bookmarkStart w:id="359" w:name="pg7448_76978"/>
      <w:bookmarkStart w:id="360" w:name="__RefHeading___Toc1936892_1051229030"/>
      <w:bookmarkStart w:id="361" w:name="_Toc131"/>
      <w:bookmarkEnd w:id="359"/>
      <w:bookmarkEnd w:id="360"/>
      <w:r>
        <w:rPr>
          <w:rtl w:val="true"/>
        </w:rPr>
        <w:t>أفضل البقاع</w:t>
      </w:r>
      <w:bookmarkEnd w:id="361"/>
    </w:p>
    <w:p>
      <w:pPr>
        <w:pStyle w:val="Heading4"/>
        <w:numPr>
          <w:ilvl w:val="3"/>
          <w:numId w:val="1"/>
        </w:numPr>
        <w:rPr/>
      </w:pPr>
      <w:bookmarkStart w:id="362" w:name="__RefHeading___Toc1936894_1051229030"/>
      <w:bookmarkStart w:id="363" w:name="_Toc132"/>
      <w:bookmarkEnd w:id="362"/>
      <w:r>
        <w:rPr>
          <w:rtl w:val="true"/>
        </w:rPr>
        <w:t>القسم الثاني</w:t>
      </w:r>
      <w:bookmarkEnd w:id="363"/>
    </w:p>
    <w:p>
      <w:pPr>
        <w:pStyle w:val="BookText"/>
        <w:rPr/>
      </w:pPr>
      <w:r>
        <w:rPr>
          <w:rFonts w:ascii="Amiri" w:hAnsi="Amiri" w:eastAsia="Amiri" w:cs="Amiri"/>
          <w:color w:val="111111"/>
          <w:sz w:val="28"/>
          <w:sz w:val="28"/>
          <w:szCs w:val="28"/>
          <w:rtl w:val="true"/>
          <w:lang w:bidi="ar-SA"/>
        </w:rPr>
        <w:t>الشيخ إسكندر الجعفري</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تعرضنا في القسم الأول من هذا المقال إلى فضل وأفضليّة بعض بقاع الأرض على سائر البقاع، وقد اتضح لنا مما بيّناه في هذا الموضوع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إثبات فضل تربة كربلاء في كتب الخاصّة بما لا يقبل الشك والتردد، وسيتضح ذلك أكثر عند عرضنا لروايات التفضيل في هذا القسم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إثبات فضل تربة كربلاء في كتب العامّة، من خلال بعض الروايات والشواهد والمؤيدات، وقد أوضحنا ذلك مفصلاً،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إن المراد من التفاضل ـ المبحوث عنه ـ هو التفاضل بمعناه الوسيع الشامل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الأشرفية، والأكملية، والأكثر قداسة وحرمة، والأكثر ثواباً بالنسبة للعامل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المعاني المرتبطة بذلك، ولا يراد من التفاضل خصوص بعض المعاني المشار إليها؛ إذ لا دليل على التخصيص والتقييد، بل الدليل قائم على التعميم والتوسعة كما تقدّم بيانه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هذه الأُمور قد أوضحناها مفصّلاً في القسم الأوّل، واستكمالاً للبحث نتعرّض في هذا القسم إلى النقطتين الآتيتين</w:t>
      </w:r>
      <w:r>
        <w:rPr>
          <w:rFonts w:eastAsia="Amiri" w:cs="Amiri" w:ascii="Amiri" w:hAnsi="Amiri"/>
          <w:color w:val="111111"/>
          <w:sz w:val="28"/>
          <w:szCs w:val="28"/>
          <w:rtl w:val="true"/>
          <w:lang w:bidi="ar-SA"/>
        </w:rPr>
        <w:t xml:space="preserve">: </w:t>
      </w:r>
      <w:bookmarkStart w:id="364" w:name="pg7448_76979"/>
    </w:p>
    <w:p>
      <w:pPr>
        <w:pStyle w:val="BookText"/>
        <w:rPr/>
      </w:pPr>
      <w:bookmarkEnd w:id="364"/>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البقاع المفضَّلة، والتي يمكن أن تدخل في المنافسة؟</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البقعة الأفضل حسب ما تقتضيه الأدلة؟</w:t>
      </w:r>
    </w:p>
    <w:p>
      <w:pPr>
        <w:pStyle w:val="BookText"/>
        <w:rPr/>
      </w:pPr>
      <w:r>
        <w:rPr>
          <w:rFonts w:ascii="Amiri" w:hAnsi="Amiri" w:eastAsia="Amiri" w:cs="Amiri"/>
          <w:color w:val="111111"/>
          <w:sz w:val="28"/>
          <w:sz w:val="28"/>
          <w:szCs w:val="28"/>
          <w:rtl w:val="true"/>
          <w:lang w:bidi="ar-SA"/>
        </w:rPr>
        <w:t>وبعد الحديث حول هاتين النقطتين نكون قد أتممنا البحث، وعرفنا النتيجة النهائية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936896_1051229030"/>
      <w:bookmarkStart w:id="366" w:name="_Toc133"/>
      <w:bookmarkEnd w:id="365"/>
      <w:r>
        <w:rPr>
          <w:rtl w:val="true"/>
        </w:rPr>
        <w:t>النقطة الأُولى</w:t>
      </w:r>
      <w:r>
        <w:rPr>
          <w:rtl w:val="true"/>
        </w:rPr>
        <w:t xml:space="preserve">: </w:t>
      </w:r>
      <w:r>
        <w:rPr>
          <w:rtl w:val="true"/>
        </w:rPr>
        <w:t>ما هي البقاع المفضَّلة؟</w:t>
      </w:r>
      <w:bookmarkEnd w:id="366"/>
    </w:p>
    <w:p>
      <w:pPr>
        <w:pStyle w:val="Heading5"/>
        <w:numPr>
          <w:ilvl w:val="4"/>
          <w:numId w:val="1"/>
        </w:numPr>
        <w:rPr/>
      </w:pPr>
      <w:bookmarkStart w:id="367" w:name="__RefHeading___Toc1936898_1051229030"/>
      <w:bookmarkStart w:id="368" w:name="_Toc134"/>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إنَّ الله سبحانه وتعالى قد فضَّل بقاعاً من بقاع هذه الأرض على سائر البقاع، وجعل لها خصوصيةً ومزيةً لا توجد في غيرها، ككون الدعاء فيها مستجاباً، وثواب العمل فيها مضاعفاً، وحرمتها أعظم، إلى غير ذلك من الخصوصيات، وقد ورد في الحديث عن صادق أهل البيت علیهم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فضَّل الأرضين والمياه، بعضها على بعض</w:t>
      </w:r>
      <w:r>
        <w:rPr>
          <w:rFonts w:eastAsia="IRNazanin" w:cs="IRNazanin"/>
          <w:color w:val="111111"/>
          <w:sz w:val="28"/>
          <w:szCs w:val="28"/>
          <w:rtl w:val="true"/>
          <w:lang w:bidi="fa-IR"/>
        </w:rPr>
        <w:t>...»</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تعالى بقاعاً يُستجاب فيها الدعاء</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سبيل لنا لمعرفة تلك البقاع إلّا من خلال الكتاب والسنّة؛ ولهذا فما سنذكره من بقاع إنّما هو بحسب ما نطق به الكتاب الكريم، وما دلت عليه أحاديث أهل البيت علیهم السلام ، ولا بدَّ أوّلاً من التعريف بهذه البقاع بشكل موجز</w:t>
      </w:r>
      <w:r>
        <w:rPr>
          <w:rFonts w:eastAsia="IRNazanin" w:cs="IRNazanin"/>
          <w:color w:val="111111"/>
          <w:sz w:val="28"/>
          <w:szCs w:val="28"/>
          <w:rtl w:val="true"/>
          <w:lang w:bidi="fa-IR"/>
        </w:rPr>
        <w:t>:</w:t>
      </w:r>
    </w:p>
    <w:p>
      <w:pPr>
        <w:pStyle w:val="Heading5"/>
        <w:numPr>
          <w:ilvl w:val="4"/>
          <w:numId w:val="1"/>
        </w:numPr>
        <w:rPr/>
      </w:pPr>
      <w:bookmarkStart w:id="369" w:name="__RefHeading___Toc1936900_1051229030"/>
      <w:bookmarkStart w:id="370" w:name="_Toc135"/>
      <w:bookmarkEnd w:id="369"/>
      <w:r>
        <w:rPr>
          <w:rtl w:val="true"/>
        </w:rPr>
        <w:t>أولاً</w:t>
      </w:r>
      <w:r>
        <w:rPr>
          <w:rtl w:val="true"/>
        </w:rPr>
        <w:t xml:space="preserve">: </w:t>
      </w:r>
      <w:r>
        <w:rPr>
          <w:rtl w:val="true"/>
        </w:rPr>
        <w:t>مكة المكرّمة</w:t>
      </w:r>
      <w:bookmarkEnd w:id="370"/>
    </w:p>
    <w:p>
      <w:pPr>
        <w:pStyle w:val="Heading6"/>
        <w:numPr>
          <w:ilvl w:val="5"/>
          <w:numId w:val="1"/>
        </w:numPr>
        <w:rPr/>
      </w:pPr>
      <w:bookmarkStart w:id="371" w:name="__RefHeading___Toc1936902_1051229030"/>
      <w:bookmarkStart w:id="372" w:name="_Toc136"/>
      <w:bookmarkEnd w:id="371"/>
      <w:r>
        <w:rPr>
          <w:rtl w:val="true"/>
        </w:rPr>
        <w:t>أ</w:t>
      </w:r>
      <w:r>
        <w:rPr>
          <w:rtl w:val="true"/>
        </w:rPr>
        <w:t xml:space="preserve">) </w:t>
      </w:r>
      <w:r>
        <w:rPr>
          <w:rtl w:val="true"/>
        </w:rPr>
        <w:t>سبب التسمية</w:t>
      </w:r>
      <w:bookmarkEnd w:id="372"/>
    </w:p>
    <w:p>
      <w:pPr>
        <w:pStyle w:val="BookText"/>
        <w:rPr/>
      </w:pPr>
      <w:r>
        <w:rPr>
          <w:rFonts w:ascii="Amiri" w:hAnsi="Amiri" w:eastAsia="Amiri" w:cs="Amiri"/>
          <w:color w:val="111111"/>
          <w:sz w:val="28"/>
          <w:sz w:val="28"/>
          <w:szCs w:val="28"/>
          <w:rtl w:val="true"/>
          <w:lang w:bidi="ar-SA"/>
        </w:rPr>
        <w:t>اختلف الأعلام في سبب تسميتها بمكة على أقوال متعددة،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سُمّيت مكة؛ لأنّها تمكُّ الجبارين،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نخوتهم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سُمّيت مكة؛ لازدحام الناس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سُمّيت مكة؛ لأنّها بين جبلين مرتفعين عليها، وهي في هبطة بمنزلة المكّوك</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سُمّيت مكة؛ لأنّها لا يفجر بها أحد إلّا بكّت عنقه؛ فكان يصبح وقد التوت عنقه</w:t>
      </w:r>
      <w:r>
        <w:rPr>
          <w:rFonts w:eastAsia="Amiri" w:cs="Amiri" w:ascii="Amiri" w:hAnsi="Amiri"/>
          <w:color w:val="111111"/>
          <w:sz w:val="28"/>
          <w:szCs w:val="28"/>
          <w:rtl w:val="true"/>
          <w:lang w:bidi="ar-SA"/>
        </w:rPr>
        <w:t xml:space="preserve">. </w:t>
      </w:r>
      <w:bookmarkStart w:id="373" w:name="pg7448_76980"/>
    </w:p>
    <w:p>
      <w:pPr>
        <w:pStyle w:val="BookText"/>
        <w:rPr/>
      </w:pPr>
      <w:bookmarkEnd w:id="373"/>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سُمّيت مكة من مك الثدي،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مصعه، لقلّة مائها؛ لأنّهم كانوا يمتكّون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سُمّيت مكة، لأنّها تمُكّ الذنوب،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بها كما يمُك الفصيل ضرع أُمّه، فلا يبقي فيها شيئاً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أسماها القرآن الكريم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العتيق</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1936904_1051229030"/>
      <w:bookmarkStart w:id="375" w:name="_Toc137"/>
      <w:bookmarkEnd w:id="374"/>
      <w:r>
        <w:rPr>
          <w:rtl w:val="true"/>
        </w:rPr>
        <w:t>ب</w:t>
      </w:r>
      <w:r>
        <w:rPr>
          <w:rtl w:val="true"/>
        </w:rPr>
        <w:t xml:space="preserve">) </w:t>
      </w:r>
      <w:r>
        <w:rPr>
          <w:rtl w:val="true"/>
        </w:rPr>
        <w:t>الموقع الجغرافي والمساحة</w:t>
      </w:r>
      <w:bookmarkEnd w:id="375"/>
    </w:p>
    <w:p>
      <w:pPr>
        <w:pStyle w:val="BookText"/>
        <w:rPr/>
      </w:pPr>
      <w:r>
        <w:rPr>
          <w:rFonts w:ascii="Amiri" w:hAnsi="Amiri" w:eastAsia="Amiri" w:cs="Amiri"/>
          <w:color w:val="111111"/>
          <w:sz w:val="28"/>
          <w:sz w:val="28"/>
          <w:szCs w:val="28"/>
          <w:rtl w:val="true"/>
          <w:lang w:bidi="ar-SA"/>
        </w:rPr>
        <w:t xml:space="preserve">تقع مكة المكرمة في الجهة الغربية من السعودية، وتبعد عن جدّة من الغرب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كم، وهي بوابتها البحرية والجوية، ومن الجنوب الشرقي تُحيط بها مدينة الطائف فوق ربا جبال الحجاز على بعد </w:t>
      </w: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كم، وإلى الشمال منها تقع المدينة المنورة، وتبعد قرابة </w:t>
      </w:r>
      <w:r>
        <w:rPr>
          <w:rFonts w:ascii="Amiri" w:hAnsi="Amiri" w:eastAsia="Amiri" w:cs="Amiri"/>
          <w:color w:val="111111"/>
          <w:sz w:val="28"/>
          <w:sz w:val="28"/>
          <w:szCs w:val="28"/>
          <w:lang w:bidi="ar-SA"/>
        </w:rPr>
        <w:t>٤٠٠</w:t>
      </w:r>
      <w:r>
        <w:rPr>
          <w:rFonts w:ascii="Amiri" w:hAnsi="Amiri" w:eastAsia="Amiri" w:cs="Amiri"/>
          <w:color w:val="111111"/>
          <w:sz w:val="28"/>
          <w:sz w:val="28"/>
          <w:szCs w:val="28"/>
          <w:rtl w:val="true"/>
          <w:lang w:bidi="ar-SA"/>
        </w:rPr>
        <w:t>كم</w:t>
      </w:r>
      <w:r>
        <w:rPr>
          <w:rStyle w:val="FootnoteAnchor"/>
          <w:rtl w:val="true"/>
        </w:rPr>
        <w:footnoteReference w:id="471"/>
      </w:r>
      <w:r>
        <w:rPr>
          <w:rFonts w:ascii="Amiri" w:hAnsi="Amiri" w:eastAsia="Amiri" w:cs="Amiri"/>
          <w:color w:val="111111"/>
          <w:sz w:val="28"/>
          <w:sz w:val="28"/>
          <w:szCs w:val="28"/>
          <w:rtl w:val="true"/>
          <w:lang w:bidi="ar-SA"/>
        </w:rPr>
        <w:t>، وعرضها من جهة الشمال</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درجة و</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دقيقة، وطولها من جهة الشرق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درجة و</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دقيقة</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وتبلغ مساحتها المعمورة </w:t>
      </w:r>
      <w:r>
        <w:rPr>
          <w:rFonts w:ascii="Amiri" w:hAnsi="Amiri" w:eastAsia="Amiri" w:cs="Amiri"/>
          <w:color w:val="111111"/>
          <w:sz w:val="28"/>
          <w:sz w:val="28"/>
          <w:szCs w:val="28"/>
          <w:lang w:bidi="ar-SA"/>
        </w:rPr>
        <w:t>٦</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هكتاراً</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1936906_1051229030"/>
      <w:bookmarkStart w:id="377" w:name="_Toc138"/>
      <w:bookmarkEnd w:id="376"/>
      <w:r>
        <w:rPr>
          <w:rtl w:val="true"/>
        </w:rPr>
        <w:t>ثانياً</w:t>
      </w:r>
      <w:r>
        <w:rPr>
          <w:rtl w:val="true"/>
        </w:rPr>
        <w:t xml:space="preserve">: </w:t>
      </w:r>
      <w:r>
        <w:rPr>
          <w:rtl w:val="true"/>
        </w:rPr>
        <w:t>المدينة المنوّرة</w:t>
      </w:r>
      <w:bookmarkEnd w:id="377"/>
    </w:p>
    <w:p>
      <w:pPr>
        <w:pStyle w:val="Heading6"/>
        <w:numPr>
          <w:ilvl w:val="5"/>
          <w:numId w:val="1"/>
        </w:numPr>
        <w:rPr/>
      </w:pPr>
      <w:bookmarkStart w:id="378" w:name="__RefHeading___Toc1936908_1051229030"/>
      <w:bookmarkStart w:id="379" w:name="_Toc139"/>
      <w:bookmarkEnd w:id="378"/>
      <w:r>
        <w:rPr>
          <w:rtl w:val="true"/>
        </w:rPr>
        <w:t>أ</w:t>
      </w:r>
      <w:r>
        <w:rPr>
          <w:rtl w:val="true"/>
        </w:rPr>
        <w:t xml:space="preserve">) </w:t>
      </w:r>
      <w:r>
        <w:rPr>
          <w:rtl w:val="true"/>
        </w:rPr>
        <w:t>سبب التسمية</w:t>
      </w:r>
      <w:bookmarkEnd w:id="379"/>
    </w:p>
    <w:p>
      <w:pPr>
        <w:pStyle w:val="BookText"/>
        <w:rPr/>
      </w:pPr>
      <w:r>
        <w:rPr>
          <w:rFonts w:ascii="Amiri" w:hAnsi="Amiri" w:eastAsia="Amiri" w:cs="Amiri"/>
          <w:color w:val="111111"/>
          <w:sz w:val="28"/>
          <w:sz w:val="28"/>
          <w:szCs w:val="28"/>
          <w:rtl w:val="true"/>
          <w:lang w:bidi="ar-SA"/>
        </w:rPr>
        <w:t xml:space="preserve">المدينة المنورّة كانت تُعرف قبل هجرة النبي الأكرم صلّى الله عليه و آله إليها بمدينة يثرب، وهي مدينة قديمة يرجع تاريخها إلى ما قبل الميلاد، وتُعرف عند الأخباريين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سبب تسميتها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بعض الأخباريين أنَّ سبب تسميتها بذلك 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يثرب بن 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أوّل من نزلها عند تفرّق ذرية نوح، </w:t>
      </w:r>
      <w:bookmarkStart w:id="380" w:name="pg7448_76981"/>
    </w:p>
    <w:p>
      <w:pPr>
        <w:pStyle w:val="BookText"/>
        <w:rPr/>
      </w:pPr>
      <w:bookmarkEnd w:id="380"/>
      <w:r>
        <w:rPr>
          <w:rFonts w:ascii="Amiri" w:hAnsi="Amiri" w:eastAsia="Amiri" w:cs="Amiri"/>
          <w:color w:val="111111"/>
          <w:sz w:val="28"/>
          <w:sz w:val="28"/>
          <w:szCs w:val="28"/>
          <w:rtl w:val="true"/>
          <w:lang w:bidi="ar-SA"/>
        </w:rPr>
        <w:t>فدُعيت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التثريب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اللوم والتعيير</w:t>
      </w:r>
      <w:r>
        <w:rPr>
          <w:rFonts w:eastAsia="Amiri" w:cs="Amiri" w:ascii="Amiri" w:hAnsi="Amiri"/>
          <w:color w:val="111111"/>
          <w:sz w:val="28"/>
          <w:szCs w:val="28"/>
          <w:rtl w:val="true"/>
          <w:lang w:bidi="ar-SA"/>
        </w:rPr>
        <w:t>»</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سبب تسميتها بالمدينة، فذلك يعود إلى هجرة النبي صلّى الله عليه و آله إليها، حيث أُطلق عليها مدينة الرسول صلّى الله عليه و آله والمدينة المنورة</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1936910_1051229030"/>
      <w:bookmarkStart w:id="382" w:name="_Toc140"/>
      <w:bookmarkEnd w:id="381"/>
      <w:r>
        <w:rPr>
          <w:rtl w:val="true"/>
        </w:rPr>
        <w:t>ب</w:t>
      </w:r>
      <w:r>
        <w:rPr>
          <w:rtl w:val="true"/>
        </w:rPr>
        <w:t xml:space="preserve">) </w:t>
      </w:r>
      <w:r>
        <w:rPr>
          <w:rtl w:val="true"/>
        </w:rPr>
        <w:t>الموقع الجغرافي والمساحة</w:t>
      </w:r>
      <w:bookmarkEnd w:id="382"/>
    </w:p>
    <w:p>
      <w:pPr>
        <w:pStyle w:val="BookText"/>
        <w:rPr/>
      </w:pPr>
      <w:r>
        <w:rPr>
          <w:rFonts w:ascii="Amiri" w:hAnsi="Amiri" w:eastAsia="Amiri" w:cs="Amiri"/>
          <w:color w:val="111111"/>
          <w:sz w:val="28"/>
          <w:sz w:val="28"/>
          <w:szCs w:val="28"/>
          <w:rtl w:val="true"/>
          <w:lang w:bidi="ar-SA"/>
        </w:rPr>
        <w:t>تقع المدينة المنورّة وسط الجزء الغربي من السعودية، وتُحدد بخطوط الطول والعرض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 الطول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تسع وثلاثون درجة، وستة وثلاثون جزءاً من الدرجة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 العرض </w:t>
      </w: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أربع وعشرون درجة، وثمانية وعشرون جزءاً من الدرجة، وتبعد عن مكة </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 xml:space="preserve">كم شمالاً تقريباً، كما تبعد عن شاطئ البحر بخط مستقيم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كم، وتبعد عن العاصمة الرياض</w:t>
      </w:r>
      <w:r>
        <w:rPr>
          <w:rFonts w:ascii="Amiri" w:hAnsi="Amiri" w:eastAsia="Amiri" w:cs="Amiri"/>
          <w:color w:val="111111"/>
          <w:sz w:val="28"/>
          <w:sz w:val="28"/>
          <w:szCs w:val="28"/>
          <w:lang w:bidi="ar-SA"/>
        </w:rPr>
        <w:t>٩٨٠</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مساحتها، فتقدر </w:t>
      </w:r>
      <w:r>
        <w:rPr>
          <w:rFonts w:ascii="Amiri" w:hAnsi="Amiri" w:eastAsia="Amiri" w:cs="Amiri"/>
          <w:color w:val="111111"/>
          <w:sz w:val="28"/>
          <w:sz w:val="28"/>
          <w:szCs w:val="28"/>
          <w:lang w:bidi="ar-SA"/>
        </w:rPr>
        <w:t>٥٣٩</w:t>
      </w:r>
      <w:r>
        <w:rPr>
          <w:rFonts w:ascii="Amiri" w:hAnsi="Amiri" w:eastAsia="Amiri" w:cs="Amiri"/>
          <w:color w:val="111111"/>
          <w:sz w:val="28"/>
          <w:sz w:val="28"/>
          <w:szCs w:val="28"/>
          <w:rtl w:val="true"/>
          <w:lang w:bidi="ar-SA"/>
        </w:rPr>
        <w:t>كم</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تقريباً، منها </w:t>
      </w:r>
      <w:r>
        <w:rPr>
          <w:rFonts w:ascii="Amiri" w:hAnsi="Amiri" w:eastAsia="Amiri" w:cs="Amiri"/>
          <w:color w:val="111111"/>
          <w:sz w:val="28"/>
          <w:sz w:val="28"/>
          <w:szCs w:val="28"/>
          <w:lang w:bidi="ar-SA"/>
        </w:rPr>
        <w:t>٢٩٣</w:t>
      </w:r>
      <w:r>
        <w:rPr>
          <w:rFonts w:ascii="Amiri" w:hAnsi="Amiri" w:eastAsia="Amiri" w:cs="Amiri"/>
          <w:color w:val="111111"/>
          <w:sz w:val="28"/>
          <w:sz w:val="28"/>
          <w:szCs w:val="28"/>
          <w:rtl w:val="true"/>
          <w:lang w:bidi="ar-SA"/>
        </w:rPr>
        <w:t>كم</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تشغلها مناطق العمران، والبقية </w:t>
      </w: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كم</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تشغلها الجبال، والأودية، ومجاري السيول، وغير ذلك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1936912_1051229030"/>
      <w:bookmarkStart w:id="384" w:name="_Toc141"/>
      <w:bookmarkEnd w:id="383"/>
      <w:r>
        <w:rPr>
          <w:rtl w:val="true"/>
        </w:rPr>
        <w:t>ثالثاً</w:t>
      </w:r>
      <w:r>
        <w:rPr>
          <w:rtl w:val="true"/>
        </w:rPr>
        <w:t xml:space="preserve">: </w:t>
      </w:r>
      <w:r>
        <w:rPr>
          <w:rtl w:val="true"/>
        </w:rPr>
        <w:t>كربلاء المقدّسة</w:t>
      </w:r>
      <w:bookmarkEnd w:id="384"/>
    </w:p>
    <w:p>
      <w:pPr>
        <w:pStyle w:val="Heading6"/>
        <w:numPr>
          <w:ilvl w:val="5"/>
          <w:numId w:val="1"/>
        </w:numPr>
        <w:rPr/>
      </w:pPr>
      <w:bookmarkStart w:id="385" w:name="__RefHeading___Toc1936914_1051229030"/>
      <w:bookmarkStart w:id="386" w:name="_Toc142"/>
      <w:bookmarkEnd w:id="385"/>
      <w:r>
        <w:rPr>
          <w:rtl w:val="true"/>
        </w:rPr>
        <w:t>أ</w:t>
      </w:r>
      <w:r>
        <w:rPr>
          <w:rtl w:val="true"/>
        </w:rPr>
        <w:t xml:space="preserve">) </w:t>
      </w:r>
      <w:r>
        <w:rPr>
          <w:rtl w:val="true"/>
        </w:rPr>
        <w:t>سبب التسمية</w:t>
      </w:r>
      <w:bookmarkEnd w:id="386"/>
    </w:p>
    <w:p>
      <w:pPr>
        <w:pStyle w:val="BookText"/>
        <w:rPr/>
      </w:pPr>
      <w:r>
        <w:rPr>
          <w:rFonts w:ascii="IRNazanin" w:hAnsi="IRNazanin" w:eastAsia="IRNazanin"/>
          <w:color w:val="111111"/>
          <w:sz w:val="28"/>
          <w:sz w:val="28"/>
          <w:szCs w:val="28"/>
          <w:rtl w:val="true"/>
          <w:lang w:bidi="fa-IR"/>
        </w:rPr>
        <w:t xml:space="preserve">إنَّ اسم كربلاء قبل الفتح الإسلامي لها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ـ إيلا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وإيل تعني الإله الواحد، وكرب أحد أسماء الملوك، 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ـ إيلا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 العظيم أو الإله الواحد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وكربلاء أوّل قرية في التاريخ العربي والعالمي تخصصت بعبادة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أثناء وجود إبراهيم الخليل علیه السلام  في كوش، التي لا تبعد عن هذه القرية إلّا </w:t>
      </w:r>
      <w:bookmarkStart w:id="387" w:name="pg7448_76982"/>
    </w:p>
    <w:p>
      <w:pPr>
        <w:pStyle w:val="BookText"/>
        <w:rPr/>
      </w:pPr>
      <w:bookmarkEnd w:id="387"/>
      <w:r>
        <w:rPr>
          <w:rFonts w:ascii="Amiri" w:hAnsi="Amiri" w:eastAsia="Amiri" w:cs="Amiri"/>
          <w:color w:val="111111"/>
          <w:sz w:val="28"/>
          <w:sz w:val="28"/>
          <w:szCs w:val="28"/>
          <w:rtl w:val="true"/>
          <w:lang w:bidi="ar-SA"/>
        </w:rPr>
        <w:t>قليلاً، وكان اسمهما يدلُّ على ذلك</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اختلف اللغويون في تسمية كربلاء بهذا الاسم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إنَّ اسمها عربي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الرخاوة،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يمشي مكربلاً، فيجوز على هذا أن تكون أرض هذا الموضع رخوة، فسُمّيت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إنّها من كربلت الحنطة إذا هذَّبتها ونقّيتها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على هذا أن تكون هذه الأرض مُنقّاة من الحصى والدغل؛ فسُمّيت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إنّها من الكربل، وهو اسم نبت الحماض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أن يكون هذا الصنف من المنبت يكثر نبته هناك فسُمّي به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8" w:name="__RefHeading___Toc1936916_1051229030"/>
      <w:bookmarkStart w:id="389" w:name="_Toc143"/>
      <w:bookmarkEnd w:id="388"/>
      <w:r>
        <w:rPr>
          <w:rtl w:val="true"/>
        </w:rPr>
        <w:t>ب</w:t>
      </w:r>
      <w:r>
        <w:rPr>
          <w:rtl w:val="true"/>
        </w:rPr>
        <w:t xml:space="preserve">) </w:t>
      </w:r>
      <w:r>
        <w:rPr>
          <w:rtl w:val="true"/>
        </w:rPr>
        <w:t>الموقع الجغرافي والمساحة</w:t>
      </w:r>
      <w:bookmarkEnd w:id="389"/>
    </w:p>
    <w:p>
      <w:pPr>
        <w:pStyle w:val="BookText"/>
        <w:rPr/>
      </w:pPr>
      <w:r>
        <w:rPr>
          <w:rFonts w:ascii="Amiri" w:hAnsi="Amiri" w:eastAsia="Amiri" w:cs="Amiri"/>
          <w:color w:val="111111"/>
          <w:sz w:val="28"/>
          <w:sz w:val="28"/>
          <w:szCs w:val="28"/>
          <w:rtl w:val="true"/>
          <w:lang w:bidi="ar-SA"/>
        </w:rPr>
        <w:t xml:space="preserve">تقع مدينة كربلاء على بعد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كم إلى الجنوب الغربي من بغداد، على حافّة الصحراء في غربي الفرات، وعلى الجهة اليسرى لجدول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على خط طول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درجة و</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خط عرض </w:t>
      </w: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درجة و</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ويحدُّها من الشمال محافظة الأنبار، ومن الجنوب محافظة النجف، ومن الشرق محافظة الحلة، وقسم من محافظة بغداد، ومن الغرب بادية الشام وأراضي المملكة العربية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وتبلغ مساحتها </w:t>
      </w:r>
      <w:r>
        <w:rPr>
          <w:rFonts w:ascii="Amiri" w:hAnsi="Amiri" w:eastAsia="Amiri" w:cs="Amiri"/>
          <w:color w:val="111111"/>
          <w:sz w:val="28"/>
          <w:sz w:val="28"/>
          <w:szCs w:val="28"/>
          <w:lang w:bidi="ar-SA"/>
        </w:rPr>
        <w:t>٥٢٨٥٦</w:t>
      </w:r>
      <w:r>
        <w:rPr>
          <w:rFonts w:ascii="Amiri" w:hAnsi="Amiri" w:eastAsia="Amiri" w:cs="Amiri"/>
          <w:color w:val="111111"/>
          <w:sz w:val="28"/>
          <w:sz w:val="28"/>
          <w:szCs w:val="28"/>
          <w:rtl w:val="true"/>
          <w:lang w:bidi="ar-SA"/>
        </w:rPr>
        <w:t>كم مربعاً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1936918_1051229030"/>
      <w:bookmarkStart w:id="391" w:name="_Toc144"/>
      <w:bookmarkEnd w:id="390"/>
      <w:r>
        <w:rPr>
          <w:rtl w:val="true"/>
        </w:rPr>
        <w:t>رابعاً</w:t>
      </w:r>
      <w:r>
        <w:rPr>
          <w:rtl w:val="true"/>
        </w:rPr>
        <w:t xml:space="preserve">: </w:t>
      </w:r>
      <w:r>
        <w:rPr>
          <w:rtl w:val="true"/>
        </w:rPr>
        <w:t>عرفات</w:t>
      </w:r>
      <w:bookmarkEnd w:id="391"/>
    </w:p>
    <w:p>
      <w:pPr>
        <w:pStyle w:val="Heading6"/>
        <w:numPr>
          <w:ilvl w:val="5"/>
          <w:numId w:val="1"/>
        </w:numPr>
        <w:rPr/>
      </w:pPr>
      <w:bookmarkStart w:id="392" w:name="__RefHeading___Toc1936920_1051229030"/>
      <w:bookmarkStart w:id="393" w:name="_Toc145"/>
      <w:bookmarkEnd w:id="392"/>
      <w:r>
        <w:rPr>
          <w:rtl w:val="true"/>
        </w:rPr>
        <w:t>أ</w:t>
      </w:r>
      <w:r>
        <w:rPr>
          <w:rtl w:val="true"/>
        </w:rPr>
        <w:t xml:space="preserve">) </w:t>
      </w:r>
      <w:r>
        <w:rPr>
          <w:rtl w:val="true"/>
        </w:rPr>
        <w:t>سبب التسمية</w:t>
      </w:r>
      <w:bookmarkEnd w:id="39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عدّة أقوال في سبب تسميتها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bookmarkStart w:id="394" w:name="pg7448_76983"/>
    </w:p>
    <w:p>
      <w:pPr>
        <w:pStyle w:val="BookText"/>
        <w:rPr/>
      </w:pPr>
      <w:bookmarkEnd w:id="394"/>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إنّ السبب يرجع إلى قصة جبرئيل علیه السلام  مع إبراهيم علیه السلام ، حيث عرَّفه المناسك؛ إذ لمّا أوقفه بعرفة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فسُمّيت 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إنّها سُمّيت بذلك؛ لأنَّ آدم وحواء تعارفا بها بعد نزولهما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إنَّ الناس يعترفون بذنوبهم في ذلك الموقف؛ فسُمّيت لذلك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إنَّ العرف هو الصبر، وحيث إنَّ الناس يصبرون على ما يكابدونه في الوصول إليها؛ فسُمّيت لذلك بعرفة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5" w:name="__RefHeading___Toc1936922_1051229030"/>
      <w:bookmarkStart w:id="396" w:name="_Toc146"/>
      <w:bookmarkEnd w:id="395"/>
      <w:r>
        <w:rPr>
          <w:rtl w:val="true"/>
        </w:rPr>
        <w:t>ب</w:t>
      </w:r>
      <w:r>
        <w:rPr>
          <w:rtl w:val="true"/>
        </w:rPr>
        <w:t xml:space="preserve">) </w:t>
      </w:r>
      <w:r>
        <w:rPr>
          <w:rtl w:val="true"/>
        </w:rPr>
        <w:t>الموقع الجغرافي والمساحة</w:t>
      </w:r>
      <w:bookmarkEnd w:id="396"/>
    </w:p>
    <w:p>
      <w:pPr>
        <w:pStyle w:val="BookText"/>
        <w:rPr/>
      </w:pPr>
      <w:r>
        <w:rPr>
          <w:rFonts w:ascii="Amiri" w:hAnsi="Amiri" w:eastAsia="Amiri" w:cs="Amiri"/>
          <w:color w:val="111111"/>
          <w:sz w:val="28"/>
          <w:sz w:val="28"/>
          <w:szCs w:val="28"/>
          <w:rtl w:val="true"/>
          <w:lang w:bidi="ar-SA"/>
        </w:rPr>
        <w:t xml:space="preserve">إنَّ عرفات منطقة تقع شرقي مكة، وتبعد عنها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كم تقريباً، وهي سهل واسع مُنبسط، محاط بقوس من الجبال يكون وتره وادي عرفة، فمن الشمال الشرقي يشرف عليها جبل أسمر شامخ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مطلع الشمس يشرف عليها جبل أشهل أقل ارتفاعاً من سابقه ويتصل به من الجنوب، وهذا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الجنوب تشرف عليه سلسلة لاطية سوداء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الرضوم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من الشمال إلى الجنوب فيمر وادي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مساحتها، فتبلغ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كم من الشمال إلى الجنوب، و</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كم من الشرق إلى الغرب</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نُبذة موجزة عن هذه البقاع الأربع المفضَّلة، والتي إحداها هي البقعة الأفضل، ولم أذكر غير هذه البقاع على الرغم من وجود بقاع أُخرى لها أفضلية، كالكوفة، وطوس، وبيت المقدس، وغيرها؛ وذلك لأنَّ البحث مختصُّ في البقاع التي دلَّ الدليل على أفضليتها على سائر البقاع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العرض ننتقل إلى النقطة الثانية، والتي نستعرض فيها النصوص والأدلة الدالة على أفضلية هذه البقاع؛ لنرى من خلال عرضها وإيضاحها أيّ البقاع أفضل</w:t>
      </w:r>
      <w:r>
        <w:rPr>
          <w:rFonts w:eastAsia="Amiri" w:cs="Amiri" w:ascii="Amiri" w:hAnsi="Amiri"/>
          <w:color w:val="111111"/>
          <w:sz w:val="28"/>
          <w:szCs w:val="28"/>
          <w:rtl w:val="true"/>
          <w:lang w:bidi="ar-SA"/>
        </w:rPr>
        <w:t xml:space="preserve">. </w:t>
      </w:r>
      <w:bookmarkStart w:id="397" w:name="pg7448_76984"/>
    </w:p>
    <w:p>
      <w:pPr>
        <w:pStyle w:val="Heading4"/>
        <w:numPr>
          <w:ilvl w:val="3"/>
          <w:numId w:val="1"/>
        </w:numPr>
        <w:rPr/>
      </w:pPr>
      <w:bookmarkStart w:id="398" w:name="__RefHeading___Toc1936924_1051229030"/>
      <w:bookmarkStart w:id="399" w:name="_Toc147"/>
      <w:bookmarkEnd w:id="397"/>
      <w:bookmarkEnd w:id="398"/>
      <w:r>
        <w:rPr>
          <w:rtl w:val="true"/>
        </w:rPr>
        <w:t>النقطة الثانية</w:t>
      </w:r>
      <w:r>
        <w:rPr>
          <w:rtl w:val="true"/>
        </w:rPr>
        <w:t xml:space="preserve">: </w:t>
      </w:r>
      <w:r>
        <w:rPr>
          <w:rtl w:val="true"/>
        </w:rPr>
        <w:t>ما هي البقعة الأفضل؟</w:t>
      </w:r>
      <w:bookmarkEnd w:id="399"/>
    </w:p>
    <w:p>
      <w:pPr>
        <w:pStyle w:val="Heading5"/>
        <w:numPr>
          <w:ilvl w:val="4"/>
          <w:numId w:val="1"/>
        </w:numPr>
        <w:rPr/>
      </w:pPr>
      <w:bookmarkStart w:id="400" w:name="__RefHeading___Toc1936926_1051229030"/>
      <w:bookmarkStart w:id="401" w:name="_Toc148"/>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نستعرض فيما يلي ما يمكن أن يُستدل به على أفضلية كلّ بقعةٍ من البقاع الأربع، ثمّ نقوم بعد ذلك بالمقارنة بين الأدلة وتمحيصها؛ لتتضح لدينا حقيقة الأمر</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1936928_1051229030"/>
      <w:bookmarkStart w:id="403" w:name="_Toc149"/>
      <w:bookmarkEnd w:id="402"/>
      <w:r>
        <w:rPr>
          <w:rtl w:val="true"/>
        </w:rPr>
        <w:t>أولاً</w:t>
      </w:r>
      <w:r>
        <w:rPr>
          <w:rtl w:val="true"/>
        </w:rPr>
        <w:t xml:space="preserve">: </w:t>
      </w:r>
      <w:r>
        <w:rPr>
          <w:rtl w:val="true"/>
        </w:rPr>
        <w:t>مكة المكرّمة</w:t>
      </w:r>
      <w:bookmarkEnd w:id="403"/>
    </w:p>
    <w:p>
      <w:pPr>
        <w:pStyle w:val="Heading6"/>
        <w:numPr>
          <w:ilvl w:val="5"/>
          <w:numId w:val="1"/>
        </w:numPr>
        <w:rPr/>
      </w:pPr>
      <w:bookmarkStart w:id="404" w:name="__RefHeading___Toc1936930_1051229030"/>
      <w:bookmarkStart w:id="405" w:name="_Toc150"/>
      <w:bookmarkEnd w:id="404"/>
      <w:r>
        <w:rPr/>
        <w:t>١</w:t>
      </w:r>
      <w:r>
        <w:rPr>
          <w:rtl w:val="true"/>
        </w:rPr>
        <w:t>ـ من الكتاب العزيز</w:t>
      </w:r>
      <w:bookmarkEnd w:id="405"/>
    </w:p>
    <w:p>
      <w:pPr>
        <w:pStyle w:val="Heading6"/>
        <w:numPr>
          <w:ilvl w:val="5"/>
          <w:numId w:val="1"/>
        </w:numPr>
        <w:rPr/>
      </w:pPr>
      <w:bookmarkStart w:id="406" w:name="__RefHeading___Toc1936932_1051229030"/>
      <w:bookmarkStart w:id="407" w:name="_Toc151"/>
      <w:bookmarkEnd w:id="406"/>
      <w:r>
        <w:rPr>
          <w:rtl w:val="true"/>
        </w:rPr>
        <w:t>أ</w:t>
      </w:r>
      <w:r>
        <w:rPr>
          <w:rtl w:val="true"/>
        </w:rPr>
        <w:t xml:space="preserve">) </w:t>
      </w:r>
      <w:r>
        <w:rPr>
          <w:rtl w:val="true"/>
        </w:rPr>
        <w:t>مكة البلد الحرام</w:t>
      </w:r>
      <w:bookmarkEnd w:id="4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إِبْرَاهِيمُ رَبِّ اجْعَلْ هَذَا بَلَدًا آمِنًا وَارْزُقْ أَهْلَهُ مِنَ الثَّمَرَاتِ مَنْ آمَنَ مِنْهُمْ بِاللَّهِ وَالْيَوْمِ الْآخِرِ قَالَ وَمَنْ كَفَرَ فَأُمَتِّعُهُ قَلِيلًا ثُمَّ أَضْطَرُّهُ إِلَى عَذَابِ النَّارِ وَبِئْسَ الْمَصِيرُ </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رَبِّ اجْعَلْ هَذَا الْبَلَدَ آمِنًا وَاجْنُبْنِي وَبَنِيَّ أَنْ نَعْبُدَ الْأَصْنَامَ </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شَيْءٍ رِزْقًا مِنْ لَدُنَّا وَلَكِنَّ أَكْثَرَهُمْ لَا يَعْلَمُونَ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أَنَّا جَعَلْنَا حَرَمًا آمِنًا وَيُتَخَطَّفُ النَّاسُ مِنْ حَوْلِهِمْ أَفَبِالْبَاطِلِ يُؤْمِنُونَ وَبِنِعْمَةِ اللَّهِ يَكْفُرُونَ</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لا إشكال في دلالتها على فضيلة مكة وحرمتها، ولكن الكلام في دلالتها على الأفضلية على سائر البقاع، وعند التأمل فيها لاسيَّما الآية الرابعة، لا يحصل اطمئنان بدلالتها على الأفضلية، وإنَّما دلالتها فقط على مستوى الإشعار دون الظهور</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936934_1051229030"/>
      <w:bookmarkStart w:id="409" w:name="_Toc152"/>
      <w:bookmarkEnd w:id="408"/>
      <w:r>
        <w:rPr>
          <w:rtl w:val="true"/>
        </w:rPr>
        <w:t>ب</w:t>
      </w:r>
      <w:r>
        <w:rPr>
          <w:rtl w:val="true"/>
        </w:rPr>
        <w:t xml:space="preserve">) </w:t>
      </w:r>
      <w:r>
        <w:rPr>
          <w:rtl w:val="true"/>
        </w:rPr>
        <w:t>مكة أُمُّ القرى</w:t>
      </w:r>
      <w:bookmarkEnd w:id="40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w:t>
      </w:r>
    </w:p>
    <w:p>
      <w:pPr>
        <w:pStyle w:val="BookText"/>
        <w:rPr/>
      </w:pPr>
      <w:r>
        <w:rPr>
          <w:rFonts w:ascii="Amiri" w:hAnsi="Amiri" w:eastAsia="Amiri" w:cs="Amiri"/>
          <w:color w:val="111111"/>
          <w:sz w:val="28"/>
          <w:sz w:val="28"/>
          <w:szCs w:val="28"/>
          <w:rtl w:val="true"/>
          <w:lang w:bidi="ar-SA"/>
        </w:rPr>
        <w:t>وَالَّذِينَ يُؤْمِنُونَ بِالْآخِرَةِ يُؤْمِنُونَ بِهِ وَهُمْ عَلَى صَلَاتِهِمْ يُحَافِظُونَ</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أَوْحَيْنَا إِلَيْكَ قُرْآنًا عَرَبِيًّا لِتُنْذِرَ أُمَّ الْقُرَى وَمَنْ حَوْلَهَا وَتُنْذِرَ يَوْمَ الْجَمْعِ لَا رَيْبَ فِيهِ فَرِيقٌ فِي الْجَنَّةِ وَفَرِيقٌ فِي السَّعِيرِ </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المفسرون على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Style w:val="FootnoteAnchor"/>
          <w:rtl w:val="true"/>
        </w:rPr>
        <w:footnoteReference w:id="489"/>
      </w:r>
      <w:r>
        <w:rPr>
          <w:rFonts w:ascii="Amiri" w:hAnsi="Amiri" w:eastAsia="Amiri" w:cs="Amiri"/>
          <w:color w:val="111111"/>
          <w:sz w:val="28"/>
          <w:sz w:val="28"/>
          <w:szCs w:val="28"/>
          <w:rtl w:val="true"/>
          <w:lang w:bidi="ar-SA"/>
        </w:rPr>
        <w:t>، ولكنَّهم اختلفوا في سبب تسميتها بذلك على أقوال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إنَّها سُمِّيت بذلك؛ لأنَّ الأرض دُحيت من تحتها</w:t>
      </w:r>
      <w:r>
        <w:rPr>
          <w:rStyle w:val="FootnoteAnchor"/>
          <w:rtl w:val="true"/>
        </w:rPr>
        <w:footnoteReference w:id="490"/>
      </w:r>
      <w:r>
        <w:rPr>
          <w:rFonts w:ascii="Amiri" w:hAnsi="Amiri" w:eastAsia="Amiri" w:cs="Amiri"/>
          <w:color w:val="111111"/>
          <w:sz w:val="28"/>
          <w:sz w:val="28"/>
          <w:szCs w:val="28"/>
          <w:rtl w:val="true"/>
          <w:lang w:bidi="ar-SA"/>
        </w:rPr>
        <w:t>، والمراد من دحو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الأرض في البداية كانت مغطاة جميعها بالماء، ثمَّ بدأت اليابسة بالاتساع من جوار الكعبة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سميت بذلك؛ لأنَّها أوّل بقعة خلقها الله من الأرض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492"/>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الآية المباركة لا تدل على أسبقية خلق الكعبة على خلق الأرض، وإنَّما تدل على أنَّ الكعبة أوّل بيت للعبادة وضع على الأرض، بل لعلّها تدل على أسبقية خلق الأرض على الكعبة، وهنا أقوال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أنَّ تسميتها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بوضوح على أفضليتها وأشرفيتها على سائر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 الميزان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والكلام يدل على عناية إلهية بأُمّ القرى، وهي الحرم الإلهي، منه بُدِئ بالدعوة </w:t>
      </w:r>
      <w:bookmarkStart w:id="410" w:name="pg7448_76986"/>
    </w:p>
    <w:p>
      <w:pPr>
        <w:pStyle w:val="BookText"/>
        <w:rPr/>
      </w:pPr>
      <w:bookmarkEnd w:id="410"/>
      <w:r>
        <w:rPr>
          <w:rFonts w:ascii="Amiri" w:hAnsi="Amiri" w:eastAsia="Amiri" w:cs="Amiri"/>
          <w:color w:val="111111"/>
          <w:sz w:val="28"/>
          <w:sz w:val="28"/>
          <w:szCs w:val="28"/>
          <w:rtl w:val="true"/>
          <w:lang w:bidi="ar-SA"/>
        </w:rPr>
        <w:t>وانشرت الكلمة</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الفخر الرازي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سمَّى مكة أُمّ القرى، وظاهر هذا يقتضي أنَّها كانت سابقةً على سائر البقاع، في الفضل والشرف، منذ كانت موجودة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المناقشة في دلالة الآية المباركة على أفضلية مكة على سائر البقاع،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 على عظم القرية وأهميتها، ولكن لا يدل على أفضليتها على غيرها، فإنَّ الله سبحانه قد جرت سنته ـ في تبليغ الرسالة ـ أن يبعث رسله إلى أعظم القرى وأكبرها وأهمها، بحيث تكون غيرها تابعة لها، فإذا آمنت بالرسالة، آمنت غيرها أو هان أمر إيمانها، ويدل على ذلك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مُهْلِكَ الْقُرَى حَتَّى يَبْعَثَ فِي أُمِّهَا رَسُولًا يَتْلُو عَلَيْهِمْ آيَاتِنَا وَمَا كُنَّا مُهْلِكِي الْقُرَى إِلَّا وَأَهْلُهَا ظَالِمُونَ</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يُحتمل قوياً أن يكون التعبير عن مكة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لبيان أهميتها، وموقعها بالقياس لبقية القرى والمدن المحيطة بها، لا لبيان أفضليتها على غيرها، ويكفي الاحتمال المذكور لسقوط دلالتها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مُجمل الآيات الكريمة التي يمكن الاستدلال بها على أفضلية مكة على سائر البقاع، وقد اتضح من خلال عرضها ـ وعرض كلام المفسرين ـ أنَّ بعضها قد يدّعى دلالتها على المطلوب</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1936936_1051229030"/>
      <w:bookmarkStart w:id="412" w:name="_Toc153"/>
      <w:bookmarkEnd w:id="411"/>
      <w:r>
        <w:rPr/>
        <w:t>٢</w:t>
      </w:r>
      <w:r>
        <w:rPr>
          <w:rtl w:val="true"/>
        </w:rPr>
        <w:t>ـ من السنة المطهرة</w:t>
      </w:r>
      <w:bookmarkEnd w:id="41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يُستدل به من الروايات على أفضلية مكة، يمكن عرضه ضمن طوائف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موضع البيت، أُوّل موضع خلقه الله تعالى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الكافي، عن عدّة من أصحابنا، عن أحمد بن محمد، عن علي بن الحكم، عن سيف بن عميرة، عن أبي زرارة التميمي، عن أبي حسان،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يخلق الأرض أمر الرياح فضربن وجد الماء حتى صار موجاً، ثمّ أزبد فصار زبداً واحداً، فجمعه في موضع البيت، ثمّ جعله جبلاً من زبد، ثمّ دحا الأرض من تحته، وهو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مرسلة الصدوق زيادة،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بقعة خُلقت من الأرض الكعبة، ثمّ مُدت الأرض منها</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الرواية وإن كانت مختصَّة بخلق الكعبة ـ مع أنَّ الحديث عن أفضلية مكة ـ إلا أنَّها تُفيد أنَّ خلق مكة أسبق من خلق سائر البقاع، فيُفيد الأفضلية والتقدّم، ويؤيد ذلك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بعدما خلق الكعبة، دُحيت الأرض من تحتها وأخذت بالاتساع، فدُحيت من البيت إلى منى، ومن منى إلى عرفات، فقد روى الصدوق مرسلاً 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دحا الأرض من تحت الكعبة إلى منى، ثمّ دحاها من منى إلى عرفات، ثمّ دحاها من عرفات إلى منى، فالأرض من عرفات، وعرفات من منى، ومنى من الكعبة، وكذلك علمنا بعضه من بعض</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كونها أوّل بقعة خلقها الله تعالى من الأرض، يدلّ بوضوح على الأفضلية، لا سيَّما مع ملاحظة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كان في مقام بيان الفضل والأهمية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الاستشهاد بالآية يدلّ بوضوح على كون الحديث عن الأفضلية والأشرفية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مكة أحبُّ الأرض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روى القرطبي في تفسيره عن قتادة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النبي صلّى الله عليه و آله من مكة إلى الغار، والتفت إلى مكة،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أحبُّ البلاد إلى الله، وأنتِ أحبُّ البلاد إليّ، ولولا المشركون أهلك أخرجوني لما خرجت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الثعلبي، وهو حديث صحيح</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ـ وروى الصدوق بسند معتبر، عن سعيد بن عبد الله الأعرج،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 الأرض إلى الله تعالى مكة، وما تربة أحبُّ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تربتها، ولا حجر أحبُّ إلى الله من حجرها، ولا شجر أحبُّ إلى الله من شجرها، ولا جبال أحبُّ إلى الله من جبالها، ولا ماء أحبُّ إلى الله من مائها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لازم المحبوبية الأفضلية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مكة أفضل البقاع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العياشي في تفسيره، عن ثعلبة بن ميمون، عن ميسر،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في الفسطاط عند أبي جعفر علیه السلام  نحو من خمسين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بعد سكوت كان منّا طويلاً،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لا تنطقون لعلّكم ترون أنّي نبي؟ لا والله، ما أنا كذلك، ولكن فيَّ قرابة من رسول الله صلّى الله عليه و آله قريبة، وولادة مَن وصلها وصله الله، ومَن أحبَّها أحبَّه الله، ومَن أكرمها أكرمه الله، أتدرون أيّ البقاع أفضل عند الله منزلةً؟ فلم يتكلّم أحد، فكان هو الراد على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مكة الحرام التي رضيها لنفسه حرماً، وجعل بيته فيها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بقعة أفضل من مكة؟ فلم يتكلّم أحد، فكان هو الراد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الحجر الأسود إلى باب الكعبة، ذلك حطيم إبراهيم نفسه، الذي كان يذود فيه غنمه ويُصلّي فيه، فو الله، لو أن عبداً صفَّ قدميه في ذلك المكان، قام النهار مُصلّياً حتى يجنَّه الليل، وقام الليل مُصلّيا حتى يجنَّه النهار، ثمّ لم يعرف لنا حقاً أهل البيت، </w:t>
      </w:r>
    </w:p>
    <w:p>
      <w:pPr>
        <w:pStyle w:val="BookText"/>
        <w:rPr/>
      </w:pPr>
      <w:r>
        <w:rPr>
          <w:rFonts w:ascii="Amiri" w:hAnsi="Amiri" w:eastAsia="Amiri" w:cs="Amiri"/>
          <w:color w:val="111111"/>
          <w:sz w:val="28"/>
          <w:sz w:val="28"/>
          <w:szCs w:val="28"/>
          <w:rtl w:val="true"/>
          <w:lang w:bidi="ar-SA"/>
        </w:rPr>
        <w:t>وحرمنا حقنا، لم يقبل الله منه شيئاً أبداً، إنَّ أبانا إبراهيم صلوات الله عليه كان فيما اشترط على ربِّه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فَاجْعَلْ أَفْئِدَةً مِنَ النَّاسِ تَهْوِي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أولئك رحمكم الله ونظراؤكم، إنّما مثلكم في الناس مثل الشعرة البيضاء في الثور الأسود، والشعرة السوداء في الثور الأبيض، وينبغي للناس أن يحجّوا هذا البيت، وأن يعظِّموه لتعظيم الله إيّاه، وأن يلقونا أينما كنّا، نحن الأدلاء على الله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العمل في مكة أفضل منه في سائر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تسبيحٌ بمكة يعدل خراج العراقين يُنفق في سبيل الله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وروي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الساجد بمكة كالمُتشحّط بدمه في سبيل الله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وروي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بمكة كالمُتشحّط في البلدان</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لم تشتمل على عمل، ولكنّها تُفيد أنَّ الكينونة في مكة ـ وإن لم تكن لعمل ـ هي أفضل من الكينونة في بقية البلدان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ـ روى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الطاعم بمكة كالصائم فيما سواها، والماشي بمكة في عبادة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السكنى في مكة؛ لأنّها تقسّي القلب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ـ رُوي عن النبي والأئمة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يُكره المقام بمكة؛ لأنّ رسول الله صلّى الله عليه و آله خرج عنها، والمقيم بها يقسو قلبه حتى يأتي فيها ما يأتي في غيرها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413" w:name="pg7448_76990"/>
    </w:p>
    <w:p>
      <w:pPr>
        <w:pStyle w:val="BookText"/>
        <w:rPr/>
      </w:pPr>
      <w:bookmarkEnd w:id="413"/>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وروي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قضى أحدكم نسكه فليركب راحلته، وليلحق بأهله؛ فإنَّ المقام بمكة يُقسّي القلب</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وموضع الاستدلال هو التعليل الوارد فيها؛ فإنّ كراهة السكنى فيها ناشئة من حصول القسوة، الحاصلة من اقتراف الذنوب والموبقات، وقد دلّت الروايات على أنّ ارتكاب الذنب في مكة موجب لمضاعفة العقوبة، بل في بعض الروايات أنّ ذلك 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فِيهِ بِإِلْحَادٍ بِظُلْمٍ نُذِقْهُ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ظلم يظلمه الرجل نفسه بمكة من سرقة، أو ظلم أحد، أو شيء من الظلم، فإنّي أراه إلحاداً؛ ولذلك كان يتقى أن يسكن الحرم</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خمس طوائف من الروايات، يمكن أن يُستفاد منها أفضلية مكة على سائر البلدان، ولعلّ المتتبع يجد روايات أُخر، ولكن اقتصرنا على هذه؛ لحصول الغرض بها</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1936938_1051229030"/>
      <w:bookmarkStart w:id="415" w:name="_Toc154"/>
      <w:bookmarkEnd w:id="414"/>
      <w:r>
        <w:rPr>
          <w:rtl w:val="true"/>
        </w:rPr>
        <w:t>مواضع مكة</w:t>
      </w:r>
      <w:bookmarkEnd w:id="415"/>
    </w:p>
    <w:p>
      <w:pPr>
        <w:pStyle w:val="Heading6"/>
        <w:numPr>
          <w:ilvl w:val="5"/>
          <w:numId w:val="1"/>
        </w:numPr>
        <w:rPr/>
      </w:pPr>
      <w:bookmarkStart w:id="416" w:name="__RefHeading___Toc1936940_1051229030"/>
      <w:bookmarkStart w:id="417" w:name="_Toc155"/>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بقي شيء يجدر الإشارة إليه وهو أن هناك مواضع في مكة المكرمة قد دلّت الروايات على أفضليتها على سائر البقاع، وهي كالتالي</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1936942_1051229030"/>
      <w:bookmarkStart w:id="419" w:name="_Toc156"/>
      <w:bookmarkEnd w:id="418"/>
      <w:r>
        <w:rPr>
          <w:rtl w:val="true"/>
        </w:rPr>
        <w:t>أ</w:t>
      </w:r>
      <w:r>
        <w:rPr>
          <w:rtl w:val="true"/>
        </w:rPr>
        <w:t xml:space="preserve">) </w:t>
      </w:r>
      <w:r>
        <w:rPr>
          <w:rtl w:val="true"/>
        </w:rPr>
        <w:t>الكعبة الشريفة</w:t>
      </w:r>
      <w:bookmarkEnd w:id="41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تقدّم ـ في الطائفة الأُوّلى من الروايات ـ أنّ أوّل بيت خلقه الله تعالى هو الكعبة، ثمّ دُحيت الأرض من تحتها، وهذا يدلّ على أنَّ الكعبة أفضل بقعة في مكة،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420" w:name="pg7448_76991"/>
    </w:p>
    <w:p>
      <w:pPr>
        <w:pStyle w:val="BookText"/>
        <w:rPr/>
      </w:pPr>
      <w:bookmarkEnd w:id="420"/>
      <w:r>
        <w:rPr>
          <w:rFonts w:ascii="Amiri" w:hAnsi="Amiri" w:eastAsia="Amiri" w:cs="Amiri"/>
          <w:color w:val="111111"/>
          <w:sz w:val="28"/>
          <w:sz w:val="28"/>
          <w:szCs w:val="28"/>
          <w:rtl w:val="true"/>
          <w:lang w:bidi="ar-SA"/>
        </w:rPr>
        <w:t>وقد دلّ الكثير من الأحاديث على أفضلية الكعبة على سائر البقاع، وإليك الحديث الآتي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قاعداً إلى جنب أبي جعفر علیه السلام  وهو مُحتبي مستقبل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النظر إليها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من بجيلة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بن عمر، فقال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كعب الأحبار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الكعبة تسجد لبيت المقدس في كلّ 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وكذب كعب الأحبار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وغضب،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رأيته استقبل أحداً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 الله بقعة في الأرض أحبُّ إليه منها، ثمّ أومأ بيده نحو الكعبة، ولا أكرم على الله منها، لها حرَّم الله الأشهر الحرم في كتابه يوم خلق السماوات والأرض، ثلاثة متوالية للحج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وذو القعدة، وذو الحجة، وشهر مفرد للعمرة، وهو رجب</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1" w:name="__RefHeading___Toc1936944_1051229030"/>
      <w:bookmarkStart w:id="422" w:name="_Toc157"/>
      <w:bookmarkEnd w:id="421"/>
      <w:r>
        <w:rPr>
          <w:rtl w:val="true"/>
        </w:rPr>
        <w:t>ب</w:t>
      </w:r>
      <w:r>
        <w:rPr>
          <w:rtl w:val="true"/>
        </w:rPr>
        <w:t xml:space="preserve">) </w:t>
      </w:r>
      <w:r>
        <w:rPr>
          <w:rtl w:val="true"/>
        </w:rPr>
        <w:t>الحطيم</w:t>
      </w:r>
      <w:bookmarkEnd w:id="422"/>
    </w:p>
    <w:p>
      <w:pPr>
        <w:pStyle w:val="BookText"/>
        <w:rPr/>
      </w:pPr>
      <w:r>
        <w:rPr>
          <w:rFonts w:ascii="Amiri" w:hAnsi="Amiri" w:eastAsia="Amiri" w:cs="Amiri"/>
          <w:color w:val="111111"/>
          <w:sz w:val="28"/>
          <w:sz w:val="28"/>
          <w:szCs w:val="28"/>
          <w:rtl w:val="true"/>
          <w:lang w:bidi="ar-SA"/>
        </w:rPr>
        <w:t>والمراد من الحطيم هو المكان الواقع بين ركن الحجر الأسود، وباب الكعبة، ومقام إبراهيم، والأخبار في فضله كثيرة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روى الصدوق في ثواب الأعمال بسنده عن أبي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لنا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البقاع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وابن 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البقاع ما بين الركن والمقام، ولو أنَّ رجلاً عمَّر ما عمَّر نوح علیه السلام  في قومه ألف سنة إلّا خمسين عاماً، يصوم نهاراً ويقوم ليلاً في ذلك المقام، ثمّ لقى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ولايتنا، لم ينتفع بذلك شيئاً</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وروى الصدوق في ثواب الأعمال أيضاً، بسندٍ متصلٍ عن ميسرة،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عند أبي جعفر علیه السلام  وعنده في الفسطاط نحو من خمسين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أيّ بقعة في المسجد الحرام أفضل عند الله حرمة؟ فلم يتكلّم أحد منّا، فكان هو الراد على نفسه، </w:t>
      </w:r>
      <w:bookmarkStart w:id="423" w:name="pg7448_76992"/>
    </w:p>
    <w:p>
      <w:pPr>
        <w:pStyle w:val="BookText"/>
        <w:rPr/>
      </w:pPr>
      <w:bookmarkEnd w:id="42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ما بين الركن الأسود والمقام وباب الكعبة، وذلك حطيم إسماعيل علیه السلام ، ذلك الذي كان يذود غنيماته، ويُصلّي فيه، والله، لو أنَّ عبداً صفَّ قدميه في ذلك المكان قام ليلاً مُصلّياً حتى يجيئه النهار، وصام حتى يجيئه الليل، ولم يعرف حقنا وحرمتنا أهل البيت، لم يقبل الله منه شيئاً أبداً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4" w:name="__RefHeading___Toc1936946_1051229030"/>
      <w:bookmarkStart w:id="425" w:name="_Toc158"/>
      <w:bookmarkEnd w:id="424"/>
      <w:r>
        <w:rPr>
          <w:rtl w:val="true"/>
        </w:rPr>
        <w:t>ج</w:t>
      </w:r>
      <w:r>
        <w:rPr>
          <w:rtl w:val="true"/>
        </w:rPr>
        <w:t xml:space="preserve">) </w:t>
      </w:r>
      <w:r>
        <w:rPr>
          <w:rtl w:val="true"/>
        </w:rPr>
        <w:t>الركن اليماني</w:t>
      </w:r>
      <w:bookmarkEnd w:id="425"/>
    </w:p>
    <w:p>
      <w:pPr>
        <w:pStyle w:val="BookText"/>
        <w:rPr/>
      </w:pPr>
      <w:r>
        <w:rPr>
          <w:rFonts w:ascii="IRNazanin" w:hAnsi="IRNazanin" w:eastAsia="IRNazanin"/>
          <w:color w:val="111111"/>
          <w:sz w:val="28"/>
          <w:sz w:val="28"/>
          <w:szCs w:val="28"/>
          <w:rtl w:val="true"/>
          <w:lang w:bidi="fa-IR"/>
        </w:rPr>
        <w:t>روى الشيخ الطوسي في التهذيب بسند متصل، عن أبي الفرج السندي،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أطوف معه بالبيت،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أعظم حرمة؟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أنت أعلم بهذا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الركن اليماني باب من أبواب الجنة، مفتوح لشيعة آل محمد صلّى الله عليه و آله ، مسدود عن غيرهم، وما من مؤمن يدعو عنده إلّا صعد دعاؤه حتى يُلصق بالعرش، ما بينه وبين الله تعالى حجاب</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 الشاهد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هذا أعظم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موضع في المسجد الحرام أعظم حرمة؟ وأجاب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الركن اليماني</w:t>
      </w:r>
      <w:r>
        <w:rPr>
          <w:rFonts w:eastAsia="IRNazanin" w:cs="IRNazanin"/>
          <w:color w:val="111111"/>
          <w:sz w:val="28"/>
          <w:szCs w:val="28"/>
          <w:rtl w:val="true"/>
          <w:lang w:bidi="fa-IR"/>
        </w:rPr>
        <w:t>».</w:t>
      </w:r>
    </w:p>
    <w:p>
      <w:pPr>
        <w:pStyle w:val="Heading5"/>
        <w:numPr>
          <w:ilvl w:val="4"/>
          <w:numId w:val="1"/>
        </w:numPr>
        <w:rPr/>
      </w:pPr>
      <w:bookmarkStart w:id="426" w:name="__RefHeading___Toc1936948_1051229030"/>
      <w:bookmarkStart w:id="427" w:name="_Toc159"/>
      <w:bookmarkEnd w:id="426"/>
      <w:r>
        <w:rPr>
          <w:rtl w:val="true"/>
        </w:rPr>
        <w:t>ثانياً</w:t>
      </w:r>
      <w:r>
        <w:rPr>
          <w:rtl w:val="true"/>
        </w:rPr>
        <w:t xml:space="preserve">: </w:t>
      </w:r>
      <w:r>
        <w:rPr>
          <w:rtl w:val="true"/>
        </w:rPr>
        <w:t>المدينة المنورة</w:t>
      </w:r>
      <w:bookmarkEnd w:id="427"/>
    </w:p>
    <w:p>
      <w:pPr>
        <w:pStyle w:val="BookText"/>
        <w:rPr/>
      </w:pPr>
      <w:r>
        <w:rPr>
          <w:rFonts w:ascii="Amiri" w:hAnsi="Amiri" w:eastAsia="Amiri" w:cs="Amiri"/>
          <w:color w:val="111111"/>
          <w:sz w:val="28"/>
          <w:sz w:val="28"/>
          <w:szCs w:val="28"/>
          <w:rtl w:val="true"/>
          <w:lang w:bidi="ar-SA"/>
        </w:rPr>
        <w:t>وما يمكن الاستدلال به على أفضلية المدينة على سائر البقاع عدّة روايات</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ذكر الشيخ الطوسي   قدِّسَ سرُّه في التهذيب ـ وهو يتحدّث عن دفن رسول الله صلّى الله عليه و آله ـ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وقبره بالمدينة في حجرته التي توفِّي فيها، وكان قد أسكنها في حياته عائشة بنت أبي بكر بن أبي قحافة، لمّا قُبض النبي صلّى الله عليه و آله اختلف أهل بيته، ومَن حضر من أصحابه في الموضع الذي ينبغي أن يُدفن فيه،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بالبقيع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في صحن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يقبض نبيه إلّا في أطهر البقاع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أشرف البقاع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فينبغي أن يُدفن في البقعة التي قُبض فيها، فاتفقت الجماعة على قوله علیه السلام  ودُفن </w:t>
      </w:r>
    </w:p>
    <w:p>
      <w:pPr>
        <w:pStyle w:val="BookText"/>
        <w:rPr/>
      </w:pPr>
      <w:r>
        <w:rPr>
          <w:rFonts w:ascii="Amiri" w:hAnsi="Amiri" w:eastAsia="Amiri" w:cs="Amiri"/>
          <w:color w:val="111111"/>
          <w:sz w:val="28"/>
          <w:sz w:val="28"/>
          <w:szCs w:val="28"/>
          <w:rtl w:val="true"/>
          <w:lang w:bidi="ar-SA"/>
        </w:rPr>
        <w:t>في حجرته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قوله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الشيخ   قدِّسَ سرُّه بنسبة هذا الكلام إلى أمير المؤمنين علیه السلام ، ولو لم يكن جازماً بذلك لقال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 ذلك من التعابير التي تُشعر بعدم الجزم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ومحلّ الشاهد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يقبض نبيّه إلّا في أطهر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من المعلوم أنَّ النبي صلّى الله عليه و آله قُبض في المدينة، فدلّ ذلك على أنَّ المدينة أطهر البقاع، وعلى النسخة الأُخرى أشرف البقاع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الاستدلال بهذه الرواية على أفضلية المدينة لا يخلو من تأمل؛ وذلك لأنَّ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يقبض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أفضلية البقعة التي قُبض فيها،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حجرته، أو موضع قبره؛ بقرينة ما سبقه من كلام، حيث قال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يُدفن في البقيع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كان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أطهر البقاع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كلام أمير المؤمنين علیه السلام  ما يشمل تمام المدينة، أو أوسع من موضع قبره؛ لشمل المسجد أو البقيع، فيُفهم من كلامه علیه السلام  أنّ أطهر البقاع أضيق من المسجد، فيتعين كونها الحجرة وموضع القبر، وقد تقدّم منّا في القسم الأوّل من هذا البحث، أنّ محلّ الكلام ليس في موضع القبر، وإنّما الكلام فيما يزيد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فلا تصلح الرواية المذكورة للاستدلال على أفضلية المدينة على سائر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روى الحاكم في المستدرك، عن أبي هريرة، أنّ رسول الله صلّى الله عليه و آله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أخرجتني من أحبِّ البلاد إليَّ، فأسكنّي أحبَّ البلاد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فأسكنه الله المدينة</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أحبَّ البلاد إلى الله تعالى يُلازم أفضليتها على سائر البقاع، ولكن هذا المضمون رُوي بشكل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رُوي عن عبد الله بن عدي بن الحمراء، أنّه سمع النبي صلّى الله عليه و آله ، وهو واقف بالحزورة في سوق مكة،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إنّك لخير أرض الله، وأحبُّ أرض الله إليّ، ولولا أن أهلك أخرجوني منك ما خرجت</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الثانية لا تشتمل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فأسكني أحبَّ البقاع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وحيث إنّه يُحتمل اتحاد الرواية، وعدم تعددها تسقط هذه الزيادة عن الحجية، ويكفي احتمال الوحدة للتشكيك في صدور هذه الزيادة التي هي محلّ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تنزلنا وقلنا بتعدد الرواية، وعدم وحدتها، يمكن الجمع بينها، بتقييد قوله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فأسكني أحبَّ البقاع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بأنَّها أحبُّ البقاع إليك بعد مكة، وممّا يُؤكد إمكانية هذا التقييد، ما رواه الحاكم في المستدرك أيضاً في موضع آخر، حيث روى عن عبد الرحمن بن الحارث بن هشام، يُحدِّث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رسول الله صلّى الله عليه و آله في حجته، وهو واقف عند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لخير الأرض وأحبُّ الأرض إلى الله، ولولا أنّي أُخرجت منك ما خرجت،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ليتنا لم نفعل، فارجع إليها فإنَّها منبتك ومولدك،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أخرجتني من أحبِّ أرضك إليَّ، فأنزلني أحبَّ الأرض إليك، فأنزَلَني المدينة</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هذه الرواية لا يصلح الاستدلال بها لإثبات المطلوب</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روى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 أيما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بمكة أو بالمدينة؟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تقول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قولي مع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قولك يردُّ إلى 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فأزعم أنَّ المقام بالمدينة أفضل من الإقامة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لئن قلت ذلك، لقد قال أبو عبد الله علیه السلام  ذلك، يوم فطر وجاء إلى رسول الله صلّى الله عليه و آله ، فسلّم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فضُلنا الناس اليوم؛ بسلامنا على رسول الله صلّى الله عليه و آله </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ومحلّ الشاهد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فضُلنا الناس اليوم؛ بسلامنا على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يدلّ على أنّ السكن في المدينة أفضل من السكن في غيرها من البلدان؛ لأنَّ الساكن في المدينة يمتاز عن غيره، بمجاورته لقبر رسول الله صلّى الله عليه و آله ، والسلام عليه، وهذا يدلّ على أفضلية المدينة على سائر البقاع، يُضاف إلى ذلك إقرار الإمام جواب الحسن بن الجهم الذي فضَّل الإقامة في المدينة على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أقصى ما يمكن أن يُقرَّب به الاستدلال بهذه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ولكنّه لا يخلو من تأمل؛ وذلك لأنّ أفضلية الإقامة في مكان، لا تعني أفضلية نفس البقعة؛ لأنَّ الإقامة والسكن لا يُلحَظ فيه ـ عادةً ـ أشرفية البقعة، وأفضليتها فقط، وإنَّما يُلحظ أُمور أُخرى كأخلاق الناس الساكنين فيها، ونحو ذلك، وقد لاحظ الإمام علیه السلام  ذلك في هذا الحديث، حيث جعل أفضلية الإقامة في المدينة؛ لمجاورة قبر النبي صلّى الله عليه و آله ، والسلام عليه، والتعليل المذكور ليس تعليلاً لأفضلية البقعة نفسها، وإنَّما هو تعليل لتفضيل الساكنين في المدينة، كما هو واضح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فضُلنا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كانت المدينة أفضل من مكة وغيرها لكان المناسب التعليل بذلك، فيقال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الإقامة في المدينة أفضل من الإقامة في غيرها لأفضليتها وأشرفيتها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نحو ذلك من التعابير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نقلنا فيما تقدّم بعض الروايات الدالة على كراهة السكنى في مكة، وعلّلتْ ذلك بأنّه يُقسي القلب؛ لأنَّ الساكن قد يرتكب المعاصي، وارتكاب المعاصي في مكة يُوجب قسوة القلب، وهو يتنافى مع قدسية المكان، والكراهة المذكورة قد استفدنا منها ـ سابقاً ـ أفضلية مكة على سائر البقاع، ومنه يُعلم أنَّ كراهة السكن في مكان، وأفضليته في مكان آخر، لا يلازم أفضلية البقعة وأشرفيتها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مجمل الروايات التي قد يُستدل بها لإثبات أفضلية المدينة على سائر البقاع، وقد اتضح عدم تمامية شيء منها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المدينة ـ باستثناء المسجد النبوي الشريف، والحجرة </w:t>
      </w:r>
      <w:bookmarkStart w:id="428" w:name="pg7448_76996"/>
    </w:p>
    <w:p>
      <w:pPr>
        <w:pStyle w:val="BookText"/>
        <w:rPr/>
      </w:pPr>
      <w:bookmarkEnd w:id="428"/>
      <w:r>
        <w:rPr>
          <w:rFonts w:ascii="Amiri" w:hAnsi="Amiri" w:eastAsia="Amiri" w:cs="Amiri"/>
          <w:color w:val="111111"/>
          <w:sz w:val="28"/>
          <w:sz w:val="28"/>
          <w:szCs w:val="28"/>
          <w:rtl w:val="true"/>
          <w:lang w:bidi="ar-SA"/>
        </w:rPr>
        <w:t>المقدَّسة، وبيت أمير المؤمنين، والأماكن المقدَّسة فيها ـ لا خصوصية لها على سائر البقاع، وقد يُستفاد ذلك من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قَبيل ما رواه عمار بن موسى،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الصلاة في المدينة، هل هي مثل الصلاة في مسجد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الصلاة في مسجد رسول الله صلّى الله عليه و آله ألف صلاة، والصلاة في المدينة مثل الصلاة في سائر البلدان</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936950_1051229030"/>
      <w:bookmarkStart w:id="430" w:name="_Toc160"/>
      <w:bookmarkEnd w:id="429"/>
      <w:r>
        <w:rPr>
          <w:rtl w:val="true"/>
        </w:rPr>
        <w:t>ثالثاً</w:t>
      </w:r>
      <w:r>
        <w:rPr>
          <w:rtl w:val="true"/>
        </w:rPr>
        <w:t xml:space="preserve">: </w:t>
      </w:r>
      <w:r>
        <w:rPr>
          <w:rtl w:val="true"/>
        </w:rPr>
        <w:t>عرفات</w:t>
      </w:r>
      <w:bookmarkEnd w:id="430"/>
    </w:p>
    <w:p>
      <w:pPr>
        <w:pStyle w:val="BookText"/>
        <w:rPr/>
      </w:pPr>
      <w:r>
        <w:rPr>
          <w:rFonts w:ascii="Amiri" w:hAnsi="Amiri" w:eastAsia="Amiri" w:cs="Amiri"/>
          <w:color w:val="111111"/>
          <w:sz w:val="28"/>
          <w:sz w:val="28"/>
          <w:szCs w:val="28"/>
          <w:rtl w:val="true"/>
          <w:lang w:bidi="ar-SA"/>
        </w:rPr>
        <w:t>الكثير من الروايات تحدّثت عن فضل عرفات، وفضل الدعاء فيها، والذي يمكن الاستدلال به على أفضليتها على سائر البقاع رواية واحدة حسب تتبعي القاصر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من أنّه جاء نفر من اليهود إلى رسول الله صلّى الله عليه و آله ، فسأله أعلمهم عن مسائل، وكان فيما سأله،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لأيّ شيء أمر الله بالوقوف بعرفات بعد العصر؟ 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العصر هي الساعة التي عصى آدم فيها ربَّه، ففرض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أُمتي الوقوف والتضرّع والدعاء في أحبِّ المواضع إليه، وتكفّل لهم بالجنة، والساعة التي ينصرف بها الناس، هي الساعة التي تلقّى فيها آدم من ربِّه كلمات فتاب عليه، إنّه هو التوّاب الرحيم</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الشاهد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أحبِّ المواضع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بإطلاقه على أنَّ عرفة أحبُّ المواضع إلى الله تعالى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رواية أُخرى تدلّ على أفضلية الحرم من عرفات، حيث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عرفة من بطن عرفة وثوية ونمرة وذي المجاز، وخلف الجبل موقف إلى وراء الجبل، وليست عرفات من الحرم، والحرم أفضل منها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431" w:name="pg7448_76997"/>
    </w:p>
    <w:p>
      <w:pPr>
        <w:pStyle w:val="BookText"/>
        <w:rPr/>
      </w:pPr>
      <w:bookmarkEnd w:id="431"/>
      <w:r>
        <w:rPr>
          <w:rFonts w:ascii="Amiri" w:hAnsi="Amiri" w:eastAsia="Amiri" w:cs="Amiri"/>
          <w:color w:val="111111"/>
          <w:sz w:val="28"/>
          <w:sz w:val="28"/>
          <w:szCs w:val="28"/>
          <w:rtl w:val="true"/>
          <w:lang w:bidi="ar-SA"/>
        </w:rPr>
        <w:t>وهذه الرواية تصرِّح بأفضلية الحرم المكّي على عرفات؛ فتكون مكة أفضل من عرفات، بل ومزدلفة ومنى أيضاً، 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الجمع بين مدلولي الروايتين؟</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دلالة الأُولى على أفضلية عرفات على سائر البقاع مطلقاً بينما الثانية أضيق منها دائرةً؛ فيمكن تقييدها بها، فتكون النتيجة أنَّ عرفات أحبُّ المواضع إلى الله سبحانه، باستثناء منطقة الحرم؛ فإنّها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الجواب تخرج عرفات من الحساب؛ لعدم تمامية دليلها على أنَّها أفضل من سائر البقاع، حيث ثبت أنَّ منطقة الحرم أفضل منها، يُضاف إليه أنّها رواية واحدة لا تقاوم الروايات الكثيرة الدالة على أفضلية مكة وكربلاء</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1936952_1051229030"/>
      <w:bookmarkStart w:id="433" w:name="_Toc161"/>
      <w:bookmarkEnd w:id="432"/>
      <w:r>
        <w:rPr>
          <w:rtl w:val="true"/>
        </w:rPr>
        <w:t>رابعاً</w:t>
      </w:r>
      <w:r>
        <w:rPr>
          <w:rtl w:val="true"/>
        </w:rPr>
        <w:t xml:space="preserve">: </w:t>
      </w:r>
      <w:r>
        <w:rPr>
          <w:rtl w:val="true"/>
        </w:rPr>
        <w:t>كربلاء المقدّسة</w:t>
      </w:r>
      <w:bookmarkEnd w:id="433"/>
    </w:p>
    <w:p>
      <w:pPr>
        <w:pStyle w:val="BookText"/>
        <w:rPr/>
      </w:pPr>
      <w:r>
        <w:rPr>
          <w:rFonts w:ascii="Amiri" w:hAnsi="Amiri" w:eastAsia="Amiri" w:cs="Amiri"/>
          <w:color w:val="111111"/>
          <w:sz w:val="28"/>
          <w:sz w:val="28"/>
          <w:szCs w:val="28"/>
          <w:rtl w:val="true"/>
          <w:lang w:bidi="ar-SA"/>
        </w:rPr>
        <w:t>يمكن عرض الروايات الدالة على أفضلية كربلاء على سائر البقاع، ضمن طوائف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الله سبحانه قد اتخذ كربلاء حرماً آمناً قبل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ـ ما رواه جعفر بن محمد بن قولويه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 الله ابن أبي يعفور،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 لرجل من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أتزور قبر أبي عبد الله الحسين بن علي 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إنِّي أزوره بين ثلاث سنين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ـ وهو مصفرّ الوجه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الذي لا إله إلّا هو، لو زرته لكان أفضل لك ممّا أنت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أكلُّ هذا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والله، لو أنّي حدّثتكم بفضل زيارته، وبفضل قبره، لتركتم الحج رأساً، وما حجّ منكم أحد، ويحك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الله اتخذ كربلاء حرماً آمناً مباركاً قبل أن يتخذ مكة حرماً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تدلّ بوضوح على ثلاثة أُمور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قد اتخذ كربلاء حرماً آمناً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اتخذها كذلك قبل أن يتخذ مكة حرماً آمناً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زيارة الإمام الحسين علیه السلام  أفضل من الحج، وهو بإطلاقه يشمل الحج الواجب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ما رواه ابن قولويه في كامل الزيارات أيضاً، بسنده عن أبي سعيد، عن بعض رجاله، عن أبي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الحسين علیه السلام ، اتخذ الله أرض كربلاء حرماً آمناً مباركاً قبل أن يخلق الله أرض الكعبة ويتخذها حرماً آمناً بأربعة وعشرين ألف عام، وأنّه إذا زلزل الله تبارك وتعالى الأرض وسيّرها، رُفعت كما هي بتربتها نورانية صافية، فجُعلت في أفضل روضة من رياض الجنة، وأفضل مسكن في الجنة لا يسكنها إلّا النبيون والمرسلون ـ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العزم من الرسل ـ وأنّها لتُزهر بين رياض الجنة، كما يُزهر الكوكب الدرّيُ بين الكواكب لأهل الأرض، يغشي نورها أبصار أهل الجنة جميعاً وهي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الطيبة المباركة، التي تضمنت سيّد الشهداء، وسيّد شباب أهل الجنة</w:t>
      </w:r>
      <w:r>
        <w:rPr>
          <w:rFonts w:eastAsia="IRNazanin" w:cs="IRNazanin"/>
          <w:color w:val="111111"/>
          <w:sz w:val="28"/>
          <w:szCs w:val="28"/>
          <w:rtl w:val="true"/>
          <w:lang w:bidi="fa-IR"/>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تؤكد مضمون الرواية السابقة وتضيف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اتخاذ كربلاء حرماً آمناً قبل مكة بأربعة وعشرين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إذا زلزلت الأرض رُفعت كربلاء بتربتها نورانية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جُعلت أفضل روضة من رياض الجنة، وأفضل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تُزهر بين رياض الجنة كما يُزهر الكوكب الدُّرّي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الله سبحانه خلق كربلاء قبل أن يخلق الكعبة بأربعة وعشرين ألف عام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ابن قولويه في كامل الزيارات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تعالى كربلاء قبل أن يخلق الكعبة بأربعة وعشرين ألف عام، وقدّسها، وبارك عليها، فما زالت قبل أن يخلق الله الخلق مقدّسة مباركة، ولا تزال كذلك، ويجعلها أفضل أرض في الجنة</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تفضيل كربلاء على أرض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روى ابن قولويه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أرض الكعبة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مثلي وقد بُني بيت الله على ظهري، ويأتيني الناس من كلِّ فج عميق، وجُعلت حرم الله وأمنه؟ فأوحى الله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كفّي وقرّي، فوعزتي وجلالي، ما فضُل ما فُضِّلتِ به، فما أعطيت به أرض كربلاء إلّا بمنزلة الإبرة غُمست في البحر فحملت من ماء البحر، ولولا تربة كربلاء ما فضَّلتك، ولولا ما تضمنته أرض كربلاء ما خلقتك، ولا خلقت البيت الذي افتخرت به، فقرّي واستقرّي وكوني ذنباً متواضعاً ذليلاً مهيناً، غير مستنكف ولا مستكبر لأرض كربلاء، وإلّا سخت بك وهويت بك في نار جهنم</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وروى ابن قولويه بسنده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فضَّل الأرضين والمياه بعضها على بعض، فمنها ما تفاخرت، ومنها ما بغت، فما من ماء ولا أرض إلّا عُوقبت؛ لتركها التواضع لله، حتى سلَّط الله المشركين على الكعبة، وأرسل إلى زمزم ماءً مالحاً حتى أُفسد طعمه، وإنّ أرض كربلاء، وماء الفرات أوّل أرض وأوّل ماء قدّسهما الله تبارك وتعالى، وبارك الله عليهما،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تكلّمي بما فضَّلك الله تعالى، فقد تفاخرت الأرضون والمياه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أرض الله المقدّسة المباركة، الشفاء في تربتي ومائي ولا فخر، بل خاضعة ذليلة لـمَن فعل بي ذلك، ولا فخر على مَن دوني، بل 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فأكرمها وزادها بتواضعها وشكرها لله بالحسين علیه السلام  وأصحابه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عبد الله علیه السلام ، مَن تواضع لله رفعه الله، ومَن تكبر وضعه الله تعالى</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كربلاء أكرم أرض على الله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ابن قولويه مرسلاً عن أبي جعفر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الغاضرية هي البقعة التي كلّم الله فيها موسى بن عمران علیه السلام ، وناجى نوحاً فيها، وهي أكرم أرض الله عليه، ولولا </w:t>
      </w:r>
    </w:p>
    <w:p>
      <w:pPr>
        <w:pStyle w:val="BookText"/>
        <w:rPr/>
      </w:pPr>
      <w:r>
        <w:rPr>
          <w:rFonts w:ascii="Amiri" w:hAnsi="Amiri" w:eastAsia="Amiri" w:cs="Amiri"/>
          <w:color w:val="111111"/>
          <w:sz w:val="28"/>
          <w:sz w:val="28"/>
          <w:szCs w:val="28"/>
          <w:rtl w:val="true"/>
          <w:lang w:bidi="ar-SA"/>
        </w:rPr>
        <w:t>ذلك ما استودع الله فيها أولياءه وأبناء نبيه، فزوروا قبورنا بالغاضرية</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جواز الأكل من طين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ذكر الروايات لا بدَّ من الإشارة إلى مسألة في غاية الأهمية،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قد دلّ على حرمة تناول الطين مطلقاً، ثمّ جاء الدليل على الجواز بالنسبة لطين الحائر الحسيني، وهذا يعني وجود ميزة في تربة كربلاء، وإلّا لما جاز تناول طينتها والاستشفاء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بعض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سعد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الطين حرام مثل الميتة، والدم، ولحم الخنزير، إلّا طين الحائر؛ فإنَّ فيه شفاء من كلِّ داء، وأمناً من كلِّ خوف</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عن أبي بكر الحضرمي،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مريضاً من المؤمنين يعرف حقَّ أبي عبد الله علیه السلام  وحرمته وولايته، أخذ من طين قبره مثل رأس أنملة كان له دواء</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روى سماعة بن مهران،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 الطين حرام على بني آدم، ما خلا طين قبر الحسين علیه السلام ، مَن أكله من وجع شفاه الله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استحباب السجود على التربة الحسينية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روى محمد بن الحسن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معاوية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لأبي عبد الله علیه السلام ، خريطة ديباج صفراء فيها تربة أبي عبد الله علیه السلام ، فكان إذا حضرته الصلاة صبَّه على سجادته وسجد عليه،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السجود على تربة أبي عبد الله علیه السلام ، يخرق الحجب السبع</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434" w:name="pg7448_77001"/>
    </w:p>
    <w:p>
      <w:pPr>
        <w:pStyle w:val="BookText"/>
        <w:rPr/>
      </w:pPr>
      <w:bookmarkEnd w:id="434"/>
      <w:r>
        <w:rPr>
          <w:rFonts w:ascii="Amiri" w:hAnsi="Amiri" w:eastAsia="Amiri" w:cs="Amiri"/>
          <w:color w:val="111111"/>
          <w:sz w:val="28"/>
          <w:sz w:val="28"/>
          <w:szCs w:val="28"/>
          <w:rtl w:val="true"/>
          <w:lang w:bidi="ar-SA"/>
        </w:rPr>
        <w:t>ولم يرد مثل هذا الاستحباب في أيِّ بقعة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دلالة الطائفتين الأخيرتين على الأفضلية، بأنَّ جواز التناول، واستحباب السجود عليها، يدلّ على الفضل وعلو المقام في نفسه، ولا يدل على الأفضلية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طوائف ست يمكن أن يُستفاد منها أفضلية كربلاء على غيرها من البقاع، ولعلَّ المتتبع يجد طوائف أُخر تدلّ على المطلوب، اقتصرنا على هذه لحصول الغرض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انتهينا من عرض البقاع المفضَّلة، وعرض رواياتها، وما يمكن الاستدلال به عليها، وقد اتضح أنَّ المهم من هذه البقاع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اتضاح المناقشة في أدلة أفضلية المدينة وعرفات؛ حيث اتضح عدم تمامية الروايات المستدل بها على أفضلية المدينة وعرفات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الآن نشرع في بيان طرق الجمع بين طوائف تفضيل مكة، وطوائف تفضيل كربلاء، أو معالجة التعارض بينها أو الترجيح</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1936954_1051229030"/>
      <w:bookmarkStart w:id="436" w:name="_Toc162"/>
      <w:bookmarkEnd w:id="435"/>
      <w:r>
        <w:rPr>
          <w:rtl w:val="true"/>
        </w:rPr>
        <w:t>معالجة التعارض بين المجموعتين أو ترجيح إحداهما على الأُخرى</w:t>
      </w:r>
      <w:bookmarkEnd w:id="436"/>
    </w:p>
    <w:p>
      <w:pPr>
        <w:pStyle w:val="BookText"/>
        <w:rPr/>
      </w:pPr>
      <w:r>
        <w:rPr>
          <w:rFonts w:ascii="Amiri" w:hAnsi="Amiri" w:eastAsia="Amiri" w:cs="Amiri"/>
          <w:color w:val="111111"/>
          <w:sz w:val="28"/>
          <w:sz w:val="28"/>
          <w:szCs w:val="28"/>
          <w:rtl w:val="true"/>
          <w:lang w:bidi="ar-SA"/>
        </w:rPr>
        <w:t>اتضح ممّا تقدّم أنَّ روايات تفضيل مكة تقع ضمن خمس طوائف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إنَّ البيت أوّل موضع خلقه الله تعالى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إنَّ مكة أكرم أرضٍ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مكة أفضل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العمل في مكة أفضل منه في سائر البقاع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كراهة السكنى في مكة؛ لأنَّه يُقسِّي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واتضح أنَّ روايات تفضيل كربلاء تقع ضمن ست طوائف 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إنَّ الله سبحانه قد اتخذ كربلاء حرماً آمناً، قبل أن يتخذ مكة حرماً آمناً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ما دلّ على أنَّ الله سبحانه قد خلق كربلاء قبل أن يخلق الكعبة بأربعة وعشرين ألف عام</w:t>
      </w:r>
      <w:r>
        <w:rPr>
          <w:rFonts w:eastAsia="Amiri" w:cs="Amiri" w:ascii="Amiri" w:hAnsi="Amiri"/>
          <w:color w:val="111111"/>
          <w:sz w:val="28"/>
          <w:szCs w:val="28"/>
          <w:rtl w:val="true"/>
          <w:lang w:bidi="ar-SA"/>
        </w:rPr>
        <w:t xml:space="preserve">. </w:t>
      </w:r>
      <w:bookmarkStart w:id="437" w:name="pg7448_77002"/>
    </w:p>
    <w:p>
      <w:pPr>
        <w:pStyle w:val="BookText"/>
        <w:rPr/>
      </w:pPr>
      <w:bookmarkEnd w:id="437"/>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ما دلّ على تفضيل كربلاء على أرض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كربلاء أكرم أرض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لا يجوز أكل الطين إلّا طين الحائر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يُستحب السجود على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تواجهنا الأسئلة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التوفيق بين ما دلّ على أنَّ الكعبة ـ ثمّ مكة ـ أوّل موضع خلقه الله تعالى، ثمّ دُحيت الأرض من تحته، فإنَّه يدلّ بإطلاقه على تقدّم خلقها على أرض كربلاء، وبين ما دلّ على أنّ أرض كربلاء هي أوّل ما خلق الله تعالى، وأنّها أسبق من خلق الكعبة بأربعة وعشرين ألف عام؟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التوفيق بين ما دلّ على أنّ الله سبحانه قد اتخذ مكة حرماً آمناً، كما نصت على ذلك الآيات الكريمات، والذي يدلّ بظاهره على أسبقية ذلك لمكة، وبين ما دلّ على أنَّه سبحانه قد اتخذ كربلاء حرماً آمناً، قبل أن يتخذ مكة حرماً آمناً؟</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يتم التوفيق بين ما دلّ على أفضلية مكة المكرّمة على سائر البقاع والتي منها كربلاء، وبين ما دلّ على أفضلية كربلاء على مكة المكرّمة؟</w:t>
      </w:r>
    </w:p>
    <w:p>
      <w:pPr>
        <w:pStyle w:val="BookText"/>
        <w:rPr/>
      </w:pPr>
      <w:r>
        <w:rPr>
          <w:rFonts w:ascii="Amiri" w:hAnsi="Amiri" w:eastAsia="Amiri" w:cs="Amiri"/>
          <w:color w:val="111111"/>
          <w:sz w:val="28"/>
          <w:sz w:val="28"/>
          <w:szCs w:val="28"/>
          <w:rtl w:val="true"/>
          <w:lang w:bidi="ar-SA"/>
        </w:rPr>
        <w:t>هذه أسئلة ثلاثة رئيسة نحاول فيما يلي الإجابة عنها</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936956_1051229030"/>
      <w:bookmarkStart w:id="439" w:name="_Toc163"/>
      <w:bookmarkEnd w:id="438"/>
      <w:r>
        <w:rPr>
          <w:rtl w:val="true"/>
        </w:rPr>
        <w:t>الإجابة عن السؤال الأوّل</w:t>
      </w:r>
      <w:r>
        <w:rPr>
          <w:rtl w:val="true"/>
        </w:rPr>
        <w:t>:</w:t>
      </w:r>
      <w:bookmarkEnd w:id="439"/>
    </w:p>
    <w:p>
      <w:pPr>
        <w:pStyle w:val="BookText"/>
        <w:rPr/>
      </w:pPr>
      <w:r>
        <w:rPr>
          <w:rFonts w:ascii="Amiri" w:hAnsi="Amiri" w:eastAsia="Amiri" w:cs="Amiri"/>
          <w:color w:val="111111"/>
          <w:sz w:val="28"/>
          <w:sz w:val="28"/>
          <w:szCs w:val="28"/>
          <w:rtl w:val="true"/>
          <w:lang w:bidi="ar-SA"/>
        </w:rPr>
        <w:t>ولا بدّ قبل بيان الجواب من لفت النظر إلى ما ذكره بعض المحققين في هذا المجال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ذكر محقق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اللئالي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شهاب الدين النجفي المرعشي   قدِّسَ سرُّه، أنَّ الأخبار قد استفاضت في أنّ أرض الكعبة أوّل أرض خُلقت على وجه الماء، ومنها دُحيت الأرض، وبه سُمِّيت أُمّ القرى، ثمّ ذكر بعد ذلك الوجوه المحتملة للجمع بين هذه الأخبار، والأخبار الدالة على أنَّ كربلاء قد خُلقت قبل الكعبة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ذكره هذا المحقق الجليل رحمة الله  قابل للمناقشة؛ فإنَّ مراجعة الأخبار المذكورة في مظانها يورث الشك في استفاضتها؛ إذ عمدة الأخبار في هذا المجال ما ذكره الشيخ الكليني في الكافي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ما خلق الله من الأرضين موضع البيت</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حيث ذكر سبعة أحاديث أغلبها ضعيف السند، قاصر الدلالة، ولو تنزلنا عن ضعف السند، لا نجد غير ثلاثة أحاديث تدلّ على المطلوب، وهذه لوحدها لا تشكل استفاضة كما يدعي السيّد المرعشي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مراجعة بقية كتب الحديث لا نجد غير ما ذكره الكليني، وبعض الأحاديث المرسلة التي ذكرها الشيخ الصدوق في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كتب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كتب العامّة، فقد نُقل هذا المعنى كقول لبعض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عباس، ومجاهد، ولم ينسبوا ذلك إلى النبي صلّى الله عليه و آله ، فلم يتحقق كونها رواية فضلاً عن الاستفاضة، وإذا كانت هناك روايات بهذا المعنى، فهي لا تبلغ حد الاستفاضة بكلِّ 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الصدد ذكر الطبري في جامع البيان في تفسير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أقوالاً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إنَّه أوّل بيت وضع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إنّه أوّل بيت وضع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إنّه خُلق قبل جميع الأرضين، ثمّ دُحيت الأرضون من تحته، ونسب هذا القول إلى مجاهد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ـ ما نقله عن السدي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يوم كانت الأرض ماءً، وكان زبدة على الأرض، فلمّا خلق الله الأرض، خلق البيت معها، فهو أوّل بيت وضع في الأرض</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وأنت تُلاحظ أنَّ الطبري قد ذكر أقوالاً متعددة في المسألة،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الكعبة خُلقت قبل الأرض وقد دُحيت الأرض من تحتها، ونسبه إلى بعض المفسرين، ولم يذكر له شاهداً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حتى لو اعتبرنا ما نقله الطبري عن ابن عباس ومجاهد، رواية، وضممنا ذلك إلى رواياتنا لم تحصل الاستفاضة التي ادعاها السيّد المرعشي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هذا الأمر نعود للإجابة عن السؤال،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طُرحت ثلاثة أجوبة عن هذا السؤال نذكرها فيما يلي، مع المناقشة إن وجدت، ثمّ نطرح الإجابة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أجاب السيّد المرعشي   قدِّسَ سرُّه بإمكان الجمع العرفي بين الطائفتين،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أرض كربلاء متقدِّم على خلق الكعبة، وليس متقدّماً على خلق أرضها</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أفاد</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نضيف إلى ما ذكر مطلباً يؤكد الجمع المذكور، إذ يدلّ عليه من الروايات ما جاء في رواية قد تقدّمت عند عرض روايات تفضيل كربلاء، عن أبي جعفر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تعالى كربلاء قبل أن يخلق الكعبة بأربعة وعشرين ألف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دلت على تقدّم خلق كربلاء على خلق الكعبة، ولكنّها لا تدلّ على تقدّم خلق كربلاء على أرض الكعبة، فمن هذه الناحية الرواية ساكتة، وحيث إنَّ روايات تقدّم خلق الكعبة قد دلت على تقدّم خلق أرضها على سائر الأرضين، كما في مرسلة الصدوق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بقعة خُلقت من الأرض الكعبة، ثمّ مُدّت الأرض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 الجمع المذكور؛ فيكون تقدّم خلق كربلاء على جسم الكعبة هو مقتضى روايات تقدّم كربلاء، بينما تقدّم أرض الكعبة على خلق كربلاء هو مقتضى روايات تقدّم الكعبة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أقصى ما يمكن أن يقال في الجواب الأوّل، الذي طرحه هذا المحقق مع المؤيدات، والشواهد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ذلك لا يمكن قبوله لمناقشتين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التفصيل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 أرض الكعبة متقدّم على خلق نفس الكعبة، وهذا يبتني على إعمال الدّقة غير العرفية في فهم النصوص والروايات، وهو أمر مرفوض كما قُرر في علم الأُصول، إذ الروايات إنّما أُلقيت على المخاطبين العرفيين، فلا بدّ من فهمها على طبق ما يفهمه الإنسان العرفي؛ 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الإنسان العرفي الرواية المتقدّمة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بقعة خُلقت من الأرض الكعبة، ثمّ مُدّت الأرض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أنّ الكعبة قد خُلقت قبل سائر بقاع الأرض، هي والبقعة التي بُنيت عليها، ولا يُفهم التفصيل بين جسمها وأرضها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الفهم ليس فهماً عرفياً، لاسيِّما وأنّ الرواية قد أطلقت لفظة البقعة على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أردنا مجاراة السيّد المرعشي   قدِّسَ سرُّه في الدّقة المذكورة، يلزم أن نحكم بتقدّم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 دون أرضها؛ لأنَّ الرواية المتقدّمة قد ذكرت خلق كربلاء دون أن تذكر أرضها، فلم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أرض كربلاء قبل أن يخلق الكعبة، وإنّما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كربلاء، وهذا شيء لا يمكن قبوله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الإجابة المتقدّمة إلّا 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الجمع مخالف لصريح بعض الروايات، من قبيل ما رواه ابن قولويه في كامل الزيارات بسنده، عن أبي سعيد، عن بعض رجاله،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الله أرض كربلاء حرماً آمناً مباركاً، قبل أن يخلق الله أرض الكعبة ويتخذها حرماً بأربعة وعشرين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 صرّحت بأنَّ تقدّم كربلاء كان على أرض الكعبة أيضاً، لا على الكعبة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ومع هاتين المناقشتين لا يمكن قبول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أجاب السيّد المرعشي   قدِّسَ سرُّه نفسه، بجواب آخر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تقدّم خلق كربلاء يمكن حملها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خلق الكعبة، تكون بمعنى الإيجاد؛ فيكون المراد أنَّ كربلاء أسبق من الكعبة تقديراً، بينما الكعبة أسبق من كربلاء وجوداً، ويتمُّ بذلك التوفيق بين الطائفتين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قرينة، وهي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لفظ الخلق يُطلق على معانٍ متعددة، ولكن أشهرها في الآيات والروايات، هو التقدير،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ومعه تكون هذه الشهرة قرينة صالحة لتفسير الخلق بالتقدير</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أقصى ما يمكن أن يُقرّب به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الجمع يواجه مناقشتين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شهرة المعنى لا تصلح للقرينة على حمل اللفظ على المعنى المشهور، ما لم تشكِّل الشهرة المذكورة ظهوراً في المعنى، أو انصرافاً إليه، ونحن عندما نقرأ الروايات المتقدّمة لا نشعر بهذا الظهور، أو بهذا الانصراف؛ ومعه نبقى بحاجة إلى قرينة إثباتية وإلّا يبقى الجمع المذكور جمعاً تبرعياً يفتقر إلى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صرنا إلى هذا الجمع؛ لأنّنا بحاجة إليه، لدفع التنافي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التنافي لا يبرّر الجمع المذكور، وإنّما يندفع التنافي بما يُقرر العرف من الفهم، فيكون العرف هو القرينة الدافعة للتنافي، وإلّا فيبقى التنافي على حاله، ويُصار حينئذٍ إلى مقتضيات قواعد التعارض حسبما هو مقرّر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شهرة المعنى لوحدها لا تكفي للقرينية، ما لم تشكل ظهوراً في الكلام، أو انصرافاً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المناقشة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في المعنى تصلح للقرينية على حمل الخلق </w:t>
      </w:r>
    </w:p>
    <w:p>
      <w:pPr>
        <w:pStyle w:val="BookText"/>
        <w:rPr/>
      </w:pPr>
      <w:r>
        <w:rPr>
          <w:rFonts w:ascii="Amiri" w:hAnsi="Amiri" w:eastAsia="Amiri" w:cs="Amiri"/>
          <w:color w:val="111111"/>
          <w:sz w:val="28"/>
          <w:sz w:val="28"/>
          <w:szCs w:val="28"/>
          <w:rtl w:val="true"/>
          <w:lang w:bidi="ar-SA"/>
        </w:rPr>
        <w:t>على التقدير،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ـ حسب الفرض ـ قاضية بحمل لفظ الخلق على التقدير في الموردين،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نحمل لفظ الخلق على معنى التقدير في روايات تقدّم كربلاء، كذلك نحمل لفظ الخلق على معنى التقدير في روايات تقدّم الكعبة، ولا معنى لتخصيص القرينة بمورد دون آخر، فإنّه ترجيح بلا مرجح،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جواب المحدّث الكاشاني في الوافي، نسبه إليه السيّد المرعشي   قدِّسَ سرُّه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بإمكاننا أن نحمل القبلية الواردة في روايات تقدّم كربلاء، على القبلية بالشرف، ونحمل الأعوام الواردة فيها على الدرجات؛ فيكون المعنى أنَّ كربلاء متقدّمةٌ على الكعبة بالشرف، وتفضلها بأربعة وعشرين ألف درجة، من درجات الشرف والفضيلة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الجواب لا يخلو من مناقشة واضحة؛ إذ هو مخالف لظاهر الروايات، فيحتاج إلى قرينة صارفة للظاهر، وهي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ثلاث محاولات لرفع التنافي بين الطائفتين، عثرت عليها عند مراجعة كلمات الأعلام، وقد اتضح ممّا تقدّم المناقشة فيها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الجواب الذي يخطر في البال، حيث يمكننا أن نتعامل مع الطائفتين تعامل المطلق والمقيد، فنجمع بينهما جمعاً عرفياً من خلال حمل المطلق على المقيد، أو تعامل الظاهر والصريح</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الدالة على تقدّم خلق الكعبة على سائر الأرض تدلّ على تقدّم خلقها على كربلاء بالإطلاق؛ إذ يُفهم منها أنَّ الكعبة قد خُلقت قبل المدينة، والكوفة، وبيت المقدس، والبصرة، وكربلاء، وهكذا، فهي ـ إذن ـ تدلّ على الأسبقية بالإطلاق، بينما الروايات الدالة على تقدّم خلق كربلاء على الكعبة، دلالتها على التقدّم دلالة مقيدة، فهي 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كربلاء قبل خلق سائر البقاع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قيّدت القبلية بالكعبة،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تعالى كربلاء قبل الكعبة، أو قبل أرض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ـ بحسب الفهم العرفي ـ أضيق دائرة من الروايات الدالة على تقدّم الكعبة؛ فنحمل إطلاق تلك الروايات على هذه الروايات المقيّدة،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bookmarkStart w:id="440" w:name="pg7448_77008"/>
    </w:p>
    <w:p>
      <w:pPr>
        <w:pStyle w:val="BookText"/>
        <w:rPr/>
      </w:pPr>
      <w:bookmarkEnd w:id="440"/>
      <w:r>
        <w:rPr>
          <w:rFonts w:ascii="Amiri" w:hAnsi="Amiri" w:eastAsia="Amiri" w:cs="Amiri"/>
          <w:color w:val="111111"/>
          <w:sz w:val="28"/>
          <w:sz w:val="28"/>
          <w:szCs w:val="28"/>
          <w:rtl w:val="true"/>
          <w:lang w:bidi="ar-SA"/>
        </w:rPr>
        <w:t>تعالى الكعبة قبل خلق سائر الأرض إلّا كربلاء، فإنّها أسبق من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روايات تقدّم الكعبة على أسبقيتها من كربلاء بالظهور، بينما دلالة تقدّم كربلاء على الكعبة صريحة، ومقتضى الجمع العرفي بينها حمل الظاهر لصالح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النتيجة التي حصلنا عليها لا تتنافى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لأنَّ المراد منه، أوّل بيت وضع لعبادة الله تعالى على الأرض، ولم يثبت كون المراد منه أوّل بيت خلقه الله تعالى من الأرض، وقد تقدّمت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انتهينا من الإجابة عن السؤال الأوّل</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1936958_1051229030"/>
      <w:bookmarkStart w:id="442" w:name="_Toc164"/>
      <w:bookmarkEnd w:id="441"/>
      <w:r>
        <w:rPr>
          <w:rtl w:val="true"/>
        </w:rPr>
        <w:t>الإجابة عن السؤال الثاني</w:t>
      </w:r>
      <w:bookmarkEnd w:id="442"/>
    </w:p>
    <w:p>
      <w:pPr>
        <w:pStyle w:val="BookText"/>
        <w:rPr/>
      </w:pPr>
      <w:r>
        <w:rPr>
          <w:rFonts w:ascii="Amiri" w:hAnsi="Amiri" w:eastAsia="Amiri" w:cs="Amiri"/>
          <w:color w:val="111111"/>
          <w:sz w:val="28"/>
          <w:sz w:val="28"/>
          <w:szCs w:val="28"/>
          <w:rtl w:val="true"/>
          <w:lang w:bidi="ar-SA"/>
        </w:rPr>
        <w:t>تقدّم منَّا عرض الآيات الكريمة الدالة على أنَّ الله سبحانه قد اتخذ مكة حرماً آمناً، وعند التأمل فيها يتضح أنّها لا تنفي أنّه سبحانه قد اتخذ بلداً آخر حرماً آمناً، إلّا بناءً على ثبوت المفهوم للوصف، وقد تقرّر في علم الأُصول عدم ثبوته؛ ومعه فالآيات لا تدلّ على أنَّ الله سبحانه قد اتخذ مكة حرماً آمناً فقط، ولم يتخذ غيرها، وبهذا تسلم روايات كربلاء الدالة على أنَّ الله سبحانه قد اتخذ كربلاء حرماً آمناً، قبل أن يتخذ مكة حرماً آمناً من المعارضة والمنافاة؛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وتعالى قد اتخذ كربلاء حرماً آمناً، قبل أن يتخذ مكة حرماً آمناً بأربعة وعشرين ألف عام</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936960_1051229030"/>
      <w:bookmarkStart w:id="444" w:name="_Toc165"/>
      <w:bookmarkEnd w:id="443"/>
      <w:r>
        <w:rPr>
          <w:rtl w:val="true"/>
        </w:rPr>
        <w:t>الإجابة عن السؤال الثالث</w:t>
      </w:r>
      <w:r>
        <w:rPr>
          <w:rtl w:val="true"/>
        </w:rPr>
        <w:t>:</w:t>
      </w:r>
      <w:bookmarkEnd w:id="44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خلال الإجابة عن السؤال الأوّل يمكننا أن نُجيب عن هذا السؤال وبنفس الطريقة التي سلكناها هناك،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النصوص الدالة على أفضلية مكة، تدلّ على أفضليتها على سائر البقاع، ومنها كربلاء بالإطلاق، بينما روايات أفضلية كربلاء، </w:t>
      </w:r>
    </w:p>
    <w:p>
      <w:pPr>
        <w:pStyle w:val="BookText"/>
        <w:rPr/>
      </w:pPr>
      <w:r>
        <w:rPr>
          <w:rFonts w:ascii="Amiri" w:hAnsi="Amiri" w:eastAsia="Amiri" w:cs="Amiri"/>
          <w:color w:val="111111"/>
          <w:sz w:val="28"/>
          <w:sz w:val="28"/>
          <w:szCs w:val="28"/>
          <w:rtl w:val="true"/>
          <w:lang w:bidi="ar-SA"/>
        </w:rPr>
        <w:t>تدلّ على أفضليتها على مكة صريحاً، حيث صرّحت بأفضليتها على مكة، وبتطبيق قاعدة الجمع العرفي القائلة بلزوم حمل المطلق على المقيد، أو الظاهر على الصريح، نحمل نصوص أفضلية مكة المطلقة، على روايات أفضلية كربلاء المقيدة؛ وتصير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أفضل من سائر البقاع إلّا كربلاء؛ فإنّها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ينبغي أن تكون النتيجة حسبما تقتضيه قواعد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كلّه يتم بناءً على تمامية أسانيد روايات تفضيل كربلاء، وهي لا تتم إلّا بناءً على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كبرى وثاقة كلّ مَن جاء في أسانيد كامل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وثاقة بعض مَن ورد اسمه في الأسانيد،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اختلفت كلمات أعلام الرجال في وثاقته وعدمها، والصحيح لدينا وثاقته واعتبار رواياته، وقد أثبتنا ذلك في محلّه، بل هو معتمد لدى جملة من المتأخرين أيضاً</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بنينا على تمامية كلا الأمرين أو أحدهما أمكن المصير إلى النتيجة المتقدّمة، والتي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أفضلية كربلاء على مكة المكرّمة، وأمّا إذا لم نبن على شيء من ذلك فلا يمكن المصير إليه؛ لأنَّ روايات تفضيل مكة بعضها تام السند بلا إشكال، يُضاف إلى ذلك أنّها مدعومة بدلالة الكتاب العزيز المحتملة على أفضليتها، وقد تقدّم منّا عرض الآيات وتقريب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الآيات والروايات على تفضيل مكة تامّة من حيث السند والدلالة، ولكن الخروج عن هذا الأصل اللفظي لا يكون إلّا بحجة؛ وحيث إنّ روايات كربلاء تتوقف تماميتها على تمامية أسانيدها، لا يمكننا المصير إلى تفضيل كربلاء، ما لم يتم لدينا أحد المبنيين الرجاليين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نود الإشارة إلى بعض الملاحظات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لم نتعرّض إلى كيفية التعامل مع باقي الطوائف التي ذكرناها عند عرضنا </w:t>
      </w:r>
    </w:p>
    <w:p>
      <w:pPr>
        <w:pStyle w:val="BookText"/>
        <w:rPr/>
      </w:pPr>
      <w:r>
        <w:rPr>
          <w:rFonts w:ascii="Amiri" w:hAnsi="Amiri" w:eastAsia="Amiri" w:cs="Amiri"/>
          <w:color w:val="111111"/>
          <w:sz w:val="28"/>
          <w:sz w:val="28"/>
          <w:szCs w:val="28"/>
          <w:rtl w:val="true"/>
          <w:lang w:bidi="ar-SA"/>
        </w:rPr>
        <w:t>لروايات تفضيل مكة، وروايات تفضيل كربلاء، واقتصرنا على الطوائف الثلاث الأُول، وذلك؛ لأنَّ المهم منها هو ما ذكرناه، وأمّا بقية الطوائف، فهي تصلح للتأييد والتأكيد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ذكرنا فيما تقدّم أنّ هناك بقاعاً في ضمن مكة، دلت بعض الروايات على أنّها أفضل البقاع، فما هو الموقف منها؟</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يمكننا أن نتعامل معها كما تعاملنا مع روايات تفضيل مكة، حيث يمكن أن نجمع بينها وبين روايات تفضيل كربلاء، بالإطلاق والتقييد، أو الظاهر والصريح، بعد الالتفات إلى قضية مهمة، وهي أنّ الركن اليماني جزء من الكعبة، وكذا الحطيم قبل أن يتم فصل المقام عن جدار الكعبة؛ فإنّه كان جزءاً من الكعبة أيضاً، وإذا ثبت تفضيل كربلاء على الكعبة، وسائر مكة، يتم تفضيلها على المكانين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قد تسأل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المبحوث عنه هو تفضيل كربلاء كبلد، على مكة البلد أيضاً، وليس الكلام في تفضيل كربلاء، على خصوص الكعبة، أو نحو ذلك؟</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تفضيل كربلاء على الكعبة، يثبت التفضيل على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تستطع أن تثبت تفضيل كربلاء على الكعبة، حتى بناءً على تمامية أسانيد روايات كربلاء، وإنّما أقصى ما تثبته، تقدّم خلق كربلاء على خلق الكعبة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منّا سابقاً تقريب دلالة الأسبقية على الأفضلية والأشرفية، حيث ذكرنا قرينتين يُستفاد منهما أنّ الأسبقية في الخلق، تستلزم الأفضلية والأشرفية، فراجع</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5" w:name="pg7448_77012"/>
      <w:bookmarkStart w:id="446" w:name="pg7448_77012"/>
      <w:bookmarkEnd w:id="446"/>
    </w:p>
    <w:p>
      <w:pPr>
        <w:pStyle w:val="Heading3"/>
        <w:numPr>
          <w:ilvl w:val="2"/>
          <w:numId w:val="1"/>
        </w:numPr>
        <w:rPr/>
      </w:pPr>
      <w:bookmarkStart w:id="447" w:name="pg7448_77012"/>
      <w:bookmarkStart w:id="448" w:name="__RefHeading___Toc1936962_1051229030"/>
      <w:bookmarkStart w:id="449" w:name="_Toc166"/>
      <w:bookmarkEnd w:id="447"/>
      <w:bookmarkEnd w:id="448"/>
      <w:r>
        <w:rPr>
          <w:rtl w:val="true"/>
        </w:rPr>
        <w:t>تَعظِيمُ الشَعَائِرَ الحُسَينِيَّة تَعظِيمٌ لحُرُمَاتِ اللهِ تَعَالى</w:t>
      </w:r>
      <w:bookmarkEnd w:id="449"/>
    </w:p>
    <w:p>
      <w:pPr>
        <w:pStyle w:val="Heading4"/>
        <w:numPr>
          <w:ilvl w:val="3"/>
          <w:numId w:val="1"/>
        </w:numPr>
        <w:rPr/>
      </w:pPr>
      <w:bookmarkStart w:id="450" w:name="__RefHeading___Toc1936964_1051229030"/>
      <w:bookmarkStart w:id="451" w:name="_Toc167"/>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ميّاسة مهدي شبع</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يُعدّ البحث في موضوع الشعائر الحسينيّة من البحوث المهمّة والحسّاسة والفاعلة في زماننا الحاضر؛ لما نراه اليوم من توجّه وحضور شعبي واسع ولافت نحو إحياء شعائر ومراسم النهضة الحسينيّة الخالدة، وقد أضحت طقوساً مليونيّة يتابعها ويراقبها العالم بأسره، ولا شكّ في أنّ أُسس وقواعد تلك الشعائر المباركة هي الآيات القرآنية والتوجيهات والروايات الصادرة عن أهل بيت النبوة علیهم السلام ، والتي لا يتحرّك أتباع أهل البيت علیهم السلام  ولا يسيرون إلّا بهديها، ولا يتمسّكون إلّا بحبلها؛ ولذا سننطلق في هذا البحث مستهدين بالثقلين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الكتاب والعترة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لنرى مكانة الشعائر الحسينيّة في مضامين النصوص المباركة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ونبتدئ البحث بقول الله تعالى في محكم كتابه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وَمَنْ يُعَظِّمْ حُرُمَاتِ اللَّهِ فَهُوَ خَيْرٌ لَهُ عِنْدَ رَبِّهِ </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الحرمات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حُرْمة، وهي ما لا يَحلُّ انتهاكه من ذمّة، أو حقٍّ، أو صحبة،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وجب القيام به، وحرُم التفريط به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452" w:name="pg7448_77013"/>
    </w:p>
    <w:p>
      <w:pPr>
        <w:pStyle w:val="BookText"/>
        <w:rPr/>
      </w:pPr>
      <w:bookmarkEnd w:id="452"/>
      <w:r>
        <w:rPr>
          <w:rFonts w:ascii="Amiri" w:hAnsi="Amiri" w:eastAsia="Amiri" w:cs="Amiri"/>
          <w:color w:val="111111"/>
          <w:sz w:val="28"/>
          <w:sz w:val="28"/>
          <w:szCs w:val="28"/>
          <w:rtl w:val="true"/>
          <w:lang w:bidi="ar-SA"/>
        </w:rPr>
        <w:t>ولمّا نستقرئ النصوص الشرعيّة نجد أنّها قد ذكرت مصاديق متعدّدة للحرمات، نذكر منها على سبيل المثال ما يأتي</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936966_1051229030"/>
      <w:bookmarkStart w:id="454" w:name="_Toc168"/>
      <w:bookmarkEnd w:id="453"/>
      <w:r>
        <w:rPr/>
        <w:t>١</w:t>
      </w:r>
      <w:r>
        <w:rPr>
          <w:rtl w:val="true"/>
        </w:rPr>
        <w:t>ـ الحرمات الزمانية</w:t>
      </w:r>
      <w:bookmarkEnd w:id="4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عِدَّةَ الشُّهُورِ عِنْدَ اللَّهِ اثْنَا عَشَرَ شَهْرًا فِي كِتَابِ اللَّهِ يَوْمَ خَلَقَ السَّمَاوَاتِ وَالْأَرْضَ مِنْهَا أَرْبَعَةٌ حُرُمٌ </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والأشهر الحرم الأربعة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القعدة، وذو الحجّة، والمحرّم، ورجب</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بالنقل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الله هذه الأشهر الأربعة حُرماً؛ ليكفّ الناس فيها عن القتال، وينبسط عليهم بساط الأمن، ويأخذوا فيها الأُهبة للسعادة، ويرجعوا إلى ربّهم بالطاعات والقربات</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5" w:name="__RefHeading___Toc1936968_1051229030"/>
      <w:bookmarkStart w:id="456" w:name="_Toc169"/>
      <w:bookmarkEnd w:id="455"/>
      <w:r>
        <w:rPr/>
        <w:t>٢</w:t>
      </w:r>
      <w:r>
        <w:rPr>
          <w:rtl w:val="true"/>
        </w:rPr>
        <w:t>ـ الحرُمات المكانيّة</w:t>
      </w:r>
      <w:bookmarkEnd w:id="45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الحرمات المكانيّة التي نصّ عليها القرآن الكريم هو بيت الله الحرام،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الْكَعْبَةَ الْبَيْتَ الْحَرَامَ</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ولقدسية هذا المكان وعظمته جُعل المسجد الذي فيه البيت الحرام مسجداً حراماً أيضاً،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تُقَاتِلُوهُمْ عِنْدَ الْمَسْجِدِ الْحَرَامِ </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بل شملت الحرمة أيضاً البلد الذي احتضن البيت الحرام،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أُمِرْتُ أَنْ أَعْبُدَ رَبَّ هَذِهِ الْبَلْدَةِ الَّذِي حَرَّمَهَا وَلَهُ كُلُّ شَيْءٍ </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قال الشيخ الطبرسي ـ معقباً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جعلها حرماً آمنا يحرم فيها ما يحلُّ في غيرها، لا ينفر صيدها، ولا يُختلى خلالها، ولا يُقتصّ فيها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457" w:name="pg7448_77014"/>
    </w:p>
    <w:p>
      <w:pPr>
        <w:pStyle w:val="Heading4"/>
        <w:numPr>
          <w:ilvl w:val="3"/>
          <w:numId w:val="1"/>
        </w:numPr>
        <w:rPr/>
      </w:pPr>
      <w:bookmarkStart w:id="458" w:name="__RefHeading___Toc1936970_1051229030"/>
      <w:bookmarkStart w:id="459" w:name="_Toc170"/>
      <w:bookmarkEnd w:id="457"/>
      <w:bookmarkEnd w:id="458"/>
      <w:r>
        <w:rPr/>
        <w:t>٣</w:t>
      </w:r>
      <w:r>
        <w:rPr>
          <w:rtl w:val="true"/>
        </w:rPr>
        <w:t>ـ الحرمات الشعائريّة</w:t>
      </w:r>
      <w:bookmarkEnd w:id="459"/>
    </w:p>
    <w:p>
      <w:pPr>
        <w:pStyle w:val="BookText"/>
        <w:rPr/>
      </w:pPr>
      <w:r>
        <w:rPr>
          <w:rFonts w:ascii="IRNazanin" w:hAnsi="IRNazanin" w:eastAsia="IRNazanin"/>
          <w:color w:val="111111"/>
          <w:sz w:val="28"/>
          <w:sz w:val="28"/>
          <w:szCs w:val="28"/>
          <w:rtl w:val="true"/>
          <w:lang w:bidi="fa-IR"/>
        </w:rPr>
        <w:t xml:space="preserve">بدلالة 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ـ محل البحث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وَمَنْ يُعَظِّمْ حُرُمَاتِ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ذلك،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شرّعناه لإبراهيم علیه السلام  ومن بعده من نُسك الحجّ، هو ذلك الذي ذكرناه وأشرنا إليه من الإحرام، والطواف، والصلاة، والتضحية بالإخلاص لله، والتجنب عن الشرك</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وحينما نراجع الآيات التي تسبق هذه الآية نجدها تتحدّث عن مناسك الحجّ،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ومن المعلوم أنّ مناسك الحجّ وشعائره تسمّى شعائر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 وَالْمَرْوَةَ مِنْ شَعَائِرِ اللَّهِ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وَالْبُدْنَ جَعَلْنَاهَا لَكُمْ مِنْ شَعَائِرِ اللَّهِ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فلذا صحّ أن نُطلق على هذا النوع من الحرمات بالحرمات الشعائرية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936972_1051229030"/>
      <w:bookmarkStart w:id="461" w:name="_Toc171"/>
      <w:bookmarkEnd w:id="460"/>
      <w:r>
        <w:rPr/>
        <w:t>٤</w:t>
      </w:r>
      <w:r>
        <w:rPr>
          <w:rtl w:val="true"/>
        </w:rPr>
        <w:t>ـ الحرمات البشريّة</w:t>
      </w:r>
      <w:bookmarkEnd w:id="46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تُثبت النصوص الشرعية حرمةً ومكانةً خاصّة للإنسان، فالله تعالى خلق الإنسان وكرّمه وفضّله على سائر المخلوقات، ولكن ليس المراد ثبوت تلك الحرمة والكرامة لمطلق البشر؛ لأنّ هناك أفراداً لا حرمة لهم، كالمرتدّ وغيره من الضُلّال، فهم بتعبير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هُمْ إِلَّا كَالْأَنْعَامِ بَلْ هُمْ أَضَلُّ سَبِيلًا </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ولكن في قبال ذلك ثبتت </w:t>
      </w:r>
    </w:p>
    <w:p>
      <w:pPr>
        <w:pStyle w:val="BookText"/>
        <w:rPr/>
      </w:pPr>
      <w:r>
        <w:rPr>
          <w:rFonts w:ascii="Amiri" w:hAnsi="Amiri" w:eastAsia="Amiri" w:cs="Amiri"/>
          <w:color w:val="111111"/>
          <w:sz w:val="28"/>
          <w:sz w:val="28"/>
          <w:szCs w:val="28"/>
          <w:rtl w:val="true"/>
          <w:lang w:bidi="ar-SA"/>
        </w:rPr>
        <w:t xml:space="preserve">الحرمة والكرامة الخاصّة لبعض البشر، فالمسلم مثلاً بصورة عامّة له تلك الحرمة، 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على المسلم حرام ماله ودمه وعرضه</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وتنصّ المصادر الإسلامية أيضاً على أنّ حرمة المؤمن من أعظم الحرمات،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الحرمات الزمانيّة والمكانيّة والشعائريّة، فقد جاء في مصادر أهل العامّة من المسلمين ما يتضمّن بياناً واضحاً للحرمة المذكورة، من ذلك ما رُوي عَنْ جَابِرٍ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 فِي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يَوْمٍ أَعْظَمَ 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أَفَتَدْرُونَ أَيُّ بَلَدٍ أَعْظَمُ 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حَرَامٌ كَحُرْمَةِ يَوْمِكُمْ هَذَا فِي شَهْرِكُمْ هَذَا فِي بَلَدِكُمْ هَذَا</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 أنّ رسول الله صلّى الله عليه و آله نظر إلى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بالبيت، ما أعظمك وأعظم حرمتك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لَلمؤمن أعظم حرمةً منك</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هذا المنطلق ـ وفي ضوء تلك الحرمة العظيمة والمنزلة الرفيعة ـ حذَّر النبي الأكرم صلّى الله عليه و آله وأهل بيته الأطهار علیهم السلام  من إلحاق أيّ أذى بالمؤمن، فعن رسول الله صلّى الله عليه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مؤمناً فقد آذاني، ومَن آذاني فقد آذى الله، ومَن آذى الله فعليه لعنة الله والملائكة والناس أجمعين</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وبطبيعة الحال كلّما ازداد المؤمن إيماناً وارتقى في درجات إيمانه كلّما عظمت حرمته ومنزلته؛ ولذا كان أعظم البشر حرمةً عند الله تعالى هم محمد صلّى الله عليه و آله وأهل بيته الطاهرين علیهم السلام ، وقد ورد التصريح بهذه الحقيقة في الأخبار المتواترة من طُرق الفريقين، نذكر منها على سبيل الاستشهاد ما جاء في مصادر الخاصّة عن أبي عبد الله علیه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بلاده خمس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رسول الله صلّى الله عليه و آله ، وحرمة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وحرمة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وحرمة كعبة الله، وحرمة المؤمن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الضوء وبما أنّ الحسين علیه السلام  من أعاظم أهل البيت الطاهرين المطهَّرين، بل تؤكّد المصادر الإسلامية والنصوص الدينيّة المتضافرة على أنّ للحسين علیه السلام  خصوصية في ذلك البيت المبارك، في ضوء ذلك كلّه جاءت الروايات الشريفة المتواترة لتؤكّد على المنزلة والحرمة الخاصّة للإمام الحسين علیه السلام  التي استُحلّت واستُبيحت يوم عاشوراء، ومن تلك الروايات ما ورد عن الإمام الصادق علیه السلام  في زيارته للحسين بن علي علیه السلام ؛ 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أُمَّةً اسْتَحَلَّتْ مِنْكَ الَمحارِمَ وانْتَهَكَتْ فِيكَ حُرمَةَ الإسلامِ</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وحصيلة ما نفهمه بعد ذكر مصاديق 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يأمرنا بأن نُعظّم تلك الحرمات جميعاً؛ فيكون المعنى المفهوم والمستخلص من الآية المباركة شاملاً لكلّ هذه المعاني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ومَن يعظّم الأشهر الحرم فهو خيرٌ له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ومَن يعظّم الكعبة والمسجد الحرام فهو خيرٌ له عند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ومَن يعظّم شعائر الله فهو خيرٌ له عند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أعظم الحرمات عند الله تعالى هم محمد صلّى الله عليه و آله وأهل بيته الأطهار علیهم السلام ؛ فيكون المعنى المستخلص من الآية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ومَن يعظّم محمداً وآل محمد فهو خيرٌ له عند ربّه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وعظّم الشيء في اللغة</w:t>
      </w:r>
      <w:r>
        <w:rPr>
          <w:rStyle w:val="FootnoteAnchor"/>
          <w:rtl w:val="true"/>
        </w:rPr>
        <w:footnoteReference w:id="565"/>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كبَّره، فخَّمه، بجَّله، وقَّره، احترمه وأجلَّه</w:t>
      </w:r>
      <w:r>
        <w:rPr>
          <w:rFonts w:eastAsia="Amiri" w:cs="Amiri" w:ascii="Amiri" w:hAnsi="Amiri"/>
          <w:color w:val="111111"/>
          <w:sz w:val="28"/>
          <w:szCs w:val="28"/>
          <w:rtl w:val="true"/>
          <w:lang w:bidi="ar-SA"/>
        </w:rPr>
        <w:t xml:space="preserve">. </w:t>
      </w:r>
      <w:bookmarkStart w:id="462" w:name="pg7448_77017"/>
    </w:p>
    <w:p>
      <w:pPr>
        <w:pStyle w:val="BookText"/>
        <w:rPr/>
      </w:pPr>
      <w:bookmarkEnd w:id="462"/>
      <w:r>
        <w:rPr>
          <w:rFonts w:ascii="Amiri" w:hAnsi="Amiri" w:eastAsia="Amiri" w:cs="Amiri"/>
          <w:color w:val="111111"/>
          <w:sz w:val="28"/>
          <w:sz w:val="28"/>
          <w:szCs w:val="28"/>
          <w:rtl w:val="true"/>
          <w:lang w:bidi="ar-SA"/>
        </w:rPr>
        <w:t>ومن الواضح أنّ تعظيم الشعائر الإلهية يتفاوت بحسب نوع الشعيرة التي يرتبط بها التعظيم، فإن كانت الشعيرة هي البُدن فتعظيمها استسمانها، وإن كانت هي دين الله تعالى فتعظيمها الالتزام بها، وإن كانت هي مناسك الحجّ فتعظيمها بأداء الأعمال المرتبطة بها، كالسعي والطواف، وهكذا بالنسبة إلى سائر الشعائر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والسؤال المطروح في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يمكننا أن نُعظّم أهل البيت علیهم السلام ؛ كي ننال بذلك الخير والبركة ورضى الله تعالى؟</w:t>
      </w:r>
    </w:p>
    <w:p>
      <w:pPr>
        <w:pStyle w:val="BookText"/>
        <w:rPr/>
      </w:pPr>
      <w:r>
        <w:rPr>
          <w:rFonts w:ascii="IRNazanin" w:hAnsi="IRNazanin" w:eastAsia="IRNazanin"/>
          <w:color w:val="111111"/>
          <w:sz w:val="28"/>
          <w:sz w:val="28"/>
          <w:szCs w:val="28"/>
          <w:rtl w:val="true"/>
          <w:lang w:bidi="fa-IR"/>
        </w:rPr>
        <w:t>وفي مقام الإجابة عن هذا التساؤل المهم نقول بنحو الإيجاز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تعظيم مقام أهل البيت علیهم السلام  يستطيع الفرد المؤمن أن يحقّقه من خلال ممارسة جملة من الأُمور، نذكر منها ما يلي</w:t>
      </w:r>
      <w:r>
        <w:rPr>
          <w:rFonts w:eastAsia="IRNazanin" w:cs="IRNazanin"/>
          <w:color w:val="111111"/>
          <w:sz w:val="28"/>
          <w:szCs w:val="28"/>
          <w:rtl w:val="true"/>
          <w:lang w:bidi="fa-IR"/>
        </w:rPr>
        <w:t>:</w:t>
      </w:r>
    </w:p>
    <w:p>
      <w:pPr>
        <w:pStyle w:val="Heading4"/>
        <w:numPr>
          <w:ilvl w:val="3"/>
          <w:numId w:val="1"/>
        </w:numPr>
        <w:rPr/>
      </w:pPr>
      <w:bookmarkStart w:id="463" w:name="__RefHeading___Toc1936974_1051229030"/>
      <w:bookmarkStart w:id="464" w:name="_Toc172"/>
      <w:bookmarkEnd w:id="463"/>
      <w:r>
        <w:rPr/>
        <w:t>١</w:t>
      </w:r>
      <w:r>
        <w:rPr>
          <w:rtl w:val="true"/>
        </w:rPr>
        <w:t>ـ تعظيم أهل البيت  علیهم السلام  من خلال إحياء أمرهم</w:t>
      </w:r>
      <w:bookmarkEnd w:id="464"/>
    </w:p>
    <w:p>
      <w:pPr>
        <w:pStyle w:val="BookText"/>
        <w:rPr/>
      </w:pPr>
      <w:r>
        <w:rPr>
          <w:rFonts w:ascii="IRNazanin" w:hAnsi="IRNazanin" w:eastAsia="IRNazanin"/>
          <w:color w:val="111111"/>
          <w:sz w:val="28"/>
          <w:sz w:val="28"/>
          <w:szCs w:val="28"/>
          <w:rtl w:val="true"/>
          <w:lang w:bidi="fa-IR"/>
        </w:rPr>
        <w:t>لقد تضافرت الأحاديث من طرق أهل البيت علیهم السلام  بوجوب إحياء أمرهم، لكن يبقى التساؤل عن كيفيّة الإحياء وآلياته، فكيف يمكننا أن نُحيي أمرهم؟ وقد أجاب الإمام الرضا علیه السلام  حينما سُئل عن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أحيى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يُحيى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يتعلّم علومنا ويعلّمها الناس، فإنّ الناس لو علموا معالم ديننا لاتّبعونا</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ويُعدّ هذا جانباً مهمّاً من جوانب إحياء أمرهم علیهم السلام ، وهناك جوانب أُخرى أيضاً سيأتي الإلماح لها لاحقاً</w:t>
      </w:r>
      <w:r>
        <w:rPr>
          <w:rFonts w:eastAsia="IRNazanin" w:cs="IRNazanin"/>
          <w:color w:val="111111"/>
          <w:sz w:val="28"/>
          <w:szCs w:val="28"/>
          <w:rtl w:val="true"/>
          <w:lang w:bidi="fa-IR"/>
        </w:rPr>
        <w:t>.</w:t>
      </w:r>
    </w:p>
    <w:p>
      <w:pPr>
        <w:pStyle w:val="Heading4"/>
        <w:numPr>
          <w:ilvl w:val="3"/>
          <w:numId w:val="1"/>
        </w:numPr>
        <w:rPr/>
      </w:pPr>
      <w:bookmarkStart w:id="465" w:name="__RefHeading___Toc1936976_1051229030"/>
      <w:bookmarkStart w:id="466" w:name="_Toc173"/>
      <w:bookmarkEnd w:id="465"/>
      <w:r>
        <w:rPr/>
        <w:t>٢</w:t>
      </w:r>
      <w:r>
        <w:rPr>
          <w:rtl w:val="true"/>
        </w:rPr>
        <w:t>ـ تعظيمهم علیهم السلام  باتّباعهم وحمل أهدافهم</w:t>
      </w:r>
      <w:bookmarkEnd w:id="46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ذلك بالسير على نهجهم ومتابعتهم في أقوالهم وأفعالهم، وسلوكهم وأخلاقهم، وعقائدهم وآدابهم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 كتاب الله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467" w:name="pg7448_77018"/>
    </w:p>
    <w:p>
      <w:pPr>
        <w:pStyle w:val="Heading4"/>
        <w:numPr>
          <w:ilvl w:val="3"/>
          <w:numId w:val="1"/>
        </w:numPr>
        <w:rPr/>
      </w:pPr>
      <w:bookmarkStart w:id="468" w:name="__RefHeading___Toc1936978_1051229030"/>
      <w:bookmarkStart w:id="469" w:name="_Toc174"/>
      <w:bookmarkEnd w:id="467"/>
      <w:bookmarkEnd w:id="468"/>
      <w:r>
        <w:rPr/>
        <w:t>٣</w:t>
      </w:r>
      <w:r>
        <w:rPr>
          <w:rtl w:val="true"/>
        </w:rPr>
        <w:t>ـ التعظيم بزيارتهم علیهم السلام</w:t>
      </w:r>
      <w:bookmarkEnd w:id="469"/>
    </w:p>
    <w:p>
      <w:pPr>
        <w:pStyle w:val="BookText"/>
        <w:rPr/>
      </w:pPr>
      <w:r>
        <w:rPr>
          <w:rFonts w:ascii="IRNazanin" w:hAnsi="IRNazanin" w:eastAsia="IRNazanin"/>
          <w:color w:val="111111"/>
          <w:sz w:val="28"/>
          <w:sz w:val="28"/>
          <w:szCs w:val="28"/>
          <w:rtl w:val="true"/>
          <w:lang w:bidi="fa-IR"/>
        </w:rPr>
        <w:t>وهو من كمال العهد والوفاء لهم علیهم السلام ، كما رُوي ذلك عن الإمام الرضا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إمامٍ عهداً في عنق أوليائه وشيعته، وإنّ من تمام العهد زيارة قبورهم، فمَن زارهم رغبةً في زيارتهم وتصديقاً بما رغبوا فيه، كان أئمّتهم شفعاءهم يوم القيامة</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0" w:name="__RefHeading___Toc1936980_1051229030"/>
      <w:bookmarkStart w:id="471" w:name="_Toc175"/>
      <w:bookmarkEnd w:id="470"/>
      <w:r>
        <w:rPr/>
        <w:t>٤</w:t>
      </w:r>
      <w:r>
        <w:rPr>
          <w:rtl w:val="true"/>
        </w:rPr>
        <w:t>ـ التعظيم بالفرح لفرحهم والحزن لحزنهم علیهم السلام</w:t>
      </w:r>
      <w:bookmarkEnd w:id="471"/>
    </w:p>
    <w:p>
      <w:pPr>
        <w:pStyle w:val="BookText"/>
        <w:rPr/>
      </w:pPr>
      <w:r>
        <w:rPr>
          <w:rFonts w:ascii="IRNazanin" w:hAnsi="IRNazanin" w:eastAsia="IRNazanin"/>
          <w:color w:val="111111"/>
          <w:sz w:val="28"/>
          <w:sz w:val="28"/>
          <w:szCs w:val="28"/>
          <w:rtl w:val="true"/>
          <w:lang w:bidi="fa-IR"/>
        </w:rPr>
        <w:t xml:space="preserve">وقد ورد النصّ على ذلك في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خُلقوا من فاضل طينتنا، عُجنوا بماء ولايتنا، يحزنون لحزننا ويفرحون لفرحنا</w:t>
      </w:r>
      <w:r>
        <w:rPr>
          <w:rFonts w:eastAsia="IRNazanin" w:cs="IRNazanin"/>
          <w:color w:val="111111"/>
          <w:sz w:val="28"/>
          <w:szCs w:val="28"/>
          <w:rtl w:val="true"/>
          <w:lang w:bidi="fa-IR"/>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ـ ومن خلال النصوص الشرعية وأحاديث أهل البيت علیهم السلام  ـ نستنتج الاهتمام والتركيز على إحياء جانبين مهمّين،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المعرفي بإلقاء المحاضرات الدينيّة لتوعية أتباع أهل البيت علیهم السلام  وشيعتهم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 العاطفي عن طريق البكاء والنحيب واللطم ولبس السواد، بل حتى الضرب بالسلاسل وإقامة مراسم الشبيه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وإحياء كلّ رمز وشعيرة تعبِّر عن الحزن العميق على ما جرى من المآسي والمحن والمصائب على أئمّة أهل البيت علیهم السلام  وذراريهم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ونحاول فيما يلي تركيز البحث حول الشعائر الحسينيّة؛ لكونها تشكّل المعلم الأبرز لحديثنا في هذا المقال، ولكي نمارس هذه الشعائر المباركة بعقيدة راسخة وقناعة ثابتة لا تزعزعها الرياح الهوجاء من أعداء مذهب أهل البيت علیهم السلام ، الذين دأبوا على بثِّ سموم الشبهات والترهات في أذهان عامّة الناس والمستضعفين منهم، ليحرفوهم عن الصراط المستقيم؛ فينبغي ترسيخ هذه الشعائر في أنفسنا عن علم ومعرفة، وعن طريق الاطّلاع على الأدلّة التي تثبت مشروعيتها واستحبابها في الشريعة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الضوء نستعرض بعض تلك الأدلّة بنحو الإيجاز والاختصار</w:t>
      </w:r>
      <w:r>
        <w:rPr>
          <w:rFonts w:eastAsia="IRNazanin" w:cs="IRNazanin"/>
          <w:color w:val="111111"/>
          <w:sz w:val="28"/>
          <w:szCs w:val="28"/>
          <w:rtl w:val="true"/>
          <w:lang w:bidi="fa-IR"/>
        </w:rPr>
        <w:t xml:space="preserve">: </w:t>
      </w:r>
      <w:bookmarkStart w:id="472" w:name="pg7448_77019"/>
    </w:p>
    <w:p>
      <w:pPr>
        <w:pStyle w:val="Heading4"/>
        <w:numPr>
          <w:ilvl w:val="3"/>
          <w:numId w:val="1"/>
        </w:numPr>
        <w:rPr/>
      </w:pPr>
      <w:bookmarkStart w:id="473" w:name="__RefHeading___Toc1936982_1051229030"/>
      <w:bookmarkStart w:id="474" w:name="_Toc176"/>
      <w:bookmarkEnd w:id="472"/>
      <w:bookmarkEnd w:id="473"/>
      <w:r>
        <w:rPr>
          <w:rtl w:val="true"/>
        </w:rPr>
        <w:t>الأدلّة على مشروعيّة الشعائر الحسينيّة</w:t>
      </w:r>
      <w:bookmarkEnd w:id="474"/>
    </w:p>
    <w:p>
      <w:pPr>
        <w:pStyle w:val="Heading5"/>
        <w:numPr>
          <w:ilvl w:val="4"/>
          <w:numId w:val="1"/>
        </w:numPr>
        <w:rPr/>
      </w:pPr>
      <w:bookmarkStart w:id="475" w:name="__RefHeading___Toc1936984_1051229030"/>
      <w:bookmarkStart w:id="476" w:name="_Toc177"/>
      <w:bookmarkEnd w:id="475"/>
      <w:r>
        <w:rPr>
          <w:rtl w:val="true"/>
        </w:rPr>
        <w:t>اشارة</w:t>
      </w:r>
      <w:bookmarkEnd w:id="476"/>
    </w:p>
    <w:p>
      <w:pPr>
        <w:pStyle w:val="BookText"/>
        <w:rPr/>
      </w:pPr>
      <w:r>
        <w:rPr>
          <w:rFonts w:ascii="IRNazanin" w:hAnsi="IRNazanin" w:eastAsia="IRNazanin"/>
          <w:color w:val="111111"/>
          <w:sz w:val="28"/>
          <w:sz w:val="28"/>
          <w:szCs w:val="28"/>
          <w:rtl w:val="true"/>
          <w:lang w:bidi="fa-IR"/>
        </w:rPr>
        <w:t>لقد تعرّض علماء مذهب أهل البيت علیهم السلام  ومنذ القدم لذكر البراهين والأدلّة على مشروعيّة الشعائر الحسينيّة، وقد احتشدت في هذا المجال طوائف كثيرة ورصينة من تلك الأدلّة، كلّها تُثبت وبوضوح استحباب ومطلوبيّة تلك الشعائر الإلهية، ونحاول فيما يلي أن نُشير بنحو الإجمال إلى بعضها</w:t>
      </w:r>
      <w:r>
        <w:rPr>
          <w:rFonts w:eastAsia="IRNazanin" w:cs="IRNazanin"/>
          <w:color w:val="111111"/>
          <w:sz w:val="28"/>
          <w:szCs w:val="28"/>
          <w:rtl w:val="true"/>
          <w:lang w:bidi="fa-IR"/>
        </w:rPr>
        <w:t>:</w:t>
      </w:r>
    </w:p>
    <w:p>
      <w:pPr>
        <w:pStyle w:val="Heading5"/>
        <w:numPr>
          <w:ilvl w:val="4"/>
          <w:numId w:val="1"/>
        </w:numPr>
        <w:rPr/>
      </w:pPr>
      <w:bookmarkStart w:id="477" w:name="__RefHeading___Toc1936986_1051229030"/>
      <w:bookmarkStart w:id="478" w:name="_Toc178"/>
      <w:bookmarkEnd w:id="477"/>
      <w:r>
        <w:rPr>
          <w:rtl w:val="true"/>
        </w:rPr>
        <w:t>الدليل الأوّل</w:t>
      </w:r>
      <w:r>
        <w:rPr>
          <w:rtl w:val="true"/>
        </w:rPr>
        <w:t xml:space="preserve">: </w:t>
      </w:r>
      <w:r>
        <w:rPr>
          <w:rtl w:val="true"/>
        </w:rPr>
        <w:t>من الكتاب العزيز</w:t>
      </w:r>
      <w:bookmarkEnd w:id="478"/>
    </w:p>
    <w:p>
      <w:pPr>
        <w:pStyle w:val="BookText"/>
        <w:rPr/>
      </w:pPr>
      <w:r>
        <w:rPr>
          <w:rFonts w:ascii="Amiri" w:hAnsi="Amiri" w:eastAsia="Amiri" w:cs="Amiri"/>
          <w:color w:val="111111"/>
          <w:sz w:val="28"/>
          <w:sz w:val="28"/>
          <w:szCs w:val="28"/>
          <w:rtl w:val="true"/>
          <w:lang w:bidi="ar-SA"/>
        </w:rPr>
        <w:t>حينما نقف على مضامين الآيات القرآنية، نجد أنّ جملة وافرة منها قد أشارت وبوضوح إلى استحباب إحياء تلك الشعائر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نمرّ على بعض هذه الآيات المباركة مع الإشارة إجمالاً إلى وجه الاستدلال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محل البحث،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حُرُمَاتِ اللَّهِ فَهُوَ خَيْرٌ لَهُ عِنْدَ رَبِّهِ</w:t>
      </w:r>
      <w:r>
        <w:rPr>
          <w:rFonts w:eastAsia="Amiri" w:cs="Amiri" w:ascii="Amiri" w:hAnsi="Amiri"/>
          <w:color w:val="111111"/>
          <w:sz w:val="28"/>
          <w:szCs w:val="28"/>
          <w:rtl w:val="true"/>
          <w:lang w:bidi="ar-SA"/>
        </w:rPr>
        <w:t>»</w:t>
      </w:r>
      <w:r>
        <w:rPr>
          <w:rStyle w:val="FootnoteAnchor"/>
          <w:rtl w:val="true"/>
        </w:rPr>
        <w:footnoteReference w:id="570"/>
      </w:r>
      <w:r>
        <w:rPr>
          <w:rFonts w:ascii="IRNazanin" w:hAnsi="IRNazanin" w:eastAsia="IRNazanin"/>
          <w:color w:val="111111"/>
          <w:sz w:val="28"/>
          <w:sz w:val="28"/>
          <w:szCs w:val="28"/>
          <w:rtl w:val="true"/>
          <w:lang w:bidi="fa-IR"/>
        </w:rPr>
        <w:t>، فحينما استعرضنا مضمونها أثبتنا بأنّ أهل البيت علیهم السلام  هم من أعظم الحرُمات التي يلزمنا تعظيمها وتوقيرها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571"/>
      </w:r>
      <w:r>
        <w:rPr>
          <w:rFonts w:ascii="IRNazanin" w:hAnsi="IRNazanin" w:eastAsia="IRNazanin"/>
          <w:color w:val="111111"/>
          <w:sz w:val="28"/>
          <w:sz w:val="28"/>
          <w:szCs w:val="28"/>
          <w:rtl w:val="true"/>
          <w:lang w:bidi="fa-IR"/>
        </w:rPr>
        <w:t xml:space="preserve">، فهو صريح في الحثّ على تعظيم وتوقير الشعائر الإلهية، ولا شكّ في أنّ الشعائر الحسينيّة من مصاديق شعائر الله تعالى؛ لأنّ إعلاء كلمة الحسين علیه السلام  وتوقيره وتعظيمه إعلاءٌ لكلمة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وتعظيمٌ لشعائره 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ما جاء في آية المودّة،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من الواضح أنّ تعظيم الشعائر الحسينيّة، والفرح لفرح أهل البيت علیهم السلام ، والحزن لحزنهم من أبرز مظاهر ومعالم المودّة لقربى النبي الأكرم صلّى الله عليه و آله </w:t>
      </w:r>
      <w:r>
        <w:rPr>
          <w:rFonts w:eastAsia="IRNazanin" w:cs="IRNazanin"/>
          <w:color w:val="111111"/>
          <w:sz w:val="28"/>
          <w:szCs w:val="28"/>
          <w:rtl w:val="true"/>
          <w:lang w:bidi="fa-IR"/>
        </w:rPr>
        <w:t xml:space="preserve">. </w:t>
      </w:r>
      <w:bookmarkStart w:id="479" w:name="pg7448_77020"/>
    </w:p>
    <w:p>
      <w:pPr>
        <w:pStyle w:val="Heading5"/>
        <w:numPr>
          <w:ilvl w:val="4"/>
          <w:numId w:val="1"/>
        </w:numPr>
        <w:rPr/>
      </w:pPr>
      <w:bookmarkStart w:id="480" w:name="__RefHeading___Toc1936988_1051229030"/>
      <w:bookmarkStart w:id="481" w:name="_Toc179"/>
      <w:bookmarkEnd w:id="479"/>
      <w:bookmarkEnd w:id="480"/>
      <w:r>
        <w:rPr>
          <w:rtl w:val="true"/>
        </w:rPr>
        <w:t>الدليل الثاني</w:t>
      </w:r>
      <w:r>
        <w:rPr>
          <w:rtl w:val="true"/>
        </w:rPr>
        <w:t xml:space="preserve">: </w:t>
      </w:r>
      <w:r>
        <w:rPr>
          <w:rtl w:val="true"/>
        </w:rPr>
        <w:t>من السنّة الشريفة</w:t>
      </w:r>
      <w:bookmarkEnd w:id="481"/>
    </w:p>
    <w:p>
      <w:pPr>
        <w:pStyle w:val="Heading6"/>
        <w:numPr>
          <w:ilvl w:val="5"/>
          <w:numId w:val="1"/>
        </w:numPr>
        <w:rPr/>
      </w:pPr>
      <w:bookmarkStart w:id="482" w:name="__RefHeading___Toc1936990_1051229030"/>
      <w:bookmarkStart w:id="483" w:name="_Toc180"/>
      <w:bookmarkEnd w:id="482"/>
      <w:r>
        <w:rPr>
          <w:rtl w:val="true"/>
        </w:rPr>
        <w:t>اشارة</w:t>
      </w:r>
      <w:bookmarkEnd w:id="483"/>
    </w:p>
    <w:p>
      <w:pPr>
        <w:pStyle w:val="BookText"/>
        <w:rPr/>
      </w:pPr>
      <w:r>
        <w:rPr>
          <w:rFonts w:ascii="Amiri" w:hAnsi="Amiri" w:eastAsia="Amiri" w:cs="Amiri"/>
          <w:color w:val="111111"/>
          <w:sz w:val="28"/>
          <w:sz w:val="28"/>
          <w:szCs w:val="28"/>
          <w:rtl w:val="true"/>
          <w:lang w:bidi="ar-SA"/>
        </w:rPr>
        <w:t>عرّف العلماءُ السنّةَ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قول المعصوم وفعله وتقريره</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تُستنبط الأحكام الشرعيّة من 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حلالٌ، أو هذا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الحكم الشرعي تارة أُخرى من فعله وممارسته العمليّة،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يصلنا عن الرسول الأكرم صلّى الله عليه و آله الإخبار قولاً بجواز طواف الحاجّ حول الكعبة راكباً، ولكنّ الفقهاء استنبطوا ذلك حينما بلغهم أنّه صلّى الله عليه و آله كان يطوف حول الكعبة على ناقته، وأمّا تقرير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 ما ثبت سكوته أو رضاه عن بعض الأعمال التي يمارسها المسلمون أمامه وبمرأى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لنأتي إلى استعراض الشعائر الحسينيّة، ونُبيّن أدلّتها الشرعية من السنّة الشريفة</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936992_1051229030"/>
      <w:bookmarkStart w:id="485" w:name="_Toc181"/>
      <w:bookmarkEnd w:id="484"/>
      <w:r>
        <w:rPr>
          <w:rtl w:val="true"/>
        </w:rPr>
        <w:t>أولاً</w:t>
      </w:r>
      <w:r>
        <w:rPr>
          <w:rtl w:val="true"/>
        </w:rPr>
        <w:t xml:space="preserve">: </w:t>
      </w:r>
      <w:r>
        <w:rPr>
          <w:rtl w:val="true"/>
        </w:rPr>
        <w:t>شعيرة البكاء</w:t>
      </w:r>
      <w:bookmarkEnd w:id="485"/>
    </w:p>
    <w:p>
      <w:pPr>
        <w:pStyle w:val="BookText"/>
        <w:rPr/>
      </w:pPr>
      <w:r>
        <w:rPr>
          <w:rFonts w:ascii="IRNazanin" w:hAnsi="IRNazanin" w:eastAsia="IRNazanin"/>
          <w:color w:val="111111"/>
          <w:sz w:val="28"/>
          <w:sz w:val="28"/>
          <w:szCs w:val="28"/>
          <w:rtl w:val="true"/>
          <w:lang w:bidi="fa-IR"/>
        </w:rPr>
        <w:t>إنّ الأدلّة من السنّة المباركة على استحباب البكاء على مصائب أهل البيت علیهم السلام  والحثّ عليه متنوّعة وكثيرة جداً، وقد أثبتت الثواب العظيم والمنقلب الكريم للباكي على مصائبهم علیهم السلام ، نذكر منها على سبيل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رُوي عن الإمام الرضا علیه السلام ،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تذكّر مصابنا فبكى وأبكى لم تبكِ عينه يوم تبكي العيون، ومَن جلس مجلساً يُحيى فيه أمرنا لم يمت قلبه يوم تموت القلوب</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ما رُوي عن مولانا الإمام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دمعت عيناه فينا دمعةً لدمٍ سُفك لنا، أو حقٍّ لنا نُقصناه، أو عرض انتُهك لنا، أو لأحدٍ من شيعتنا، بوّأه الله بها في الجنّة حقباً</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إلى ما ثبت من استحباب البكاء بأفعال وممارسات المعصومين، وأوّلهم نبي الرحمة محمد صلّى الله عليه و آله ؛ حيث بكى الحسين علیه السلام  منذ ولادته، وقد بكاه في الأمكنة والأزمنة </w:t>
      </w:r>
      <w:bookmarkStart w:id="486" w:name="pg7448_77021"/>
    </w:p>
    <w:p>
      <w:pPr>
        <w:pStyle w:val="BookText"/>
        <w:rPr/>
      </w:pPr>
      <w:bookmarkEnd w:id="486"/>
      <w:r>
        <w:rPr>
          <w:rFonts w:ascii="IRNazanin" w:hAnsi="IRNazanin" w:eastAsia="IRNazanin"/>
          <w:color w:val="111111"/>
          <w:sz w:val="28"/>
          <w:sz w:val="28"/>
          <w:szCs w:val="28"/>
          <w:rtl w:val="true"/>
          <w:lang w:bidi="fa-IR"/>
        </w:rPr>
        <w:t>المختلفة، والنصوص الدينيّة في هذا المجال كثيرة جداً، ومتضافرة في كتب الفريقين، وبكى أباه أيضاً الإمامُ زين العابدين علیه السلام  حتى عُدّ من البكّائين الخمسة، وقد لامه الناس وخافوا عليه من كثرة البكاء، فما قُدّم له طعام أو شراب إلّا ومزجه بدموع عينيه المباركتين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يُثبت استحباب البكاء أيضاً تقريرهم وإمضاؤهم لبكاء الآخرين؛ حيث تفاعلوا مع بكاء مَن بكى على الإمام الحسين علیه السلام </w:t>
      </w:r>
      <w:r>
        <w:rPr>
          <w:rFonts w:eastAsia="IRNazanin" w:cs="IRNazanin"/>
          <w:color w:val="111111"/>
          <w:sz w:val="28"/>
          <w:szCs w:val="28"/>
          <w:rtl w:val="true"/>
          <w:lang w:bidi="fa-IR"/>
        </w:rPr>
        <w:t>.</w:t>
      </w:r>
    </w:p>
    <w:p>
      <w:pPr>
        <w:pStyle w:val="Heading6"/>
        <w:numPr>
          <w:ilvl w:val="5"/>
          <w:numId w:val="1"/>
        </w:numPr>
        <w:rPr/>
      </w:pPr>
      <w:bookmarkStart w:id="487" w:name="__RefHeading___Toc1936994_1051229030"/>
      <w:bookmarkStart w:id="488" w:name="_Toc182"/>
      <w:bookmarkEnd w:id="487"/>
      <w:r>
        <w:rPr>
          <w:rtl w:val="true"/>
        </w:rPr>
        <w:t>ثانياً</w:t>
      </w:r>
      <w:r>
        <w:rPr>
          <w:rtl w:val="true"/>
        </w:rPr>
        <w:t xml:space="preserve">: </w:t>
      </w:r>
      <w:r>
        <w:rPr>
          <w:rtl w:val="true"/>
        </w:rPr>
        <w:t>لبس السواد</w:t>
      </w:r>
      <w:bookmarkEnd w:id="488"/>
    </w:p>
    <w:p>
      <w:pPr>
        <w:pStyle w:val="BookText"/>
        <w:rPr/>
      </w:pPr>
      <w:r>
        <w:rPr>
          <w:rFonts w:ascii="Amiri" w:hAnsi="Amiri" w:eastAsia="Amiri" w:cs="Amiri"/>
          <w:color w:val="111111"/>
          <w:sz w:val="28"/>
          <w:sz w:val="28"/>
          <w:szCs w:val="28"/>
          <w:rtl w:val="true"/>
          <w:lang w:bidi="ar-SA"/>
        </w:rPr>
        <w:t>وهو من الشعائر التي ثبتت مشروعيّتُها بأقوال المعصومين وأفعالهم وإمضاءاتهم، كما يشهد على ذلك مجموعة من النصوص والروايات، وقد أفتى الفقهاء في ضوء ذلك بشعائرية لبس السواد واستحبابه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الشيخ نجم الدين الطبسي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جماعة كثيرة من علمائنا الأعلام وفقهائنا الكرام إلى استحباب لبس السواد في مأتم مولانا الحسين علیه السلام  ـ قولاً وفعلاً ـ كالفقيه المحدِّث البحراني في الحدائق، والدربندي في الأسرار، والسيّد إسماعيل العقيلي النوري في وسيلة المعاد في شرح نجاة العباد، والمحدِّث النوري في المستدرك، والشيخ زين العابدين المازندراني في ذخيرة المعاد، والشيخ محمد تقي الشيرازي، والشيخ محمد حسين كاشف الغطاء في حاشيته على العروة، والشيخ محمد على النخجواني في الدعوات الحسينيّة، والسيّد حسن الصدر في تبيين الرشاد في لبس السواد على الأئمّة الأمجاد، والشيخ أبو الفضل الطهراني في شفاء الصدر، وقد كان بعض الفقهاء يلبس السواد طيلة هذين الشهرين، كالفقيه السيّد حسين القمّي والسيّد الحكيم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أورده 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بن زين العابدين،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جدّي الحسين علیه السلام  لبس نساء بنى هاشم في مأتمه السواد والمسوح، وكنَّ لا يشتكينَ من حرٍّ ولا بردٍ، وكان علي بن الحسين يعمل لهنَّ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المستبعد عدم اطّلاع الإمام على اتفاقهن على لبس السواد ولم يمنعهن؛ فهو تقريرٌ منه علیه السلام </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489" w:name="pg7448_77022"/>
    </w:p>
    <w:p>
      <w:pPr>
        <w:pStyle w:val="BookText"/>
        <w:rPr/>
      </w:pPr>
      <w:bookmarkEnd w:id="489"/>
      <w:r>
        <w:rPr>
          <w:rFonts w:ascii="IRNazanin" w:hAnsi="IRNazanin" w:eastAsia="IRNazanin"/>
          <w:color w:val="111111"/>
          <w:sz w:val="28"/>
          <w:sz w:val="28"/>
          <w:szCs w:val="28"/>
          <w:rtl w:val="true"/>
          <w:lang w:bidi="fa-IR"/>
        </w:rPr>
        <w:t>وأمّا بالنسبة إلى النصوص التي قد يظهر منها كراهة لبس السواد عموماً، فيقول المحقّق البحراني بصددها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يبعد استثناء لبس السواد في مأتم الحسين علیه السلام  من هذه الأخبار؛ لما استفاضت به الأخبار من الأمر بإظهار شعائر الأحزان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يقول السبزواري بهذا الصدد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التواريخ أنّ لبس السواد كان حداداً لقتل آل محمد من الحسين بن علي علیه السلام ، وزيد، ويحيى، بل يظهر من بعضها أنّ الشيعة في تلك الأزمنة كانوا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ورد كراهة لبس السواد لم يرد لبيان حكم الله الواقعي، بل ورد لبعض المصالح، كبيان أنّ حداد لبس السواد بين بني هاشم والشيعة لم يكن بتسبب من الأئمّة علیهم السلام  حتّى يصير ذلك منشأ للظلم والجور من الأعداء عليهم، ويشهد لما قلناه خبر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الشيعة تسأل أبا عبد الله علیه السلام  عن لبس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فوجدناه قاعداً عليه جبّة سوداء وقلنسوة سوداء، وخفّ أسود مبطّن بسواد، ثمَّ فتق ناحية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قطنه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منه قطناً أسود،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 قلبك والبس ما شئت</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أورد بعض المحقّقين أدلّة وشواهد كثيرة في هذا المجال يطول المقام بذكرها</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1936996_1051229030"/>
      <w:bookmarkStart w:id="491" w:name="_Toc183"/>
      <w:bookmarkEnd w:id="490"/>
      <w:r>
        <w:rPr>
          <w:rtl w:val="true"/>
        </w:rPr>
        <w:t>ثالثاً</w:t>
      </w:r>
      <w:r>
        <w:rPr>
          <w:rtl w:val="true"/>
        </w:rPr>
        <w:t xml:space="preserve">: </w:t>
      </w:r>
      <w:r>
        <w:rPr>
          <w:rtl w:val="true"/>
        </w:rPr>
        <w:t>إقامة مجالس العزاء بما تتضمّنها من المراثي وبذلٍ للمال</w:t>
      </w:r>
      <w:bookmarkEnd w:id="49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شكّ في أنّ الرسول الأكرم صلّى الله عليه و آله هو أوّل مَن أقام مجلس العزاء والرثاء على ابنه الحسين علیه السلام  قبل استشهاده، كما دلّ على ذلك الأحاديث المتواترة من طرق الفريقين، وقد أعقب ذلك المجالس المتنوِّعة والمختلفة التي أقامها الصحابة والأئمّة المعصومون علیهم السلام ، كما أنّ الأئمّة قد حثّوا شيعتهم على إقامة مثل تلك المجالس، فمن ذلك ما رُوي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تجلسون وتتحدَّثون؟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المجالس أحبها فأحيوا أمرنا، إنّه مَن ذكرنا وذُكرنا عنده فخرج من عينه مثل جناح الذبابة؛ غفر الله ذنوبه ولو كانت أكثر من زبد البحر</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 xml:space="preserve">. </w:t>
      </w:r>
      <w:bookmarkStart w:id="492" w:name="pg7448_77023"/>
    </w:p>
    <w:p>
      <w:pPr>
        <w:pStyle w:val="BookText"/>
        <w:rPr/>
      </w:pPr>
      <w:bookmarkEnd w:id="492"/>
      <w:r>
        <w:rPr>
          <w:rFonts w:ascii="IRNazanin" w:hAnsi="IRNazanin" w:eastAsia="IRNazanin"/>
          <w:color w:val="111111"/>
          <w:sz w:val="28"/>
          <w:sz w:val="28"/>
          <w:szCs w:val="28"/>
          <w:rtl w:val="true"/>
          <w:lang w:bidi="fa-IR"/>
        </w:rPr>
        <w:t>ورُوي عن أبي هارون المكفوف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أنشد في الحسين علیه السلام  شعراً فبكى وأبكى واحداً، كُتبت لهما الجنّة</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الأربعمائة مدح أمير المؤمنين علیه السلام  الشيعة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يحزنون لحزننا، ويبذلون أموالهم وأنفسهم فينا؛ أولئك منّا وإلينا</w:t>
      </w:r>
      <w:r>
        <w:rPr>
          <w:rFonts w:eastAsia="IRNazanin" w:cs="IRNazanin"/>
          <w:color w:val="111111"/>
          <w:sz w:val="28"/>
          <w:szCs w:val="28"/>
          <w:rtl w:val="true"/>
          <w:lang w:bidi="fa-IR"/>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والنصوص في هذا المجال متضافرة لا داعي لاستعراضها، لاحظ في هذا المجال كتب الحديث المختصّة بذلك</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1936998_1051229030"/>
      <w:bookmarkStart w:id="494" w:name="_Toc184"/>
      <w:bookmarkEnd w:id="493"/>
      <w:r>
        <w:rPr>
          <w:rtl w:val="true"/>
        </w:rPr>
        <w:t>رابعاً</w:t>
      </w:r>
      <w:r>
        <w:rPr>
          <w:rtl w:val="true"/>
        </w:rPr>
        <w:t xml:space="preserve">: </w:t>
      </w:r>
      <w:r>
        <w:rPr>
          <w:rtl w:val="true"/>
        </w:rPr>
        <w:t>اللطم</w:t>
      </w:r>
      <w:bookmarkEnd w:id="494"/>
    </w:p>
    <w:p>
      <w:pPr>
        <w:pStyle w:val="BookText"/>
        <w:rPr/>
      </w:pPr>
      <w:r>
        <w:rPr>
          <w:rFonts w:ascii="IRNazanin" w:hAnsi="IRNazanin" w:eastAsia="IRNazanin"/>
          <w:color w:val="111111"/>
          <w:sz w:val="28"/>
          <w:sz w:val="28"/>
          <w:szCs w:val="28"/>
          <w:rtl w:val="true"/>
          <w:lang w:bidi="fa-IR"/>
        </w:rPr>
        <w:t>هناك مجموعة من النصوص والروايات قد دلّت بوضوح على شعائريّة واستحباب اللطم وشقّ الجيوب؛ حزناً على مصيبة سيد الشهداء، فمن تلك النصوص ما جاء في زيارة الناحية المقدّسة المروية عن الإمام الحجّة عجل الله تعالی فرجه الشریف من فعل الفواطم؛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فبرزنَ من الخدور، ناشرات الشعور، لاطمات الخدود</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الفعل كان بمرأى المعصوم ـ الإمام زين العابدين  علیه السلام  ـ ولم يصدر منه نهيٌ أو اعتراض، بل تفاعل مع هذا الحدث، وهذا يُعدُّ إمضاء منه علیه السلام ، مضافاً إلى أنّ نقل الإمام المعصوم لذلك يكشف عن المقبوليّة، بل يكشف عن الاستحباب والمطلوبية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ذلك أيضاً ما رُوي عن الإمام الصادق علیه السلام ،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شققنَ الجيوب، ولطمنَ الخدود الفاطميات على الحسين بن علي علیهماالسلام  ، وعلى مثله تُلطم الخدود، وتُشقّ الجيوب</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أيضاً ما رواه الإربلي في كشف الغمّة،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وقميصه مشقوق، فكتب إليه ابن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رأيت أو بلغك من الأئمّة شقّ ثوبه في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أحمق، وما </w:t>
      </w:r>
      <w:bookmarkStart w:id="495" w:name="pg7448_77024"/>
    </w:p>
    <w:p>
      <w:pPr>
        <w:pStyle w:val="BookText"/>
        <w:rPr/>
      </w:pPr>
      <w:bookmarkEnd w:id="495"/>
      <w:r>
        <w:rPr>
          <w:rFonts w:ascii="Amiri" w:hAnsi="Amiri" w:eastAsia="Amiri" w:cs="Amiri"/>
          <w:color w:val="111111"/>
          <w:sz w:val="28"/>
          <w:sz w:val="28"/>
          <w:szCs w:val="28"/>
          <w:rtl w:val="true"/>
          <w:lang w:bidi="ar-SA"/>
        </w:rPr>
        <w:t>يدريك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شقّ موسى على هارون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1937000_1051229030"/>
      <w:bookmarkStart w:id="497" w:name="_Toc185"/>
      <w:bookmarkEnd w:id="496"/>
      <w:r>
        <w:rPr>
          <w:rtl w:val="true"/>
        </w:rPr>
        <w:t>خامساً</w:t>
      </w:r>
      <w:r>
        <w:rPr>
          <w:rtl w:val="true"/>
        </w:rPr>
        <w:t xml:space="preserve">: </w:t>
      </w:r>
      <w:r>
        <w:rPr>
          <w:rtl w:val="true"/>
        </w:rPr>
        <w:t>مراسم الشبيه</w:t>
      </w:r>
      <w:bookmarkEnd w:id="497"/>
    </w:p>
    <w:p>
      <w:pPr>
        <w:pStyle w:val="BookText"/>
        <w:rPr/>
      </w:pPr>
      <w:r>
        <w:rPr>
          <w:rFonts w:ascii="IRNazanin" w:hAnsi="IRNazanin" w:eastAsia="IRNazanin"/>
          <w:color w:val="111111"/>
          <w:sz w:val="28"/>
          <w:sz w:val="28"/>
          <w:szCs w:val="28"/>
          <w:rtl w:val="true"/>
          <w:lang w:bidi="fa-IR"/>
        </w:rPr>
        <w:t>يُروى أنّ شاعر أهل البيت، الكميت بن زيد الأسدي ـ صاحب ديوان الهاشميات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الصادق علیه السلام  يوم عاشوراء، فأنشدته قصيدةً في جدّه الحسين علیه السلام ، فبكى وبكى الحاضرون، وكان قد ضرب ستراً في المجلس وأجلس خلفه الفاطميات، فبينما أنا أُنشد والإمام يبكي إذ خرجت جارية من وراء الستار، وعلى يدها طفلٌ رضيع مقمّط حتى وضعته في حجر الإمام الصادق علیه السلام ، فلمّا نظر الإمام إلى ذلك الطفل اشتدّ بكاؤه وعلا نحيبه</w:t>
      </w:r>
      <w:r>
        <w:rPr>
          <w:rFonts w:eastAsia="IRNazanin" w:cs="IRNazanin"/>
          <w:color w:val="111111"/>
          <w:sz w:val="28"/>
          <w:szCs w:val="28"/>
          <w:rtl w:val="true"/>
          <w:lang w:bidi="fa-IR"/>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يقصد من ذلك العمل إلّا تمثيل طفل الحسين علیه السلام ، الذي ذُبح على صدر أبيه بسهم حرملة بن كاهل الأسدي في يوم العاشر من المحرّم، وهو عبد الله الرضيع</w:t>
      </w:r>
      <w:r>
        <w:rPr>
          <w:rFonts w:eastAsia="IRNazanin" w:cs="IRNazanin"/>
          <w:color w:val="111111"/>
          <w:sz w:val="28"/>
          <w:szCs w:val="28"/>
          <w:rtl w:val="true"/>
          <w:lang w:bidi="fa-IR"/>
        </w:rPr>
        <w:t>.</w:t>
      </w:r>
    </w:p>
    <w:p>
      <w:pPr>
        <w:pStyle w:val="Heading5"/>
        <w:numPr>
          <w:ilvl w:val="4"/>
          <w:numId w:val="1"/>
        </w:numPr>
        <w:rPr/>
      </w:pPr>
      <w:bookmarkStart w:id="498" w:name="__RefHeading___Toc1937002_1051229030"/>
      <w:bookmarkStart w:id="499" w:name="_Toc186"/>
      <w:bookmarkEnd w:id="498"/>
      <w:r>
        <w:rPr>
          <w:rtl w:val="true"/>
        </w:rPr>
        <w:t>الدليل الثالث</w:t>
      </w:r>
      <w:r>
        <w:rPr>
          <w:rtl w:val="true"/>
        </w:rPr>
        <w:t xml:space="preserve">: </w:t>
      </w:r>
      <w:r>
        <w:rPr>
          <w:rtl w:val="true"/>
        </w:rPr>
        <w:t>الشواهد العامّة</w:t>
      </w:r>
      <w:bookmarkEnd w:id="499"/>
    </w:p>
    <w:p>
      <w:pPr>
        <w:pStyle w:val="Heading6"/>
        <w:numPr>
          <w:ilvl w:val="5"/>
          <w:numId w:val="1"/>
        </w:numPr>
        <w:rPr/>
      </w:pPr>
      <w:bookmarkStart w:id="500" w:name="__RefHeading___Toc1937004_1051229030"/>
      <w:bookmarkStart w:id="501" w:name="_Toc187"/>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يمكننا الاستدلال أيضاً على مشروعيّة الشعائر الحسينيّة بأشكالها المنظورة، وحتى التي لم نجد لها تفصيلاً في الكتاب والسنّة ـ كضرب السلاسل وغيرها ـ بالأدلّة والشواهد التالية</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1937006_1051229030"/>
      <w:bookmarkStart w:id="503" w:name="_Toc188"/>
      <w:bookmarkEnd w:id="502"/>
      <w:r>
        <w:rPr/>
        <w:t>١</w:t>
      </w:r>
      <w:r>
        <w:rPr>
          <w:rtl w:val="true"/>
        </w:rPr>
        <w:t>ـ أصالة الإباحة حال الشكّ في الحرمة</w:t>
      </w:r>
      <w:bookmarkEnd w:id="50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يترك الشارع المقدَّس للمكلَّف ـ عملاً أو قولاً، أو أيّ شيءٍ آخر ـ إلّا وله فيه حكمٌ معين، وكلّ ما لا يوجد له حكمٌ من الأحكام الأربعة، فهو مباحٌ شرعاً وعقلاً؛ استناداً إلى أدلّة كثيرة ذكرها الفقهاء في كتبهم الاستدلالية، منها ما ورد نصّه في الكتاب الكريم،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 ومن </w:t>
      </w:r>
      <w:bookmarkStart w:id="504" w:name="pg7448_77025"/>
    </w:p>
    <w:p>
      <w:pPr>
        <w:pStyle w:val="BookText"/>
        <w:rPr/>
      </w:pPr>
      <w:bookmarkEnd w:id="504"/>
      <w:r>
        <w:rPr>
          <w:rFonts w:ascii="IRNazanin" w:hAnsi="IRNazanin" w:eastAsia="IRNazanin"/>
          <w:color w:val="111111"/>
          <w:sz w:val="28"/>
          <w:sz w:val="28"/>
          <w:szCs w:val="28"/>
          <w:rtl w:val="true"/>
          <w:lang w:bidi="fa-IR"/>
        </w:rPr>
        <w:t>الروايات، صحيحة عبد 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يكون فيه حرامٌ وحلالٌ فهو لك حلالٌ أبداً، حتى أن تعرف الحرام منه بعينه فتدَعه</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الأصل شُرّع وأُبيح استخدام الإنترنت والقنوات الفضائية، واستخدام الهواتف النقّالة وغير النقّالة، وركوب السيارة والطائرة والوسائل الأُخرى التي لم يستخدمها المعصوم علیه السلام ؛ فالأصل هو الإباحة في الأشياء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إلى أنّ المباح يبقى مُباحاً إذا لم تعرض عليه جهاتٌ تُحسّنه أو تقبّحه، فإذا عرضت عليه تلك الجهات ينقلب إليها، فإن كانت ـ أي الجهة ـ حسنة فيصير حسناً، وإن كانت قبيحة يصير قبيحاً، فالقيام بمثل هذه الشعائر الحسينيّة بأشكالها المتنوِّعة راجحٌ ومستحبٌّ بقصد إعلان شعائر الحزن على سيّد الشهداء علیه السلام ، وهو داخلٌ أيضاً في باب الجزع والحزن على الإمام المظلوم علیه السلام ، وهو مما لا ريب في استحبابه والثواب عليه، كما سنُبيّن لاحقاً</w:t>
      </w:r>
      <w:r>
        <w:rPr>
          <w:rFonts w:eastAsia="IRNazanin" w:cs="IRNazanin"/>
          <w:color w:val="111111"/>
          <w:sz w:val="28"/>
          <w:szCs w:val="28"/>
          <w:rtl w:val="true"/>
          <w:lang w:bidi="fa-IR"/>
        </w:rPr>
        <w:t>.</w:t>
      </w:r>
    </w:p>
    <w:p>
      <w:pPr>
        <w:pStyle w:val="Heading6"/>
        <w:numPr>
          <w:ilvl w:val="5"/>
          <w:numId w:val="1"/>
        </w:numPr>
        <w:rPr/>
      </w:pPr>
      <w:bookmarkStart w:id="505" w:name="__RefHeading___Toc1937008_1051229030"/>
      <w:bookmarkStart w:id="506" w:name="_Toc189"/>
      <w:bookmarkEnd w:id="505"/>
      <w:r>
        <w:rPr/>
        <w:t>٢</w:t>
      </w:r>
      <w:r>
        <w:rPr>
          <w:rtl w:val="true"/>
        </w:rPr>
        <w:t>ـ الشعائر الحسينيّة مواساة لسيد الشهداء ولأهل البيت علیهم السلام</w:t>
      </w:r>
      <w:bookmarkEnd w:id="506"/>
    </w:p>
    <w:p>
      <w:pPr>
        <w:pStyle w:val="BookText"/>
        <w:rPr/>
      </w:pPr>
      <w:r>
        <w:rPr>
          <w:rFonts w:ascii="Amiri" w:hAnsi="Amiri" w:eastAsia="Amiri" w:cs="Amiri"/>
          <w:color w:val="111111"/>
          <w:sz w:val="28"/>
          <w:sz w:val="28"/>
          <w:szCs w:val="28"/>
          <w:rtl w:val="true"/>
          <w:lang w:bidi="ar-SA"/>
        </w:rPr>
        <w:t>الأُسوة هي القدوة، والتأسّي هو الاقتداء، وهو أمرٌ فطريٌّ يميل إليه الإنسان، ويبحث عنه تلقائياً، فهو يميل إلى أن يكون أمامه أُنموذج حيّ يقتدي به، يُجسّد المفاهيم، ويأخذ المواقف، ويتبنّى القرارات ويجري عملياً على طبقها، بحسب ظروفها ومقتضياتها، لفظاً وعملاً وموقفاً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والنبيّ هو أفضل أُسوة عمليّة حسنة؛ بتزكيةٍ وشهادة ربّانية، فقد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الرسول صلّى الله عليه و آله أُسوةً لنا إذا اشتركنا معه في التكليف، ولا معنى للتأسّي إلّا مع مشاركة المتأسِّي للمتأسَّى به</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فالروايات تذكر بأنّ الرسول صلی الله علیه و آله  قد بكى حسيناً مراراً وتكراراً، رغم أنّه حيٌّ، فكيف نتوقع أن يكون حاله فيما لو رآه ميّتاً مقطّعاً إرباً إرباً، مذبوحاً ومنحوراً ومسلوباً ومهشّم الأضلاع؟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والله أمرنا أن نقتدي أيضاً بالأنبياء والرُسل، ومنهم نبي الله إبراهيم والذين آمنوا معه،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كَانَتْ لَكُمْ أُسْوَةٌ حَسَنَةٌ فِي إِبْرَاهِيمَ وَالَّذِينَ مَعَهُ</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فالله أمرنا أن نقتدي بجميع خصال إبراهيم والذين آمنوا معه، فكما كنّا نقتدي بهم في العمل كالقيام بمناسك الحجّ والزيارة، كذلك لزم الاقتداء بهم في الترك، كلزوم البراءة من الطواغيت والمشركين</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ويعقب السيد الطباطبائي على هذه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المستثنى منه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كَانَتْ لَكُمْ أُسْوَةٌ حَسَنَةٌ فِي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 إبراهيم أُسوة في جميع خصاله إلا في قوله لأبيه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لَأَسْتَغْفِرَنَّ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أُسوة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محمد حسين،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ص</w:t>
      </w:r>
      <w:r>
        <w:rPr>
          <w:rFonts w:ascii="Amiri" w:hAnsi="Amiri" w:eastAsia="Amiri" w:cs="Amiri"/>
          <w:color w:val="111111"/>
          <w:sz w:val="28"/>
          <w:sz w:val="28"/>
          <w:szCs w:val="28"/>
          <w:lang w:bidi="ar-SA"/>
        </w:rPr>
        <w:t>٢٣١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نسلط الضوء على بعض مناسك الحجّ التي يقوم بها المسلمون نجدها أعمالاً تتضمّن المواساة لإعمال إبراهيم ومَن آمن معه، فالسعي بين الصفا والمروة ما هو إلّا تأسٍّ بفعل هاجر علیهاالسلام، التي صبرت على ما أصابها، ولم تجزع حتى فرّج الله عنها في شوطها السابع؛ بأن جعل ماء زمزم ينبع من تحت قدمي نبيّ الله إسماعيل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والرمي ما هو إلّا تأسٍّ بفعل إبراهيم وإسماعيل علیهماالسلام   اللذين حاول الشيطان إغراءهما وجعلهما يتركان الأمر الإلهي، ولكنّهما لم يستجيبا، بل صبرا وسلّما أمرهما إلى الله تعالى، ورجما وساوس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وتقديم الأضاحي في يوم النحر ما هو إلّا تأسٍّ بفعل إبراهيم علیه السلام  حينما فدى اللهُ تعالى إسماعيلَ بذبحٍ 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تعالى أمر كلّ مَن يُؤدّي فريضة الحجّ أن يقتدي ويتأسّى بفعل إبراهيم والذين آمنوا معه في هذه المناسك، والتمسّك بها إلى قيام الساعة؛ تكريماً للمواقف البطولية التي قام بها أصحابها، ولأجل أن تستلهم الأُمّة الدروس منها حينما تمارسها بنفسها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نأتي إلى قضيّة الإمام الحسين علیه السلام ، نجد أنّ ما قام به في يوم الطّف لا يقلّ أهمّية وعظمة عمّا قام به إبراهيم علیه السلام  والذين آمنوا معه، فإذا كانت هاجر قد سعت سبعة </w:t>
      </w:r>
    </w:p>
    <w:p>
      <w:pPr>
        <w:pStyle w:val="BookText"/>
        <w:rPr/>
      </w:pPr>
      <w:r>
        <w:rPr>
          <w:rFonts w:ascii="IRNazanin" w:hAnsi="IRNazanin" w:eastAsia="IRNazanin"/>
          <w:color w:val="111111"/>
          <w:sz w:val="28"/>
          <w:sz w:val="28"/>
          <w:szCs w:val="28"/>
          <w:rtl w:val="true"/>
          <w:lang w:bidi="fa-IR"/>
        </w:rPr>
        <w:t>أشواط بين الصفا والمروة صابرةً محتسبةً، فإنّ الحسين علیه السلام  كان له أكثر من مسعى وأشواط، فسعى تارةً بين الخيام لتفقّد النساء والأطفال، وسعى أُخرى بين القتلى والخيام ليجمعهم فيها، وسعى ثالثة لقتال الأعداء ومبارزتهم،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يُضاف إلى ذلك سعي بنات النبوة، وسعي السيدة زينب علیهاالسلام مهرولةً بين الخيام والحسين علیه السلام ، واضعةً يديها تحت جثمانه 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هذا القُربان</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السيدة هاجر لم ترَ سوى مصيبة الغربة والعطش، بينما رأت العقيلة زينب مصائب الغربة والعطش والذبح والقتل والتمثيل والسلب والسبي وشماتة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يا تُرى أحقّ بالتأسّي والمواساة؟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ضوء ذلك نفهم مضامين العشرات من الروايات التي تنصّ على كون الثواب المترتّب على زيارة الحسين علیه السلام  يعدل ثواب حَجّة من حجج رسول الله صلّى الله عليه و آله ، وربّما أكثر من ذلك بكثير؛ حيث يختلف ذلك ويتفاوت بحسب معرفة الزائر وانقياده لسيّده الحسين علیه السلام ، ومن تلك الروايات ـ على سبيل المثال ـ ما رواه الصدوق بسنده عن هارون،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لـمَن زار قبر الحسين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الحسين علیه السلام  وكّل الله به أربعة آلاف مَلك، شعثٌ غبرٌ يبكونه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تروي عن آبائك أنّ ثواب زيارته كثواب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عدّ عشراً</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وفيما يتعلّق بمنسكي الرجم والذبح، فإن كان نبي الله إبراهيم علیه السلام  قد رجم إبليس وقدّم ابنه قرباناً لله تعالى، وكان جزاؤه أن فدى الله تعالى إسماعيل علیه السلام  بذبحٍ عظيم، فإنّ الحسين علیه السلام  قدّم جميع أولاده وإخوته وأهل بيته وأصحابه حتى طفله الرضيع قرابين لله تعالى، فأيّهما أحقّ بالتأسّي والمواساة يا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خاطب الإمام الحسين علیه السلام  جيش الحرّ بن يزيد الرياحي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فلكم فيّ أُسوة</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والشعائر الحسينيّة التي يُحييها الشيعة من بكاءٍ ورثاءٍ ونحيبٍ ولبس سواد ولطمٍ وغيرها، ما هي إلّا مواساة لما جرى على الحسين علیه السلام  وأصحابه وأهل بيته، فتواسي دموعنا دموع الحسين علیه السلام  وأهل بيته، ودموع العلويات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ويواسي نحيبنا نحيب النساء والأطفال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اللطم وبذل الدماء، فهذه العواطف المتجسّدة بتلك الأفعال مع ما يُقارنها من حمل أهدافهم، ومتابعتهم وملازمتهم في أقوالهم وأفعالهم، تعدُّ مواساةً حقيقيّة 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مواساةً لسيّد أهل الإباء وخامس أصحاب العبا، بل هو بذاته جزعٌ وتلهُّفٌ عليهم، ويظهر من الأخبار الشريفة أنّ الله تعالى أحبّ مواساةَ الإمام الحسين علیه السلام  في مصائبه، فأشرك الأنبياء في بعضها، نذكر منها هذا النصّ الذي يرويه العلّامة المجلسي في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آدم لمّا هبط إلى الأرض لم يرَ حوّا، فصار يطوف الأرض في طلبها، فمرّ بكربلاء فاغتمّ وضاق صدره من غير سبب، وعثر في الموضع الّذي قُتل فيه الإمام الحسين علیه السلام ، حتى سال الدّم من رجله، فرفع رأسه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هل حدث منّي ذنب آخر فعاقبتني به؟ فإنّي طُفت جميع الأرض، وما أصابني سوء مثل ما أصابني في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ما حدث منك ذنب، ولكن يُقتل في هذه الأرض ولدك الحسين ظلماً؛ فسال دمك موافقةً لدمه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أيكون الحسين علیه السلام  نبيّاً؟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سبط النبيّ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القاتل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يزيد، لعين أهل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أصنع يا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العنه يا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فلعنه أربع مرّات، ومشى خطوات إلى جبل عرفات، فوجد حوّا هناك</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الأنبياء السابقون قد حزنوا وبكوا الحسين علیه السلام  وهو لم يُولد ولم يُقتل بعد، فنحن أولى بالبكاء وإقامة العزاء عليه، والتأسّي بأفعاله وما جرى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بهذا الصدد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أخبر النبي صلّى الله عليه و آله ابنته فاطمة بقتل ولدها الحسين وما يجري عليه من المحن بكت فاطمة بكاءً شديداً،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متى يكون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bookmarkStart w:id="507" w:name="pg7448_77029"/>
    </w:p>
    <w:p>
      <w:pPr>
        <w:pStyle w:val="BookText"/>
        <w:rPr/>
      </w:pPr>
      <w:bookmarkEnd w:id="507"/>
      <w:r>
        <w:rPr>
          <w:rFonts w:ascii="Amiri" w:hAnsi="Amiri" w:eastAsia="Amiri" w:cs="Amiri"/>
          <w:color w:val="111111"/>
          <w:sz w:val="28"/>
          <w:sz w:val="28"/>
          <w:szCs w:val="28"/>
          <w:rtl w:val="true"/>
          <w:lang w:bidi="ar-SA"/>
        </w:rPr>
        <w:t>زمانٍ خالٍ منّي ومنك ومن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فاشتدّ بكاؤها،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فمَن يبكي عليه؟ ومَن يلتزم بإقامة العزاء له؟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نساء أُمّتي يبكون على نساء أهل بيتي، ورجالهم يبكون على رجال أهل بيتي، ويجدّدون العزاء جيلاً بعد جيل في كلّ سنة، فإذا كان يوم القيامة تشفعين أنت للنساء، وأنا أشفع للرجال، وكلّ مَن بكى منهم على مصاب الحسين أخذنا بيده وأدخلناه الجنّة</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8" w:name="__RefHeading___Toc1937010_1051229030"/>
      <w:bookmarkStart w:id="509" w:name="_Toc190"/>
      <w:bookmarkEnd w:id="508"/>
      <w:r>
        <w:rPr/>
        <w:t>٣</w:t>
      </w:r>
      <w:r>
        <w:rPr>
          <w:rtl w:val="true"/>
        </w:rPr>
        <w:t>ـ إحياء الشعائر الحسينيّة لإظهار الجزع على مصيبة الحسين علیه السلام</w:t>
      </w:r>
      <w:bookmarkEnd w:id="509"/>
    </w:p>
    <w:p>
      <w:pPr>
        <w:pStyle w:val="Heading6"/>
        <w:numPr>
          <w:ilvl w:val="5"/>
          <w:numId w:val="1"/>
        </w:numPr>
        <w:rPr/>
      </w:pPr>
      <w:bookmarkStart w:id="510" w:name="__RefHeading___Toc1937012_1051229030"/>
      <w:bookmarkStart w:id="511" w:name="_Toc191"/>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يُطلق الجزع تارة ويُراد منه ما يُقابل الصبر،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الاعتراض على قضاء الله وقدره، وهو محرّم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أُخرى ويُراد منه ما زاد عن الحدّ المتعارف في إظهار الحزن والحداد، وحكمه الكراهة شرعاً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والتساؤل الذي يُطرح في المقام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الجزع على الفقيد بمعناه الثاني إذا كان حكمه الكراهة شرعاً، فلِمَ جاز لنا الجزع على الإمام الحسين علیه السلام ؟</w:t>
      </w:r>
    </w:p>
    <w:p>
      <w:pPr>
        <w:pStyle w:val="BookText"/>
        <w:rPr/>
      </w:pPr>
      <w:r>
        <w:rPr>
          <w:rFonts w:ascii="Amiri" w:hAnsi="Amiri" w:eastAsia="Amiri" w:cs="Amiri"/>
          <w:color w:val="111111"/>
          <w:sz w:val="28"/>
          <w:sz w:val="28"/>
          <w:szCs w:val="28"/>
          <w:rtl w:val="true"/>
          <w:lang w:bidi="ar-SA"/>
        </w:rPr>
        <w:t>وفي مقام الإجابة عن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أدلّة وافرة تُجيز الجزع على فقد ومصاب حجج الله وخلفائه، كالأنبياء والأوصياء، ونذكر منها على سبيل المثال</w:t>
      </w:r>
      <w:r>
        <w:rPr>
          <w:rFonts w:eastAsia="Amiri" w:cs="Amiri" w:ascii="Amiri" w:hAnsi="Amiri"/>
          <w:color w:val="111111"/>
          <w:sz w:val="28"/>
          <w:szCs w:val="28"/>
          <w:rtl w:val="true"/>
          <w:lang w:bidi="ar-SA"/>
        </w:rPr>
        <w:t>:</w:t>
      </w:r>
    </w:p>
    <w:p>
      <w:pPr>
        <w:pStyle w:val="Heading6"/>
        <w:numPr>
          <w:ilvl w:val="5"/>
          <w:numId w:val="1"/>
        </w:numPr>
        <w:rPr/>
      </w:pPr>
      <w:bookmarkStart w:id="512" w:name="__RefHeading___Toc1937014_1051229030"/>
      <w:bookmarkStart w:id="513" w:name="_Toc192"/>
      <w:bookmarkEnd w:id="512"/>
      <w:r>
        <w:rPr>
          <w:rtl w:val="true"/>
        </w:rPr>
        <w:t>أ</w:t>
      </w:r>
      <w:r>
        <w:rPr>
          <w:rtl w:val="true"/>
        </w:rPr>
        <w:t xml:space="preserve">) </w:t>
      </w:r>
      <w:r>
        <w:rPr>
          <w:rtl w:val="true"/>
        </w:rPr>
        <w:t>الآيات القرآنية التي بيّنت جزع نبي الله يعقوب على ولده يوسف</w:t>
      </w:r>
      <w:bookmarkEnd w:id="513"/>
    </w:p>
    <w:p>
      <w:pPr>
        <w:pStyle w:val="BookText"/>
        <w:rPr/>
      </w:pPr>
      <w:r>
        <w:rPr>
          <w:rFonts w:ascii="Amiri" w:hAnsi="Amiri" w:eastAsia="Amiri" w:cs="Amiri"/>
          <w:color w:val="111111"/>
          <w:sz w:val="28"/>
          <w:sz w:val="28"/>
          <w:szCs w:val="28"/>
          <w:rtl w:val="true"/>
          <w:lang w:bidi="ar-SA"/>
        </w:rPr>
        <w:t>لقد بيّنت الآيات من سورة يوسف الجزع الشديد الذي صدر من النبي يعقوب على فقدان ولده يوسف، حتى أدّى به جزعه إلى فقد بصره،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وَابْيَضَّتْ عَيْنَاهُ مِنَ الْحُزْنِ فَهُوَ كَظِيمٌ</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إلى النصوص الدينيّة التي تؤكّد بأنّه قد ابيضّ شعره، وتقوّس ظهره، وأسرع إليه الهرم، وقد وصف مولانا الإمام الصادق علیه السلام  ذلك حين سألوه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 من حزن يعقوب على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سبعين ثكلى بأولادها</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514" w:name="pg7448_77030"/>
    </w:p>
    <w:p>
      <w:pPr>
        <w:pStyle w:val="BookText"/>
        <w:rPr/>
      </w:pPr>
      <w:bookmarkEnd w:id="514"/>
      <w:r>
        <w:rPr>
          <w:rFonts w:ascii="Amiri" w:hAnsi="Amiri" w:eastAsia="Amiri" w:cs="Amiri"/>
          <w:color w:val="111111"/>
          <w:sz w:val="28"/>
          <w:sz w:val="28"/>
          <w:szCs w:val="28"/>
          <w:rtl w:val="true"/>
          <w:lang w:bidi="ar-SA"/>
        </w:rPr>
        <w:t>ويتجلّى لنا الاستدلال بذلك في المقام بنحوٍ أوضح لو أخذنا بنظر الاعتبار هاتين الحيثيّتين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الحيثيّة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 منـزلة الإمام الحسين علیه السلام  عند الله تعالى، فهو علیه السلام  نفس النبي محمّد صلّى الله عليه و آله ؛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في أنّ الرسول الأكرم صلّى الله عليه و آله أعظم منزلة من يوسف ويعقوب وجميع الأنبياء والمرسَلين علیهم السلام  فكذلك يكون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الحيثيّة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المقايسة بين ما جرى على الصدِّيق يوسف علیه السلام  وبين ما جرى على الإمام الحسين علیه السلام  كما هو واضحٌ وجليّ؛ وبذلك يكون الجزع على الحسين علیه السلام  أولى بالمقبولية من جزع يعقوب على ولده يوسف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الدليل استشهد إمامنا زين العابدين علیه السلام  حينما لامه الناس على كثرة بكائه، وخافوا عليه الهلاك،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تلوموني؛ فإنّ يعقوب فقد سبطاً من وِلده، فبكى حتى ابيضّت عيناه ولم يعلم أنّه مات، وقد نظرت إلى أربعة عشرة رجلاً من أهل بيتي في غزاة واحدة، أفترون حزنهم يذهب من قلبي؟</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5" w:name="__RefHeading___Toc1937016_1051229030"/>
      <w:bookmarkStart w:id="516" w:name="_Toc193"/>
      <w:bookmarkEnd w:id="515"/>
      <w:r>
        <w:rPr>
          <w:rtl w:val="true"/>
        </w:rPr>
        <w:t>ب</w:t>
      </w:r>
      <w:r>
        <w:rPr>
          <w:rtl w:val="true"/>
        </w:rPr>
        <w:t xml:space="preserve">) </w:t>
      </w:r>
      <w:r>
        <w:rPr>
          <w:rtl w:val="true"/>
        </w:rPr>
        <w:t>الروايات الدالّة على جواز الجزع على الحسين علیه السلام</w:t>
      </w:r>
      <w:bookmarkEnd w:id="516"/>
    </w:p>
    <w:p>
      <w:pPr>
        <w:pStyle w:val="Heading6"/>
        <w:numPr>
          <w:ilvl w:val="5"/>
          <w:numId w:val="1"/>
        </w:numPr>
        <w:rPr/>
      </w:pPr>
      <w:bookmarkStart w:id="517" w:name="__RefHeading___Toc1937018_1051229030"/>
      <w:bookmarkStart w:id="518" w:name="_Toc194"/>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هناك جملة وافرة من النصوص والروايات التي صرّحت بجواز الجزع على الحسين علیه السلام ، نذكر منها ما 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الجزع والبكاء مكروه، ما خلا الجزع والبكاء لقتل الحسين علیه السلام </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بيان ذلك في هاتين النقطتين</w:t>
      </w:r>
      <w:r>
        <w:rPr>
          <w:rFonts w:eastAsia="Amiri" w:cs="Amiri" w:ascii="Amiri" w:hAnsi="Amiri"/>
          <w:color w:val="111111"/>
          <w:sz w:val="28"/>
          <w:szCs w:val="28"/>
          <w:rtl w:val="true"/>
          <w:lang w:bidi="ar-SA"/>
        </w:rPr>
        <w:t xml:space="preserve">: </w:t>
      </w:r>
      <w:bookmarkStart w:id="519" w:name="pg7448_77031"/>
    </w:p>
    <w:p>
      <w:pPr>
        <w:pStyle w:val="Heading6"/>
        <w:numPr>
          <w:ilvl w:val="5"/>
          <w:numId w:val="1"/>
        </w:numPr>
        <w:rPr/>
      </w:pPr>
      <w:bookmarkStart w:id="520" w:name="__RefHeading___Toc1937020_1051229030"/>
      <w:bookmarkStart w:id="521" w:name="_Toc195"/>
      <w:bookmarkEnd w:id="519"/>
      <w:bookmarkEnd w:id="520"/>
      <w:r>
        <w:rPr/>
        <w:t>١</w:t>
      </w:r>
      <w:r>
        <w:rPr>
          <w:rtl w:val="true"/>
        </w:rPr>
        <w:t>ـ لكلّ قاعدة استثناء</w:t>
      </w:r>
      <w:bookmarkEnd w:id="521"/>
    </w:p>
    <w:p>
      <w:pPr>
        <w:pStyle w:val="BookText"/>
        <w:rPr/>
      </w:pPr>
      <w:r>
        <w:rPr>
          <w:rFonts w:ascii="Amiri" w:hAnsi="Amiri" w:eastAsia="Amiri" w:cs="Amiri"/>
          <w:color w:val="111111"/>
          <w:sz w:val="28"/>
          <w:sz w:val="28"/>
          <w:szCs w:val="28"/>
          <w:rtl w:val="true"/>
          <w:lang w:bidi="ar-SA"/>
        </w:rPr>
        <w:t>تُسنّ الأحكام الشرعية في الشريعة الإسلامية المقدّسة وتُجعل لموضوعاتها الخاصّة بها، إلّا أنّ هناك استثناءات، ونوضّح ذلك بالمثالين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حكم مَن شكّ في صلاته بين الثالثة والرابعة هو البناء على الرابعة، وبعد إتمام الصلاة يأتي بركعتين من جلوس أو ركعة من قيام، ولكن هناك استثناء خاصّ لكثير الشكّ للقاعدة المقررة في الكتب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 الشكّ حكمه أن لا يعتني بشكّه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حكمه معلوم وهو الحرمة، ولكن الشريعة المقدّسة ذكرت له استثناءً خاصّاً، وهو لا ربا بين الوالد وولده، ولا بين الرجل وزوجته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فهمنا ذلك علمنا بأنّ الجزع على الفقيد رغم أنّ حكمه هو الكراهة، إلّا أنّ الاستثناء ورد في الجزع على الحسين علیه السلام  خاصّة</w:t>
      </w:r>
      <w:r>
        <w:rPr>
          <w:rFonts w:eastAsia="IRNazanin" w:cs="IRNazanin"/>
          <w:color w:val="111111"/>
          <w:sz w:val="28"/>
          <w:szCs w:val="28"/>
          <w:rtl w:val="true"/>
          <w:lang w:bidi="fa-IR"/>
        </w:rPr>
        <w:t>.</w:t>
      </w:r>
    </w:p>
    <w:p>
      <w:pPr>
        <w:pStyle w:val="Heading6"/>
        <w:numPr>
          <w:ilvl w:val="5"/>
          <w:numId w:val="1"/>
        </w:numPr>
        <w:rPr/>
      </w:pPr>
      <w:bookmarkStart w:id="522" w:name="__RefHeading___Toc1937022_1051229030"/>
      <w:bookmarkStart w:id="523" w:name="_Toc196"/>
      <w:bookmarkEnd w:id="522"/>
      <w:r>
        <w:rPr/>
        <w:t>٢</w:t>
      </w:r>
      <w:r>
        <w:rPr>
          <w:rtl w:val="true"/>
        </w:rPr>
        <w:t>ـ اختلاف الأحكام بحسب عناوينها</w:t>
      </w:r>
      <w:bookmarkEnd w:id="523"/>
    </w:p>
    <w:p>
      <w:pPr>
        <w:pStyle w:val="BookText"/>
        <w:rPr/>
      </w:pPr>
      <w:r>
        <w:rPr>
          <w:rFonts w:ascii="Amiri" w:hAnsi="Amiri" w:eastAsia="Amiri" w:cs="Amiri"/>
          <w:color w:val="111111"/>
          <w:sz w:val="28"/>
          <w:sz w:val="28"/>
          <w:szCs w:val="28"/>
          <w:rtl w:val="true"/>
          <w:lang w:bidi="ar-SA"/>
        </w:rPr>
        <w:t>تُصاغ الأحكام عادةً بعنوانها الأوّلي</w:t>
      </w:r>
      <w:r>
        <w:rPr>
          <w:rStyle w:val="FootnoteAnchor"/>
          <w:rtl w:val="true"/>
        </w:rPr>
        <w:footnoteReference w:id="604"/>
      </w:r>
      <w:r>
        <w:rPr>
          <w:rFonts w:ascii="Amiri" w:hAnsi="Amiri" w:eastAsia="Amiri" w:cs="Amiri"/>
          <w:color w:val="111111"/>
          <w:sz w:val="28"/>
          <w:sz w:val="28"/>
          <w:szCs w:val="28"/>
          <w:rtl w:val="true"/>
          <w:lang w:bidi="ar-SA"/>
        </w:rPr>
        <w:t>، ولكن قد تُصاغ أيضاً بعنوانٍ ثانوي</w:t>
      </w:r>
      <w:r>
        <w:rPr>
          <w:rStyle w:val="FootnoteAnchor"/>
          <w:rtl w:val="true"/>
        </w:rPr>
        <w:footnoteReference w:id="605"/>
      </w:r>
      <w:r>
        <w:rPr>
          <w:rFonts w:ascii="Amiri" w:hAnsi="Amiri" w:eastAsia="Amiri" w:cs="Amiri"/>
          <w:color w:val="111111"/>
          <w:sz w:val="28"/>
          <w:sz w:val="28"/>
          <w:szCs w:val="28"/>
          <w:rtl w:val="true"/>
          <w:lang w:bidi="ar-SA"/>
        </w:rPr>
        <w:t>، فيتغيّر حكمها، ومثال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حكمها الأوّلي الاستحباب، ولكن لو علمنا أنّ الأموال المدفوعة سوف تُعطى لجهات تجنِّد الإرهابيين لقتل الأبرياء، فهنا يتغيّر حكمها من الاستحباب إلى الحرمة</w:t>
      </w:r>
      <w:r>
        <w:rPr>
          <w:rFonts w:eastAsia="Amiri" w:cs="Amiri" w:ascii="Amiri" w:hAnsi="Amiri"/>
          <w:color w:val="111111"/>
          <w:sz w:val="28"/>
          <w:szCs w:val="28"/>
          <w:rtl w:val="true"/>
          <w:lang w:bidi="ar-SA"/>
        </w:rPr>
        <w:t xml:space="preserve">. </w:t>
      </w:r>
      <w:bookmarkStart w:id="524" w:name="pg7448_77032"/>
    </w:p>
    <w:p>
      <w:pPr>
        <w:pStyle w:val="BookText"/>
        <w:rPr/>
      </w:pPr>
      <w:bookmarkEnd w:id="52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حكمه الأوّلي الوجوب، ولكن لو كان المكلف مريضاً، وكان الصيام يعرِّض حياته للخطر، فهنا يتحوّل الحكم من الوجوب إلى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حكمه الأوّلي الحرمة، ولكن لو سأل ظالم عن رجل تقيّ وطلب من الناس الإعلام بمكانه ليقتله، فإنّه يجب عليهم الكذب في هذه الحالة للحفاظ على حياته، فيتحوّل الحكم من الحرمة إلى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الجزع، فإنّ حكمه الأوّلي هو الكراهة، لكن بما أنّ الجزع في المقام على الحسين بن علي علیه السلام ، صاحب المصيبة العُظمى والرزيّة الكُبرى، فإنّ الحكم سوف يتغيّر من الكراهة إلى الاستحباب، وهذا ما نصّ عليه الحديث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تُثبت حصول حالة الجزع من قبل المعصومين</w:t>
      </w:r>
    </w:p>
    <w:p>
      <w:pPr>
        <w:pStyle w:val="BookText"/>
        <w:rPr/>
      </w:pPr>
      <w:r>
        <w:rPr>
          <w:rFonts w:ascii="IRNazanin" w:hAnsi="IRNazanin" w:eastAsia="IRNazanin"/>
          <w:color w:val="111111"/>
          <w:sz w:val="28"/>
          <w:sz w:val="28"/>
          <w:szCs w:val="28"/>
          <w:rtl w:val="true"/>
          <w:lang w:bidi="fa-IR"/>
        </w:rPr>
        <w:t xml:space="preserve">نذكر منها مثالاً واحداً، وهو قول زينب علیهاالسلام لابن أخيها الإمام السجاد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أراكَ تجود بنفسكَ يا بقيّة جدّي وأبي وإخوتي؟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 أجزع وأهلع وقد أرى سيّدي وإخوتي وعمومتي ووُلد عمّي وأهلي مصرّعين بدمائهم مرمَّلين بالعرى مسلَّبين</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الآمرة بالجزع على الحسين علیه السلام ، ونذكر منها مثالاً واحد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في كامل الزيارات لابن قولويه، عن مالك الجهمي، من أنّ الإمام الباقر علیه السلام  قال وهو يُبيّن وظيفة مَن أراد زيارة الحسين علیه السلام  يوم عاشوراء عن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ليندب الحسين علیه السلام  ويبكيه، ويأمر مَن في داره بالبكاء عليه، ويُقيم في داره مصيبته بإظهار الجزع عليه، ويتلاقون بالبكاء بعضهم بعضاً بمصاب الحسين علیه السلام ، فأنا ضامنٌ لهم إذا فعلوا ذلك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هذا الثواب</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1937024_1051229030"/>
      <w:bookmarkStart w:id="526" w:name="_Toc197"/>
      <w:bookmarkEnd w:id="525"/>
      <w:r>
        <w:rPr>
          <w:rtl w:val="true"/>
        </w:rPr>
        <w:t>خلاصة البحث</w:t>
      </w:r>
      <w:r>
        <w:rPr>
          <w:rtl w:val="true"/>
        </w:rPr>
        <w:t>:</w:t>
      </w:r>
      <w:bookmarkEnd w:id="52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إنّ الحرُمات الإلهية على أنواع،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المكانيّة، والزمانيّة، والشعائريّة، والبشريّة، وأعظم الحرُمات حُرمة الإنسان المؤمن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كلّما ازداد المؤمن إيماناً وارتقى في درجات إيمانه، كلّما عظُمت حرمته ومنزلته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يتفاوت تعظيم الشعائر الإلهية بحسب نوع الشعيرة، فالبُدن تعظيمها استسمانها، ودين الله تعالى تعظيمه الالتزام به، ومناسك الحجّ تعظيمها بأداء أعمالها،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ـ دلّت النصوص المتضافرة على أنّ أعظم البشر حرمةً عند الله تعالى هم النبي الأكرم محمد صلّى الله عليه و آله وأهل بيته الطاهرين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ـ بما أنّ أعظم الحرُمات عند الله تعالى هم محمد صلّى الله عليه و آله وأهل بيته الأطهار علیهم السلام ؛ فيكون المعنى المُستخلص من آية تعظيم الحرمات هو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ومَن يعظِّم محمداً وآل محمد فهو خيرٌ له عند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ـ يتحقّق تعظيم أهل البيت علیهم السلام  من خلال أداء مجموعة من الأفعال والمراسم، من قبيل اتّباعهم وحمل أهدافهم وإحياء أمرهم وزيارتهم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ـ الإمام الحسين علیه السلام  من أعاظم أهل البيت الطاهرين المطهّرين علیهم السلام ، وله خصوصية خاصّة في ذلك البيت المبارك، وفي ضوء ذلك أكّدت الروايات المتواترة على المنزلة والحرمة الخاصّة له علیه السلام ، والتي استُحلّت واستُبيحت يوم عاشوراء، 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اُمَّةً اسْتَحَلَّتْ مِنْكَ الَمحارِمَ وانْتَهَكَتْ فِيكَ حُرمَةَ الاسلامِ</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ـ هناك أدلّة وبراهين كثيرة ومتنوّعة من الكتاب والسنّة على مشروعية إقامة الشعائر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ـ الشعائر الحسينيّة التي دلّت النصوص على مشروعيتها، هي من قبيل البكاء، ولبس السواد، وإقامة مجالس العزاء والرثاء، اللطم وغير ذلك</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ـ هناك أدلّة عامّة دلّت على مشروعيّة الشعائر الحسينيّة بأشكالها المنظورة في زماننا الحاضر، والأدلّة من قبيل أصالة الإباحة، ودليل المواساة، والحثّ على إظهار الحزن والجزع على مصائب أبي عبد الله الحسين علیه السلام </w:t>
      </w:r>
      <w:r>
        <w:rPr>
          <w:rFonts w:eastAsia="IRNazanin" w:cs="IRNazanin"/>
          <w:color w:val="111111"/>
          <w:sz w:val="28"/>
          <w:szCs w:val="28"/>
          <w:rtl w:val="true"/>
          <w:lang w:bidi="fa-IR"/>
        </w:rPr>
        <w:t xml:space="preserve">. </w:t>
      </w:r>
      <w:bookmarkStart w:id="527" w:name="pg7448_77034"/>
    </w:p>
    <w:p>
      <w:pPr>
        <w:pStyle w:val="Heading3"/>
        <w:numPr>
          <w:ilvl w:val="2"/>
          <w:numId w:val="1"/>
        </w:numPr>
        <w:rPr/>
      </w:pPr>
      <w:bookmarkStart w:id="528" w:name="__RefHeading___Toc1937026_1051229030"/>
      <w:bookmarkStart w:id="529" w:name="_Toc198"/>
      <w:bookmarkEnd w:id="527"/>
      <w:bookmarkEnd w:id="528"/>
      <w:r>
        <w:rPr>
          <w:rtl w:val="true"/>
        </w:rPr>
        <w:t>مَشيُ النِسَاءِ إلى كَربلاءقِراءَةً في الأدلة وَالنُصُوص الشَّرعِيَّة</w:t>
      </w:r>
      <w:bookmarkEnd w:id="529"/>
    </w:p>
    <w:p>
      <w:pPr>
        <w:pStyle w:val="Heading4"/>
        <w:numPr>
          <w:ilvl w:val="3"/>
          <w:numId w:val="1"/>
        </w:numPr>
        <w:rPr/>
      </w:pPr>
      <w:bookmarkStart w:id="530" w:name="__RefHeading___Toc1937028_1051229030"/>
      <w:bookmarkStart w:id="531" w:name="_Toc199"/>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الشيخ مشتاق طالب</w:t>
      </w:r>
      <w:r>
        <w:rPr>
          <w:rStyle w:val="FootnoteAnchor"/>
          <w:rtl w:val="true"/>
        </w:rPr>
        <w:footnoteReference w:id="609"/>
      </w:r>
    </w:p>
    <w:p>
      <w:pPr>
        <w:pStyle w:val="Heading4"/>
        <w:numPr>
          <w:ilvl w:val="3"/>
          <w:numId w:val="1"/>
        </w:numPr>
        <w:rPr/>
      </w:pPr>
      <w:bookmarkStart w:id="532" w:name="__RefHeading___Toc1937030_1051229030"/>
      <w:bookmarkStart w:id="533" w:name="_Toc200"/>
      <w:bookmarkEnd w:id="532"/>
      <w:r>
        <w:rPr>
          <w:rtl w:val="true"/>
        </w:rPr>
        <w:t>توطئة</w:t>
      </w:r>
      <w:bookmarkEnd w:id="533"/>
    </w:p>
    <w:p>
      <w:pPr>
        <w:pStyle w:val="BookText"/>
        <w:rPr/>
      </w:pPr>
      <w:r>
        <w:rPr>
          <w:rFonts w:ascii="Amiri" w:hAnsi="Amiri" w:eastAsia="Amiri" w:cs="Amiri"/>
          <w:color w:val="111111"/>
          <w:sz w:val="28"/>
          <w:sz w:val="28"/>
          <w:szCs w:val="28"/>
          <w:rtl w:val="true"/>
          <w:lang w:bidi="ar-SA"/>
        </w:rPr>
        <w:t>إحياء الذكريات ـ الأحزان والأفراح ، وكذلك سيَر العظماء، وحركاتهم التحررية والتغييرية والنهضوية ـ هي عادةٌ نابعة من اعتقادات البشر عموماً، والعقلاء خصوصاً، وربما كان ذلك من وازع فطري في نفوسهم، فيقومون بعمل مراسيم تناسب الذكرى المطلوب إحياؤها؛ ولأجل ذلك تُمارس بعض الشعائر والطقوس التي تتميز بأمرين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حجم الولاء والحب لصاحب الذكرى، وأهمية السير على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الجوانب الإعلامية، والحركات الفكرية، والاستفادة منها في واقعهم المعاصر وللرأي العام بجميع طبقاته وتوجهاته؛ ولكي يصدّروا أفكارهم وعظماءهم إلى الطرف الآخر، اعتقاداً منهم بأنَّ فكر وشخصية وحركة صاحب الذكرى، مؤهّل إلى أن تنهل منه البشرية ذلك العطاء والتضحية، وتدين له بالتبجيل، بل وبالانتماء أيضاً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والمراجع لتاريخ الأُمم والأديان يرى ذلك واضحاً في أدبياتهم وسيرهم، وتصرفاتهم في إقامة هذه المراسيم</w:t>
      </w:r>
      <w:r>
        <w:rPr>
          <w:rFonts w:eastAsia="Amiri" w:cs="Amiri" w:ascii="Amiri" w:hAnsi="Amiri"/>
          <w:color w:val="111111"/>
          <w:sz w:val="28"/>
          <w:szCs w:val="28"/>
          <w:rtl w:val="true"/>
          <w:lang w:bidi="ar-SA"/>
        </w:rPr>
        <w:t xml:space="preserve">. </w:t>
      </w:r>
      <w:bookmarkStart w:id="534" w:name="pg7448_77035"/>
    </w:p>
    <w:p>
      <w:pPr>
        <w:pStyle w:val="BookText"/>
        <w:rPr/>
      </w:pPr>
      <w:bookmarkEnd w:id="534"/>
      <w:r>
        <w:rPr>
          <w:rFonts w:ascii="Amiri" w:hAnsi="Amiri" w:eastAsia="Amiri" w:cs="Amiri"/>
          <w:color w:val="111111"/>
          <w:sz w:val="28"/>
          <w:sz w:val="28"/>
          <w:szCs w:val="28"/>
          <w:rtl w:val="true"/>
          <w:lang w:bidi="ar-SA"/>
        </w:rPr>
        <w:t>كما أنَّ المسلمين ـ كسائر الأُمم والأديان ـ مارسوا شعائر الانتماء والولاء لعظمائهم، وخلدوا ذكراهم وتضحياتهم، ومواقفهم التي تقف الإنسانية حائرةً أمام عظمتها، وكبير تأثيرها على مسار الإنسانية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تخليد ذكرى الحسين علیه السلام  ونهضته كان أرحب وأوسع أنواع التخليد كمّاً وكيفاً؛ إذ كانت طقوس وشعائر الحسين علیه السلام  هي الأكثر وضوحاً وتطبيقاً بين إقامة الشعائر عند المسلمين، والأكبر تأثيراً في النفوس والعقول، حتى أصبحت شعائره تُمارَس في أرجاء المعمورة وفي بلدان العالم كافة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وموضوعنا الذي نحن بصدد بحثه يُعدُّ من أهم تلك الممارسات والطقوس، التي تجمع بين الجنبة الإعلامية والوجدانية والعقلية، 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 إلى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بمظاهرة مليونية تكتنفها الكثير من الطاعات، والبركات المعنوية، والمادية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صغريات المسائل المتعلقة بفقه الشعائر الحسينية ـ هي مسألة متفرعة على موضوعة المشي إلى كربلاء ـ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 النساء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التسالم على ثبوت هذه الشعيرة عند الإمامية إلّا أنَّه قد أُثيرت مؤخراً بعض الإشكاليات والاستفهامات حول مشروعيتها وشعيريتها؛ بسبب بعض التصرفات أو الممارسات التي قد تصدر من بعض السائرين والسائرات، والتي ربما تكون خاطئة بنظر بعضهم، بالرغم من وجود نصوص دالة على أصل المشروعية ـ مشروعية مشي النساء ـ والاستحباب، فضلاً عن وضوح دخولها في عنوان الشعائر الحسينية</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937032_1051229030"/>
      <w:bookmarkStart w:id="536" w:name="_Toc201"/>
      <w:bookmarkEnd w:id="535"/>
      <w:r>
        <w:rPr>
          <w:rtl w:val="true"/>
        </w:rPr>
        <w:t>تنويع البحث</w:t>
      </w:r>
      <w:bookmarkEnd w:id="53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بدايةً سنتكلّم حول المشي في اللغة، والحكم الشرعي، وعلاقة بذل الجهد فيه، ونتحدث حول مدخلية حمازة الأُمور في استحقاق الثواب، ومن ثَمّ نبحث في الآيات والروايات التي تناقلت المشي وفضله عموماً، ونتكلّم حول المشي للحج أيضاً، ونورد بعدها تاريخية مشي النساء مطلقاً، وكذلك الأدلة التي نستدل بها لمشروعية مشي النساء إلى كربلاء، ونعرض أخيراً أدلة المعارضين لمشي النساء والإجابة عنها</w:t>
      </w:r>
      <w:r>
        <w:rPr>
          <w:rFonts w:eastAsia="Amiri" w:cs="Amiri" w:ascii="Amiri" w:hAnsi="Amiri"/>
          <w:color w:val="111111"/>
          <w:sz w:val="28"/>
          <w:szCs w:val="28"/>
          <w:rtl w:val="true"/>
          <w:lang w:bidi="ar-SA"/>
        </w:rPr>
        <w:t xml:space="preserve">. </w:t>
      </w:r>
      <w:bookmarkStart w:id="537" w:name="pg7448_77037"/>
    </w:p>
    <w:p>
      <w:pPr>
        <w:pStyle w:val="Heading4"/>
        <w:numPr>
          <w:ilvl w:val="3"/>
          <w:numId w:val="1"/>
        </w:numPr>
        <w:rPr/>
      </w:pPr>
      <w:bookmarkStart w:id="538" w:name="__RefHeading___Toc1937034_1051229030"/>
      <w:bookmarkStart w:id="539" w:name="_Toc202"/>
      <w:bookmarkEnd w:id="537"/>
      <w:bookmarkEnd w:id="538"/>
      <w:r>
        <w:rPr>
          <w:rtl w:val="true"/>
        </w:rPr>
        <w:t>المشي لغة</w:t>
      </w:r>
      <w:bookmarkEnd w:id="539"/>
    </w:p>
    <w:p>
      <w:pPr>
        <w:pStyle w:val="BookText"/>
        <w:rPr/>
      </w:pPr>
      <w:r>
        <w:rPr>
          <w:rFonts w:ascii="Amiri" w:hAnsi="Amiri" w:eastAsia="Amiri" w:cs="Amiri"/>
          <w:color w:val="111111"/>
          <w:sz w:val="28"/>
          <w:sz w:val="28"/>
          <w:szCs w:val="28"/>
          <w:rtl w:val="true"/>
          <w:lang w:bidi="ar-SA"/>
        </w:rPr>
        <w:t>المشي لفظاً ومعنًى من الأُمور الواضحة عند الجميع، ولا بأس أن نقف على حقيقة تعريفه عند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مكان إلى مكان بإرادة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الميم والشين والحرف المعتل أصلانِ صحيحان، أحدهما يدلُّ على حركة الإنسان وغيره، والآخَر النَّماء والزيادة</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المصباح المنير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رجليه ـ سريعاً كان أو بطيئاً ـ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ويتعدّى بالهمزة والتضعيف</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1937036_1051229030"/>
      <w:bookmarkStart w:id="541" w:name="_Toc203"/>
      <w:bookmarkEnd w:id="540"/>
      <w:r>
        <w:rPr>
          <w:rtl w:val="true"/>
        </w:rPr>
        <w:t>الحكم الشرعي واستحقاق الثواب عند بذل الجهد</w:t>
      </w:r>
      <w:bookmarkEnd w:id="541"/>
    </w:p>
    <w:p>
      <w:pPr>
        <w:pStyle w:val="BookText"/>
        <w:rPr/>
      </w:pPr>
      <w:r>
        <w:rPr>
          <w:rFonts w:ascii="Amiri" w:hAnsi="Amiri" w:eastAsia="Amiri" w:cs="Amiri"/>
          <w:color w:val="111111"/>
          <w:sz w:val="28"/>
          <w:sz w:val="28"/>
          <w:szCs w:val="28"/>
          <w:rtl w:val="true"/>
          <w:lang w:bidi="ar-SA"/>
        </w:rPr>
        <w:t>إنَّ الأحكام الشرعية الإلهية تُلحظ فيها جنبتان متغايرتان من حيث طبيعة الحكم وخصوصيته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جنبة التشريف؛ إذ إنَّ الأحكام الشرعية هي تشريف للعبد المكلف؛ لأنَّ مَن كلّفه أراده أن يرتبط به روحياً ويُصبح منتمياً إليه ومضافاً إلى اسمه وموصوفاً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لغيره، فينال شرف العبودية لله ويخرج من براثن عبودية الغير وإذلاله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جنبة التكليف؛ لأن الأحكام الشرعية هي تكليف وتحميل للمكلف بها، وهذه الجنبة التعبوية إنما هي لمصلحة من كُلف بها، وأن الله تعالى هو العالم بهذه المصالح أكثر من المخلوقين،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إذ إنها في إطار إعطاء نظام لتربية وإعداد المكلف وتنظيم علاقاته العامة </w:t>
      </w:r>
      <w:bookmarkStart w:id="542" w:name="pg7448_77039"/>
    </w:p>
    <w:p>
      <w:pPr>
        <w:pStyle w:val="BookText"/>
        <w:rPr/>
      </w:pPr>
      <w:bookmarkEnd w:id="542"/>
      <w:r>
        <w:rPr>
          <w:rFonts w:ascii="Amiri" w:hAnsi="Amiri" w:eastAsia="Amiri" w:cs="Amiri"/>
          <w:color w:val="111111"/>
          <w:sz w:val="28"/>
          <w:sz w:val="28"/>
          <w:szCs w:val="28"/>
          <w:rtl w:val="true"/>
          <w:lang w:bidi="ar-SA"/>
        </w:rPr>
        <w:t>والخاصة وإدخاله في حيّز السعادة في الدارين؛ فقد روى النوري في المستدرك عن أبي القاسم الكوفي في كتاب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ما علمت شيئاً يقربكم إلى الجنة ويباعدكم من النار إلا وقد أمرتكم به</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الأحكام ـ كما يقول العدلية ـ تابعة لمصالح ومفاسد واقعية، فما من أمر إلا وفيه خير للمكلف المأمور به، وما من نهي إلا وفيه شر للمكلف المنهي عنه، وغاية تلك التكاليف والجهود هو الوصول إلى الدرجات المعنوية واليقين العلمي والطاعاتي،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 رَبَّكَ حَتَّى يَأْتِيَكَ الْيَقِينُ </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الأحكام كلما كانت أشد وأتعب كلما كان مردودها المعنوي والتربوي أكبر وأرحب؛ فإن أفضل الطاعات أشدها وأحمزها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وبما أن المشي هو بذل للجهد أيضاً، بل لعله جهد كبير، وخاصة إذا اتّصف بالعبادية؛ فإنه سيكون أحب وأقرب، كالمشي للحج المندوب والمشي لزيارة النبي صلّى الله عليه و آله والأئمة علیهم السلام ؛ فهو بلا شك محبوب عند الله تعالى، كما سيأتي المزيد من البيان</w:t>
      </w:r>
      <w:r>
        <w:rPr>
          <w:rFonts w:eastAsia="IRNazanin" w:cs="IRNazanin"/>
          <w:color w:val="111111"/>
          <w:sz w:val="28"/>
          <w:szCs w:val="28"/>
          <w:rtl w:val="true"/>
          <w:lang w:bidi="fa-IR"/>
        </w:rPr>
        <w:t>.</w:t>
      </w:r>
    </w:p>
    <w:p>
      <w:pPr>
        <w:pStyle w:val="Heading4"/>
        <w:numPr>
          <w:ilvl w:val="3"/>
          <w:numId w:val="1"/>
        </w:numPr>
        <w:rPr/>
      </w:pPr>
      <w:bookmarkStart w:id="543" w:name="__RefHeading___Toc1937038_1051229030"/>
      <w:bookmarkStart w:id="544" w:name="_Toc204"/>
      <w:bookmarkEnd w:id="543"/>
      <w:r>
        <w:rPr>
          <w:rtl w:val="true"/>
        </w:rPr>
        <w:t>حرص المسلمين على أحمز الأعمال</w:t>
      </w:r>
      <w:bookmarkEnd w:id="544"/>
    </w:p>
    <w:p>
      <w:pPr>
        <w:pStyle w:val="BookText"/>
        <w:rPr/>
      </w:pPr>
      <w:r>
        <w:rPr>
          <w:rFonts w:ascii="Amiri" w:hAnsi="Amiri" w:eastAsia="Amiri" w:cs="Amiri"/>
          <w:color w:val="111111"/>
          <w:sz w:val="28"/>
          <w:sz w:val="28"/>
          <w:szCs w:val="28"/>
          <w:rtl w:val="true"/>
          <w:lang w:bidi="ar-SA"/>
        </w:rPr>
        <w:t>تنقسم العبادات في التشريع الإسلامي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يكون جهدياً بحتاً كالصلاة والصيام، ومنها ما يكون مالياً بحتاً كالخمس والزكاة، ومنها ما هو مشترك كالحج والجهاد، وكلما كانت العبادة أجهد وأتعب كانت ثمراتها المعنوية أكبر وأعظم؛ ولذا ورد في الرواية المشهورة بين الخاصة والعامة عن النبي الأعظم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أحمزها كما في كتب اللغة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أشدها وأمتنها، وأكثرها مشقة</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 xml:space="preserve">. </w:t>
      </w:r>
      <w:bookmarkStart w:id="545" w:name="pg7448_77041"/>
    </w:p>
    <w:p>
      <w:pPr>
        <w:pStyle w:val="BookText"/>
        <w:rPr/>
      </w:pPr>
      <w:bookmarkEnd w:id="545"/>
      <w:r>
        <w:rPr>
          <w:rFonts w:ascii="Amiri" w:hAnsi="Amiri" w:eastAsia="Amiri" w:cs="Amiri"/>
          <w:color w:val="111111"/>
          <w:sz w:val="28"/>
          <w:sz w:val="28"/>
          <w:szCs w:val="28"/>
          <w:rtl w:val="true"/>
          <w:lang w:bidi="ar-SA"/>
        </w:rPr>
        <w:t>والمشي ـ كما سيأتي ـ أشد وأصعب وأكثر جهداً من الركوب؛ فيكون أفضل قطعاً، وكلما كانت مسافته أطول فهو أشد جهداً ومشقة فيكون أفضل، بل وكلما كانت الظروف أصعب كان المشي أعظم أجراً، فالماشي في زمن الخوف أو الحر أو البرد الشديد أو غير ذلك من الظروف الصعبة أكبر منفعة وثمرة دنيوية وأُخروية من المشي بغير تلك الظروف، عملاً بالحديث النبوي الشريف؛ لذا فإن العبادات التي فيها مشي ـ كالحج والجهاد والزيارة ـ لها أهميتها وفضلها على سائر العبادات إلا ما خرج بالدليل</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937040_1051229030"/>
      <w:bookmarkStart w:id="547" w:name="_Toc205"/>
      <w:bookmarkEnd w:id="546"/>
      <w:r>
        <w:rPr>
          <w:rtl w:val="true"/>
        </w:rPr>
        <w:t>المشي في النصوص الشرعية</w:t>
      </w:r>
      <w:bookmarkEnd w:id="547"/>
    </w:p>
    <w:p>
      <w:pPr>
        <w:pStyle w:val="Heading5"/>
        <w:numPr>
          <w:ilvl w:val="4"/>
          <w:numId w:val="1"/>
        </w:numPr>
        <w:rPr/>
      </w:pPr>
      <w:bookmarkStart w:id="548" w:name="__RefHeading___Toc1937042_1051229030"/>
      <w:bookmarkStart w:id="549" w:name="_Toc206"/>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ورد المشي في النصوص الشرعية كثيراً؛ إذ إن الآيات والروايات حافلة بهذا المعنى، إما صراحة أو على نحو التلازم بين المشي وبين ما ذكر، وبما أن بحثنا عن مشي خاص ـ لا مطلق المشي ـ أحببنا ذكر المشي بصورة مجملة وسريعة في النص القرآني والروائي</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937044_1051229030"/>
      <w:bookmarkStart w:id="551" w:name="_Toc207"/>
      <w:bookmarkEnd w:id="550"/>
      <w:r>
        <w:rPr>
          <w:rtl w:val="true"/>
        </w:rPr>
        <w:t>أولاً</w:t>
      </w:r>
      <w:r>
        <w:rPr>
          <w:rtl w:val="true"/>
        </w:rPr>
        <w:t xml:space="preserve">: </w:t>
      </w:r>
      <w:r>
        <w:rPr>
          <w:rtl w:val="true"/>
        </w:rPr>
        <w:t>المشي في النصوص القرآنية</w:t>
      </w:r>
      <w:bookmarkEnd w:id="551"/>
    </w:p>
    <w:p>
      <w:pPr>
        <w:pStyle w:val="BookText"/>
        <w:rPr/>
      </w:pPr>
      <w:r>
        <w:rPr>
          <w:rFonts w:ascii="Amiri" w:hAnsi="Amiri" w:eastAsia="Amiri" w:cs="Amiri"/>
          <w:color w:val="111111"/>
          <w:sz w:val="28"/>
          <w:sz w:val="28"/>
          <w:szCs w:val="28"/>
          <w:rtl w:val="true"/>
          <w:lang w:bidi="ar-SA"/>
        </w:rPr>
        <w:t>ورد المشي في آيات عديدة وبموضوعات مختلفة، وفي بعضها إشعار بأنه نعمة من النعم الإلهية، وأنه ممدوح لأجل الوصول إلى شيء مطلوب، أو للخروج من واقع قاسٍ أو منحرف، وهنا نذكر بعض تلك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وَاقْصِدْ فِي مَشْيِكَ وَاغْضُضْ مِنْ صَوْتِكَ إِنَّ أَنْكَرَ الْأَصْوَاتِ لَصَوْتُ الْحَمِيرِ </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خَلَقَ كُلَّ دَابَّةٍ مِنْ مَاءٍ فَمِنْهُمْ مَنْ يَمْشِي عَلَى بَطْنِهِ وَمِنْهُمْ مَنْ يَمْشِي عَلَى رِجْلَيْنِ وَمِنْهُمْ مَنْ يَمْشِي عَلَى أَرْبَعٍ يَخْلُقُ اللَّهُ مَا يَشَاءُ إِنَّ اللَّهَ عَلَى كُلِّ شَيْءٍ قَدِيرٌ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552" w:name="pg7448_77043"/>
    </w:p>
    <w:p>
      <w:pPr>
        <w:pStyle w:val="BookText"/>
        <w:rPr/>
      </w:pPr>
      <w:bookmarkEnd w:id="552"/>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فِي الْكِتَابِ مَرْيَمَ إِذِ انْتَبَذَتْ مِنْ أَهْلِهَا مَكَانًا شَرْقِيًّا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وسنقف عند هذه الآية ببحث مفصل لاحقاً إن شاء الله تعالى؛ لقربها من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 في الآية التي تُشير إلى ذم خروج النساء من بيوتهن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وَقَرْنَ فِي بُيُوتِكُنَّ وَلَا تَبَرَّجْنَ تَبَرُّجَ الْجَاهِلِيَّةِ الْأُولَى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يأتي تفصيل الكلام حولها عند التعرض لأدلة المانعين الذين استدلوا بها لمنع خروج النساء مشياً، وسوف نُبيّن أنها ليست مانعة من أصل الخروج</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937046_1051229030"/>
      <w:bookmarkStart w:id="554" w:name="_Toc208"/>
      <w:bookmarkEnd w:id="553"/>
      <w:r>
        <w:rPr>
          <w:rtl w:val="true"/>
        </w:rPr>
        <w:t>ثانياً</w:t>
      </w:r>
      <w:r>
        <w:rPr>
          <w:rtl w:val="true"/>
        </w:rPr>
        <w:t xml:space="preserve">: </w:t>
      </w:r>
      <w:r>
        <w:rPr>
          <w:rtl w:val="true"/>
        </w:rPr>
        <w:t>المشي في الروايات</w:t>
      </w:r>
      <w:bookmarkEnd w:id="554"/>
    </w:p>
    <w:p>
      <w:pPr>
        <w:pStyle w:val="Heading6"/>
        <w:numPr>
          <w:ilvl w:val="5"/>
          <w:numId w:val="1"/>
        </w:numPr>
        <w:rPr/>
      </w:pPr>
      <w:bookmarkStart w:id="555" w:name="__RefHeading___Toc1937048_1051229030"/>
      <w:bookmarkStart w:id="556" w:name="_Toc209"/>
      <w:bookmarkEnd w:id="555"/>
      <w:r>
        <w:rPr>
          <w:rtl w:val="true"/>
        </w:rPr>
        <w:t>اشارة</w:t>
      </w:r>
      <w:bookmarkEnd w:id="556"/>
    </w:p>
    <w:p>
      <w:pPr>
        <w:pStyle w:val="BookText"/>
        <w:rPr/>
      </w:pPr>
      <w:r>
        <w:rPr>
          <w:rFonts w:ascii="Amiri" w:hAnsi="Amiri" w:eastAsia="Amiri" w:cs="Amiri"/>
          <w:color w:val="111111"/>
          <w:sz w:val="28"/>
          <w:sz w:val="28"/>
          <w:szCs w:val="28"/>
          <w:rtl w:val="true"/>
          <w:lang w:bidi="ar-SA"/>
        </w:rPr>
        <w:t>وردت روايات كثيرة في مدح المشي إما مطلقاً أو لغاية وطاعة وهدف إيجابي، ويمكن ذكر ذلك من خلال الطوائف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عبادية المشي بذاته، وهذا ظاهر بعض الروايات التي تُحمل على المشي المعهود المادي، لا المشي المعنوي ، كما في الرواية ـ المروية بعدة طرق وفي عدة موارد ـ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أفضل من المشي</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الحاثة على السفر إما مطلقا أو لغايات مادية أو معنوية مستحبة أو مباحة؛ لاشتماله ـ خصوصاً في الأزمان الغابرة ـ على المشي راجلاً ، ومن تلك الروايات</w:t>
      </w:r>
      <w:r>
        <w:rPr>
          <w:rFonts w:eastAsia="Amiri" w:cs="Amiri" w:ascii="Amiri" w:hAnsi="Amiri"/>
          <w:color w:val="111111"/>
          <w:sz w:val="28"/>
          <w:szCs w:val="28"/>
          <w:rtl w:val="true"/>
          <w:lang w:bidi="ar-SA"/>
        </w:rPr>
        <w:t>:</w:t>
      </w:r>
    </w:p>
    <w:p>
      <w:pPr>
        <w:pStyle w:val="Heading6"/>
        <w:numPr>
          <w:ilvl w:val="5"/>
          <w:numId w:val="1"/>
        </w:numPr>
        <w:rPr/>
      </w:pPr>
      <w:bookmarkStart w:id="557" w:name="__RefHeading___Toc1937050_1051229030"/>
      <w:bookmarkStart w:id="558" w:name="_Toc210"/>
      <w:bookmarkEnd w:id="557"/>
      <w:r>
        <w:rPr/>
        <w:t>١</w:t>
      </w:r>
      <w:r>
        <w:rPr>
          <w:rtl w:val="true"/>
        </w:rPr>
        <w:t xml:space="preserve"> ـ ما دل على استحباب مطلق السفر</w:t>
      </w:r>
      <w:bookmarkEnd w:id="55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روي عن جعفر بن محمد الصادق، عن آبائه علیهم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تصحوا، وجاهدوا تغنموا، وحجوا تستغنوا</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559" w:name="pg7448_77045"/>
    </w:p>
    <w:p>
      <w:pPr>
        <w:pStyle w:val="BookText"/>
        <w:rPr/>
      </w:pPr>
      <w:bookmarkEnd w:id="559"/>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أحمد بن أبي عبد الله البرقي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تصحوا، سافروا تغنموا</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0" w:name="__RefHeading___Toc1937052_1051229030"/>
      <w:bookmarkStart w:id="561" w:name="_Toc211"/>
      <w:bookmarkEnd w:id="560"/>
      <w:r>
        <w:rPr/>
        <w:t>٢</w:t>
      </w:r>
      <w:r>
        <w:rPr>
          <w:rtl w:val="true"/>
        </w:rPr>
        <w:t xml:space="preserve"> ـ ما تضمن الحث على المشي للتواصل والتزاور الاجتماعي</w:t>
      </w:r>
      <w:bookmarkEnd w:id="56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بإسناده عن شعيب بن واقد، عن الحسين بن زيد، عن الصادق علیه السلام ، عن آبائه علیهم السلام ، عن النبي صلّى الله عليه و آله ـ في حديث المناهي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مشى إلى ذي قرابة بنفسه وماله ليصل رحمه أعطاه الله أجر مائة شهيد، وله بكل خطوة أربعون ألف حسنة، ومحا عنه أربعين ألف سيئة، ورفع له من الدرجات مثل ذلك، وكان كأنما عبد الله مائة سنة صابراً محتسباً</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1937054_1051229030"/>
      <w:bookmarkStart w:id="563" w:name="_Toc212"/>
      <w:bookmarkEnd w:id="562"/>
      <w:r>
        <w:rPr/>
        <w:t>٣</w:t>
      </w:r>
      <w:r>
        <w:rPr>
          <w:rtl w:val="true"/>
        </w:rPr>
        <w:t>ـ ما دل على خروج النّساء في المأتم لقضاء الحقوق</w:t>
      </w:r>
      <w:bookmarkEnd w:id="563"/>
    </w:p>
    <w:p>
      <w:pPr>
        <w:pStyle w:val="BookText"/>
        <w:rPr/>
      </w:pPr>
      <w:r>
        <w:rPr>
          <w:rFonts w:ascii="Amiri" w:hAnsi="Amiri" w:eastAsia="Amiri" w:cs="Amiri"/>
          <w:color w:val="111111"/>
          <w:sz w:val="28"/>
          <w:sz w:val="28"/>
          <w:szCs w:val="28"/>
          <w:rtl w:val="true"/>
          <w:lang w:bidi="ar-SA"/>
        </w:rPr>
        <w:t>فقد روي عن أبي الحسن علیه السلام  حين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الحُقُوقِ تَسْأَلُنِي، كَانَ أَبِي يَبْعَثُ أُمِّي وَأُمَّ فَرْوَةَ تَقْضِيَانِ حُقُوقَ أَهْلِ الْمَدِينَةِ</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في أن هذه الموارد بإطلاقها ـ بل بصراحة بعضها ـ تشمل الاستحباب للنساء أيضاً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937056_1051229030"/>
      <w:bookmarkStart w:id="565" w:name="_Toc213"/>
      <w:bookmarkEnd w:id="564"/>
      <w:r>
        <w:rPr>
          <w:rtl w:val="true"/>
        </w:rPr>
        <w:t>المشي إلى الحج</w:t>
      </w:r>
      <w:bookmarkEnd w:id="565"/>
    </w:p>
    <w:p>
      <w:pPr>
        <w:pStyle w:val="BookText"/>
        <w:rPr/>
      </w:pPr>
      <w:r>
        <w:rPr>
          <w:rFonts w:ascii="Amiri" w:hAnsi="Amiri" w:eastAsia="Amiri" w:cs="Amiri"/>
          <w:color w:val="111111"/>
          <w:sz w:val="28"/>
          <w:sz w:val="28"/>
          <w:szCs w:val="28"/>
          <w:rtl w:val="true"/>
          <w:lang w:bidi="ar-SA"/>
        </w:rPr>
        <w:t>لا خلاف في جواز المشي للحج للرجال والنساء من أماكن بعيدة، كما دلت الآيات القرآنية والروايات كذلك، وإنما الخلاف بين الفقهاء في أفضلية المشي على الركوب في طريق الحج، فذهب المشهور إلى أفضلية الحج ماشياً على الحج راكباً؛ لأنه أكثر مشقة وتواضعاً وأحمز من الركوب، بل تمسكاً منهم ببعض الروايات الآتية الذكر</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937058_1051229030"/>
      <w:bookmarkStart w:id="567" w:name="_Toc214"/>
      <w:bookmarkEnd w:id="566"/>
      <w:r>
        <w:rPr>
          <w:rtl w:val="true"/>
        </w:rPr>
        <w:t>الروايات الحاثة على المشي</w:t>
      </w:r>
      <w:bookmarkEnd w:id="56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مجموعة من النصوص الشرعية الدالة على أفضلية المشي على الركوب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المشي إلى الحج الواجب أو المندوب خضوعاً وخشوعاً وطلباً للأحمز، فقد ورد عن الإمام الصادق علیه السلام  في خبر ابن سنان،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أشد من المشي ولا أفضل</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ما ورد عن الإمام الصادق علیه السلام  أيضاً،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مثل الصمت والمشي إلى بيته</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ما أورده الحر العاملي في الوسائل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ما تقرب العبد إلى الله عز وجل بشيء أحب إليه من المشي إلى بيته الحرام على القدمين</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ـ ما روي عن الصادق علیه السلام  حين سُئل عن فضل المشي،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 بن علي علیهماالسلام   قاسم ربه ثلاث مرات حتى نعلاً ونعلاً، وثوباً وثوباً، وديناراً وديناراً، وحج عشرين حجة ماشياً</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ـ ما روي في خبر أسامة،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الحسن بن علي علیهماالسلام   إلى مكة ماشياً فورمت قدماه، فقال له بعض مواليه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ركبت لسكن عنك هذا 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ـ وروى أبو المنكدر عن أبي جعفر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ندمت على شيء صنعته ندمي على أن لم أحج ماشياً؛ لأني سمعت رسول الله صلّى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بيت الله ماشياً كتب الله له ستة آلاف حسنة من حسنات الحرم،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حسنات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 بألف ألف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المشاة في الحج كفضل القمر ليلة البدر على سائر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الحسين علیهماالسلام   يمشي إلى الحج ودابته تُقاد وراءه</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568" w:name="pg7448_77050"/>
    </w:p>
    <w:p>
      <w:pPr>
        <w:pStyle w:val="Heading5"/>
        <w:numPr>
          <w:ilvl w:val="4"/>
          <w:numId w:val="1"/>
        </w:numPr>
        <w:rPr/>
      </w:pPr>
      <w:bookmarkStart w:id="569" w:name="__RefHeading___Toc1937060_1051229030"/>
      <w:bookmarkStart w:id="570" w:name="_Toc215"/>
      <w:bookmarkEnd w:id="568"/>
      <w:bookmarkEnd w:id="569"/>
      <w:r>
        <w:rPr>
          <w:rtl w:val="true"/>
        </w:rPr>
        <w:t>الروايات الحاثة على الركوب</w:t>
      </w:r>
      <w:bookmarkEnd w:id="570"/>
    </w:p>
    <w:p>
      <w:pPr>
        <w:pStyle w:val="BookText"/>
        <w:rPr/>
      </w:pPr>
      <w:r>
        <w:rPr>
          <w:rFonts w:ascii="Amiri" w:hAnsi="Amiri" w:eastAsia="Amiri" w:cs="Amiri"/>
          <w:color w:val="111111"/>
          <w:sz w:val="28"/>
          <w:sz w:val="28"/>
          <w:szCs w:val="28"/>
          <w:rtl w:val="true"/>
          <w:lang w:bidi="ar-SA"/>
        </w:rPr>
        <w:t>مع أن الروايات المتقدمة واضحة الدلالة على ما ذكرنا سابقاً إلا أن في مقابل ذلك روايات تدل على أفضلية الركوب تأسّياً بالنبي الأعظم صلّى الله عليه و آله ، ومن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رواية رفاعة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أبا عبد اللّه علیه السلام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 أفضل أم المشي؟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الركوب أفضل من المشي؛ 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ـ رواية ابن بكير،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سُئل عن الحج ماشياً أفضل أو راكباً؟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راكباً؛ فإن رسول الله صلّى الله عليه و آله حجّ راكباً</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وعن رفاعة 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عن مشي الحسن علیه السلام  من مكة أو من المدينة؟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زرت البيت أركب أو أمشي؟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الحسن علیه السلام  يزور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الركوب أفضل أو المشي؟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الركوب أفضل من المشي؟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 رسول صلّى الله عليه و آله ركب</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1937062_1051229030"/>
      <w:bookmarkStart w:id="572" w:name="_Toc216"/>
      <w:bookmarkEnd w:id="571"/>
      <w:r>
        <w:rPr>
          <w:rtl w:val="true"/>
        </w:rPr>
        <w:t>الجمع بين روايات المشي والركوب</w:t>
      </w:r>
      <w:bookmarkEnd w:id="572"/>
    </w:p>
    <w:p>
      <w:pPr>
        <w:pStyle w:val="BookText"/>
        <w:rPr/>
      </w:pPr>
      <w:r>
        <w:rPr>
          <w:rFonts w:ascii="Amiri" w:hAnsi="Amiri" w:eastAsia="Amiri" w:cs="Amiri"/>
          <w:color w:val="111111"/>
          <w:sz w:val="28"/>
          <w:sz w:val="28"/>
          <w:szCs w:val="28"/>
          <w:rtl w:val="true"/>
          <w:lang w:bidi="ar-SA"/>
        </w:rPr>
        <w:t>ويمكن أن نجمع بين هاتين الطائفتين من خلال القرائن الآتية ـ والتي تُعطي نتيجةً مفادها أن الأفضلية محفوظة للمشي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روايات أُخر تُبيِّن أن الأفضلية للمشي إلا في بعض الحالات الخاصة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المشي لأجل كونه أقل نفقة مع العلم أن هذا الحاج في يسر ومكنة؛ فيكون الركوب أفضل في حقه، لقول أبي عبد الله علیه السلام  في خبر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سئل عن المشي أفضل أو الركوب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الرجل موسراً فيمشي ليكون أقل لنفقته، </w:t>
      </w:r>
      <w:bookmarkStart w:id="573" w:name="pg7448_77052"/>
    </w:p>
    <w:p>
      <w:pPr>
        <w:pStyle w:val="BookText"/>
        <w:rPr/>
      </w:pPr>
      <w:bookmarkEnd w:id="573"/>
      <w:r>
        <w:rPr>
          <w:rFonts w:ascii="Amiri" w:hAnsi="Amiri" w:eastAsia="Amiri" w:cs="Amiri"/>
          <w:color w:val="111111"/>
          <w:sz w:val="28"/>
          <w:sz w:val="28"/>
          <w:szCs w:val="28"/>
          <w:rtl w:val="true"/>
          <w:lang w:bidi="ar-SA"/>
        </w:rPr>
        <w:t>فالركوب أفضل</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المشي يؤدي إلى تعطيل الحاج عن الدعاء أو العبادة أو أداء المناسك فيكون الفضل للركوب، كما في رواية سيف التمار،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كنا نحج مشاة فبلغنا عنك شيء، فما ترى؟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ليحجون مشاة ويركبون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 ذلك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أي شيء سألت؟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أيّهما أحبّ إليك أن نصنع؟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تركبون أحب إلي؛ فإن ذلك أقوى لكم على الدعاء والعبادة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الحج ماشياً موجباً للاستخفاف والمهانة من قِبل الآخرين، فقد روى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أن نـخـرج إلى مكة مشاة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تمشوا واخرجوا ركباناً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بلغنا عن الحسن بن علي علیهماالسلام   أنـه حج عشرين حجة ماشياً،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علي علیهماالسلام   كان يحج ماشياً وتُساق معه الرحال</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 المتحصلة ـ لدى الباحث بعد هذا الجمع هي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 إلى الحج واجباً أو مندوباً أرجح من الركوب إلا في الموارد المتقدمة؛ فإذا أراد المكلف تحصيل ثواب أكثر في الحج المندوب كان المشي هو المتعين، وكذا الحكم في الطاعات الأُخر كالجهاد أو الزيارة أو غيرها، إلا إذا دلّ الدليل الخاص على الاستثناء، وكان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الأقل مشقة هي الأرجح؛ فعند ذلك يؤخذ بالدليل الخاص</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937064_1051229030"/>
      <w:bookmarkStart w:id="575" w:name="_Toc217"/>
      <w:bookmarkEnd w:id="574"/>
      <w:r>
        <w:rPr>
          <w:rtl w:val="true"/>
        </w:rPr>
        <w:t>تاريخية مشي النساء</w:t>
      </w:r>
      <w:bookmarkEnd w:id="575"/>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المتتبع لتاريخ الإنسانية ـ وخصوصاً تاريخ العرب ـ يجد ظاهرة المشي من يوميات الإنسان رجلاً كان أو امرأةً، حيث إن كثيراً من الأعمال والمهن تُمارَس مشياً على الأقدام، ولعل ظاهرة الرعي والزراعة من أهم تلك المهن التي تحتاج </w:t>
      </w:r>
    </w:p>
    <w:p>
      <w:pPr>
        <w:pStyle w:val="BookText"/>
        <w:rPr/>
      </w:pPr>
      <w:r>
        <w:rPr>
          <w:rFonts w:ascii="Amiri" w:hAnsi="Amiri" w:eastAsia="Amiri" w:cs="Amiri"/>
          <w:color w:val="111111"/>
          <w:sz w:val="28"/>
          <w:sz w:val="28"/>
          <w:szCs w:val="28"/>
          <w:rtl w:val="true"/>
          <w:lang w:bidi="ar-SA"/>
        </w:rPr>
        <w:t>إلى المشي، ونحن نجد أن المرأة كانت ولا زالت تُمارس هاتين المهنتين وباستمرار، والقرآن يحكي لنا أن نساء مقدسات وبنات أنبياء كنَّ يُمارِسن ذلك، كما في قصة ابنتي النبي شعيب علیه السلام  والتي أصبحت إحداهما زوجاً لكليم الله النبي موسى علیه السلام ، حيث كانتا تمارسان الرعي وسقي الغنم؛ 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وَرَدَ مَاءَ مَدْيَنَ وَجَدَ عَلَيْهِ أُمَّةً مِنَ النَّاسِ يَسْقُونَ وَوَجَدَ مِنْ دُونِهِمُ امْرَأَتَيْنِ تَذُودَانِ قَالَ مَا خَطْبُكُمَا قَالَتَا لَا نَسْقِي حَتَّى يُصْدِرَ الرِّعَاءُ وَأَبُونَا شَيْخٌ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وكذلك يحكي لنا القرآن سير موسى علیه السلام  مع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 وَسَارَ بِأَهْلِهِ آنَسَ مِنْ جَانِبِ الطُّورِ نَارًا قَالَ لِأَهْلِهِ امْكُثُوا إِنِّي آنَسْتُ نَارًا لَعَلِّي آتِيكُمْ مِنْهَا بِخَبَرٍ أَوْ جَذْوَةٍ مِنَ النَّارِ لَعَلَّكُمْ تَصْطَلُونَ</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إن بعض النساء المقدسات ـ ومنهن السيدة الطاهرة خديجة ـ كانت تمارس الخروج من البيت والمشي بسبب طبيعة عملها في التجارة، وقد تزوّج منها النبي الأعظم صلّى الله عليه و آله وهي تاجرة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السيرة التاريخية العامة تذكر مئات النساء اللاتي ذاع صيتهن وقد اكتنف عملهن بالمشي، خصوصاً المشي للأُمور المهمة والتواصل الاجتماعي والثقافي والعلمي والأدبي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وامتدت تلك السيرة إلى زمن الإسلام وخروج المرأة في بعض الحروب لمساعدة الرجل في الأُمور الطبية واللوجستية وغيرها، وتحمّلها لبعض المهام والمشاغل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مسألة خروج المرأة المعاصرة أصبح شيئاً واضحاً ولا غبار عليه، خصوصاً بعد أن عملت بسلك الطب والتعليم والهندسة والتربية وغيرها من ميادين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ولنقف على الأحداث التي يذكرها القرآن المختصة بالسيدة مريم العذراء رضوان الله عليها؛ لارتباطها الواضح بموضوع هذا البحث</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فَاتَّخَذَتْ </w:t>
      </w:r>
      <w:bookmarkStart w:id="576" w:name="pg7448_77055"/>
    </w:p>
    <w:p>
      <w:pPr>
        <w:pStyle w:val="BookText"/>
        <w:rPr/>
      </w:pPr>
      <w:bookmarkEnd w:id="576"/>
      <w:r>
        <w:rPr>
          <w:rFonts w:ascii="Amiri" w:hAnsi="Amiri" w:eastAsia="Amiri" w:cs="Amiri"/>
          <w:color w:val="111111"/>
          <w:sz w:val="28"/>
          <w:sz w:val="28"/>
          <w:szCs w:val="28"/>
          <w:rtl w:val="true"/>
          <w:lang w:bidi="ar-SA"/>
        </w:rPr>
        <w:t>مِنْ دُونِهِمْ حِجَابًا فَأَرْسَلْنَا إِلَيْهَا رُوحَنَا فَتَمَثَّلَ لَهَا بَشَرًا سَوِيًّا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الآية تحكي قصة السيدة العذراء مريم وما جرى من مراسيم تحضيرية لأجل الولادة، ومن أهم تلك المراسيم هو خروجها لوحدها إلى مكانٍ قصيٍّ، والقصي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المكان البعيد القاصي المحتجب عن الأهل والأقارب والبلدة، فخرجت لوحدها لتأتي بالمولود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العلماء المعاصرين</w:t>
      </w:r>
      <w:r>
        <w:rPr>
          <w:rStyle w:val="FootnoteAnchor"/>
          <w:rtl w:val="true"/>
        </w:rPr>
        <w:footnoteReference w:id="643"/>
      </w:r>
      <w:r>
        <w:rPr>
          <w:rFonts w:ascii="Amiri" w:hAnsi="Amiri" w:eastAsia="Amiri" w:cs="Amiri"/>
          <w:color w:val="111111"/>
          <w:sz w:val="28"/>
          <w:sz w:val="28"/>
          <w:szCs w:val="28"/>
          <w:rtl w:val="true"/>
          <w:lang w:bidi="ar-SA"/>
        </w:rPr>
        <w:t>في قصة خروجها أُموراً تفيدنا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خروجها كان لوحدها؛ وهذا يدل على مشروعية الخروج ما دام الخروج مطابقاً للموازين الشرعية مع كامل الحجاب والعفة وما دام لغاية سامية وهي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خروجها كان لمكان بعيد عن أهلها؛ وهذا يدل على مشروعية الخروج إلى مكان بعيد ما دامت مأمونة على نفسها ومعروفة بعفتها وشرفها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مع الأجنبي بحد ذاته ليس محرماً، ما دام مطابقاً للموازين الشرعية، وليس فيه خضوع بالقول ولا يحتوي على كلام غزلي ولا تعمد الإسماع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أن ظاهرة مشي النساء قديمة وممتدة وعامة، وبمرأى ومسمع من الأنبياء والأئمة والصلحاء، ولم يعترضوا على أصل الظاهرة، وإنما هناك أحكام وشروط تشريعية تنظم الخروج والمشي، وتجعله في حيز الجائز الذي لا فساد ولا إفساد فيه</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1937066_1051229030"/>
      <w:bookmarkStart w:id="578" w:name="_Toc218"/>
      <w:bookmarkEnd w:id="577"/>
      <w:r>
        <w:rPr>
          <w:rtl w:val="true"/>
        </w:rPr>
        <w:t>أدلة مشي النساء إلى كربلاء</w:t>
      </w:r>
      <w:bookmarkEnd w:id="578"/>
    </w:p>
    <w:p>
      <w:pPr>
        <w:pStyle w:val="Heading6"/>
        <w:numPr>
          <w:ilvl w:val="5"/>
          <w:numId w:val="1"/>
        </w:numPr>
        <w:rPr/>
      </w:pPr>
      <w:bookmarkStart w:id="579" w:name="__RefHeading___Toc1937068_1051229030"/>
      <w:bookmarkStart w:id="580" w:name="_Toc219"/>
      <w:bookmarkEnd w:id="579"/>
      <w:r>
        <w:rPr>
          <w:rtl w:val="true"/>
        </w:rPr>
        <w:t>اشارة</w:t>
      </w:r>
      <w:bookmarkEnd w:id="580"/>
    </w:p>
    <w:p>
      <w:pPr>
        <w:pStyle w:val="BookText"/>
        <w:rPr/>
      </w:pPr>
      <w:r>
        <w:rPr>
          <w:rFonts w:ascii="Amiri" w:hAnsi="Amiri" w:eastAsia="Amiri" w:cs="Amiri"/>
          <w:color w:val="111111"/>
          <w:sz w:val="28"/>
          <w:sz w:val="28"/>
          <w:szCs w:val="28"/>
          <w:rtl w:val="true"/>
          <w:lang w:bidi="ar-SA"/>
        </w:rPr>
        <w:t>عرضنا فيما سبق الأدلة ـ القرآنية والروائية ـ المجوزة للمشي مطلقاً، بل والحاثة عليه لأجل بعض الطاعات والتواصل الرحمي والاجتماعي والحقوقي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نعرض بعض الأدلة الخاصة التي تدل على جواز واستحباب مشي </w:t>
      </w:r>
      <w:bookmarkStart w:id="581" w:name="pg7448_77056"/>
    </w:p>
    <w:p>
      <w:pPr>
        <w:pStyle w:val="BookText"/>
        <w:rPr/>
      </w:pPr>
      <w:bookmarkEnd w:id="581"/>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لزيارة قبر سيد الشهداء وفاءً لحق الولاء للنبي وأمير المؤمنين والصديقة الطاهرة والسادة النجباء من أبنائها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ذلك في أدلة منها</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1937070_1051229030"/>
      <w:bookmarkStart w:id="583" w:name="_Toc220"/>
      <w:bookmarkEnd w:id="582"/>
      <w:r>
        <w:rPr>
          <w:rtl w:val="true"/>
        </w:rPr>
        <w:t>الدليل الأول</w:t>
      </w:r>
      <w:r>
        <w:rPr>
          <w:rtl w:val="true"/>
        </w:rPr>
        <w:t xml:space="preserve">: </w:t>
      </w:r>
      <w:r>
        <w:rPr>
          <w:rtl w:val="true"/>
        </w:rPr>
        <w:t>قاعدة الاشتراك</w:t>
      </w:r>
      <w:bookmarkEnd w:id="583"/>
    </w:p>
    <w:p>
      <w:pPr>
        <w:pStyle w:val="BookText"/>
        <w:rPr/>
      </w:pPr>
      <w:r>
        <w:rPr>
          <w:rFonts w:ascii="Amiri" w:hAnsi="Amiri" w:eastAsia="Amiri" w:cs="Amiri"/>
          <w:color w:val="111111"/>
          <w:sz w:val="28"/>
          <w:sz w:val="28"/>
          <w:szCs w:val="28"/>
          <w:rtl w:val="true"/>
          <w:lang w:bidi="ar-SA"/>
        </w:rPr>
        <w:t>من جملة القواعد الفقهيّة المشهورة بين الفقهاء قاعدة الاشتراك، والتي مفادها في أحد معانيها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اشتراك المكلّفين في الأحكام الشرعية رجالاً ونساءً إلى قيام يوم القيامة، سواء كانت أحكاماً إلزامية، كالوجوب والحرمة، أو غير إلزامية، كالاستحباب والكراهة، إلا في الموارد التي ثبت خصوصية للرجل أو المرأة فيها؛ فتكون خارجة عن القاعدة تخصيصاً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هذه قاعدة ـ وكل قاعدة تمتاز بأنها كلية ـ لها تطبيقات وأفراد عديدة؛ فيكون المشي إلى كربلاء تطبيقاً وفرداً من أفرادها؛ مما يعني أن الاستحباب الوارد في الأدلة والروايات منصب على الرجال والنساء على حد سواء، ولم يرد في الروايات ما يدل على حصر استحباب المشي بالرجال، بل يبعد احتمال الخصوصية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من المنع من خروجهن مطلقاً ـ ولو لأجل الطاعة ـ مدفوع، كما سيأتي بيان ذلك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ولهذه القاعدة أدلتها وتطبيقاتها، وتفصيل ذلك في محلّه من كتب القواعد الفقهية، والذي يفيدنا منها هو حكم الاستحباب المشترك بين الرجال والنساء الموجود في أدلة المشي إلى سيد الشهداء علیه السلام </w:t>
      </w:r>
      <w:r>
        <w:rPr>
          <w:rFonts w:eastAsia="IRNazanin" w:cs="IRNazanin"/>
          <w:color w:val="111111"/>
          <w:sz w:val="28"/>
          <w:szCs w:val="28"/>
          <w:rtl w:val="true"/>
          <w:lang w:bidi="fa-IR"/>
        </w:rPr>
        <w:t>.</w:t>
      </w:r>
    </w:p>
    <w:p>
      <w:pPr>
        <w:pStyle w:val="Heading6"/>
        <w:numPr>
          <w:ilvl w:val="5"/>
          <w:numId w:val="1"/>
        </w:numPr>
        <w:rPr/>
      </w:pPr>
      <w:bookmarkStart w:id="584" w:name="__RefHeading___Toc1937072_1051229030"/>
      <w:bookmarkStart w:id="585" w:name="_Toc221"/>
      <w:bookmarkEnd w:id="584"/>
      <w:r>
        <w:rPr>
          <w:rtl w:val="true"/>
        </w:rPr>
        <w:t>الدليل الثاني</w:t>
      </w:r>
      <w:r>
        <w:rPr>
          <w:rtl w:val="true"/>
        </w:rPr>
        <w:t xml:space="preserve">: </w:t>
      </w:r>
      <w:r>
        <w:rPr>
          <w:rtl w:val="true"/>
        </w:rPr>
        <w:t>إطلاق الروايات</w:t>
      </w:r>
      <w:bookmarkEnd w:id="58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مئات النصوص الحاثة على المشي والمبينة لأجر الماشي وعظيم الثواب الذي يحصل عليه، وآداب المشي وسننه وما ينبغي أن يكون عليه الماشي، وما لا ينبغي، وقد </w:t>
      </w:r>
    </w:p>
    <w:p>
      <w:pPr>
        <w:pStyle w:val="BookText"/>
        <w:rPr/>
      </w:pPr>
      <w:r>
        <w:rPr>
          <w:rFonts w:ascii="Amiri" w:hAnsi="Amiri" w:eastAsia="Amiri" w:cs="Amiri"/>
          <w:color w:val="111111"/>
          <w:sz w:val="28"/>
          <w:sz w:val="28"/>
          <w:szCs w:val="28"/>
          <w:rtl w:val="true"/>
          <w:lang w:bidi="ar-SA"/>
        </w:rPr>
        <w:t>ذكر هذه الروايات أصحاب المجاميع الروائية وكتب الأدعية والزيارات</w:t>
      </w:r>
      <w:r>
        <w:rPr>
          <w:rStyle w:val="FootnoteAnchor"/>
          <w:rtl w:val="true"/>
        </w:rPr>
        <w:footnoteReference w:id="645"/>
      </w:r>
      <w:r>
        <w:rPr>
          <w:rFonts w:ascii="IRNazanin" w:hAnsi="IRNazanin" w:eastAsia="IRNazanin"/>
          <w:color w:val="111111"/>
          <w:sz w:val="28"/>
          <w:sz w:val="28"/>
          <w:szCs w:val="28"/>
          <w:rtl w:val="true"/>
          <w:lang w:bidi="fa-IR"/>
        </w:rPr>
        <w:t xml:space="preserve">، وقد أجاد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العين في المشي لزيارة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جمع الروايات المتعلقة بالمشي لزيارة الإمام وبوبها تبويباً رائعاً، والمطلع على تلك الروايات يجد الإطلاق والعموم واضحاً تجاه مطلق المكلفين رجالاً ونساءً، بل شامل حتى لغير المكلفين؛ وبذلك يكون الاستحباب منصباً على الرجال والنساء على حد سواء، بل إن في بعض الروايات تصريحاً واضحاً لزيارة النساء وأنها من باب إسعاد فاطمة علیهاالسلام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ولنقف على بعض الروايات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ـ عن الحسين بن عبيد الله، عن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عثمان، عن عبد الجبار النهاوندي، عن أبي سعيد، عن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ثوير بن أبي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مَن خرج من منزله يريد زيارة الحسين علیه السلام  إن كان ماشياً كتبت له بكل خطوة حسنة، وحُطّ بها عنه سيئة، حتى إذا صار في الحائر كتبه الله من المفلحين المنجحين، حتى إذا قضى مناسكه كتبه الله من الفائزين، حتى إذا أراد الانصراف ناداه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يقرئك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 العمل؛ فقد غفر الله لك ما مضى</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عن الحسين بن محمد، عن حميد بن زياد، عن عبيد الله بن نهيك، عن محمد بن فراس، عن إبراهيم بن محمد الطحان، عن بشير الدهان، عن رفاعة النخاس،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أخبرني أبي أن مَن خرج إلى قبر الحسين علیه السلام  عارفاً بحقه غير مستكبر، وبلغ الفرات ووقع في الماء وخرج من الماء، كان مثل الذي يخرج من الذنوب، وإذا مشى إلى الحسين علیه السلام  فرفع قدماً ووضع أُخرى، كتب الله له عشر حسنات ومحا عنه عشر سيئات</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586" w:name="pg7448_77058"/>
    </w:p>
    <w:p>
      <w:pPr>
        <w:pStyle w:val="BookText"/>
        <w:rPr/>
      </w:pPr>
      <w:bookmarkEnd w:id="586"/>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عن محمد بن جعفر الرزاز، عن محمد بن الحسين، عن أبي داود المسترق، عن أم سعيد الأحمسية،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 سعيد، تزورين قبر الحسين علیه السلام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سعيد، زوريه؛ فإن زيارة الحسين واجبة على الرجال والنساء</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قولويه هذا الحديث من عدة طرق بأسانيد كثيرة، وقد تقدم ما يدل على ذلك عموماً، ويأتي ما يدل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روى الحسن بن علي بن فضال، عن أبي أيوب الخزاز، عن محمد بن مسلم، عن أبي جعفر محمد بن علي علیهماالسلام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 شيعتنا بزيارة الحسين بن علي علیهماالسلام  ؛ فإن زيارته تدفع الهدم والغرق والحرق وأكل السبع، وزيارته مفترضة على من أقر للحسين علیه السلام  بالإمامة من الله عز وجل</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عن محمد بن الحسن بن الوليد، عن محمد بن الحسن الصفار، عن أحمد بن محمد بن عيسى، عن علي بن الحكم، عن أبي المعزا، عن عنبسة بن مصعب،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يأت قبر الحسين علیه السلام  حتى يموت كان منتقص الإيمان، منتقص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المؤمنين فيها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غيرها من عشرات ـ بل مئات ـ الروايات المبثوثة في بطون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كالبحار، وكتب المزار، تحكي لنا مشروعية مشي النساء للزيارة والحثّ عليها كثيراً، ونستفيد هذا من إطلاق الروايات والأدلة؛ ولذا أفتى جملة من الأعلام المعاصرين باستحباب مشي النساء؛ تمسكاً بإطلاقات الأدلة</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937074_1051229030"/>
      <w:bookmarkStart w:id="588" w:name="_Toc222"/>
      <w:bookmarkEnd w:id="587"/>
      <w:r>
        <w:rPr>
          <w:rtl w:val="true"/>
        </w:rPr>
        <w:t>الدليل الثالث</w:t>
      </w:r>
      <w:r>
        <w:rPr>
          <w:rtl w:val="true"/>
        </w:rPr>
        <w:t xml:space="preserve">: </w:t>
      </w:r>
      <w:r>
        <w:rPr>
          <w:rtl w:val="true"/>
        </w:rPr>
        <w:t>الروايات التي تخص النساء بالذكر</w:t>
      </w:r>
      <w:bookmarkEnd w:id="58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معنا من أدلة إنما كان مفادها الحث على المشي للزيارة بصورة مطلقة، </w:t>
      </w:r>
    </w:p>
    <w:p>
      <w:pPr>
        <w:pStyle w:val="BookText"/>
        <w:rPr/>
      </w:pPr>
      <w:r>
        <w:rPr>
          <w:rFonts w:ascii="Amiri" w:hAnsi="Amiri" w:eastAsia="Amiri" w:cs="Amiri"/>
          <w:color w:val="111111"/>
          <w:sz w:val="28"/>
          <w:sz w:val="28"/>
          <w:szCs w:val="28"/>
          <w:rtl w:val="true"/>
          <w:lang w:bidi="ar-SA"/>
        </w:rPr>
        <w:t>والآن نورد بعض الروايات التي تدل على الاستحباب بخصوص النساء بل إن في بعضها ما يدل على الوجوب بوضوح، كما ذهب إليه بعض الفقهاء، وإن حملها أكثرهم على الاستحباب وبيّن أن الوجوب يراد منه شيء آخر انسجاماً مع الروايات الواضحة الدلالة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ولعل أشهر تلك الروايات رواية أُم سعيد الأحمسية الموالية للإمام الصادق علیه السلام  ومن أصحابه،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روى ابن قولويه، عن أُم سعيد الأحمسية،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إلى أبي عبد الله علیه السلام  فدخلت، فجاءت الجارية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جئتكِ بالدابة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سعيد، أي شيء هذه الدابة، أين تبغين، أين تذهبين؟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لأزور 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أعجبكم يا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 الشهداء من سفر بعيد وتتركون سيد الشهداء ولا تأتونه؟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الشهداء؟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بمن كانت مثلك أن تذهب إليه وتزوره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لنا في زيارته؟قال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حجة وعمرة واعتكاف شهرين في المسجد الحرام وصيامهم</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ـ عن زرارة عن أحدهما  علیه السلام </w:t>
      </w:r>
      <w:r>
        <w:rPr>
          <w:rStyle w:val="FootnoteAnchor"/>
          <w:rtl w:val="true"/>
        </w:rPr>
        <w:footnoteReference w:id="652"/>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زرارة، ما في الأرض مؤمنة إلا وقد وجب عليها أن تُسعِد فاطمة علیهاالسلام في زيارة الحسين علیه السلام </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في كتاب فضل زيارة الحسين لمحمد بن علي العلوي، حدثنا محمد بن جعفر بن محمد النحوي،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علي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حسن بن محمد بن عبد الواحد،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عباد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عبدويه، عن يحيى بن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جعفر بن محمد علیهماالسلام   جالساً فأقبلت امرأة من العرب،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لي لم أركِ منذ أمس؟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تركت سيد الشهداء عندك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bookmarkStart w:id="589" w:name="pg7448_77060"/>
    </w:p>
    <w:p>
      <w:pPr>
        <w:pStyle w:val="BookText"/>
        <w:rPr/>
      </w:pPr>
      <w:bookmarkEnd w:id="589"/>
      <w:r>
        <w:rPr>
          <w:rFonts w:ascii="IRNazanin" w:hAnsi="IRNazanin" w:eastAsia="IRNazanin"/>
          <w:color w:val="111111"/>
          <w:sz w:val="28"/>
          <w:sz w:val="28"/>
          <w:szCs w:val="28"/>
          <w:rtl w:val="true"/>
          <w:lang w:bidi="fa-IR"/>
        </w:rPr>
        <w:t xml:space="preserve">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زوريه؛ فإنه أفضل من حجة وحجة حتى عد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زاره ماشياً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بكل خطوة حجة وعمرة</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الروايات وغيرها حثّت أُم سعيد الأحمسية ونساء أُخر على الزيارة وحددت لهن أجر المشي، وهو بكل خطوة حجة وعمرة</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937076_1051229030"/>
      <w:bookmarkStart w:id="591" w:name="_Toc223"/>
      <w:bookmarkEnd w:id="590"/>
      <w:r>
        <w:rPr>
          <w:rtl w:val="true"/>
        </w:rPr>
        <w:t>الدليل الرابع</w:t>
      </w:r>
      <w:r>
        <w:rPr>
          <w:rtl w:val="true"/>
        </w:rPr>
        <w:t xml:space="preserve">: </w:t>
      </w:r>
      <w:r>
        <w:rPr>
          <w:rtl w:val="true"/>
        </w:rPr>
        <w:t>سيرة الزهراء علیهاالسلام</w:t>
      </w:r>
      <w:bookmarkEnd w:id="591"/>
    </w:p>
    <w:p>
      <w:pPr>
        <w:pStyle w:val="BookText"/>
        <w:rPr/>
      </w:pPr>
      <w:r>
        <w:rPr>
          <w:rFonts w:ascii="IRNazanin" w:hAnsi="IRNazanin" w:eastAsia="IRNazanin"/>
          <w:color w:val="111111"/>
          <w:sz w:val="28"/>
          <w:sz w:val="28"/>
          <w:szCs w:val="28"/>
          <w:rtl w:val="true"/>
          <w:lang w:bidi="fa-IR"/>
        </w:rPr>
        <w:t>إن الزهراء علیهاالسلام ـ وهي سيدة العفة والحشمة وقدوة النساء جميعاً ـ خرجت في مواطن عديده ماشية، ومنها ما هو واجب كتصديها للخطبة أمام المهاجرين والأنصار لنصرة أمير المؤمنين علیه السلام  والدفاع عن حقه بالخلافة وحقها في فدك التي غصبها الظالمون، ومنها ما هو مستحب، كما في خروجها كراراً لزيارة قبر سيدنا حمزة بن عبد المطلب وبعض الشهداء، وزيارتها لقبر أبيها الأعظم صلّى الله عليه و آله ، ولا شك في أن فعلها حجة وسنّة تقتدي بها نساء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الصدد نذكر بعض الروايات الدالة على خروجها مشياً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ـ قال الكليني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من أصحابنا، عن أحمد بن محمد، عن الحسين بن سعيد، عن النضر بن سويد، عن هشام بن سالم، عن أبي عبد الله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عاشت فاطمة علیهاالسلام بعد رسول الله صلّى الله عليه و آله خمسة وسبعين يوماً لم تُرَ كاشرةً ولا ضاحكةً، تأتي قبور الشهداء في كل جمعة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الإثنين والخميس،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هنا كان رسول الله صلّى الله عليه و آله ، وهاهنا كان المشركون</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بعد ذلك رحمة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 أبان، عمن أخبره، عن أبي عبد الله علیه السلام  أنها كانت تصلي هناك وتدعو حتى ماتت علیهاالسلام</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الحديث دلالة واضحة على أنّ خروج النساء لزيارة قبور الموتى لا ينافي </w:t>
      </w:r>
      <w:bookmarkStart w:id="592" w:name="pg7448_77061"/>
    </w:p>
    <w:p>
      <w:pPr>
        <w:pStyle w:val="BookText"/>
        <w:rPr/>
      </w:pPr>
      <w:bookmarkEnd w:id="592"/>
      <w:r>
        <w:rPr>
          <w:rFonts w:ascii="IRNazanin" w:hAnsi="IRNazanin" w:eastAsia="IRNazanin"/>
          <w:color w:val="111111"/>
          <w:sz w:val="28"/>
          <w:sz w:val="28"/>
          <w:szCs w:val="28"/>
          <w:rtl w:val="true"/>
          <w:lang w:bidi="fa-IR"/>
        </w:rPr>
        <w:t>العفّة والوقار؛ إذ إن الزهراء ـ وهي المعصومة من كل خطأ ـ خرجت ماشية لزيارة القبور؛ فيكون فعلها حجّة، ولا شك في أن الخروج لزيارة قبر سيد الشهداء لهو أعظم من زيارة قبور المؤمنين؛ فما تفعله المؤمنات السائرات لقبر الحسين علیه السلام  إنما هو اقتداء بسيرة ومسيرة الزهراء علیهاالسلام، كما إنه إسعاد ومواساة لها، كما تقدم ذلك</w:t>
      </w:r>
      <w:r>
        <w:rPr>
          <w:rFonts w:eastAsia="IRNazanin" w:cs="IRNazanin"/>
          <w:color w:val="111111"/>
          <w:sz w:val="28"/>
          <w:szCs w:val="28"/>
          <w:rtl w:val="true"/>
          <w:lang w:bidi="fa-IR"/>
        </w:rPr>
        <w:t>.</w:t>
      </w:r>
    </w:p>
    <w:p>
      <w:pPr>
        <w:pStyle w:val="Heading5"/>
        <w:numPr>
          <w:ilvl w:val="4"/>
          <w:numId w:val="1"/>
        </w:numPr>
        <w:rPr/>
      </w:pPr>
      <w:bookmarkStart w:id="593" w:name="__RefHeading___Toc1937078_1051229030"/>
      <w:bookmarkStart w:id="594" w:name="_Toc224"/>
      <w:bookmarkEnd w:id="593"/>
      <w:r>
        <w:rPr>
          <w:rtl w:val="true"/>
        </w:rPr>
        <w:t>الدليل الخامس</w:t>
      </w:r>
      <w:r>
        <w:rPr>
          <w:rtl w:val="true"/>
        </w:rPr>
        <w:t xml:space="preserve">: </w:t>
      </w:r>
      <w:r>
        <w:rPr>
          <w:rtl w:val="true"/>
        </w:rPr>
        <w:t>قاعدة الشعائر العامة</w:t>
      </w:r>
      <w:bookmarkEnd w:id="594"/>
    </w:p>
    <w:p>
      <w:pPr>
        <w:pStyle w:val="BookText"/>
        <w:rPr/>
      </w:pPr>
      <w:r>
        <w:rPr>
          <w:rFonts w:ascii="Amiri" w:hAnsi="Amiri" w:eastAsia="Amiri" w:cs="Amiri"/>
          <w:color w:val="111111"/>
          <w:sz w:val="28"/>
          <w:sz w:val="28"/>
          <w:szCs w:val="28"/>
          <w:rtl w:val="true"/>
          <w:lang w:bidi="ar-SA"/>
        </w:rPr>
        <w:t>واضح لدى الجميع أن قاعدة الشعائر العامة تدل على أهمية تعظيم الشعائر الدينية، وأن من مصاديق الشعائر الدينية هو إبراز الشعائر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أن المشي للزيارة من أبرز مصاديق تلك الشعائر، وهذا المشي للزيارة غير مختص بالرجال، بل هو شامل للنساء أيضاً كما هو واضح؛ فخروج هذا الجمهور الإيماني ومن كل الطبقات والأصناف والأجناس مظهر عالمي يبرز شعيرة إعلامية واضحة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داعي للتدليل أو إقامة البراهين والشواهد على ذلك، بعد أن أصبح القريب والبعيد على علم واطلاع بهذا الشأن، وبعد أن أفرد العلماء كتباً مختصة بالبحث عن الشعائر الحسينية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 w:name="__RefHeading___Toc1937080_1051229030"/>
      <w:bookmarkStart w:id="596" w:name="_Toc225"/>
      <w:bookmarkEnd w:id="595"/>
      <w:r>
        <w:rPr>
          <w:rtl w:val="true"/>
        </w:rPr>
        <w:t>الدليل السادس</w:t>
      </w:r>
      <w:r>
        <w:rPr>
          <w:rtl w:val="true"/>
        </w:rPr>
        <w:t xml:space="preserve">: </w:t>
      </w:r>
      <w:r>
        <w:rPr>
          <w:rtl w:val="true"/>
        </w:rPr>
        <w:t>ما ورد من الحث على المشي إلى بعض المواطن مع اشتمالها على الاختلاط</w:t>
      </w:r>
      <w:bookmarkEnd w:id="596"/>
    </w:p>
    <w:p>
      <w:pPr>
        <w:pStyle w:val="BookText"/>
        <w:rPr/>
      </w:pPr>
      <w:r>
        <w:rPr>
          <w:rFonts w:ascii="Amiri" w:hAnsi="Amiri" w:eastAsia="Amiri" w:cs="Amiri"/>
          <w:color w:val="111111"/>
          <w:sz w:val="28"/>
          <w:sz w:val="28"/>
          <w:szCs w:val="28"/>
          <w:rtl w:val="true"/>
          <w:lang w:bidi="ar-SA"/>
        </w:rPr>
        <w:t>وهذا له أمثلة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المرأة إلى الحج لوحدها</w:t>
      </w:r>
    </w:p>
    <w:p>
      <w:pPr>
        <w:pStyle w:val="BookText"/>
        <w:rPr/>
      </w:pPr>
      <w:r>
        <w:rPr>
          <w:rFonts w:ascii="Amiri" w:hAnsi="Amiri" w:eastAsia="Amiri" w:cs="Amiri"/>
          <w:color w:val="111111"/>
          <w:sz w:val="28"/>
          <w:sz w:val="28"/>
          <w:szCs w:val="28"/>
          <w:rtl w:val="true"/>
          <w:lang w:bidi="ar-SA"/>
        </w:rPr>
        <w:t>عقد الحر العاملي في وسائل الشيعة باباً خاصاً لخروج المرأة إلى حج بيت الله، وذكر عدة روايات، نورد بعضاً منها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محمد بن علي بن الحسين، بإسناده عن البزنطي، عن صفوان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عرفتني بعملي، تأتيني المرأة أعرفها بإسلامها وحبها إياكم، وولايتها لكم ليس لها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جاءت المرأة المسلمة فاحملها؛ فإن المؤمن محرم </w:t>
      </w:r>
    </w:p>
    <w:p>
      <w:pPr>
        <w:pStyle w:val="BookText"/>
        <w:rPr/>
      </w:pPr>
      <w:r>
        <w:rPr>
          <w:rFonts w:ascii="Amiri" w:hAnsi="Amiri" w:eastAsia="Amiri" w:cs="Amiri"/>
          <w:color w:val="111111"/>
          <w:sz w:val="28"/>
          <w:sz w:val="28"/>
          <w:szCs w:val="28"/>
          <w:rtl w:val="true"/>
          <w:lang w:bidi="ar-SA"/>
        </w:rPr>
        <w:t>المؤمنة،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بإسناده عن موسى القاسم، عن عبد الرحمن، عن صفوان بن مهران نحوه</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محمد بن يعقوب، عن عدة من أصحابنا، عن أحمد بن محمد، عن الحسين بن سعيد، عن النضر بن سويد، عن هشام بن سالم، عن سليمان بن خالد، عن أبي عبد الله علیه السلام  في المرأة تريد الحج ليس معها محرم، هل يصلح لها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كانت مأمونة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بإسناده عن هشام مثله</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محمد بن الحسن، بإسناده عن موسى بن القاسم، عن 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تحج إلى مكة بغير ولي؟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تخرج مع قوم ثقات</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الصدوق بإسناده عن معاوية بن عمار</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ـ عن صفوان،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تحج بغير ولي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وإن كان لها زوج أو أخ أو ابن أخ فأبوا أن يحجوا بها وليس لهم سعة، فلا ينبغي لها أن تقعد، ولا ينبغي لهم أن يمنعوها</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علي بن إبراهيم، عن أبيه، عن ابن أبي عمير، عن معاوية بن عمار نحوه</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ـ وعنه، عن عبد الرحمن، عن مثنى، عن أبي بصير، عن أبي عبد الله علیه السلام ،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المرأة تحج بغير وليها،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مأمونة تحج مع أخيها المسلم، وغيرها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تدلل على جواز خروج المرأة من دون اصطحابها لشخص من محارمها، وأنها مأمونة ومصونة ما دامت مع أخيها المؤمن، وبذلك أفتى مشهور الفقهاء أيضاً، وهي عامة تشمل الخروج للطاعات الأُخرى بهذه الحالة؛ إذ ليس فيها ما يُبيّن خصوصية للحج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تعاليم النبي صلّى الله عليه و آله لكيفية مشي النساء</w:t>
      </w:r>
    </w:p>
    <w:p>
      <w:pPr>
        <w:pStyle w:val="BookText"/>
        <w:rPr/>
      </w:pPr>
      <w:r>
        <w:rPr>
          <w:rFonts w:ascii="Amiri" w:hAnsi="Amiri" w:eastAsia="Amiri" w:cs="Amiri"/>
          <w:color w:val="111111"/>
          <w:sz w:val="28"/>
          <w:sz w:val="28"/>
          <w:szCs w:val="28"/>
          <w:rtl w:val="true"/>
          <w:lang w:bidi="ar-SA"/>
        </w:rPr>
        <w:t>فقد ذكر صاحب الوسائل أيضاً باباً في مشي النساء مع الرجال في الطريق إلى المسجد، تضمّن بعضها الكيفية المثلى لمشيها مع الرجال الأجانب، وإليك بعض هذه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ـ عن الوليد بن صبيح،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للنساء من سروات الطريق شيء، ولكنها تمشي في جانب الحائط والطريق</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محمّد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النساء عند أبي الحسن علیه السلام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للمرأة أن تمشي في وسط الطريق، ولكنها تمشي إلى جانب الحائط</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 تمنع الروايات النساء من الخروج، ولكن بيّنت أن ليس لهن أن يذهبن في وسط الطريق، بل إن في النص الثاني ورد التعبير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مشيها في وسط الطريق وإن كان أمراً مرجوحاً وغير محبّذ لها إلّا أنه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لأجل طلب العلم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صرحت الروايات بأهمية طلب العلم، وأنه فريضة على كل مسلم ومسلمة</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إشكال في أن طلب العلم في حالاته الغالبة مشتمل على الاختلاط، ولو على مستوى سماع الصوت من قبل الطالبات للأُستاذ أو الخروج لمسافات ذهاباً وإياباً </w:t>
      </w:r>
    </w:p>
    <w:p>
      <w:pPr>
        <w:pStyle w:val="BookText"/>
        <w:rPr/>
      </w:pPr>
      <w:r>
        <w:rPr>
          <w:rFonts w:ascii="Amiri" w:hAnsi="Amiri" w:eastAsia="Amiri" w:cs="Amiri"/>
          <w:color w:val="111111"/>
          <w:sz w:val="28"/>
          <w:sz w:val="28"/>
          <w:szCs w:val="28"/>
          <w:rtl w:val="true"/>
          <w:lang w:bidi="ar-SA"/>
        </w:rPr>
        <w:t>إلى مراكز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لأداء الفرائض والواجبات الكفائية</w:t>
      </w:r>
    </w:p>
    <w:p>
      <w:pPr>
        <w:pStyle w:val="BookText"/>
        <w:rPr/>
      </w:pPr>
      <w:r>
        <w:rPr>
          <w:rFonts w:ascii="Amiri" w:hAnsi="Amiri" w:eastAsia="Amiri" w:cs="Amiri"/>
          <w:color w:val="111111"/>
          <w:sz w:val="28"/>
          <w:sz w:val="28"/>
          <w:szCs w:val="28"/>
          <w:rtl w:val="true"/>
          <w:lang w:bidi="ar-SA"/>
        </w:rPr>
        <w:t>إن الخروج لممارسة بعض الواجبات الكفائية أو تحصيل مقدماتها ـ كالطب النسوي والتعليم النسوي وتضميد الجرحى في الحروب وغيرها ـ من الأمور المتسالم على ضرورتها وبكثرة كاثرة، وهذه التخصصات لا شك في أهميتها، بل إن بعضها داخل في حفظ النظام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الأمر بالمعروف والنهي عن المنكر</w:t>
      </w:r>
    </w:p>
    <w:p>
      <w:pPr>
        <w:pStyle w:val="BookText"/>
        <w:rPr/>
      </w:pPr>
      <w:r>
        <w:rPr>
          <w:rFonts w:ascii="Amiri" w:hAnsi="Amiri" w:eastAsia="Amiri" w:cs="Amiri"/>
          <w:color w:val="111111"/>
          <w:sz w:val="28"/>
          <w:sz w:val="28"/>
          <w:szCs w:val="28"/>
          <w:rtl w:val="true"/>
          <w:lang w:bidi="ar-SA"/>
        </w:rPr>
        <w:t>لا شك في أن وظيفة الأمر بالمعروف والنهي عن المنكر من الوظائف الإلهية الواجبة على الرجال والنساء، وبمقتضى هذه الوظيفة وما يكتنفها من كلام وأفعال قد يستلزم بعضها الكلام مع الطرف الآخر، أو اتخاذ مواقف عملية تجاهه، وهذا قد يستدعي حصول اختلاط بين الجنسين في سبيل تحقيق بعض مصاديق الأمر بالمعروف والنهي عن المنكر، خصوصاً في الأماكن العامة، كالجامعات والأسواق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توفرت شروط الأمر بالمعروف والنهي عن المنكر جاز أن تتصدى المرأة لذلك، خصوصاً في حالات الضرورة والانحصار ، وأبرز مصاديق التصدي لذلك، هو تصدي الزهراء علیهاالسلام لأداء الأمر بالمعروف والوقوف بوجه مَن غصب الخلافة، وما تصدت له الحوراء زينب علیهاالسلام في الدفاع عن البيت النبوي أيضاً، وكذلك ما تصدت له العذراء مريم علیهاالسلام من الدفاع عن نفسها وكرامتها وشرفها عندما أقدمت مع روح الله على قومها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فوظيفة الأمر بالمعرف والنهي عن المنكر لا تكتمل إلا بأن يمارسه كلا الجنسين إما منفرداً أو جماعياً إذا اقتضت الضرورة وتوفرت الموازين، وهذا واضح من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597" w:name="pg7448_77065"/>
    </w:p>
    <w:p>
      <w:pPr>
        <w:pStyle w:val="Heading4"/>
        <w:numPr>
          <w:ilvl w:val="3"/>
          <w:numId w:val="1"/>
        </w:numPr>
        <w:rPr/>
      </w:pPr>
      <w:bookmarkStart w:id="598" w:name="__RefHeading___Toc1937082_1051229030"/>
      <w:bookmarkStart w:id="599" w:name="_Toc226"/>
      <w:bookmarkEnd w:id="597"/>
      <w:bookmarkEnd w:id="598"/>
      <w:r>
        <w:rPr>
          <w:rtl w:val="true"/>
        </w:rPr>
        <w:t>أدلة المانعين لخروج النساء مشياً للزيارة</w:t>
      </w:r>
      <w:bookmarkEnd w:id="599"/>
    </w:p>
    <w:p>
      <w:pPr>
        <w:pStyle w:val="Heading5"/>
        <w:numPr>
          <w:ilvl w:val="4"/>
          <w:numId w:val="1"/>
        </w:numPr>
        <w:rPr/>
      </w:pPr>
      <w:bookmarkStart w:id="600" w:name="__RefHeading___Toc1937084_1051229030"/>
      <w:bookmarkStart w:id="601" w:name="_Toc227"/>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إن ما يمكن أن يُستَدل به على مانعية زيارة النساء مشياً إلى كربلاء المقدسة هو مجموعة من الأدلة التي يظهر منها ـ بواسطة عمومها ـ أنها تمنع النساء من الخروج، وسوف نستعرضها على التوالي، مع ذكر الردود الواردة، أو ما يمكن الرد به عليها</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937086_1051229030"/>
      <w:bookmarkStart w:id="603" w:name="_Toc228"/>
      <w:bookmarkEnd w:id="602"/>
      <w:r>
        <w:rPr>
          <w:rtl w:val="true"/>
        </w:rPr>
        <w:t>الدليل الأول</w:t>
      </w:r>
      <w:r>
        <w:rPr>
          <w:rtl w:val="true"/>
        </w:rPr>
        <w:t xml:space="preserve">: </w:t>
      </w:r>
      <w:r>
        <w:rPr>
          <w:rtl w:val="true"/>
        </w:rPr>
        <w:t>ممنوعية خروج النساء مطلقاً</w:t>
      </w:r>
      <w:bookmarkEnd w:id="603"/>
    </w:p>
    <w:p>
      <w:pPr>
        <w:pStyle w:val="BookText"/>
        <w:rPr/>
      </w:pPr>
      <w:r>
        <w:rPr>
          <w:rFonts w:ascii="Amiri" w:hAnsi="Amiri" w:eastAsia="Amiri" w:cs="Amiri"/>
          <w:color w:val="111111"/>
          <w:sz w:val="28"/>
          <w:sz w:val="28"/>
          <w:szCs w:val="28"/>
          <w:rtl w:val="true"/>
          <w:lang w:bidi="ar-SA"/>
        </w:rPr>
        <w:t>ذكرنا في حديث متقدم ـ وبشكل مختصر في مقام ذكر الآيات القرآنية ـ أن هناك آية يظهر منها نهي النساء عن الخروج من بيوتهن بصورة مطلقة، وهذه الآية 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لو قلنا بمانعية خروج النساء مطلقاً فإن هذا الحكم الكلي سيشمل أيضاً منع خروجهن مشياً إلى كربلاء، خصوصاً إذا كان خروجهن طويل الأمد نسبياً، كما هو حاصل لبعض السائرات، فهل يمكن إثبات دلاتها على المطلوب أو لا؟</w:t>
      </w:r>
    </w:p>
    <w:p>
      <w:pPr>
        <w:pStyle w:val="Heading5"/>
        <w:numPr>
          <w:ilvl w:val="4"/>
          <w:numId w:val="1"/>
        </w:numPr>
        <w:rPr/>
      </w:pPr>
      <w:bookmarkStart w:id="604" w:name="__RefHeading___Toc1937088_1051229030"/>
      <w:bookmarkStart w:id="605" w:name="_Toc229"/>
      <w:bookmarkEnd w:id="604"/>
      <w:r>
        <w:rPr>
          <w:rtl w:val="true"/>
        </w:rPr>
        <w:t>تقريب الاستدلال</w:t>
      </w:r>
      <w:bookmarkEnd w:id="605"/>
    </w:p>
    <w:p>
      <w:pPr>
        <w:pStyle w:val="BookText"/>
        <w:rPr/>
      </w:pPr>
      <w:r>
        <w:rPr>
          <w:rFonts w:ascii="Amiri" w:hAnsi="Amiri" w:eastAsia="Amiri" w:cs="Amiri"/>
          <w:color w:val="111111"/>
          <w:sz w:val="28"/>
          <w:sz w:val="28"/>
          <w:szCs w:val="28"/>
          <w:rtl w:val="true"/>
          <w:lang w:bidi="ar-SA"/>
        </w:rPr>
        <w:t>إن الآية تأمر المرأة ـ من خلال فعل الأمر الذي في صدر الآية ـ بأن تقر في بيتها، بمعنى أنها لا تخرج منه مطلقاً، وتنهى عن تبرج الجاهلية الأُولى؛ فيكون خروجها مشياً إلى الزيارة منافياً للآية الشريفة المانعة من الخروج</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1937090_1051229030"/>
      <w:bookmarkStart w:id="607" w:name="_Toc230"/>
      <w:bookmarkEnd w:id="606"/>
      <w:r>
        <w:rPr>
          <w:rtl w:val="true"/>
        </w:rPr>
        <w:t>مناقشة الدليل الأول</w:t>
      </w:r>
      <w:bookmarkEnd w:id="607"/>
    </w:p>
    <w:p>
      <w:pPr>
        <w:pStyle w:val="BookText"/>
        <w:rPr/>
      </w:pPr>
      <w:r>
        <w:rPr>
          <w:rFonts w:ascii="Amiri" w:hAnsi="Amiri" w:eastAsia="Amiri" w:cs="Amiri"/>
          <w:color w:val="111111"/>
          <w:sz w:val="28"/>
          <w:sz w:val="28"/>
          <w:szCs w:val="28"/>
          <w:rtl w:val="true"/>
          <w:lang w:bidi="ar-SA"/>
        </w:rPr>
        <w:t>لو أخذنا بظاهر الآية المباركة ـ ومن دون النظر إلى مناسباتها وأسباب وشأن نزولها ـ لكان الكلام فيها تاماً، إلا أنه لا يمكن الأخذ به لجهات ثلاثة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السياق الذي يكتنف الآية المباركة يتبين لنا أن المخاطب بها ـ صريحاً ـ هو نساء النبي صلّى الله عليه و آله ، وأن هذا الحكم مختص بهن دون غيرهن، أو لا أقل يحتمل ظهورها بذلك، وهذا الاحتمال ـ الظاهر بظهور جلي جداً ـ مبطل للاستدلال </w:t>
      </w:r>
    </w:p>
    <w:p>
      <w:pPr>
        <w:pStyle w:val="BookText"/>
        <w:rPr/>
      </w:pPr>
      <w:r>
        <w:rPr>
          <w:rFonts w:ascii="Amiri" w:hAnsi="Amiri" w:eastAsia="Amiri" w:cs="Amiri"/>
          <w:color w:val="111111"/>
          <w:sz w:val="28"/>
          <w:sz w:val="28"/>
          <w:szCs w:val="28"/>
          <w:rtl w:val="true"/>
          <w:lang w:bidi="ar-SA"/>
        </w:rPr>
        <w:t>بها على مانعية خروج باقي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قرينتان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قرينة داخلية؛ فإن الآية التي قبلها ظاهرة بأن الخطاب لنساء النبي صلّى الله عليه و آله لخصوصية فيهن؛ وأنهن لسن كباقي النساء من حيث بعض الأحكام، ومنها منعهن عن الخروج ومضاعفة العذاب على مخالفة الله ورسوله،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فصريح الآية يُبين لنا أن نساء النبي لسن كبقية النساء، بل لهن خصوصيات ميزتهن عن غيرهن؛ وبطبيعة الحال تكون لهن أحكام خاصة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خروج النساء مطلقاً بمرأى ومسمع من النبي والأئمة، ومن دون أن يمنع النبي أو يردع عن ذلك، فلو كانت الآية شاملة لمطلق النساء لبان المنع واتضح في عصر النبي والأئمة وسائر العصور الأُخرى، وحيث لا يوجد منع من قبلهم علیهم السلام  فهناك إقرار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إن هناك تسالماً ووضوحاً بعدم المانعية، ولم يخالف أحد في جواز خروج المرأة تمسكاً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شمول الآية لمطلق النساء، فهي في صدد المنع من خروج خاص للمرأة، وهو الخروج الذي يشاكل خروج المتبرجات بتبرج الجاهلية الأُولى، لا عن مطلق الخروج حتى لو كان خروج طاعة أو إباحة؛ لوضوح جواز الخروج شرعاً للحج وغيره من الطاعات؛ وللعرف المتشرعي القائم على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تنازلنا عما تقدم في الجهتين السابقتين فلا أقل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مخصصة أو مقيدة بأدلة خروج المرأة للواجبات والمستحبات كالحج الواجب والعمرة المفردة والطاعات، بل ومطلق ما كان راجحاً، كالكسب الحلال والتعلم والتعليم، ولا شك في أن الخروج للزيارة من أهم الطاعات والشعائر</w:t>
      </w:r>
      <w:r>
        <w:rPr>
          <w:rFonts w:eastAsia="Amiri" w:cs="Amiri" w:ascii="Amiri" w:hAnsi="Amiri"/>
          <w:color w:val="111111"/>
          <w:sz w:val="28"/>
          <w:szCs w:val="28"/>
          <w:rtl w:val="true"/>
          <w:lang w:bidi="ar-SA"/>
        </w:rPr>
        <w:t xml:space="preserve">. </w:t>
      </w:r>
      <w:bookmarkStart w:id="608" w:name="pg7448_77067"/>
    </w:p>
    <w:p>
      <w:pPr>
        <w:pStyle w:val="BookText"/>
        <w:rPr/>
      </w:pPr>
      <w:bookmarkEnd w:id="608"/>
      <w:r>
        <w:rPr>
          <w:rFonts w:ascii="Amiri" w:hAnsi="Amiri" w:eastAsia="Amiri" w:cs="Amiri"/>
          <w:color w:val="111111"/>
          <w:sz w:val="28"/>
          <w:sz w:val="28"/>
          <w:szCs w:val="28"/>
          <w:rtl w:val="true"/>
          <w:lang w:bidi="ar-SA"/>
        </w:rPr>
        <w:t>وعليه؛ فلا مانع من خروج المرأة من بيتها إذا كانت غير متبرجة، وكان خروجها بإذن زوجها إن كان لها زوج، ولم نجد مَنْ منع مِن العلماء فيما لو كان خروجها طبقاً للموازين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متبرجة، وغير متهتكة، وكانت مأمونة على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بأس بتصدي المرأة للشؤون الإدارية والسياسية والتربوية والطبية، بل إن بعضها داخل في عمومات وإطلاقات أدلة الأمر بالمعروف والنهي عن المنكر،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 w:name="__RefHeading___Toc1937092_1051229030"/>
      <w:bookmarkStart w:id="610" w:name="_Toc231"/>
      <w:bookmarkEnd w:id="609"/>
      <w:r>
        <w:rPr>
          <w:rtl w:val="true"/>
        </w:rPr>
        <w:t>الدليل الثاني</w:t>
      </w:r>
      <w:r>
        <w:rPr>
          <w:rtl w:val="true"/>
        </w:rPr>
        <w:t xml:space="preserve">: </w:t>
      </w:r>
      <w:r>
        <w:rPr>
          <w:rtl w:val="true"/>
        </w:rPr>
        <w:t>المنع من الاختلاط</w:t>
      </w:r>
      <w:bookmarkEnd w:id="610"/>
    </w:p>
    <w:p>
      <w:pPr>
        <w:pStyle w:val="BookText"/>
        <w:rPr/>
      </w:pPr>
      <w:r>
        <w:rPr>
          <w:rFonts w:ascii="IRNazanin" w:hAnsi="IRNazanin" w:eastAsia="IRNazanin"/>
          <w:color w:val="111111"/>
          <w:sz w:val="28"/>
          <w:sz w:val="28"/>
          <w:szCs w:val="28"/>
          <w:rtl w:val="true"/>
          <w:lang w:bidi="fa-IR"/>
        </w:rPr>
        <w:t xml:space="preserve">إن بعضاً من الأُمور التي دفعت بالمانعين من خروج النساء مشياً لزيارة سيد الشهداء علیه السلام  هو ما يذكر من اختلاط النساء بالرجال، وبما أن الاختلاط ممنوع شرعاً ـ وقد يوجب سلب الطاعة من عنوانها ـ فلا بد من الوقوف أمام حصول مثل هذا العمل </w:t>
      </w:r>
      <w:r>
        <w:rPr>
          <w:rFonts w:eastAsia="IRNazanin" w:cs="IRNazanin"/>
          <w:color w:val="111111"/>
          <w:sz w:val="28"/>
          <w:szCs w:val="28"/>
          <w:rtl w:val="true"/>
          <w:lang w:bidi="fa-IR"/>
        </w:rPr>
        <w:t>.</w:t>
      </w:r>
    </w:p>
    <w:p>
      <w:pPr>
        <w:pStyle w:val="Heading5"/>
        <w:numPr>
          <w:ilvl w:val="4"/>
          <w:numId w:val="1"/>
        </w:numPr>
        <w:rPr/>
      </w:pPr>
      <w:bookmarkStart w:id="611" w:name="__RefHeading___Toc1937094_1051229030"/>
      <w:bookmarkStart w:id="612" w:name="_Toc232"/>
      <w:bookmarkEnd w:id="611"/>
      <w:r>
        <w:rPr>
          <w:rtl w:val="true"/>
        </w:rPr>
        <w:t>تقريب الاستدلال</w:t>
      </w:r>
      <w:bookmarkEnd w:id="612"/>
    </w:p>
    <w:p>
      <w:pPr>
        <w:pStyle w:val="BookText"/>
        <w:rPr/>
      </w:pPr>
      <w:r>
        <w:rPr>
          <w:rFonts w:ascii="IRNazanin" w:hAnsi="IRNazanin" w:eastAsia="IRNazanin"/>
          <w:color w:val="111111"/>
          <w:sz w:val="28"/>
          <w:sz w:val="28"/>
          <w:szCs w:val="28"/>
          <w:rtl w:val="true"/>
          <w:lang w:bidi="fa-IR"/>
        </w:rPr>
        <w:t>لقد ورد الدليل على مانعية مطلق الاختلاط في جملة من الأخبار، ومنها خبر غياث بن إبراهيم،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نُبّئت أنّ نساءكم يُدافعن الرجال في الطريق، أما تستحون؟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بطريق آخر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من لا يغار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تستحيون ولا تغارون على نسائكم يخرجن إلى الأسواق، ويزاحمن العلوج؟</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يؤيد المنع ـ ما يظهر منه المنع عن حضور النساء صلاتي الجمعة والعيدين ـ ما رواه محمّد بن شريح،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خروج النساء في العيدين؟ </w:t>
      </w:r>
      <w:bookmarkStart w:id="613" w:name="pg7448_77068"/>
    </w:p>
    <w:p>
      <w:pPr>
        <w:pStyle w:val="BookText"/>
        <w:rPr/>
      </w:pPr>
      <w:bookmarkEnd w:id="613"/>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العجوز عليها منقلاها</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يعني الخفّين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وموثّق يونس بن يعقوب،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علیه السلام  عن خروج النساء في العيدين و الجمعة؟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امرأة مسنّة</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1937096_1051229030"/>
      <w:bookmarkStart w:id="615" w:name="_Toc233"/>
      <w:bookmarkEnd w:id="614"/>
      <w:r>
        <w:rPr>
          <w:rtl w:val="true"/>
        </w:rPr>
        <w:t>مناقشة الدليل الثاني</w:t>
      </w:r>
      <w:bookmarkEnd w:id="615"/>
    </w:p>
    <w:p>
      <w:pPr>
        <w:pStyle w:val="BookText"/>
        <w:rPr/>
      </w:pPr>
      <w:r>
        <w:rPr>
          <w:rFonts w:ascii="Amiri" w:hAnsi="Amiri" w:eastAsia="Amiri" w:cs="Amiri"/>
          <w:color w:val="111111"/>
          <w:sz w:val="28"/>
          <w:sz w:val="28"/>
          <w:szCs w:val="28"/>
          <w:rtl w:val="true"/>
          <w:lang w:bidi="ar-SA"/>
        </w:rPr>
        <w:t>ويرد على هذا الدليل أُمور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المذكورة في البين ظاهرة في الكراهة لا في التحريم؛ ولا أقل من كون إعراض المشهور عن العمل بمضمونها صارفاً لها من الظهور التحريمي إلى الكراهتي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الاختلاط الممنوع هو الاختلاط بكيفية خاصة لا مطلق الاختلاط،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تفسير الاختلاط المذكور بالتداكّ والتدافع بين الجنسين الملازم للالتصاق ولو من وراء الثياب؛ وهذا ظاهر من التعبير بالمدافعة والمزاحمة الواردين في الروايات، فلو خلت التجمّعات المذكورة من هذه الحالة لسعة الطرق عمّا كانت عليه سابقاً، وتعدّد مسالك الدخول إلى الصالات ومسارات الحركة، والتجمّع في التظاهرات والاعتراضات لم يكره الحضور المذكور، بل ربّما استحبّ إن فرض وجود غرض راجح أو واجب في ذلك، كما في مثل الاجتماع في مناسك الحجّ من سعي وطواف ووقوف بعرفة ورمي جمرات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جداً أن يراد بالاختلاط معنى آخر، وهو المعاشرة والخلطة للرجال، كما يحصل في المدارس والدوائر الحكوميّة وغيرها بحيث تحصل مخالطة وعلاقة حميمة بين الجنسين، ولعل مَن أفتى بمنع هكذا اختلاط قد حمل الأدلة على الاختلاط الحميمي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يظهر من بعض الأساطين المعاصرين،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السيد أبو القاسم الخوئي   قدِّسَ سرُّه</w:t>
      </w:r>
    </w:p>
    <w:p>
      <w:pPr>
        <w:pStyle w:val="BookText"/>
        <w:rPr/>
      </w:pPr>
      <w:r>
        <w:rPr>
          <w:rFonts w:ascii="Amiri" w:hAnsi="Amiri" w:eastAsia="Amiri" w:cs="Amiri"/>
          <w:color w:val="111111"/>
          <w:sz w:val="28"/>
          <w:sz w:val="28"/>
          <w:szCs w:val="28"/>
          <w:rtl w:val="true"/>
          <w:lang w:bidi="ar-SA"/>
        </w:rPr>
        <w:t>ذكر السيد الخوئي في جوابه على استفتاء موجّه إليه حول جواز العمل للمرأة ـ طبيبة أو ممرّضة ـ مع استلزام ذلك للاختلاط بالرجال في أيّام الدراسة أو العمل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إلّا مع الضرورة المبيحة للمحرّمات</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استفتاء آخر ـ عن اختلاط الصبيان والبنات في المدارس الحكوميّة التي يتعلّم فيها العلوم الدينيّة ـ 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اختلاط الجنسين مع كونهم في سنّ المراهقة</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السيد روح الله الخميني   قدِّسَ سرُّه</w:t>
      </w:r>
    </w:p>
    <w:p>
      <w:pPr>
        <w:pStyle w:val="BookText"/>
        <w:rPr/>
      </w:pPr>
      <w:r>
        <w:rPr>
          <w:rFonts w:ascii="Amiri" w:hAnsi="Amiri" w:eastAsia="Amiri" w:cs="Amiri"/>
          <w:color w:val="111111"/>
          <w:sz w:val="28"/>
          <w:sz w:val="28"/>
          <w:szCs w:val="28"/>
          <w:rtl w:val="true"/>
          <w:lang w:bidi="ar-SA"/>
        </w:rPr>
        <w:t>وممن أفتى بذلك أيضاً هو السيد الخميني رحمة الله ، ففي إجابة عن سؤال حول عمل المرأة في المؤسسات،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بالعمل للمرأة مع رعايتها للتكاليف الشرعيّة الثابتة في حقّها، ومنها تجنّب الاختلاط الكثير بالأجنبي</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تحمل الروايات الناهية عن الاختلاط على الكراهة ما لم تكتنفه بعض المحرمات أو يكون سبباً لخوف الوقوع في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بين هذه الروايات الرواية المشهورة عن فاطمة الزهراء علیهاالسلام أنها قالت للنبي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للنساء أن لا يرين الرجال، ولا يراهنّ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منّي</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ورد من قول أمير المؤمنين علیه السلام  في رسالته إلى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استطعت أن لا يعرفن غيرك من الرجال فافعل</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هذه الروايات لا تدلّ على أكثر من الكراهة؛ ولربما يكون هذا المعنى هو الذي جعل بعض الفقهاء يفتى ـ وهو الصحيح ـ بالجواز مع الوثوق بعدم الوقوع في المفاسد الدينيّة والأخلاقيّة</w:t>
      </w:r>
      <w:r>
        <w:rPr>
          <w:rFonts w:eastAsia="Amiri" w:cs="Amiri" w:ascii="Amiri" w:hAnsi="Amiri"/>
          <w:color w:val="111111"/>
          <w:sz w:val="28"/>
          <w:szCs w:val="28"/>
          <w:rtl w:val="true"/>
          <w:lang w:bidi="ar-SA"/>
        </w:rPr>
        <w:t xml:space="preserve">. </w:t>
      </w:r>
      <w:bookmarkStart w:id="616" w:name="pg7448_77070"/>
    </w:p>
    <w:p>
      <w:pPr>
        <w:pStyle w:val="BookText"/>
        <w:rPr/>
      </w:pPr>
      <w:bookmarkEnd w:id="616"/>
      <w:r>
        <w:rPr>
          <w:rFonts w:ascii="IRNazanin" w:hAnsi="IRNazanin" w:eastAsia="IRNazanin"/>
          <w:color w:val="111111"/>
          <w:sz w:val="28"/>
          <w:sz w:val="28"/>
          <w:szCs w:val="28"/>
          <w:rtl w:val="true"/>
          <w:lang w:bidi="fa-IR"/>
        </w:rPr>
        <w:t>وقال السيد الگلبايگاني في جواب استفتاء عن الدراسة في الجامعات المختلطة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التعليم المختلط ليس إسلاميّاً، وأضراره الاجتماعيّة و الأخلاقيّة وخيمة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يجوز لمن يثق من نفسه عدم تأثير ذلك على تديّنه مشروطاً بصيانة نفسه عن الوقوع في المحرّمات الملازمة لهذا الاختلاط غير المشروع</w:t>
      </w:r>
      <w:r>
        <w:rPr>
          <w:rFonts w:eastAsia="IRNazanin" w:cs="IRNazanin"/>
          <w:color w:val="111111"/>
          <w:sz w:val="28"/>
          <w:szCs w:val="28"/>
          <w:rtl w:val="true"/>
          <w:lang w:bidi="fa-IR"/>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تام وصناعي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مانع من الاختلاط الحاصل في أثناء المشي أو الزيارة قرب المرقد الشريف، ما لم يكتنفه النظر المحرم أو المماسة، أو الكلام الممنوع أو خوف الوقوع في الحرام</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937098_1051229030"/>
      <w:bookmarkStart w:id="618" w:name="_Toc234"/>
      <w:bookmarkEnd w:id="617"/>
      <w:r>
        <w:rPr>
          <w:rtl w:val="true"/>
        </w:rPr>
        <w:t>قاعدة لا يترك الحق إذا شابه منكر</w:t>
      </w:r>
      <w:bookmarkEnd w:id="618"/>
    </w:p>
    <w:p>
      <w:pPr>
        <w:pStyle w:val="BookText"/>
        <w:rPr/>
      </w:pPr>
      <w:r>
        <w:rPr>
          <w:rFonts w:ascii="Amiri" w:hAnsi="Amiri" w:eastAsia="Amiri" w:cs="Amiri"/>
          <w:color w:val="111111"/>
          <w:sz w:val="28"/>
          <w:sz w:val="28"/>
          <w:szCs w:val="28"/>
          <w:rtl w:val="true"/>
          <w:lang w:bidi="ar-SA"/>
        </w:rPr>
        <w:t>وعلى فرض وجود بعض الأفعال الصادرة من بعض السائرين والسائرات ـ التي ربما تكون خاطئة بنظر بعضهم ـ فهو أيضاً لا يمنع من حقانية الطاعة ولا يصيّرها ممنوعة كما توهّمه البعض، ويمكن أن يستدل لذلك بقاعدة مقتبسة من الروايات والتي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يترك الحق إذا شابه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مفاد القاعدة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المراد من القاعدة المذكورة في باب الطاعات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يترك الحق إذا شابه 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أن وجود بعض الممارسات السلبية في التجمعات العامة التي فيها طاعة ـ كالحج والعمرة، وصلاة الجماعة أو الجمعة، والأعياد والاحتفالات بالمولد النبوي، أو الزيارات للأئمة الأطهار علیهم السلام  أو المشي خلف الجنائز ـ لا يعني ترك تلك التجمعات من رأس، والحكم بحرمة الذهاب أو الحضور عندها، وإلى هذه القاعدة يُشير الحديث الشريف التام سنداً ودلالة، والذي رواه الكليني في الكافي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إبراهيم، عن أبيه، عن ابن محبوب، عن علي بن رئاب،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أبو جعفر علیه السلام  جنازة رجل من قريش وأنا معه، وكان فيها عطاء، فصرخت صارخة، فقال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لتسكتن أو لنرجعن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تسكت، فرجع عطاء،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عطاء قد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صرخت هذه الصارخة،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لتسكتن أو لنرجعن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w:t>
      </w:r>
      <w:bookmarkStart w:id="619" w:name="pg7448_77071"/>
    </w:p>
    <w:p>
      <w:pPr>
        <w:pStyle w:val="BookText"/>
        <w:rPr/>
      </w:pPr>
      <w:bookmarkEnd w:id="619"/>
      <w:r>
        <w:rPr>
          <w:rFonts w:ascii="IRNazanin" w:hAnsi="IRNazanin" w:eastAsia="IRNazanin"/>
          <w:color w:val="111111"/>
          <w:sz w:val="28"/>
          <w:sz w:val="28"/>
          <w:szCs w:val="28"/>
          <w:rtl w:val="true"/>
          <w:lang w:bidi="fa-IR"/>
        </w:rPr>
        <w:t>تسكت فرجع،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بنا؛ فلو أنا إذا رأينا شيئاً من الباطل مع الحق تركنا له الحق لم نقض حق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صلى على الجنازة قال وليّها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مأجوراً رحمك الله؛ فإنك لا تقوى على 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أن يرجع</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فالملاحظ من هذه الرواية ـ المعتبرة ـ هو أن الإمام علیه السلام  استمر على ما هو عليه بالرغم من أن المشي خلف الجنازة من الأُمور المستحبة، وليس من الواجبة، فلم يتركه لوجود صرخات وأصوات النساء اللاتي يشيعن معهم، مع أن هذه الصرخات كان فيها نحو من الباطل على مستوى الحرمة أو الكراهة بالنسبة للصارخة، بل أكد ذلك صراحةً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أنا إذا رأينا شيئاً من الباطل مع الحق تركنا له الحق لم نقض حق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فوجود هذه الممارسة المحرمة أو المكروهة بالنسبة إلى المرأة الصارخة لا يبرر ترك الطاعات المستحبة فضلاً عن الواجبة، وهذه القاعدة تصح أن تكون دليلاً عاماً يُتمسك به في كل الطاعات التي قد يشوبها باطل من بعض الممارسين لتلك الطاعات، كوجود اختلاط أو كلام باطل أو نظر محرم من بعض الحاضرين للآخرين، ولكن هذا الباطل ليس معناه أن تحرم وتمنع هذه المستحبات بالجملة على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أبرز الطقوس التي طبق الفقهاء فيها هذه القاعدة هو الحج، كمثال للواجب الذي يشوبه بعض التصرفات من بعض من حضر الحج، وهو منطبق أيضاً على الحضور المليوني في الزيارات للعتبات المقدسة، سواء كان حال المشي إليها أو حال التواجد قربها كمثال للطاعة المستحبة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هذه القاعدة يتضح عدم مانعية بعض الممارسات الخاطئة ـ التي تصدر من بعض الذاهبين مشياً إلى أبي عبد الله الحسين علیه السلام  ـ عن خروج النساء</w:t>
      </w:r>
      <w:r>
        <w:rPr>
          <w:rFonts w:eastAsia="IRNazanin" w:cs="IRNazanin"/>
          <w:color w:val="111111"/>
          <w:sz w:val="28"/>
          <w:szCs w:val="28"/>
          <w:rtl w:val="true"/>
          <w:lang w:bidi="fa-IR"/>
        </w:rPr>
        <w:t>.</w:t>
      </w:r>
    </w:p>
    <w:p>
      <w:pPr>
        <w:pStyle w:val="Heading5"/>
        <w:numPr>
          <w:ilvl w:val="4"/>
          <w:numId w:val="1"/>
        </w:numPr>
        <w:rPr/>
      </w:pPr>
      <w:bookmarkStart w:id="620" w:name="__RefHeading___Toc1937100_1051229030"/>
      <w:bookmarkStart w:id="621" w:name="_Toc235"/>
      <w:bookmarkEnd w:id="620"/>
      <w:r>
        <w:rPr>
          <w:rtl w:val="true"/>
        </w:rPr>
        <w:t>الدليل الثالث</w:t>
      </w:r>
      <w:r>
        <w:rPr>
          <w:rtl w:val="true"/>
        </w:rPr>
        <w:t xml:space="preserve">: </w:t>
      </w:r>
      <w:r>
        <w:rPr>
          <w:rtl w:val="true"/>
        </w:rPr>
        <w:t>الضرر على الزوج أو الأطفال بخروجها</w:t>
      </w:r>
      <w:bookmarkEnd w:id="62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الأمور التي قد يظهر منها أنها تنافي المشي إلى زيارة أبي عبد الله علیه السلام  هو وجود الضرر الذي يلحق على الزوج والأطفال جرّاء خروج النساء مشياً، خصوصاً إذا </w:t>
      </w:r>
      <w:bookmarkStart w:id="622" w:name="pg7448_77072"/>
    </w:p>
    <w:p>
      <w:pPr>
        <w:pStyle w:val="BookText"/>
        <w:rPr/>
      </w:pPr>
      <w:bookmarkEnd w:id="622"/>
      <w:r>
        <w:rPr>
          <w:rFonts w:ascii="Amiri" w:hAnsi="Amiri" w:eastAsia="Amiri" w:cs="Amiri"/>
          <w:color w:val="111111"/>
          <w:sz w:val="28"/>
          <w:sz w:val="28"/>
          <w:szCs w:val="28"/>
          <w:rtl w:val="true"/>
          <w:lang w:bidi="ar-SA"/>
        </w:rPr>
        <w:t>كان ذلك من مكان بعيد</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937102_1051229030"/>
      <w:bookmarkStart w:id="624" w:name="_Toc236"/>
      <w:bookmarkEnd w:id="623"/>
      <w:r>
        <w:rPr>
          <w:rtl w:val="true"/>
        </w:rPr>
        <w:t>مناقشة الدليل الثالث</w:t>
      </w:r>
      <w:bookmarkEnd w:id="624"/>
    </w:p>
    <w:p>
      <w:pPr>
        <w:pStyle w:val="BookText"/>
        <w:rPr/>
      </w:pPr>
      <w:r>
        <w:rPr>
          <w:rFonts w:ascii="Amiri" w:hAnsi="Amiri" w:eastAsia="Amiri" w:cs="Amiri"/>
          <w:color w:val="111111"/>
          <w:sz w:val="28"/>
          <w:sz w:val="28"/>
          <w:szCs w:val="28"/>
          <w:rtl w:val="true"/>
          <w:lang w:bidi="ar-SA"/>
        </w:rPr>
        <w:t>ويرد على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ليس الضرر بإطلاقه محرماً، وإنما يحرم منه الضرر الشديد أو الإضرار الشديد بالغير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إن المتتبع للروايات الواردة في خصوص زيارة الإمام الحسين علیه السلام  يرى أن عنوان الضرر قد أُخذ في بعضها؛ مما ينتج لنا بأن الضرر الذي يترتب على الأهل أو الأطفال لا يمنع من الاستحباب؛ لأنه نوع إيثار للمصلحة العامة وتقديمها على المصالح الخاصة؛ لذا وردت الإشادة والمدح للذين آثروا الالتزام بهذه الشعيرة على مصلحة أبنائهم وأزواجهم؛ ففي الرواية التي رواها سعد بن عبد الله، عن يعقوب بن يزيد، عن ابن أبي عمير، عن معاوية بن وهب،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وهو في مصلّاه، فجلست حتى قضى صلاته، فسمعته وهو يناجي ربه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أوطانهم، وما آثرونا على أبنائهم وأهاليهم وقراباتهم</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هناك عشرات الروايات التي تُبيّن اكتناف بعض الشعائر بالضرر وبقاء الاستحباب ومضاعفة الأجر، كما في الروايات الدالة على استحباب المشي حال الخوف من الظالم، أو الروايات الدالة على استحباب المشي في الحر أو البرد وغيرها من موارد الضرر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إن كثيراً من روايات المشي فيها ظهور يشير إلى أن الذهاب إلى الزيارة مشياً خارج ـ موضوعاً أو حكماً ـ عن أدلة الضرر، أو ملاحظ فيها الضرر المناسب لهذه العبادة لا مطلق الضرر، على غرار الخروج إلى الجهاد أو الحج؛ لأنه أُخذ في نفسيهما </w:t>
      </w:r>
      <w:bookmarkStart w:id="625" w:name="pg7448_77073"/>
    </w:p>
    <w:p>
      <w:pPr>
        <w:pStyle w:val="BookText"/>
        <w:rPr/>
      </w:pPr>
      <w:bookmarkEnd w:id="625"/>
      <w:r>
        <w:rPr>
          <w:rFonts w:ascii="Amiri" w:hAnsi="Amiri" w:eastAsia="Amiri" w:cs="Amiri"/>
          <w:color w:val="111111"/>
          <w:sz w:val="28"/>
          <w:sz w:val="28"/>
          <w:szCs w:val="28"/>
          <w:rtl w:val="true"/>
          <w:lang w:bidi="ar-SA"/>
        </w:rPr>
        <w:t>عنوان الضرر، أو لا أقل أُخذ فيهما الضرر المناسب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إن المصالح المترتبة على خروج النساء وإبراز هذه الشعيرة أهم من الضرر العادي الذي يقع على الأطفال والزوج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الضرر شديداً، أو يؤدي إلى الوقوع بالمحرم، أو تضييع الحقوق الواجبة، فهو مانع من استحباب الزيارة</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1937104_1051229030"/>
      <w:bookmarkStart w:id="627" w:name="_Toc237"/>
      <w:bookmarkEnd w:id="626"/>
      <w:r>
        <w:rPr>
          <w:rtl w:val="true"/>
        </w:rPr>
        <w:t>تتمة ونتيجة</w:t>
      </w:r>
      <w:bookmarkEnd w:id="627"/>
    </w:p>
    <w:p>
      <w:pPr>
        <w:pStyle w:val="BookText"/>
        <w:rPr/>
      </w:pPr>
      <w:r>
        <w:rPr>
          <w:rFonts w:ascii="Amiri" w:hAnsi="Amiri" w:eastAsia="Amiri" w:cs="Amiri"/>
          <w:color w:val="111111"/>
          <w:sz w:val="28"/>
          <w:sz w:val="28"/>
          <w:szCs w:val="28"/>
          <w:rtl w:val="true"/>
          <w:lang w:bidi="ar-SA"/>
        </w:rPr>
        <w:t>إن تعظيم الشعائر أهم من بعض الإشكالات أو الأخطاء الشخصية أو الضرر الشخصي، فإن الحث الوارد على إحياء الشعائر وبالخصوص شعيرة المشي رغم وجود إمكانية الاختلاط وما يكتنفه من سلبيات يفترضها المانع من المشي ـ كما هو الحالة الطبيعية لكل اختلاط ـ يشعر بأن الشعائر أهم ملاكاً من الضرر الشخصي أو حصول بعض السلبيات التي هي حالة طبيعية لكل اختلاط؛ فلا يمكن أن تكون هذه مبرراً لمنع مثل هذه الطاعات ذات الملاكات العالية والفوائد المعنوية العظيمة، بل ستبقى هذه المخالفات والمحرمات على حرمتها، بل ربما قد يحمل مرتكبها وزراً آخر غير وزر المخالفة في سائر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باستحباب مشي النساء إلى كربلاء المقدسة، وترتب الأجر والثواب على هذا المشي، وأنه كمشي الرجال إلى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أن يكون ذلك الخروج طبقاً للموازين الشرعية ويراعى فيه الحجاب والستر التام، والابتعاد عن الاختلاط إذا اكتنفته بعض المحرمات، وأخذ إذن الزوج بالنسبة للمتزوجات، وعدم الخروج في حال تحقق أذى أو حصول نهي من الوالدين بالنسبة لغير المتزوجات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والأفضل ـ إن لم يكن واجباً ـ مراعاة المرأة للآداب العامة التي تحفظ حشمتها أكثر، كالابتعاد عن الرجال لمسافة، ولبس النقاب ـ مثلاً ـ وعدم التكلّم بصوت عال، والمحافظة على الوقار والسكينة والمشي بهدوء</w:t>
      </w:r>
      <w:r>
        <w:rPr>
          <w:rFonts w:eastAsia="Amiri" w:cs="Amiri" w:ascii="Amiri" w:hAnsi="Amiri"/>
          <w:color w:val="111111"/>
          <w:sz w:val="28"/>
          <w:szCs w:val="28"/>
          <w:rtl w:val="true"/>
          <w:lang w:bidi="ar-SA"/>
        </w:rPr>
        <w:t xml:space="preserve">. </w:t>
      </w:r>
      <w:bookmarkStart w:id="628" w:name="pg7448_77074"/>
    </w:p>
    <w:p>
      <w:pPr>
        <w:pStyle w:val="Heading2"/>
        <w:numPr>
          <w:ilvl w:val="1"/>
          <w:numId w:val="1"/>
        </w:numPr>
        <w:rPr/>
      </w:pPr>
      <w:bookmarkStart w:id="629" w:name="__RefHeading___Toc1937106_1051229030"/>
      <w:bookmarkStart w:id="630" w:name="_Toc238"/>
      <w:bookmarkEnd w:id="628"/>
      <w:bookmarkEnd w:id="629"/>
      <w:r>
        <w:rPr>
          <w:rtl w:val="true"/>
        </w:rPr>
        <w:t>دِرَاسَاتٌ دينِيَّة</w:t>
      </w:r>
      <w:bookmarkEnd w:id="630"/>
    </w:p>
    <w:p>
      <w:pPr>
        <w:pStyle w:val="Heading3"/>
        <w:numPr>
          <w:ilvl w:val="2"/>
          <w:numId w:val="1"/>
        </w:numPr>
        <w:rPr/>
      </w:pPr>
      <w:bookmarkStart w:id="631" w:name="__RefHeading___Toc1937108_1051229030"/>
      <w:bookmarkStart w:id="632" w:name="_Toc239"/>
      <w:bookmarkEnd w:id="631"/>
      <w:r>
        <w:rPr>
          <w:rtl w:val="true"/>
        </w:rPr>
        <w:t>اشارة</w:t>
      </w:r>
      <w:bookmarkEnd w:id="6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التجديد في منهجة علم الأُصول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في الرؤية القرآنية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الداء العضال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7448_77076"/>
      <w:bookmarkStart w:id="634" w:name="pg7448_77076"/>
      <w:bookmarkEnd w:id="634"/>
    </w:p>
    <w:p>
      <w:pPr>
        <w:pStyle w:val="Heading3"/>
        <w:numPr>
          <w:ilvl w:val="2"/>
          <w:numId w:val="1"/>
        </w:numPr>
        <w:rPr/>
      </w:pPr>
      <w:bookmarkStart w:id="635" w:name="pg7448_77076"/>
      <w:bookmarkStart w:id="636" w:name="__RefHeading___Toc1937110_1051229030"/>
      <w:bookmarkStart w:id="637" w:name="_Toc240"/>
      <w:bookmarkEnd w:id="635"/>
      <w:bookmarkEnd w:id="636"/>
      <w:r>
        <w:rPr>
          <w:rtl w:val="true"/>
        </w:rPr>
        <w:t>مناهج مقترحة</w:t>
      </w:r>
      <w:bookmarkEnd w:id="637"/>
    </w:p>
    <w:p>
      <w:pPr>
        <w:pStyle w:val="Heading4"/>
        <w:numPr>
          <w:ilvl w:val="3"/>
          <w:numId w:val="1"/>
        </w:numPr>
        <w:rPr/>
      </w:pPr>
      <w:bookmarkStart w:id="638" w:name="__RefHeading___Toc1937112_1051229030"/>
      <w:bookmarkStart w:id="639" w:name="_Toc241"/>
      <w:bookmarkEnd w:id="638"/>
      <w:r>
        <w:rPr>
          <w:rtl w:val="true"/>
        </w:rPr>
        <w:t>اشارة</w:t>
      </w:r>
      <w:bookmarkEnd w:id="639"/>
    </w:p>
    <w:p>
      <w:pPr>
        <w:pStyle w:val="BookText"/>
        <w:rPr/>
      </w:pPr>
      <w:r>
        <w:rPr>
          <w:rFonts w:ascii="Amiri" w:hAnsi="Amiri" w:eastAsia="Amiri" w:cs="Amiri"/>
          <w:color w:val="111111"/>
          <w:sz w:val="28"/>
          <w:sz w:val="28"/>
          <w:szCs w:val="28"/>
          <w:rtl w:val="true"/>
          <w:lang w:bidi="ar-SA"/>
        </w:rPr>
        <w:t>من هنا؛ نريد أن نسلّط الضوء على بعض المقترحات المعاصرة لتجديد المنهج التعليمي وطريقة تدوين علم الأُصول، والتي تمثّل آخر الأفكار ـ تقريباً ـ في هذا الميدان</w:t>
      </w:r>
      <w:r>
        <w:rPr>
          <w:rFonts w:eastAsia="Amiri" w:cs="Amiri" w:ascii="Amiri" w:hAnsi="Amiri"/>
          <w:color w:val="111111"/>
          <w:sz w:val="28"/>
          <w:szCs w:val="28"/>
          <w:rtl w:val="true"/>
          <w:lang w:bidi="ar-SA"/>
        </w:rPr>
        <w:t>.</w:t>
      </w:r>
    </w:p>
    <w:p>
      <w:pPr>
        <w:pStyle w:val="Heading4"/>
        <w:numPr>
          <w:ilvl w:val="3"/>
          <w:numId w:val="1"/>
        </w:numPr>
        <w:rPr/>
      </w:pPr>
      <w:bookmarkStart w:id="640" w:name="__RefHeading___Toc1937114_1051229030"/>
      <w:bookmarkStart w:id="641" w:name="_Toc242"/>
      <w:bookmarkEnd w:id="640"/>
      <w:r>
        <w:rPr>
          <w:rtl w:val="true"/>
        </w:rPr>
        <w:t>المقترح الأوّل</w:t>
      </w:r>
      <w:bookmarkEnd w:id="641"/>
    </w:p>
    <w:p>
      <w:pPr>
        <w:pStyle w:val="BookText"/>
        <w:rPr/>
      </w:pPr>
      <w:r>
        <w:rPr>
          <w:rFonts w:ascii="Amiri" w:hAnsi="Amiri" w:eastAsia="Amiri" w:cs="Amiri"/>
          <w:color w:val="111111"/>
          <w:sz w:val="28"/>
          <w:sz w:val="28"/>
          <w:szCs w:val="28"/>
          <w:rtl w:val="true"/>
          <w:lang w:bidi="ar-SA"/>
        </w:rPr>
        <w:t>وهو ما ذكره السيد السيستاني في كتاب الرافد، ولكن قبل أن يبيّن طريقته المقترحة، يستعرض المنهج القديم وينقده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المنهج القديم في تدوين علم الأُصول يعتمد على تقسيم هذا العلم إلى أربعة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وهي في الوضع، والاستعمال، والصحيح والأعمّ، والحقيقة الشرعية، والمشتق،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الألفاظ، مثل باب الأوامر والنواهي، والعام والخاصّ، والمطلق والمقيّد، والمفهوم والمنطوق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الدليل، وهو إمّا سمعي، كالكتاب الذي يبحث عن حُجيّة ظواهره، والسنّة التي يُبحث فيها عن كيفية ثبوتها وما يتعلّق به من تعارض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عقلي، ويبحث فيه عن الحسن والقبح العقليين، وقاعدة الملازمة بين حكم العقل وحكم الشرع، وأصالة العدم، وعدم الدليل، ودليل العدم، ومبحث الاستصحاب والقياس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في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واجه هذا الترتيب اعتراضان مهمان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الأنصاري؛ حيث اعترض على ترتيب الأبحاث في قسم الدليل وأبحاثه، وأبدله بطريقة ترتيب الأبحاث على وفق الحالات الوجدانية للمكلف عند التفاته للحكم الشرعي، فإنّ المكلف كذلك، إمّا قاطع، وإمّا شاكّ، وإمّا ظانّ، فالأبحاث تكون كالآتي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642" w:name="pg7448_77077"/>
    </w:p>
    <w:p>
      <w:pPr>
        <w:pStyle w:val="BookText"/>
        <w:rPr/>
      </w:pPr>
      <w:bookmarkEnd w:id="642"/>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ـ بحث القطع التفصيلي والإجمالي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بحث الظن المعتبر وغيره من سائر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بحث الشك الذي يشتمل على بحث الأُصول العملية الأربعة</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اعتُرض على محاولة الشيخ الأنصاري هذه ببعض الاعتراضات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الترتيب الذي أُسّس على الحالات النفسية للمكلَّف قد أغفل العديد من الأبحاث المهمّة والحيوية، ذات الربط المباشرة بالجانب العلمي لدى الفقيه؛ إذ لا مناسبة واضحة بينها وبين هذا الترتيب، كبحث الحسن والقبح العقليين، وبحث الملازمة بين حكم العقل وحكم الشرع، وبحث طرق ثبوت السنّة، وغيرها من 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الحالات النفسية الثلاث لا علاقة لها بالحكم الشرعي، ولا بالطرق المؤدّية إليه، فلا وجه لجعل تصنيف الأُصول دائراً مدارها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السيد السيستاني الاعتراض الثاني على منهج القدماء، وهو ما طرحه الأصفهاني</w:t>
      </w:r>
      <w:r>
        <w:rPr>
          <w:rStyle w:val="FootnoteAnchor"/>
          <w:rtl w:val="true"/>
        </w:rPr>
        <w:footnoteReference w:id="686"/>
      </w:r>
      <w:r>
        <w:rPr>
          <w:rFonts w:ascii="Amiri" w:hAnsi="Amiri" w:eastAsia="Amiri" w:cs="Amiri"/>
          <w:color w:val="111111"/>
          <w:sz w:val="28"/>
          <w:sz w:val="28"/>
          <w:szCs w:val="28"/>
          <w:rtl w:val="true"/>
          <w:lang w:bidi="ar-SA"/>
        </w:rPr>
        <w:t>، ولكن مع تعميقه والاستدلال عليه،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أُدرج في مباحث الألفاظ من مسائل وبحوث، من قبيل انقسام الحكم إلى تكليفي ووضعي، وانقسام الواجب إلى توصّلي وتعبّدي، وتعييني وتخييري، وعيني وكفائي، ونفسي وغيري، وغيرها من الأبحاث الكثيرة التي لا ربط لها بمباحث الألفاظ، وما يرتبط بمباحث الألفاظ نزرٌ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سماحة السيد عدّة وجوه لإدراج هذه المسائل في مباحث الألفاظ، مع نقاشات ممكنة لبعض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يقترح طريقتين لتدوين ومنهجة مسائل علم الأُصول</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937116_1051229030"/>
      <w:bookmarkStart w:id="644" w:name="_Toc243"/>
      <w:bookmarkEnd w:id="643"/>
      <w:r>
        <w:rPr>
          <w:rtl w:val="true"/>
        </w:rPr>
        <w:t>الطريقة الأولى</w:t>
      </w:r>
      <w:bookmarkEnd w:id="644"/>
    </w:p>
    <w:p>
      <w:pPr>
        <w:pStyle w:val="BookText"/>
        <w:rPr/>
      </w:pPr>
      <w:r>
        <w:rPr>
          <w:rFonts w:ascii="Amiri" w:hAnsi="Amiri" w:eastAsia="Amiri" w:cs="Amiri"/>
          <w:color w:val="111111"/>
          <w:sz w:val="28"/>
          <w:sz w:val="28"/>
          <w:szCs w:val="28"/>
          <w:rtl w:val="true"/>
          <w:lang w:bidi="ar-SA"/>
        </w:rPr>
        <w:t>ترتكز هذه الطريقة على محور الحُجّية،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المحور الذي يجب أن تدور عليه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مسائل علم الأُصول هو الحُجّية المثبتة للحكم الشرعي؛ وذلك لأنّ علم الأُصول في حقيقته مقدّمة لعلم الفقه، وحيث إنّ علم الفقه هو العلم الباحث عن تحديد الحكم الشرعي، فالمناسب لتصنيف علم الأُصول أن يدور مدار حُجّية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فلا بدّ أن تُقسّم أبحاث علم الأُصول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وهو على خمسة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الاحتمال الواصل إلى درجة القطع، والبحث في حُجّيته بحثٌ في حُجّية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الاحتمال الواصل إلى درجة الاطمئنان، والبحث فيه متعلّقٌ بحُجّية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الاحتمال المعتمد على قوة المحتمل، وإن كانت درجة الاحتمال ضعيفة، وهو المتحقّق في مورد الأعراض والأموال والدماء، والبحث فيه هو البحث عن حُجّية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الاحتمال المعتمد على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الاحتمال الذي لا يستند لقوّة في درجته ولا أهمّية في المحتمل، وهذا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المصطدم باحتمال معاكس لوجود العلم الإجمالي بالجامع، وهذا مورد 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غير المصطدم بغيره، وهو مورد 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الكشف، وهو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إدراكي، وهو المتوفّر في الأمارات العقلائية والشرعية، وهذا هو بحث حُجّية الأمارات والطرق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الإحساسي، وهو المتوفّر في بحث الاستصحاب، فإنّ الإنسان إذا أحسّ بشيءٍ ما، ثمّ غاب الشيء عن وعيه، فإنّه قد يبقى ذلك الكشف الإحساسي عنده، وهو شعوره بأنّ ذلك الشيء ما زال موجوداً كما كان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bookmarkStart w:id="645" w:name="pg7448_77079"/>
    </w:p>
    <w:p>
      <w:pPr>
        <w:pStyle w:val="BookText"/>
        <w:rPr/>
      </w:pPr>
      <w:bookmarkEnd w:id="645"/>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الميثاق العقلائي</w:t>
      </w:r>
    </w:p>
    <w:p>
      <w:pPr>
        <w:pStyle w:val="BookText"/>
        <w:rPr/>
      </w:pPr>
      <w:r>
        <w:rPr>
          <w:rFonts w:ascii="Amiri" w:hAnsi="Amiri" w:eastAsia="Amiri" w:cs="Amiri"/>
          <w:color w:val="111111"/>
          <w:sz w:val="28"/>
          <w:sz w:val="28"/>
          <w:szCs w:val="28"/>
          <w:rtl w:val="true"/>
          <w:lang w:bidi="ar-SA"/>
        </w:rPr>
        <w:t>وهو كلّ طريق تبانى عليه المجتمع العقلائي، كميثاق يُؤخذ بلوازمه وآثاره، سواء كان ذلك التباني بسبب الكاشفية النوعية، كما يُدّعى ذلك في خبر الثقة، أو للمصلحة الاجتماعية العامّة والتي لعلّ الظواهر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الطريقة الأُولى المقترحة، ومحورها هو حُجّية الدليل الذي يستخدمه الفقيه للوصول إلى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المشكلة الفنية التي نواجهها في المقام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هذه الطريقة عن المألوف في التصنيف الحوزوي لعلم الأُصول، ومن شرائط فنّ التصنيف أن لا يُعدّ طفرة مستنكرة ما دامت خطوات التدرج كافية في تحقيق الهدف؛ لذلك نرى أن الطريقة الثانية أقرب للتصنيف المألوف</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937118_1051229030"/>
      <w:bookmarkStart w:id="647" w:name="_Toc244"/>
      <w:bookmarkEnd w:id="646"/>
      <w:r>
        <w:rPr>
          <w:rtl w:val="true"/>
        </w:rPr>
        <w:t>الطريقة الثانية</w:t>
      </w:r>
      <w:r>
        <w:rPr>
          <w:rtl w:val="true"/>
        </w:rPr>
        <w:t>:</w:t>
      </w:r>
      <w:bookmarkEnd w:id="647"/>
    </w:p>
    <w:p>
      <w:pPr>
        <w:pStyle w:val="BookText"/>
        <w:rPr/>
      </w:pPr>
      <w:r>
        <w:rPr>
          <w:rFonts w:ascii="Amiri" w:hAnsi="Amiri" w:eastAsia="Amiri" w:cs="Amiri"/>
          <w:color w:val="111111"/>
          <w:sz w:val="28"/>
          <w:sz w:val="28"/>
          <w:szCs w:val="28"/>
          <w:rtl w:val="true"/>
          <w:lang w:bidi="ar-SA"/>
        </w:rPr>
        <w:t>ترتكز هذه الطريقة على محور الاعتبار، فإنّ كلّ علم فيه مبادئ، وهذه المبادئ إن كانت بديهية فلا يُبحث عنها، وأمّا إذا كانت نظرية فلا بدّ أن تُبحث في علم آخر، يكون هذا العلم كالمقدّمة لذاك، وبما أنّ علم الفقه محور بحثه هو الحكم الشرعي، فيعتبر الحكم الشرعي مبدأً تصديقياً فيه، وحقيقة الحكم الشرعي هو الاعتبار، فلا بدّ من وجود علم يبحث الاعتبار بصفة عامّة، والاعتبار الشرعي بصفة خاصّة، وذلك العلم هو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الطريقة تتمحور حول الاعتبار وشؤونه وتفصيلاته، وفيها خمسة عشر بحثاً،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تعريف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تقسيم الاعتبار إلى أدبي وقانوني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العلاقة بين الاعتبارين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bookmarkStart w:id="648" w:name="pg7448_77080"/>
    </w:p>
    <w:p>
      <w:pPr>
        <w:pStyle w:val="BookText"/>
        <w:rPr/>
      </w:pPr>
      <w:bookmarkEnd w:id="648"/>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أُسلوب الجعل للاعتبار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مراحل الاعتبار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أقسام الاعتبار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ـ العلاقة بين هذه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ـ أقسام القانون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ـ عوارض الأحكام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ـ وسائل إبراز الحكم القانوني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ـ وسائل استكشافه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ـ وثاقة هذه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ـ التعارض الإثباتي والثبوتي بين وسائل الاستكشاف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ـ التنافي بين الاعتبارات القانونية حين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ـ تعيين القانون عند فقد الوسيلة الإعلامية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أهمّ ما جاء في بيان الطريقتين المقترحتين في تدوين وتبويب علم الأُصول وكيفية منهجته الجديدة، وهناك أبحاث ضمنية عديدة ذُكرت في محلّها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937120_1051229030"/>
      <w:bookmarkStart w:id="650" w:name="_Toc245"/>
      <w:bookmarkEnd w:id="649"/>
      <w:r>
        <w:rPr>
          <w:rtl w:val="true"/>
        </w:rPr>
        <w:t>المقترح الثاني</w:t>
      </w:r>
      <w:bookmarkEnd w:id="650"/>
    </w:p>
    <w:p>
      <w:pPr>
        <w:pStyle w:val="BookText"/>
        <w:rPr/>
      </w:pPr>
      <w:r>
        <w:rPr>
          <w:rFonts w:ascii="Amiri" w:hAnsi="Amiri" w:eastAsia="Amiri" w:cs="Amiri"/>
          <w:color w:val="111111"/>
          <w:sz w:val="28"/>
          <w:sz w:val="28"/>
          <w:szCs w:val="28"/>
          <w:rtl w:val="true"/>
          <w:lang w:bidi="ar-SA"/>
        </w:rPr>
        <w:t>وهو ما ذكره الشيخ جعفر السبحاني في مقال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اتجاهان في تدوين أُصول الفقه واقتراحات لتطويره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أولاً اتجاهين في تدوين مسائل علم الأُصول، سواء عند الإمامية أو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الاتجاه النظري المحض، وهو يعني إعطاء الموضوعية التامّة للقواعد الأُصولية، فما أنتجته تلك القواعد يكون معتبراً وما خالفها يُطرح، فالفروع الفقهية تابعة للقواعد الأُصولية،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وانطلاقاً من ذلك صار علم أُصول الفقه علماً مستقلاً غير خاضع للفروع التي قد يُفتي فيها إمام مذهبٍ فقهي من دون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رعاية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وامتازت كتب الإمامية في أُصول الفقه بهذا الاتجاه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ويسمّيه الاتجاه المتأثر بالفروع الفقهية، وهو يعني تبعيّة القواعد الأُصولية للفروع الفقهية التي عليها إمام مذهبٍ معين،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هذا الخط يقرّرون القواعد الأُصولية طبقاً لمّا قرّره أئمة المذهب في فروعهم الاجتهادية الفقهية، وتكون القاعدة الأُصولية منسجمة مع الفروع الفقهية، ولو خالفتها لسقطت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سماحة الشيخ مقترحاته لتطوير وتجديد طريقة التدوين والمنهج التعليمي لعلم الأُصول، من خلال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المسائل الكلامية والفلسفية المؤثّرة في التدوين والدراسة،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مسألة 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الأعراض الذاتية والغريبة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قاعدة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مسألة المشتق والمبدأ وقياسه بالجنس والفصل، أو الصورة والمادة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الجهات التعليلية والتقييدية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أصالة الوجود وأصالة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ـ مسألة اجتماع الأمر والنهي، وأنّ تركيب الهيولى والصورة اتحادي، أو انضمامي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ـ مسألة الشيء ما لم يجب لم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ـ الخارج المحمول والمحمول بالضميمة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ـ بحث المقولات العشر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ـ الحركة القطعية والحركة التوسطية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ـ مسألة امتناع انتقال العرض</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ـ التفريق بين الأُمور التكوينية والاعتبارية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القواعد الفقهية عن علم الأُصول،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قاعدة لا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قاعدة 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ما لا علاقة له بعلم الأُصول، من قبيل بحث مسألة الجبر والتفويض والأمر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انتهاج المنهج التطبيقي في علم الأُصول،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إدراج تطبيقات المسائل الأُصولية ضمن المنهج التعليمي ـ كما في علم الرياضيات ـ حتى لا تكون القواعد الأُصولية جافّة ولا تربّي الطالب على ملكة الاجتهاد والاستنباط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النقطة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إجراء دراسة تاريخية لبعض المسائل الأُصولية، من قبيل البحث عن حُجّية اللغوي؛ فهذه المسألة بحاجة إلى دراسة تاريخية لمعرفة الكيفية التي انتهجها أئمة اللغة الأوائل في تدوين مسائلهم، وكيفية تعيينهم معاني الألفاظ، وكذلك لا بدّ من دراسة المراحل التاريخية التي مرّت بها عملية تدوين الأخبار المروية عن أهل البيت علیهم السلام ؛ فإنّ لها تأثيراً مباشراً في مسألة حُجّية خبر الثقة أو الخبر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الصلة بين الكتب والمناهج الأُصولية القديمة والحديثة، وهذه من أهمّ المسائل التي لا بدّ أن تُراعى في الطرح الجديد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651" w:name="pg7448_77083"/>
    </w:p>
    <w:p>
      <w:pPr>
        <w:pStyle w:val="Heading4"/>
        <w:numPr>
          <w:ilvl w:val="3"/>
          <w:numId w:val="1"/>
        </w:numPr>
        <w:rPr/>
      </w:pPr>
      <w:bookmarkStart w:id="652" w:name="__RefHeading___Toc1937122_1051229030"/>
      <w:bookmarkStart w:id="653" w:name="_Toc246"/>
      <w:bookmarkEnd w:id="651"/>
      <w:bookmarkEnd w:id="652"/>
      <w:r>
        <w:rPr>
          <w:rtl w:val="true"/>
        </w:rPr>
        <w:t>المقترح الثالث</w:t>
      </w:r>
      <w:bookmarkEnd w:id="653"/>
    </w:p>
    <w:p>
      <w:pPr>
        <w:pStyle w:val="Heading5"/>
        <w:numPr>
          <w:ilvl w:val="4"/>
          <w:numId w:val="1"/>
        </w:numPr>
        <w:rPr/>
      </w:pPr>
      <w:bookmarkStart w:id="654" w:name="__RefHeading___Toc1937124_1051229030"/>
      <w:bookmarkStart w:id="655" w:name="_Toc247"/>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وهو ما ذكره الشيخ محمد السند في مقالٍ تُرجم إلى اللغة الفارسية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رؤية جديدة إلى مباحث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يقترح سماحة الشيخ تقسيم علم الأُصول على قسمين</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1937126_1051229030"/>
      <w:bookmarkStart w:id="657" w:name="_Toc248"/>
      <w:bookmarkEnd w:id="656"/>
      <w:r>
        <w:rPr>
          <w:rtl w:val="true"/>
        </w:rPr>
        <w:t>القسم الأول</w:t>
      </w:r>
      <w:r>
        <w:rPr>
          <w:rtl w:val="true"/>
        </w:rPr>
        <w:t xml:space="preserve">: </w:t>
      </w:r>
      <w:r>
        <w:rPr>
          <w:rtl w:val="true"/>
        </w:rPr>
        <w:t>مباحث الدلالة</w:t>
      </w:r>
      <w:bookmarkEnd w:id="657"/>
    </w:p>
    <w:p>
      <w:pPr>
        <w:pStyle w:val="BookText"/>
        <w:rPr/>
      </w:pPr>
      <w:r>
        <w:rPr>
          <w:rFonts w:ascii="Amiri" w:hAnsi="Amiri" w:eastAsia="Amiri" w:cs="Amiri"/>
          <w:color w:val="111111"/>
          <w:sz w:val="28"/>
          <w:sz w:val="28"/>
          <w:szCs w:val="28"/>
          <w:rtl w:val="true"/>
          <w:lang w:bidi="ar-SA"/>
        </w:rPr>
        <w:t>وهو بحث يرتبط بعلم البلاغة وعلم اللغة، وهذا القسم يشتمل على الأبحاث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مبحث الوضع، الحقيقة والمجاز، أحوال الاستعمال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مبحث العام والخاص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مبحث المطلق والمقيد</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مبحث المفاهيم</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مبحث دلالة الأمر على الوجوب، ودلالة النهي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دلالة الأدلّة النقلية على الحُجّية، مثل خبر الواحد، الشهرة، البراءة، الاستصحاب، الأُصول المحرزة، الترجيح والتخيير، قول المفتي والتقليد</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937128_1051229030"/>
      <w:bookmarkStart w:id="659" w:name="_Toc249"/>
      <w:bookmarkEnd w:id="658"/>
      <w:r>
        <w:rPr>
          <w:rtl w:val="true"/>
        </w:rPr>
        <w:t>القسم الثاني</w:t>
      </w:r>
      <w:r>
        <w:rPr>
          <w:rtl w:val="true"/>
        </w:rPr>
        <w:t xml:space="preserve">: </w:t>
      </w:r>
      <w:r>
        <w:rPr>
          <w:rtl w:val="true"/>
        </w:rPr>
        <w:t>مباحث الحكم وشؤونه</w:t>
      </w:r>
      <w:bookmarkEnd w:id="659"/>
    </w:p>
    <w:p>
      <w:pPr>
        <w:pStyle w:val="BookText"/>
        <w:rPr/>
      </w:pPr>
      <w:r>
        <w:rPr>
          <w:rFonts w:ascii="Amiri" w:hAnsi="Amiri" w:eastAsia="Amiri" w:cs="Amiri"/>
          <w:color w:val="111111"/>
          <w:sz w:val="28"/>
          <w:sz w:val="28"/>
          <w:szCs w:val="28"/>
          <w:rtl w:val="true"/>
          <w:lang w:bidi="ar-SA"/>
        </w:rPr>
        <w:t>وهو بحث عن الحكم وموضوعه ومراحله ومتعلّقه، وارتباطه ببقية الأحكام وأقسامه، فهو بحث عن القانون وصياغته وارتباطه بعالم الاعتبار، وليس له ربط بمباحث الدلالة وعالم الألفاظ، وهذا القسم يشتمل على الأبحاث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مقدّمة الواجب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ـ الضد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اقتضاء النهي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اجتماع الأمر والنهي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ـ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حقيقة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ـ استصحاب العدم الأزلي، وهذه المسألة وإن كانت في مبحث العام والخاص، إلّا إنّه يبحث فيها عن كيفية تركّب موضوعات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ـ مبحث الانسداد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ـ حقيقة الحكم الظاهري والجمع بينه وبين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ـ حقيقة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ـ بعض تنبيهات الاستصحاب،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الحكم التعليقي، الحكم الوضعي والتكليفي، بقاء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ـ مبحث إمكان تصوير الجامع بين 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ـ حقيقة الإنشاء بلحاظ المنشأ لا بلحاظ 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ـ حقيقة المعنى الإسمي والحرفي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ـ مبحث تداخل الأسباب والمسببات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ـ الملازمة بين حكم العقل وحكم الشرع، وبيان حقيقة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ـ مبحث الاعتبار، حقيقته وشؤونه العقلائية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ـ حقيقة السيرة العقلائية وارتكازات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ـ حقيقة الوجوب والحرمة والصحة، وما يرتبط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ـ مفهوم الحُجّية والتخيير والتعذير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خلال هذا التقسيم وهذا الترتيب تبرز وتتنقّح عدّة مسائل منهجية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ندقّق في منظومة الأحكام نجد أنّها على شكل هرم في رأسه الأحكام العقلية، أعمّ من أحكام العقل العملي والنظري، وفي وسط الهرم الأحكام والقوانين الاعتبارية والوضعية، وفي قاعدة الهرم الأحكام الشرعية، وهذه نقطة مهمّة ومؤثرة في معرفة النُظم الموجودة بين الأحكام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هناك ارتباط وثيق وانسجام تامّ بين مجموع القضايا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كما في علم الرياضيات تحكمه مجموعة معادلات، وهذا باب مهم لمعرفة الارتباط بين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لغة القانون لها ألفاظ خاصّة بها، كما في بقية اللغات، ولغة القانون هي أُصول التقنين العقلائي، وهي المعاني التصوّرية التي يصل المقنّن من خلالها إلى مراده، وقد سار المشرّع على نفس هذه الطريقة في بيان مراده وإيصاله للمخاطبين، وهذا مبحث يفتح آفاقاً جديدة؛ لمعرفة حدود وتعاريف وأقسام الأحكام، وكذا بيان ارتباط الحكم العقلي مع العقلائي 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مباحث الدلالة لا ترتبط بلغة معينة؛ لأنّه لا ربط لها بالألفاظ، وإنّما تبحث عن المعاني وارتباط بعضها مع الآخر، وكيفية استخدامها وتحليلها والاستنتاج منها، فهي لها ارتباط بعلم البلاغة، وهذه العمومية والشمول تؤثّر في وضوح القواعد الأُصولية واستخدامها، وتأثيرها في فهم النصوص الروائية والقرآن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التقسيم المتقدم لعلم الأُصول يظهر فارق أساسي بين نوعين من مسائل علم الأُصول؛ حيث إنّ القسم الأوّل يبحث عن مفردات القضايا القانونية، فهو يبحث عن المعنى بما هو وعن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فهو بحث عن المعاني بما هي متحقّقة في عالم الاعتبار العقلائي أو الشرعي؛ لذلك يمكن أن يُسمّى القسم الأوّل بالمباحث التصورية، والثاني بالمباحث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التقسيم الثنائي المتقدّم يبيّن لنا مناهج استنباط الفقهاء، فبعضهم غلب في بحوثهم الفقهية الاعتماد على القسم الثاني؛ بحيث يتوصّلون إلى الأحكام الشرعية من خلال المعادلات والملازمات العامّة بين الأحكام والقوانين، أو من خلال تحليل الأحكام، أو التقسيم والتفريع،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الأوّل، والشيخ جعفر كاشف الغطاء، والمحقّق الكركي، وكاشف اللثام، وصاحب الجواهر، وصاحب الرياض</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660" w:name="pg7448_77086"/>
    </w:p>
    <w:p>
      <w:pPr>
        <w:pStyle w:val="BookText"/>
        <w:rPr/>
      </w:pPr>
      <w:bookmarkEnd w:id="660"/>
      <w:r>
        <w:rPr>
          <w:rFonts w:ascii="Amiri" w:hAnsi="Amiri" w:eastAsia="Amiri" w:cs="Amiri"/>
          <w:color w:val="111111"/>
          <w:sz w:val="28"/>
          <w:sz w:val="28"/>
          <w:szCs w:val="28"/>
          <w:rtl w:val="true"/>
          <w:lang w:bidi="ar-SA"/>
        </w:rPr>
        <w:t>وبعضهم اعتمد على القسم الأوّل في استنباطه، واكتفى بمباحث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الأنسب هو الاعتماد على كلا القسمين في عملية الاستنباط</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1937130_1051229030"/>
      <w:bookmarkStart w:id="662" w:name="_Toc250"/>
      <w:bookmarkEnd w:id="661"/>
      <w:r>
        <w:rPr>
          <w:rtl w:val="true"/>
        </w:rPr>
        <w:t>المقترح الرابع</w:t>
      </w:r>
      <w:bookmarkEnd w:id="662"/>
    </w:p>
    <w:p>
      <w:pPr>
        <w:pStyle w:val="BookText"/>
        <w:rPr/>
      </w:pPr>
      <w:r>
        <w:rPr>
          <w:rFonts w:ascii="Amiri" w:hAnsi="Amiri" w:eastAsia="Amiri" w:cs="Amiri"/>
          <w:color w:val="111111"/>
          <w:sz w:val="28"/>
          <w:sz w:val="28"/>
          <w:szCs w:val="28"/>
          <w:rtl w:val="true"/>
          <w:lang w:bidi="ar-SA"/>
        </w:rPr>
        <w:t>وهو ما ذكره شيخنا الأستاذ صادق لاريجاني في مقال باللغة الفارسية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طرح جديد في تدوين وتبويب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بيّن أنّ هناك عدّة أُمور تحتّم إصلاح المنهج القديم، وطريقة التدوين في علم الأُصول،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الخلط في مباحث الألفاظ؛ حيث أُدرجت فيها بعض الأبحاث العقلية، كما أدرج صاحب الكفاية، مثل مسألة الضد والترتيب واجتماع الأمر والنهي في المقصد الأوّل والثاني، وهي مخصّصة لمباحث الألفاظ، فلا بدّ أن تدوّن مباحث الألفاظ بشكل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بعض الأبحاث الجديدة والمهمّة لا بدّ أن تُدرج في علم الأُصول؛ لوجود المناسبة والارتباط الوثيق بينها وبين علم الأُصول، كمباحث معرفة اللغة </w:t>
      </w:r>
      <w:r>
        <w:rPr>
          <w:rFonts w:eastAsia="Times New Roman" w:cs="Times New Roman" w:ascii="Times New Roman" w:hAnsi="Times New Roman"/>
          <w:color w:val="111111"/>
          <w:sz w:val="28"/>
          <w:szCs w:val="28"/>
          <w:lang w:val="en-US" w:bidi="en-US"/>
        </w:rPr>
        <w:t>Lin quistics</w:t>
      </w:r>
      <w:r>
        <w:rPr>
          <w:rFonts w:ascii="Amiri" w:hAnsi="Amiri" w:eastAsia="Amiri" w:cs="Amiri"/>
          <w:color w:val="111111"/>
          <w:sz w:val="28"/>
          <w:sz w:val="28"/>
          <w:szCs w:val="28"/>
          <w:rtl w:val="true"/>
          <w:lang w:bidi="ar-SA"/>
        </w:rPr>
        <w:t xml:space="preserve">، وفلسفة اللغة التي هي قسم من الفلسفة التحليلية، وعلم تفسير المتون </w:t>
      </w:r>
      <w:r>
        <w:rPr>
          <w:rFonts w:eastAsia="Times New Roman" w:cs="Times New Roman" w:ascii="Times New Roman" w:hAnsi="Times New Roman"/>
          <w:color w:val="111111"/>
          <w:sz w:val="28"/>
          <w:szCs w:val="28"/>
          <w:lang w:val="en-US" w:bidi="en-US"/>
        </w:rPr>
        <w:t>Hermenutics</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الأبحاث المهمة والمصيرية في علم الأُصول، بُحثت بصورة استطرادية في ضمن أبحاث أُخرى، لا بدّ أن تُفرد بالبحث والدراسة من قبيل 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الحكم، ومبحث 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بعض المسائل ليس لها دخل مباشر في الفقه إلّا بعدّة وسائط، ولكن لها تأثير مباشر في فهم المسائل الأُصولية نفسها، مثل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المناهج العلمية المتّبعة في علم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المناسب أن تُدرج هذه المسألة ضمن مدخل علم الأُصول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المسائل الأُصولية المهمّة عن التطبيقات الفقهية، مع أنّها أُمور مهمّة تُنمّي قابلية الطالب وملكته على كيفية تطبيق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خدمات عديدة يقدّمها علم الأُصول لبعض العلوم الأُخرى، مثل علم الحقوق، فلسفة الحقوق، فلسفة اللغة، فلا بدّ من إضافة أبحاث تُدرَس لتُبيّن هذه الخدمات والاستخدامات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هذه الملاحظات والإشكالات لا بدّ من تنظيم علم الأُصول بصورة جديدة، وهي تتكون من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مبحث فلسفة علم الأُصول، أو المدخل إلى علم الأُصول، وتُدرج في هذا المبحث جميع المسائل الناظرة إلى علم الأُصول وليست منه، وتُعتبر من الدرجة الثانية في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مسائل علم الأُصول بصورة جديدة تتمحور حول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ستكون أبحاث علم الأُصول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فلسفة علم الأُصول، أو المدخل، وفيه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علم الأُصول، 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فلسفة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علم الأُصول وتدوينه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ومناهج علم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العقل العملي والنظري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وبناء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مباحث اللغة، 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في مباحث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والنظريات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الوضع وكيفيته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استعمال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التي تُستخدم للإفهام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والمجاز وعلاماتهما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كلّيات مباحث تفسير المتون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الهرمنوطيقيا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الاصطلاحات المختلفة للهرمنوطيقيا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المتون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التفسير وماهيته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شرائط الفهم وأثر الأحكام المسبقة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المتون الدينية وارتباطها بالخارج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والعلوم الأُخرى، 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والفلسفة والكلام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وفلسفة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وفلسفة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والهرمنوطيقيا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وفلسفة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الأُصول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الأبحاث تدرج في فلسفة علم الأُصول أو المدخل إلى علم الأُصول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ترتيب وتنسيق مسائل علم الأُصول فهي أيضاً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الحكم، 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التدوين والتبويب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النظريات المختلفة في بيان ماهية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الحكم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الحكم،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والوضعي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الحكم التكليفي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المشروط والمطلق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المعلّق والمنجّز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النفسي والغيري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التعييني والتخييري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العيني والكفائي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الموسّع والمضيّق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الحكم،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الأحكام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استلزام وجوب المقدمة من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وإبراز الحكم،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صيغة الأمر ومادّته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صيغة النهي ومادّته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صيغة الماضي والمضارع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الجملة الخبرية والإنشائية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المشتق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المُجمل والمبيّن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الحكم،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بعد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التوسعة في مقام الامتثال والفراغ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الإجزاء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على الحكم، وفيه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التجرّي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التعبّد بالظن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السابع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الأدلّة، وفيه مقدّمة وفصول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الروايات في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 عن المرجّحات المنصوصة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المرجّحات المستفادة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الخارجية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bookmarkStart w:id="663" w:name="pg7448_77092"/>
    </w:p>
    <w:p>
      <w:pPr>
        <w:pStyle w:val="BookText"/>
        <w:rPr/>
      </w:pPr>
      <w:bookmarkEnd w:id="663"/>
      <w:r>
        <w:rPr>
          <w:rFonts w:ascii="Amiri" w:hAnsi="Amiri" w:eastAsia="Amiri" w:cs="Amiri"/>
          <w:color w:val="111111"/>
          <w:sz w:val="28"/>
          <w:sz w:val="28"/>
          <w:szCs w:val="28"/>
          <w:rtl w:val="true"/>
          <w:lang w:bidi="ar-SA"/>
        </w:rPr>
        <w:t>هذه كلّيات المسائل التي لا بدّ أن يكون عليها علم الأُصول في هذا المقترح، وهناك مسائل فرعيّة عديدة تضاف إلى هذه الكلّيات في المنهجة والتدوين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نكون قد ذكرنا أربع رؤى مقترحة لتجديد منهج علم الأُصول والطريقة الحديثة في تدوين مسائله وأبحاثه، وهي تعتبر من آخر النظريّات في هذا المجال، وهي حَرِيّة بالتدقيق والبحث لمعرفة الصواب من غيره، أو الأفضل من الفاضل، ومعرفة وجوه الاشتراك والاختلاف؛ حتى يمكن التمييز الصحيح، وبتبعه تُؤخذ الخطوات العملية في ذلك</w:t>
      </w:r>
      <w:r>
        <w:rPr>
          <w:rFonts w:eastAsia="Amiri" w:cs="Amiri" w:ascii="Amiri" w:hAnsi="Amiri"/>
          <w:color w:val="111111"/>
          <w:sz w:val="28"/>
          <w:szCs w:val="28"/>
          <w:rtl w:val="true"/>
          <w:lang w:bidi="ar-SA"/>
        </w:rPr>
        <w:t>.</w:t>
      </w:r>
    </w:p>
    <w:p>
      <w:pPr>
        <w:pStyle w:val="Heading4"/>
        <w:numPr>
          <w:ilvl w:val="3"/>
          <w:numId w:val="1"/>
        </w:numPr>
        <w:rPr/>
      </w:pPr>
      <w:bookmarkStart w:id="664" w:name="__RefHeading___Toc1937132_1051229030"/>
      <w:bookmarkStart w:id="665" w:name="_Toc251"/>
      <w:bookmarkEnd w:id="664"/>
      <w:r>
        <w:rPr>
          <w:rtl w:val="true"/>
        </w:rPr>
        <w:t>وجهة نظر</w:t>
      </w:r>
      <w:bookmarkEnd w:id="665"/>
    </w:p>
    <w:p>
      <w:pPr>
        <w:pStyle w:val="BookText"/>
        <w:rPr/>
      </w:pPr>
      <w:r>
        <w:rPr>
          <w:rFonts w:ascii="Amiri" w:hAnsi="Amiri" w:eastAsia="Amiri" w:cs="Amiri"/>
          <w:color w:val="111111"/>
          <w:sz w:val="28"/>
          <w:sz w:val="28"/>
          <w:szCs w:val="28"/>
          <w:rtl w:val="true"/>
          <w:lang w:bidi="ar-SA"/>
        </w:rPr>
        <w:t>إنّ التجديد والتطوير والتغيير في منهجة مسائل علم الأُصول ـ وترتيب أبحاثه وأبوابه ـ يمكن أن يكون بأحد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الإصلاح والتغيير تابعاً لرؤية فرديّة شخصية لمسائل علم الأُصول، والتي يعتقد صاحبها أنّها هي الطريق الأمثل والأفضل، بل والصحيح لتدوين مسائل هذا العلم ومنهجة أبحاثه، ومن الواضح أنّ هذه قضيّة شخصيّة تتّبع قناعات الأفراد من ذوي الاختصاص، والكلّ حرٌّ في طرح رؤاه ونظرياته، طبعاً حسب ما يطرحه من أدلّة وبيانات علميّة، لا كيفما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الإصلاح والتغيير من أجل الوصول إلى الطريقة المُثلى، التي يجب أن يكون عليها ذلك العلم في منهجه التعليمي العام، وهو الذي عليه مسير الأبحاث في المنتديات والمراكز العلمية، وهو ما يرتاده طلاب العلوم وذوو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هذا المنهج كفيل بصناعة الذهنية العامّة وطريقة التفكير، التي يكون عليها الطلاب والدارسون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الأمر لا يحقّ للذوق والرأي الشخصي أن يتحكّم فيه، بل يجب أن يقوم بهذا الدور لجنة علميّة متخصّصة تعيّن أفضل الطرق وأقرب السبل المؤدّية لهدف</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العلم، وكذا تعيين الأولويات المتجدّدة، سواء في التأثير والفاعلية، أو الأهمّية والحيوية، حتى نخرج بمنهجة أقلّ أخطاء وأكثر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دعا إليه العديد من العلماء والأفاضل</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666" w:name="pg7448_77094"/>
    </w:p>
    <w:p>
      <w:pPr>
        <w:pStyle w:val="Heading3"/>
        <w:numPr>
          <w:ilvl w:val="2"/>
          <w:numId w:val="1"/>
        </w:numPr>
        <w:rPr/>
      </w:pPr>
      <w:bookmarkStart w:id="667" w:name="__RefHeading___Toc1937134_1051229030"/>
      <w:bookmarkStart w:id="668" w:name="_Toc252"/>
      <w:bookmarkEnd w:id="666"/>
      <w:bookmarkEnd w:id="667"/>
      <w:r>
        <w:rPr>
          <w:rtl w:val="true"/>
        </w:rPr>
        <w:t>ضَرورَة التَجدِيدِ في مَنهَجَةِ عَلمَ الأُصُول</w:t>
      </w:r>
      <w:bookmarkEnd w:id="668"/>
    </w:p>
    <w:p>
      <w:pPr>
        <w:pStyle w:val="Heading4"/>
        <w:numPr>
          <w:ilvl w:val="3"/>
          <w:numId w:val="1"/>
        </w:numPr>
        <w:rPr/>
      </w:pPr>
      <w:bookmarkStart w:id="669" w:name="__RefHeading___Toc1937136_1051229030"/>
      <w:bookmarkStart w:id="670" w:name="_Toc253"/>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الشيخ رافد التميمي</w:t>
      </w:r>
      <w:r>
        <w:rPr>
          <w:rStyle w:val="FootnoteAnchor"/>
          <w:rtl w:val="true"/>
        </w:rPr>
        <w:footnoteReference w:id="693"/>
      </w:r>
    </w:p>
    <w:p>
      <w:pPr>
        <w:pStyle w:val="Heading4"/>
        <w:numPr>
          <w:ilvl w:val="3"/>
          <w:numId w:val="1"/>
        </w:numPr>
        <w:rPr/>
      </w:pPr>
      <w:bookmarkStart w:id="671" w:name="__RefHeading___Toc1937138_1051229030"/>
      <w:bookmarkStart w:id="672" w:name="_Toc254"/>
      <w:bookmarkEnd w:id="671"/>
      <w:r>
        <w:rPr>
          <w:rtl w:val="true"/>
        </w:rPr>
        <w:t>تمهيد</w:t>
      </w:r>
      <w:bookmarkEnd w:id="672"/>
    </w:p>
    <w:p>
      <w:pPr>
        <w:pStyle w:val="BookText"/>
        <w:rPr/>
      </w:pPr>
      <w:r>
        <w:rPr>
          <w:rFonts w:ascii="Amiri" w:hAnsi="Amiri" w:eastAsia="Amiri" w:cs="Amiri"/>
          <w:color w:val="111111"/>
          <w:sz w:val="28"/>
          <w:sz w:val="28"/>
          <w:szCs w:val="28"/>
          <w:rtl w:val="true"/>
          <w:lang w:bidi="ar-SA"/>
        </w:rPr>
        <w:t>تمرّ العلوم بمراحل متعدّدة من التغير والتطور والاكتمال والنضج، وهذا من الأُمور الواضحة لـمَن له أدنى اطلاع في هذا المجال، وهو يكشف عن أنّ العلوم تزداد وتتّسع، وتضيق وتنكمش ـ من جهات مختلفة ـ والكلّ يعبّر عن التغير سلباً أو 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يترتّب على هذه الحالة ـ منطقياً ـ ضرورة التغيير والتجديد في المناهج التعليمية وطرق التدوين؛ وذلك لأنّ الأُسلوب والمنهجة التي تُتّبع في تدوين المنهج الدراسي تعتمد على وجود عدّة خصوصيات في المسائل المدوّنة وطريقة ترتيبها،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أن تكون المسائل المدوّنة عبارة عن المسائل الكلّية، أو التي اتفق عليها معظم أرباب ذلك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أن تُعطي المسائل المدونة صورة واضحة ومتكاملة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أن تُراعى مسألة الأولويات والضرورات في الصياغة والترتيب، وخصوصاً في مجالات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خصوصيات أُخر لها التأثير المباشر أو غير المباشر في تدوين مسائل العلوم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الأسباب التي تؤثر في تغيير المنهج التعليمي وطريقة تدوين مسائل العلم ـ بل قد تُحتّم ذلك ـ عديدة،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انبثاق مسائل جديدة ونظريات مهمّة لها الأهلية ـ بل الضرورة ـ لأن تُدرج في المنهج التعليمي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ثبوت عدم أهلية بعض المسائل المدوّنة؛ ما يعني ضرورة حذفها من المنهج، وهذه عكس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ظهور الخلل في ترتيب بعض المسائل من خلال البحث والتنقيب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ظهور الخلل في النسق العام لترتيب المسائل، أو ظهور نسق أكثر أهلية وأتمّ فائدة من النسق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النقاط التي تُحتّم النظر في المناهج التعليمية، وإعادة صياغتها حسب ما يمرّ به العلم من تجدّد نظريات وأُفول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الحركة في العلوم تعتبر حالة صحيّة إيجابية، تعكس مدى حيوية ذلك العلم وكثرة تداوله؛ لأهمية علميّة أو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فالتغيّر بهذا المستوى ـ على أقلّ تقدير ـ أمرٌ لا بدّ منه، ومن الخطأ الجمود على المناهج القديمة والأنظمة التعليمية الهرمة، كما أنّ من الخطأ الفاحش أن يُنظر إلى ما هو وسيلة على أنّه غاية وهدف؛ فإنّ المطلوب والمرجو من النظام والمنهج التعليمي هو إيصال الطالب إلى أهداف العلم أو أهمّها، فبقدر ما يُحقّق من هذه الغاية يجب الحفاظ عليه،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للمنهج التعليمي والنظام العلمي دوراً كبيراً في صياغة الشخصية العلمية للفرد المتعلّم، فهو يركّز أساسيات العلم في ذهن طلّابه، ويصنع عندهم تصوّراً ورؤية عن مسائل العلم وموضوعه وغاياته، فبقدر سلامة المناهج وبقدر فاعليتها تكون سلامة رؤية الطالب وتصوره، فصياغة المنهج التعليمي عبارة أُخرى عن صياغة الذهنيات وطريقة التفكير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673" w:name="pg7448_77096"/>
    </w:p>
    <w:p>
      <w:pPr>
        <w:pStyle w:val="BookText"/>
        <w:rPr/>
      </w:pPr>
      <w:bookmarkEnd w:id="673"/>
      <w:r>
        <w:rPr>
          <w:rFonts w:ascii="Amiri" w:hAnsi="Amiri" w:eastAsia="Amiri" w:cs="Amiri"/>
          <w:color w:val="111111"/>
          <w:sz w:val="28"/>
          <w:sz w:val="28"/>
          <w:szCs w:val="28"/>
          <w:rtl w:val="true"/>
          <w:lang w:bidi="ar-SA"/>
        </w:rPr>
        <w:t>هذا من جهة، ومن جهةٍ أُخرى لا تقلّ أهمية عن الأُولى، أنّه لا بدّ من سلوك أقرب الطرق للوصول إلى الغاية المتوخّاة من دراسة أيّ علم؛ حتى لا تُهدر الطاقات، ولا تضيع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بدّ من إصلاح المناهج التي تأخذ قدراً أكبر ممّا تحتاج إليه من الوقت، وهذا يكون بطبيعة الحال على حساب مناهج ومواد أُخرى</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الشهيد الصدر بهذا الصدد ـ بعد أن ذكر جهود السابقين 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هذا لا يحول دون أن نحاول تطوير الكتب الدراسية وتحسينها، إذا وُجدت مبرّرات تدعو إلى ذلك</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4" w:name="__RefHeading___Toc1937140_1051229030"/>
      <w:bookmarkStart w:id="675" w:name="_Toc255"/>
      <w:bookmarkEnd w:id="674"/>
      <w:r>
        <w:rPr>
          <w:rtl w:val="true"/>
        </w:rPr>
        <w:t>لمحة عن التطور المستمر في علم الأصول</w:t>
      </w:r>
      <w:bookmarkEnd w:id="675"/>
    </w:p>
    <w:p>
      <w:pPr>
        <w:pStyle w:val="BookText"/>
        <w:rPr/>
      </w:pPr>
      <w:r>
        <w:rPr>
          <w:rFonts w:ascii="Amiri" w:hAnsi="Amiri" w:eastAsia="Amiri" w:cs="Amiri"/>
          <w:color w:val="111111"/>
          <w:sz w:val="28"/>
          <w:sz w:val="28"/>
          <w:szCs w:val="28"/>
          <w:rtl w:val="true"/>
          <w:lang w:bidi="ar-SA"/>
        </w:rPr>
        <w:t>كلّما ازدادت الحاجة إلى علمٍ ما ازدادت النظريات فيه وتعمّقت أبحاثه، وكلّما كانت فاعليته أكثر ازدهرت نتائجه وتفرّعت مسائله، ومن بين أهمّ العلوم الإسلامية علم أُصول الفقه، الذي احتوى على الخاصّيتين معاً، فإنّ الحاجة إليه تزداد يوماً بعد آخر؛ فكلّما ابتعدنا عن عصر النصّ والتشريع ازدادت الحاجة إليه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نجد أنّ علم الأُصول مرّ بمراحل متعدّدة، وأدوار مختلفة، منذ عصر التأسيس وإلى يومنا هذا؛ لذا فإنّ مَن يتتبّع كتب الأُصول القديمة كالذريعة للمرتضى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والعدة للطوسي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ويقارنها بمثل كتاب معارج الأُصول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ومبادئ الوصول إلى علم الأُصول للعلامة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يُقارن هذه الكتب بمثل ما كتبه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١٠٣١</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مَن يُقارن هذه مع مثل كتاب القوانين للقمّي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١٢٣١</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١٢٨١</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مع آخر ما توصّلت إليه النظريات الأُصولية والأبحاث</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bookmarkStart w:id="676" w:name="pg7448_77097"/>
    </w:p>
    <w:p>
      <w:pPr>
        <w:pStyle w:val="BookText"/>
        <w:rPr/>
      </w:pPr>
      <w:bookmarkEnd w:id="676"/>
      <w:r>
        <w:rPr>
          <w:rFonts w:ascii="Amiri" w:hAnsi="Amiri" w:eastAsia="Amiri" w:cs="Amiri"/>
          <w:color w:val="111111"/>
          <w:sz w:val="28"/>
          <w:sz w:val="28"/>
          <w:szCs w:val="28"/>
          <w:rtl w:val="true"/>
          <w:lang w:bidi="ar-SA"/>
        </w:rPr>
        <w:t xml:space="preserve">العلميّة، خصوصاً على يد الأعلام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والعراقي، والأصفهاني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يُقارن يجد بوضوح الاختلاف الكبير في عدد المسائل وكيفية الطرح وترتيب الأبحاث والمنهجة المتّبعة،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في علم أُصول الفقه الإمامي الشيء الوفير الذي أعطى لعلماء وأساتذة الأُصول الإماميين قصب السبق في هذا المضمار، وكشف عن عمق أصل في الفكر الأُصولي عندهم، وعن أصالة عمق في حرّية الرأي، واستقلالية الاستدلال</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7" w:name="__RefHeading___Toc1937142_1051229030"/>
      <w:bookmarkStart w:id="678" w:name="_Toc256"/>
      <w:bookmarkEnd w:id="677"/>
      <w:r>
        <w:rPr>
          <w:rtl w:val="true"/>
        </w:rPr>
        <w:t>مراحل علم الأصول</w:t>
      </w:r>
      <w:bookmarkEnd w:id="678"/>
    </w:p>
    <w:p>
      <w:pPr>
        <w:pStyle w:val="BookText"/>
        <w:rPr/>
      </w:pPr>
      <w:r>
        <w:rPr>
          <w:rFonts w:ascii="Amiri" w:hAnsi="Amiri" w:eastAsia="Amiri" w:cs="Amiri"/>
          <w:color w:val="111111"/>
          <w:sz w:val="28"/>
          <w:sz w:val="28"/>
          <w:szCs w:val="28"/>
          <w:rtl w:val="true"/>
          <w:lang w:bidi="ar-SA"/>
        </w:rPr>
        <w:t>من أجل ذلك قسّم علماء الأُصول السير الأُصولي إلى أدوار ومراحل، لا لأنّ التغيير والتجديد والتحويل منحصر في هذه المراحل؛ وإنّما لأجل أنّ هناك فترات كانت ظاهرة التحوّل فيها بارزة وواضحة جداً، وعلى وفق هذا نجد أكثر من تقسيم للتطوّر الأُصولي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الشهيد الصدر؛ حيث قسّم التكامل لعلم الأُصول إلى ثلاثة 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أسماه بالعصر التمهيدي، وهو عصر البذرة الأساسية لعلم الأُصول، ويبدأ بابن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 xml:space="preserve"> 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وينتهي بظهور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عصر العلم، وهو العصر الذي اختمرت فيه تلك البذور وأثمرت، وتحدّدت معالم الفكر الأُصولي، وانعكست على مجالات البحث الفقهي في نطاق واسع، وهو عصر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أتى من بعده، كابن إدريس، والمحقّق الحلي، والشهيد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عصر الكمال العلمي، الذي افتتحته المدرسة التي ظهرت في أواخر القرن الثاني عشر على يد الوحيد البهبهاني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679" w:name="pg7448_77098"/>
    </w:p>
    <w:p>
      <w:pPr>
        <w:pStyle w:val="BookText"/>
        <w:rPr/>
      </w:pPr>
      <w:bookmarkEnd w:id="679"/>
      <w:r>
        <w:rPr>
          <w:rFonts w:ascii="Amiri" w:hAnsi="Amiri" w:eastAsia="Amiri" w:cs="Amiri"/>
          <w:color w:val="111111"/>
          <w:sz w:val="28"/>
          <w:sz w:val="28"/>
          <w:szCs w:val="28"/>
          <w:rtl w:val="true"/>
          <w:lang w:bidi="ar-SA"/>
        </w:rPr>
        <w:t>ثم قسّم السيد الشهيد هذا العصر إلى ثلاث مراحل</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أضاف الشيخ حسن عبد الساتر عصراً رابعاً، وهو عصر السيد الشهيد محمد باقر الصدر</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السيستاني؛ حيث لاحظ جهة أُخرى في تقسيمه، وهي جهة التنافس العلمي التي مرَّ بها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فكما أنّ المجتمعات تترقى في سلم الحضارة نتيجة التنافس الاقتصادي والثقافي فيما بينها، فكذلك تطور أيّ فكرٍ كان، يحتاج لنوع من الصراع الحاد بين أقطاب هذا الفكر</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قسّم أدوار هذا العلم على أساس التنافس إلى ثلاثة 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مواقف علماء الشيعة تجاه المدارس الفكرية الأُخرى، وتجاه العلماء الشيعة المتأثّرين بهذه المدارس، أمثال ابن عقيل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الصراع والتنافس بين المدرسة الأُصولية والأخبارية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المرحلة الفعلية التي ما زلنا نعيشها</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 الأُصول في تطوّر مستمر وتكامل دائم؛ لفاعليته وللحاجة إليه، والتي تزداد يوماً بعد يوم</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937144_1051229030"/>
      <w:bookmarkStart w:id="681" w:name="_Toc257"/>
      <w:bookmarkEnd w:id="680"/>
      <w:r>
        <w:rPr>
          <w:rtl w:val="true"/>
        </w:rPr>
        <w:t>ضرورة التغيير والتجديد في المنهج التعليمي لعلم الأُصول</w:t>
      </w:r>
      <w:bookmarkEnd w:id="681"/>
    </w:p>
    <w:p>
      <w:pPr>
        <w:pStyle w:val="BookText"/>
        <w:rPr/>
      </w:pPr>
      <w:r>
        <w:rPr>
          <w:rFonts w:ascii="Amiri" w:hAnsi="Amiri" w:eastAsia="Amiri" w:cs="Amiri"/>
          <w:color w:val="111111"/>
          <w:sz w:val="28"/>
          <w:sz w:val="28"/>
          <w:szCs w:val="28"/>
          <w:rtl w:val="true"/>
          <w:lang w:bidi="ar-SA"/>
        </w:rPr>
        <w:t>بعد أن تقدّم بيان المراحل المتعاقبة والأدوار العديدة التي مرّ بها علم الأُصول، فإنّ ضرورة الصياغات الجديدة في تدوين مسائله، والكيفية الحديثة في طرح أبحاثه، تتجلّى وتظهر بصورة واضحة جداً؛ وذلك لأنّ تطوّر وتغيّر العلم لا يكون إلّا بتغيّر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بعض مسائله واكتشاف نظريات جديدة، أو أُفول أُخرى، وهو يستدعي منهجة جديدة في ترتيب مسائله وصياغته بالشكل الذي ينسجم مع آخر ما توصّل إليه العلم، من نظريات وتصورات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فإننا نجد مساعي عديدة ومحاولات كثيرة لتغيير المنهج التعليمي والطرح العلمي لمسائل علم الأُصول، على سبيل المثال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أودع الشيخ الأنصاري في كتابه فرائد الأُصول الكثير من روائع أفكاره، ودقائق نظراته، وما جدّده في هذا العلم، وجاء فيه بمنهجة جديدة تماماً لبحث الحجج والأدلّة، وهذا المنهج الجديد لبحث الحجج ينطوي على تصوّر جديد للحجج، وطريقة تصنيفها وفهمها وتنظيمها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حصل علم الأُصول بعد الرسائل والكفاية على خبرة مائة سنة تقريباً من البحث والتحقيق على يد أجيال متعاقبة من العلماء المجدّدين، وخبرة ما يقارب مائة سنة من البحث العلمي الأُصولي جديرة بأن تأتي بأفكار جديدة كثيرة، وتطوّر طريقة البحث في جملة من المسائل، وتستحدث مصطلحات لم تكن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فكانت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تحقيقات واسعة، نقدت أفكار السابقين وهذّبتها، وجدّدت في هذا العلم، ووضعت مبانيه وأُسسه على أُصول قويّة متينة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وبقيت هذه الضرورة الملحّة لتجديد المنهج التعليمي في علم الأُصول تتجدّد يوماً بعد آخر مع تجدّد هذا العلم وتطوره، فعلم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شامل ووسيع بحاجة دائمة إلى التجديد في التدوين والطرح، سواء على مستوى الكتب الدراسية، أو مستوى دروس البحث الخارج</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bookmarkStart w:id="682" w:name="pg7448_77100"/>
    </w:p>
    <w:p>
      <w:pPr>
        <w:pStyle w:val="Heading3"/>
        <w:numPr>
          <w:ilvl w:val="2"/>
          <w:numId w:val="1"/>
        </w:numPr>
        <w:rPr/>
      </w:pPr>
      <w:bookmarkStart w:id="683" w:name="__RefHeading___Toc1937146_1051229030"/>
      <w:bookmarkStart w:id="684" w:name="_Toc258"/>
      <w:bookmarkEnd w:id="682"/>
      <w:bookmarkEnd w:id="683"/>
      <w:r>
        <w:rPr>
          <w:rtl w:val="true"/>
        </w:rPr>
        <w:t>المَعَاد في الرُؤیَةِ القُرآنیَّه</w:t>
      </w:r>
      <w:bookmarkEnd w:id="684"/>
    </w:p>
    <w:p>
      <w:pPr>
        <w:pStyle w:val="Heading4"/>
        <w:numPr>
          <w:ilvl w:val="3"/>
          <w:numId w:val="1"/>
        </w:numPr>
        <w:rPr/>
      </w:pPr>
      <w:bookmarkStart w:id="685" w:name="__RefHeading___Toc1937148_1051229030"/>
      <w:bookmarkStart w:id="686" w:name="_Toc259"/>
      <w:bookmarkEnd w:id="685"/>
      <w:r>
        <w:rPr>
          <w:rtl w:val="true"/>
        </w:rPr>
        <w:t>اشارة</w:t>
      </w:r>
      <w:bookmarkEnd w:id="686"/>
    </w:p>
    <w:p>
      <w:pPr>
        <w:pStyle w:val="BookText"/>
        <w:rPr/>
      </w:pPr>
      <w:r>
        <w:rPr>
          <w:rFonts w:ascii="Amiri" w:hAnsi="Amiri" w:eastAsia="Amiri" w:cs="Amiri"/>
          <w:color w:val="111111"/>
          <w:sz w:val="28"/>
          <w:sz w:val="28"/>
          <w:szCs w:val="28"/>
          <w:rtl w:val="true"/>
          <w:lang w:bidi="ar-SA"/>
        </w:rPr>
        <w:t>السيد محمد الشجاعي</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فضيل الجزائري</w:t>
      </w:r>
    </w:p>
    <w:p>
      <w:pPr>
        <w:pStyle w:val="Heading4"/>
        <w:numPr>
          <w:ilvl w:val="3"/>
          <w:numId w:val="1"/>
        </w:numPr>
        <w:rPr/>
      </w:pPr>
      <w:bookmarkStart w:id="687" w:name="__RefHeading___Toc1937150_1051229030"/>
      <w:bookmarkStart w:id="688" w:name="_Toc260"/>
      <w:bookmarkEnd w:id="687"/>
      <w:r>
        <w:rPr>
          <w:rtl w:val="true"/>
        </w:rPr>
        <w:t>مقدمة</w:t>
      </w:r>
      <w:bookmarkEnd w:id="688"/>
    </w:p>
    <w:p>
      <w:pPr>
        <w:pStyle w:val="BookText"/>
        <w:rPr/>
      </w:pPr>
      <w:r>
        <w:rPr>
          <w:rFonts w:ascii="Amiri" w:hAnsi="Amiri" w:eastAsia="Amiri" w:cs="Amiri"/>
          <w:color w:val="111111"/>
          <w:sz w:val="28"/>
          <w:sz w:val="28"/>
          <w:szCs w:val="28"/>
          <w:rtl w:val="true"/>
          <w:lang w:bidi="ar-SA"/>
        </w:rPr>
        <w:t>تناولنا في هذا البحث مسألة المَعَاد ورجوع الموجودات إلى المبدأ المتعال بصفة إجمالية، وعود الإنسان بصفة تفصيلية، وذلك على ضوء الآيات والروايات والتحقيقات الحكمية والعرفانية، ونظراً لعمق المسألة ولطافتها، وما تحمله من أسرار شأنها شأن الحقائق القرآنية والوجودية؛ ركّزنا أكثر على النصوص الدينية وما تنطوي عليه من كنوز ودقائق، وجعلناها محور دراستنا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ولفهم المسألة بشكل أفضل وأدقّ؛ ابتعدنا عن السطحية في التعاطي معها معرفياً، مع الاستفادة من القراءات التي لا تصطدم بالنصوص وتبدو أقرب إلى الحقيقة، وحاولنا أن نتجنَّب القراءات التي تحدّد من حرية الفكر، ولا تترتب عليها نتائج معرفية مهمّة، مع الإشارة إلى ما وصلنا إليه من تحقيقات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ونأمل أن لا يخلو هذا العمل المعرفي من فائدة، وأن يكون قد ساهم في تعميق هذه المسألة أكثر، كما نأمل من المحقّقين أن يسعوا إلى معرفة أكمل وأوسع في هذه المسألة والأسرار التي تنطوي عليها، بالتعمّق في النصوص الدينية،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bookmarkStart w:id="689" w:name="pg7448_77101"/>
    </w:p>
    <w:p>
      <w:pPr>
        <w:pStyle w:val="BookText"/>
        <w:rPr/>
      </w:pPr>
      <w:bookmarkEnd w:id="689"/>
      <w:r>
        <w:rPr>
          <w:rFonts w:ascii="IRNazanin" w:hAnsi="IRNazanin" w:eastAsia="IRNazanin"/>
          <w:color w:val="111111"/>
          <w:sz w:val="28"/>
          <w:sz w:val="28"/>
          <w:szCs w:val="28"/>
          <w:rtl w:val="true"/>
          <w:lang w:bidi="fa-IR"/>
        </w:rPr>
        <w:t xml:space="preserve">الكريم، والروايات، والبيانات التي وصلت إلينا من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يخفى أنّه قد نجانب الحقيقة في هذه الدراسة حين قراءتنا للنصوص الدينية، وهذا شأن جميع القراءات البشرية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هو الهادي</w:t>
      </w:r>
      <w:r>
        <w:rPr>
          <w:rFonts w:eastAsia="IRNazanin" w:cs="IRNazanin"/>
          <w:color w:val="111111"/>
          <w:sz w:val="28"/>
          <w:szCs w:val="28"/>
          <w:rtl w:val="true"/>
          <w:lang w:bidi="fa-IR"/>
        </w:rPr>
        <w:t>.</w:t>
      </w:r>
    </w:p>
    <w:p>
      <w:pPr>
        <w:pStyle w:val="Heading4"/>
        <w:numPr>
          <w:ilvl w:val="3"/>
          <w:numId w:val="1"/>
        </w:numPr>
        <w:rPr/>
      </w:pPr>
      <w:bookmarkStart w:id="690" w:name="__RefHeading___Toc1937152_1051229030"/>
      <w:bookmarkStart w:id="691" w:name="_Toc261"/>
      <w:bookmarkEnd w:id="690"/>
      <w:r>
        <w:rPr>
          <w:rtl w:val="true"/>
        </w:rPr>
        <w:t>الرجوع الكلي</w:t>
      </w:r>
      <w:bookmarkEnd w:id="691"/>
    </w:p>
    <w:p>
      <w:pPr>
        <w:pStyle w:val="BookText"/>
        <w:rPr/>
      </w:pPr>
      <w:r>
        <w:rPr>
          <w:rFonts w:ascii="Amiri" w:hAnsi="Amiri" w:eastAsia="Amiri" w:cs="Amiri"/>
          <w:color w:val="111111"/>
          <w:sz w:val="28"/>
          <w:sz w:val="28"/>
          <w:szCs w:val="28"/>
          <w:rtl w:val="true"/>
          <w:lang w:bidi="ar-SA"/>
        </w:rPr>
        <w:t>يُعدُّ المَعَاد أو الرجوع إلى الحقّ تعالى في النصوص الدينية مسألة كلّية وعامّة، لا تطال خصوص الإنسان أو طيفاً خاصاً من الموجودات، كما توهّم ذلك بعض الباحثين، فبالرجوع إلى الآيات القرآنية والروايات، والتأمّل القليل في الإشارات التي تنطوي عليها؛ نعلم بكلّية المسألة وعموميّتها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 الوجود من المبدأ المتعال، وإلى هذا المبدأ يعود في نهايته، وهذا العَود يتمّ على أساس حبّ الموجود لجمال الوجود المطلق وجلاله، ولكمالاته العالية وغير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أو الشعور سارٍ في جميع مراتب الوجود؛ ممّا يجعل كلّ وجود ينال حظّه من هذا الشعور بما يتناسب مع مرتبته الوجودية، وليس صحيحاً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المراتب لا تتحلّى بهذه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كلّ مفردة وجوديّة نالت حظّاً من هذا الوصف الجمالي؛ ما فتئت تتحرك بعشقٍ نحو أعلى مرتبة منه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937154_1051229030"/>
      <w:bookmarkStart w:id="693" w:name="_Toc262"/>
      <w:bookmarkEnd w:id="692"/>
      <w:r>
        <w:rPr>
          <w:rtl w:val="true"/>
        </w:rPr>
        <w:t>المَعَاد الكلي في القرآن</w:t>
      </w:r>
      <w:bookmarkEnd w:id="693"/>
    </w:p>
    <w:p>
      <w:pPr>
        <w:pStyle w:val="BookText"/>
        <w:rPr/>
      </w:pPr>
      <w:r>
        <w:rPr>
          <w:rFonts w:ascii="Amiri" w:hAnsi="Amiri" w:eastAsia="Amiri" w:cs="Amiri"/>
          <w:color w:val="111111"/>
          <w:sz w:val="28"/>
          <w:sz w:val="28"/>
          <w:szCs w:val="28"/>
          <w:rtl w:val="true"/>
          <w:lang w:bidi="ar-SA"/>
        </w:rPr>
        <w:t>إنّ الآيات القرآنية التي تشير إلى عموم المَعَاد، ـ وأنّه أمرٌ كلّي وشامل ـ كثيرةٌ كما لا يخفى على المحقّقين، ونحن نشير فيما يلي إلى الآيات التي لها لحن خاصٌّ يتصل بهذه المسألة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فالعبارة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بَدَأْنَا أَوَّلَ خَلْقٍ نُعِيدُهُ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بصراحة إلى أنَّ أصل المسألة،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الذي أوجدناه أوّل مرّة هو نفسه الذي نعيده في المرّة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 وَعْدَ اللَّهِ حَقًّا إِنَّهُ يَبْدَأُ الْخَلْقَ ثُمَّ يُعِيدُهُ لِيَجْزِيَ الَّذِينَ آمَنُوا وَعَمِلُوا الصَّالِحَاتِ بِالْقِسْطِ وَالَّذِينَ كَفَرُوا لَهُمْ شَرَابٌ مِنْ حَمِيمٍ وَعَذَابٌ أَلِيمٌ بِمَا كَانُوا يَكْفُرُونَ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بعدما بيّن الله عزّ وجل رجوع النّاس جميعهم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هذا الأمر يمثّل وعد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عمد إلى بيان حقيقة أُخرى، وهي أنَّ هذا العَود يمثّل زاوية من عمليّة عَود كلّية، تتمثّل في إعادة جميع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أجلى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تعالى بعدما بيّن عَود خصوص الإنسان إلى الدار الآخرة، وأنَّ هذا العَود وعدٌ إلهي حقّ، تعرّض إلى مسألة كلّية تتضمّن عَود الإنسان، وأنّه حتميٌّ لا يمكن أن يتخلّف، وهذه المسألة الكلّية هي أنَّه تعالى كما بدأ الخلق أوّل مرّة يعيده هو بذاته إليه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يَبْدَأُ الْخَلْقَ ثُمَّ يُعِيدُهُ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الضمير في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ـ كما هو جليّ عند علماء اللّغة ـ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ومهما كانت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تشمل الخلق؛ وبالتالي تطال الإعادة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كَيْفَ يُبْدِئُ اللَّهُ الْخَلْقَ ثُمَّ يُعِيدُهُ إِنَّ ذَلِكَ عَلَى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الله تعالى في الآية الأُولى الكفار الذين غفلوا عن مسألة العَود إلى الله تعالى، مبيّناً لهم بقصد الهداية والإرشاد أنَّ هذا الأمر كلّي يطال جميع الخلق، ويحثّهم على التفكّر في سياق هذه الهداية الشاملة، المشيرة إلى حقيقةٍ، هي أنّهم إذا تأمّلوا جيداً في نظام الوجود يجدون أنّ بدء الخلق كما كان هيّناً بالنسبة إلى الذات المقدسة كذلك عَود </w:t>
      </w:r>
    </w:p>
    <w:p>
      <w:pPr>
        <w:pStyle w:val="BookText"/>
        <w:rPr/>
      </w:pPr>
      <w:r>
        <w:rPr>
          <w:rFonts w:ascii="Amiri" w:hAnsi="Amiri" w:eastAsia="Amiri" w:cs="Amiri"/>
          <w:color w:val="111111"/>
          <w:sz w:val="28"/>
          <w:sz w:val="28"/>
          <w:szCs w:val="28"/>
          <w:rtl w:val="true"/>
          <w:lang w:bidi="ar-SA"/>
        </w:rPr>
        <w:t>الخلق يكون سهلاً ويسيراً، وفي النهاية يلتفتون إلى أنّ رجوعهم إليه تعالى لا محالة 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الثانية يشوّقهم إلى السير في الأرض؛ حتى ينظروا في خلق الله تعالى كيف بدأ وكيف يعود متصلاً إلى نشأةٍ أُخرى، وكلّ ذلك خاضعٌ لقدرته تعالى ومشيّته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فبالتأمّل في مضمون الآيتين الكريمتين والتدبّر جيداً في السياق؛ يتجلّى لنا أنّ الله تعالى يريد من خلال هذا الإرشاد أن يبيّن لهؤلاء الغافلين عن المعاد أنّ رجوع الإنسان إلى الله تعالى يقع في سياق كلّي وشامل، هو عَود الخلق بأجمعهم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يريد أن يفهم النّاس هذه الحقيقة، وهي أنّه لما كان الوجود وعَودُه بمشيّة الحقّ تعالى، وأنّ هذا العَود والحركة نحوه تعالى أمرٌ معلوم لديكم إذا تدبرتم في آياته تعالى، وأنّه سنة كلّية يخضع لها الوجود، فكذلك أنتم بوصفكم قطعة من الوجود لا تُستثنون عن هذه السنة؛ فمصيركم الرجوع لا محالة إلى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يَبْدَأُ الْخَلْقَ ثُمَّ يُعِيدُهُ ثُمَّ إِلَيْهِ تُرْجَعُونَ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التأمل جيداً في الآية المباركة يوصلنا إلى هذه الحقيقة، وهي أنّ الله تعالى هو الذي بدأ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هو الذي يعيده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فالإنسان بوصفه مفردة من مفردات الخلق لا يُستثنى عن هذا الأمر الكلّي والسنة الحاكمة؛ فهو كذلك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إِلَيْهِ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المباركة تُشير إلى السُّنة ذاتها، إلّا أنها تتضمن نكتة جديدة، وهي أنّ عملية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عسيرة بالنسبة إلى الله تعالى، وأنّ هذا العَود الكلّي شأنه شأن أصل الخلق، يتحقّق على أساس المشيّة الإلهية المطلقة وبمقتضى إرادته تعالى النافذة، فكما أنّ الوجود تحقّق وفق نظام يمثّل تجلّياً للمشيّة الإلهية، كذلك العود إليه </w:t>
      </w:r>
    </w:p>
    <w:p>
      <w:pPr>
        <w:pStyle w:val="BookText"/>
        <w:rPr/>
      </w:pPr>
      <w:r>
        <w:rPr>
          <w:rFonts w:ascii="Amiri" w:hAnsi="Amiri" w:eastAsia="Amiri" w:cs="Amiri"/>
          <w:color w:val="111111"/>
          <w:sz w:val="28"/>
          <w:sz w:val="28"/>
          <w:szCs w:val="28"/>
          <w:rtl w:val="true"/>
          <w:lang w:bidi="ar-SA"/>
        </w:rPr>
        <w:t>تعالى سيتحقّق وفق سُنن حاكمة وقوانين متقنة، تُمثّل بدورها تجلّياً للإرادة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العناية الإلهية اقتضت أن تكون مفردات الخلق بنحوٍ يجعلها تتحرك تجاه أمر مرتكز في فطرتها، متّبعة في ذلك سُبلاً محدّدة، وفق سُننٍ خاضعةٍ لإرادته تعالى لا تختلف ولا تتخلّف، وكلّ هذا هيّنٌ بالنسبة إلى الله تعالى، فكما أنّ إيجاد الموجودات أو تحقّقها يخضع لسلسلة من السُّنن الحاكمة التي تمثّل المشيّة الإلهية، رجوعها أيضاً أو حركتها نحو الحقّ تعالى يبدأ من أوّل تحقّقها الخارجي وفق سُننٍ حاكمة محدّدة، إلى أن تصل إلى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شئنا التمثيل لهذه الحقيقة بمثال مادّي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التراب بوصفه حقيقة خارجية أوجده الله تعالى بإرادته، وفق سلسلة من السُّنن الحاكمة والأسباب القاهرة، يتحرّك وفق سُنن تكوينية وأسباب حاكمة، مفجِّراً ما أُودِعَ فيه من قابليات، وقاطعاً مراحل تكاملية ومراتب عروجيّة حتى يصير نباتاً معيّناً، فهذا التراب إن وجد في الخارج وفق سُنن تكوينية حاكمة، وعلل قاهرة خاضعة لربوبية الله ومسلّمة لإرادته تعالى، فحركته نحو النباتية تخضع لسُنن قاهرة وعلل حاكمة تحت هيمنةٍ إلهية شاملة، فكذلك عَود الخلق إلى الحقّ تعالى ورجوعه إليه أمرٌ يخضع لقوانين قاهرة وأسباب حاكمة، تحت هيمنة إرادته ومشيّته، وكلّ ذلك هيّن وسهل بالنسبة إليه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يَبْدَأُ الْخَلْقَ ثُمَّ يُعِيدُهُ قُلِ اللَّهُ يَبْدَأُ الْخَلْقَ ثُمَّ يُعِيدُهُ فَأَنَّى تُؤْفَكُونَ</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المباركة تُشير ـ زيادة على تعرّضها للإعادة الكلّية ـ إلى حقيقةٍ أُخرى، وهي أنّ هذه الإعادة الكلّية مظهر للقدرة الإلهية المطلقة، فهو تعالى الوحيد الذي يخلق بنحوٍ يجعل كلّ المخلوقات ترجع وتعود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عزّ وجلّ نبيّه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مِنْ شُرَكَائِكُمْ مَنْ يَبْدَأُ الْخَلْقَ ثُمَّ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يجيبه تعالى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 يَبْدَأُ الْخَلْقَ ثُمَّ يُعِيدُهُ</w:t>
      </w:r>
      <w:r>
        <w:rPr>
          <w:rFonts w:eastAsia="Amiri" w:cs="Amiri" w:ascii="Amiri" w:hAnsi="Amiri"/>
          <w:color w:val="111111"/>
          <w:sz w:val="28"/>
          <w:szCs w:val="28"/>
          <w:rtl w:val="true"/>
          <w:lang w:bidi="ar-SA"/>
        </w:rPr>
        <w:t xml:space="preserve">». </w:t>
      </w:r>
      <w:bookmarkStart w:id="694" w:name="pg7448_77105"/>
    </w:p>
    <w:p>
      <w:pPr>
        <w:pStyle w:val="BookText"/>
        <w:rPr/>
      </w:pPr>
      <w:bookmarkEnd w:id="694"/>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فَسَيَقُولُونَ مَنْ يُعِيدُنَا قُلِ الَّذِي فَطَرَكُمْ أَوَّلَ مَرَّةٍ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تُشير إلى أنّ إعادة الإنسان من أفعال مبدأ الوجود الذي أوجد الإنسان في البداية،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فَطَرَكُمْ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 تعالى مخاطباً نبيه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فَطَرَكُمْ أَوَّلَ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مُوجد الإنسان بَدواً هو مُعيده مرّة ثانية، وفيه إشارة إلى هذا الأصل، وهو أنّ إيجاد المخلوق ملازم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ذكرناه من نصوص قرآنية يمثّل نموذجاً من الآيات التي تنطوي ـ في مجموعها ـ على مضمونٍ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إيجاد المخلوق يلازم الإعادة والرجوع، فالآيات السابقة تحكي عن هذه الحقيقة، وهي أنّ إرادة الله إذا تعلّقت بإعادة المخلوق وإرجاعه نحو المبدأ، فهذه الإعادة لا تتمّ إلّا إذا تمّ الجعل والإيجاد في المرّة الأُولى</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937156_1051229030"/>
      <w:bookmarkStart w:id="696" w:name="_Toc263"/>
      <w:bookmarkEnd w:id="695"/>
      <w:r>
        <w:rPr>
          <w:rtl w:val="true"/>
        </w:rPr>
        <w:t>إعادة الموجود ملازم للخلقة</w:t>
      </w:r>
      <w:bookmarkEnd w:id="696"/>
    </w:p>
    <w:p>
      <w:pPr>
        <w:pStyle w:val="BookText"/>
        <w:rPr/>
      </w:pPr>
      <w:r>
        <w:rPr>
          <w:rFonts w:ascii="Amiri" w:hAnsi="Amiri" w:eastAsia="Amiri" w:cs="Amiri"/>
          <w:color w:val="111111"/>
          <w:sz w:val="28"/>
          <w:sz w:val="28"/>
          <w:szCs w:val="28"/>
          <w:rtl w:val="true"/>
          <w:lang w:bidi="ar-SA"/>
        </w:rPr>
        <w:t>تأسيساً على ما سبق؛ وبالتأمّل في محتوى الآيات السابقة، نصل إلى حقيقةٍ مهمّة،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الخلق والإيجاد ملازم للإعادة والإرجاع، بمعنى أنّ إعطاء الوجود لكلّ موجود من جانب الحقّ تعالى لا ينفكّ عن خصوصيات العَود والحركة نحو المبدأ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هذه الخاصيّة أودعتها العناية الإلهية في صميم كيانه، وبالتالي تقتضيها ذات كلّ مخلوق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مخلوق أودعت العناية الإلهية في صميم ذاته الشعور بالكمال المطلق واللّامتناهي، فينجذب بطبعه نحو هذا الكمال المطلق، ويشرع في طيّ مراحل العروج والسير في مراتب الكمال، إلى أن ينتهي به المطاف إلى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فبمجرّد أن تتحقّق عملية الخلق أو الإيجاد يشرع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الحركة والسير، وذلك لما أُودع في فطرته من شعور بالكمال المطلق، والنسبة الحُبيّة التي تحرّكه نحو هذا الكمال</w:t>
      </w:r>
      <w:r>
        <w:rPr>
          <w:rFonts w:eastAsia="Amiri" w:cs="Amiri" w:ascii="Amiri" w:hAnsi="Amiri"/>
          <w:color w:val="111111"/>
          <w:sz w:val="28"/>
          <w:szCs w:val="28"/>
          <w:rtl w:val="true"/>
          <w:lang w:bidi="ar-SA"/>
        </w:rPr>
        <w:t xml:space="preserve">. </w:t>
      </w:r>
      <w:bookmarkStart w:id="697" w:name="pg7448_77106"/>
    </w:p>
    <w:p>
      <w:pPr>
        <w:pStyle w:val="BookText"/>
        <w:rPr/>
      </w:pPr>
      <w:bookmarkEnd w:id="697"/>
      <w:r>
        <w:rPr>
          <w:rFonts w:ascii="Amiri" w:hAnsi="Amiri" w:eastAsia="Amiri" w:cs="Amiri"/>
          <w:color w:val="111111"/>
          <w:sz w:val="28"/>
          <w:sz w:val="28"/>
          <w:szCs w:val="28"/>
          <w:rtl w:val="true"/>
          <w:lang w:bidi="ar-SA"/>
        </w:rPr>
        <w:t>فإذن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مخلوق مجهّز بهيئة وجوديّة خاصّة يمتلك في أعماقه الشعور بالكمال الذي لا يتناهى، ويتحرّك نحوه بما يناسب هذا الشعور، ويسعى جاهداً للوصول إلى هذا الكمال اللّامتناهي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تعالى</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937158_1051229030"/>
      <w:bookmarkStart w:id="699" w:name="_Toc264"/>
      <w:bookmarkEnd w:id="698"/>
      <w:r>
        <w:rPr>
          <w:rtl w:val="true"/>
        </w:rPr>
        <w:t>لكلّ موجود جهاز وجودي خاصّ</w:t>
      </w:r>
      <w:bookmarkEnd w:id="699"/>
    </w:p>
    <w:p>
      <w:pPr>
        <w:pStyle w:val="BookText"/>
        <w:rPr/>
      </w:pPr>
      <w:r>
        <w:rPr>
          <w:rFonts w:ascii="Amiri" w:hAnsi="Amiri" w:eastAsia="Amiri" w:cs="Amiri"/>
          <w:color w:val="111111"/>
          <w:sz w:val="28"/>
          <w:sz w:val="28"/>
          <w:szCs w:val="28"/>
          <w:rtl w:val="true"/>
          <w:lang w:bidi="ar-SA"/>
        </w:rPr>
        <w:t>لكلّ موجود مرتبةٌ خاصة من حقيقة الوجود، وطورٌ خاص من أطوارها، وبالتالي تمثّل الوجودات المختلفة مراتب مختلفة وأطواراً متعدّدة لهذه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مرتبة وجودية هندسة خاصّة تنطوي على كمالات وجودية وفعليات خاصّة، واستعدادات وقابليات أُودعت في متن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كلّ وجود يتمتّع بما يتناسب مع هندسته الخاصّة بكمال الحياة والعلم والقدرة والإرادة وما أشبه ذلك، ويتحلّى أيضاً بقابليات واستعدادات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تؤهّله لطيّ طريق التكامل والسير نحو الكمال الأعلى، تحت هداية موجود غير متناهٍ في الكمالات والفعليات</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937160_1051229030"/>
      <w:bookmarkStart w:id="701" w:name="_Toc265"/>
      <w:bookmarkEnd w:id="700"/>
      <w:r>
        <w:rPr>
          <w:rtl w:val="true"/>
        </w:rPr>
        <w:t>الموجودات والهداية نحو المبدأ</w:t>
      </w:r>
      <w:bookmarkEnd w:id="70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تتمثّل هذه الهداية في الهداية التكوينية الكلية التي أشارت إليها الآيات القرآنية في مواطن متعدّدة، وقد أشار إلى هذه الحقيقة النبي موسى علیه السلام  في جوابه لفرعون حينما سأله عن هوية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علیه السلام  لفرعون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الذي أدعوك إليه، هو الذي ألبس كلّ شيء حلّة الوجود وهندسه بهندسة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أَعْطَى كُلَّ شَيْءٍ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الهندسة التكوينية هي التي تهديه إلى الطريق الذي يتعيّن عليه اتّباعه في سَيره نحو المقصود، فإنّ لكلمة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جاءت في الآية الشريفة والتي تعني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الخلقة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يتمتّع بها كلّ مخلوق، معنًى سامياً وعميقاً جدّاً، وأعمق منها كلمة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تشير إلى الهداية إلى </w:t>
      </w:r>
      <w:bookmarkStart w:id="702" w:name="pg7448_77107"/>
    </w:p>
    <w:p>
      <w:pPr>
        <w:pStyle w:val="BookText"/>
        <w:rPr/>
      </w:pPr>
      <w:bookmarkEnd w:id="702"/>
      <w:r>
        <w:rPr>
          <w:rFonts w:ascii="Amiri" w:hAnsi="Amiri" w:eastAsia="Amiri" w:cs="Amiri"/>
          <w:color w:val="111111"/>
          <w:sz w:val="28"/>
          <w:sz w:val="28"/>
          <w:szCs w:val="28"/>
          <w:rtl w:val="true"/>
          <w:lang w:bidi="ar-SA"/>
        </w:rPr>
        <w:t>المقصد، وهذه الهداية مترتبة على إعطاء الوجود الخاصّ والهندسة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تحقّق في المرحلة الأُولى هو إعطاء الوجود الذي يحمل في صميمه الهندسة الخاصّة، ثمّ الهداية إلى المقصد الأسنى والكمال الذي لا يتناهى بما يتناسب مع ذلك التصميم وتلك الهندسة؛ ممّا يجعله يتحرّك بحبّ وشوق نحو ذلك الكمال اللّامتناهي والمقصد الأسمى، وهذا التحليل يجلّي لنا معنى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يَبْدَأُ الْخَلْقَ ثُمَّ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وأشباهها من الآيات الأُخرى، فالوجود وما أُودِعَ فيه من الشعور باللّامتناهي، والتعلّق الحُبّي به، والحركة نحوه، وتعيين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هداية وعناية منه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937162_1051229030"/>
      <w:bookmarkStart w:id="704" w:name="_Toc266"/>
      <w:bookmarkEnd w:id="703"/>
      <w:r>
        <w:rPr>
          <w:rtl w:val="true"/>
        </w:rPr>
        <w:t>الهندسة الخاصة تُحدد الطريق والمقصد</w:t>
      </w:r>
      <w:bookmarkEnd w:id="704"/>
    </w:p>
    <w:p>
      <w:pPr>
        <w:pStyle w:val="BookText"/>
        <w:rPr/>
      </w:pPr>
      <w:r>
        <w:rPr>
          <w:rFonts w:ascii="Amiri" w:hAnsi="Amiri" w:eastAsia="Amiri" w:cs="Amiri"/>
          <w:color w:val="111111"/>
          <w:sz w:val="28"/>
          <w:sz w:val="28"/>
          <w:szCs w:val="28"/>
          <w:rtl w:val="true"/>
          <w:lang w:bidi="ar-SA"/>
        </w:rPr>
        <w:t xml:space="preserve">إنّ الهندسة الخاصّة لكلّ موجود ـ المستفادة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اَعْطَى كُلَّ شَيْءٍ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هي التي تحدّد جهة الهداية نحو المقصد الذي يُطلَب ويُتوخّى، وتُحدِّد الطريق الذي يتعيّن قطعه واتّباعه؛ ولهذا نرى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المباركة جاءت بعد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اَعْطَى كُلَّ شَيْءٍ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الترتب، ففي الحقيقة أنّ عملية إعطاء الوجود الخاصّ والهيئة الخاصّة من ناحية العناية الإلهية، تمثّل عين الهداية نحو المقصد والطريق الموصل إليه</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937164_1051229030"/>
      <w:bookmarkStart w:id="706" w:name="_Toc267"/>
      <w:bookmarkEnd w:id="705"/>
      <w:r>
        <w:rPr>
          <w:rtl w:val="true"/>
        </w:rPr>
        <w:t>الهندسة الخاصة وموجبات العروج التكاملي</w:t>
      </w:r>
      <w:bookmarkEnd w:id="706"/>
    </w:p>
    <w:p>
      <w:pPr>
        <w:pStyle w:val="BookText"/>
        <w:rPr/>
      </w:pPr>
      <w:r>
        <w:rPr>
          <w:rFonts w:ascii="Amiri" w:hAnsi="Amiri" w:eastAsia="Amiri" w:cs="Amiri"/>
          <w:color w:val="111111"/>
          <w:sz w:val="28"/>
          <w:sz w:val="28"/>
          <w:szCs w:val="28"/>
          <w:rtl w:val="true"/>
          <w:lang w:bidi="ar-SA"/>
        </w:rPr>
        <w:t>ذكرنا من قبل أنّ لكلّ موجود خاصّ هندسة خاصّة تنطوي من جهة على كمالات بالفعل، ومن جهةٍ أُخرى على كمالات بالقوّة مندكّةً في صميم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يجدر ذكره هنا أنّ ما هو مستودع بالفعل أو بالقوّة في موجودٍ ما غير ما هو مستودع في آخر؛ وعلى أساس هذا الاختلاف والتفاوت في الفعليات والقابليات يتفاوت الحُب والشعور بالمقصد الأسنى، وبتبعه تتفاوت الطرق والحركات نحو المقصد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يجب أن لا نتوقع حركة محدّدة وطريقاً واحداً من جميع الموجودات، حتى </w:t>
      </w:r>
      <w:bookmarkStart w:id="707" w:name="pg7448_77108"/>
    </w:p>
    <w:p>
      <w:pPr>
        <w:pStyle w:val="BookText"/>
        <w:rPr/>
      </w:pPr>
      <w:bookmarkEnd w:id="707"/>
      <w:r>
        <w:rPr>
          <w:rFonts w:ascii="Amiri" w:hAnsi="Amiri" w:eastAsia="Amiri" w:cs="Amiri"/>
          <w:color w:val="111111"/>
          <w:sz w:val="28"/>
          <w:sz w:val="28"/>
          <w:szCs w:val="28"/>
          <w:rtl w:val="true"/>
          <w:lang w:bidi="ar-SA"/>
        </w:rPr>
        <w:t>لا نقع في المقايسة الخاطئة، ونقيس الإنسان مثلاً بغيره من المخلوقات، فإذا لم نجد فيها الشعور نفسَه والحبَ ذاته كمّاً وكيفاً، نحكم حينها بأنّها فاقدة لتلك الأُمور والحيثيات، وكذلك بالنسبة إلى الحركة والعروج نحو المقصد الأعلى، فإذا لم نعثر فيها على النوعية ذاتها التي للإنسان في عروجه التكاملي كمّا وكيفاً، نحكم عليها بأنّها فاقدة للحركة وللسير نحو الحقّ تعالى، وهكذا نجعل الإنسانَ هو المعيار في حكمنا على الموجودات الأُخرى، ونحكم عليها بأحكام خاطئة انطلاقاً من أُمور تخصّ الإنسان فقط</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937166_1051229030"/>
      <w:bookmarkStart w:id="709" w:name="_Toc268"/>
      <w:bookmarkEnd w:id="708"/>
      <w:r>
        <w:rPr>
          <w:rtl w:val="true"/>
        </w:rPr>
        <w:t>المقايسة الخاطئة مانعة من الوصول إلى الحقائق</w:t>
      </w:r>
      <w:bookmarkEnd w:id="7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المقايسة الخاطئة حرمت شريحة كبيرة من النّاس من أن يصلوا إلى الحقائق في أبعادها المختلفة، وأضحت حجاباً مانعاً أمام نيل تلك الخيرات، فمن النّاس مَن يجعل نفسه مرآةً كاشفةً ينظر من خلالها إلى غيره، ويحكم عليه بأحكام غير صحيحة؛ وبالتالي يحرم نفسه وغيره من المعارف الإلهية والحقائق الواقعية؛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ثمة موجودات تتحلّى بالكمالات الإلهية كالحياة، والشعور، والإرادة، والقدرة، وما أشبه ذلك، وتتحرّك نحو الكمال المطلق بشوقٍ ومعرفة، وتطلب الوصال والزلفى، وتسعى إلى أن تتحقّق بمقتضيات العبودية حتى تصل إلى المقصد الأسنى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تشبه الإنسان، وتتحلّى بالكمالات نفسها التي يتحلّى بها الإنسان،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والحب، والقدرة، والإرادة، وتتّصف بالعبودية شأنها شأن الإنسان، وتتحرّك نحو المقصد الأعلى مثله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اتفق أن عثروا فيها على حيثيات تختلف عن الإنسان؛ عمدوا إلى المقايسة الخائطة رافضين المثليّة في تلك الكمالات؛ وبالتالي ينفون عنها كل كمال يشبه الكمال الذي يتحلّى به الإنسان، من الشعور والحب والحركة العبودية، وما أشبه ذلك، وإذا كانت هناك نصوص دينية ترفض هذا الأمر، وتؤكّد عدم الفرق بين هذه المخلوقات وبين الإنسان في الحيثيات نفسها، راحوا يلوون معانيها بتأويلها حسب ما يعتقدون، مستخدمين المغالطة نفسها،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المقايسة الخاطئة</w:t>
      </w:r>
      <w:r>
        <w:rPr>
          <w:rFonts w:eastAsia="Amiri" w:cs="Amiri" w:ascii="Amiri" w:hAnsi="Amiri"/>
          <w:color w:val="111111"/>
          <w:sz w:val="28"/>
          <w:szCs w:val="28"/>
          <w:rtl w:val="true"/>
          <w:lang w:bidi="ar-SA"/>
        </w:rPr>
        <w:t xml:space="preserve">. </w:t>
      </w:r>
      <w:bookmarkStart w:id="710" w:name="pg7448_77109"/>
    </w:p>
    <w:p>
      <w:pPr>
        <w:pStyle w:val="BookText"/>
        <w:rPr/>
      </w:pPr>
      <w:bookmarkEnd w:id="710"/>
      <w:r>
        <w:rPr>
          <w:rFonts w:ascii="Amiri" w:hAnsi="Amiri" w:eastAsia="Amiri" w:cs="Amiri"/>
          <w:color w:val="111111"/>
          <w:sz w:val="28"/>
          <w:sz w:val="28"/>
          <w:szCs w:val="28"/>
          <w:rtl w:val="true"/>
          <w:lang w:bidi="ar-SA"/>
        </w:rPr>
        <w:t>إنّ ما يرفضه هؤلاء من كمالات للوجودات التي لا تُشبه الإنسان، يمثّل في الحقيقة رفضاً لشدّة الكمالات الموجودة في الإنسان،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الرفض لوحدة الكيفية والكمّية، وليس رفضاً لمطلق الكمالات والحيثيات، فالوجودات الدانية منها تتحلّى بمرتبة دانية من تلك الكمالات،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التراب لا حياة له، فمعنى قولهم هذا في الحقيقة أنّ المرتبة المفقودة هي المرتبة التي يتحلّى بها الإنسان من الحياة، والتحليل نفسه يجري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التراب لا علم له ولا إرادة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مقصودهم ـ من هذا القول ـ أنّ المرتبة العالية من تلك الحيثيات غير متحقّقة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الأمر في الحب والحركة العبودية نحو المقصد الأعلى؛ فإنّ مرادهم هو أنّ هذه الأُمور مفقودة في التراب بتلك الشدّة والكيفية المتحقّقتين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يُنكر تحقّق هذه الحيثيات الكمالية في الجمادات غافلاً عن المراتب الأُخرى من تلك الكمالات أو جاهلاً بها، ينفي عنها المرتبة الشديدة منها، لا مطلق الكمال، فإنّ المحجوب عن المراتب الأُخرى ـ والذي يعلم فقط بالكمالات الإنسانية والحيوانية والنباتية ـ لا يمكن له أن ينفي تلك الحيثيات عن غير هاته المراتب، فلا يُمكن له مثلاً أن ينفي مطلق الحياة عن الجماد، وكذا مطلق الوعي ومطلق الحب والحركة العبودية نحو الحقّ تعالى، وما أشبه ذلك من الكمالات</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1937168_1051229030"/>
      <w:bookmarkStart w:id="712" w:name="_Toc269"/>
      <w:bookmarkEnd w:id="711"/>
      <w:r>
        <w:rPr>
          <w:rtl w:val="true"/>
        </w:rPr>
        <w:t>الحيثيات المشكّكة</w:t>
      </w:r>
      <w:bookmarkEnd w:id="712"/>
    </w:p>
    <w:p>
      <w:pPr>
        <w:pStyle w:val="BookText"/>
        <w:rPr/>
      </w:pPr>
      <w:r>
        <w:rPr>
          <w:rFonts w:ascii="Amiri" w:hAnsi="Amiri" w:eastAsia="Amiri" w:cs="Amiri"/>
          <w:color w:val="111111"/>
          <w:sz w:val="28"/>
          <w:sz w:val="28"/>
          <w:szCs w:val="28"/>
          <w:rtl w:val="true"/>
          <w:lang w:bidi="ar-SA"/>
        </w:rPr>
        <w:t>في ضوء التحليل السابق يتجلّى لنا أنّ الوجود لا يسري في مراتبه على وتيرةٍ واحدة، بل يُبرِز آثاره في كلّ مرتبة حسب ما يسعه ظرفُها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كل مرتبة تقع في السَّريان الوجودي تمثّل مرتبة خاصّة من الوجود المطلق؛ وبالتالي تتحلّى بالحيثيات الكمالية،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والشعور، والحركة العبودية، وما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السعة التي يتّصف بها ظرفُها وبما يتناسب مع قابلياتها، فالحب في مرتبةٍ غيرُه في مرتبةٍ أُخرى شدّة ًوضعفاً، </w:t>
      </w:r>
      <w:bookmarkStart w:id="713" w:name="pg7448_77110"/>
    </w:p>
    <w:p>
      <w:pPr>
        <w:pStyle w:val="BookText"/>
        <w:rPr/>
      </w:pPr>
      <w:bookmarkEnd w:id="713"/>
      <w:r>
        <w:rPr>
          <w:rFonts w:ascii="Amiri" w:hAnsi="Amiri" w:eastAsia="Amiri" w:cs="Amiri"/>
          <w:color w:val="111111"/>
          <w:sz w:val="28"/>
          <w:sz w:val="28"/>
          <w:szCs w:val="28"/>
          <w:rtl w:val="true"/>
          <w:lang w:bidi="ar-SA"/>
        </w:rPr>
        <w:t>وكذلك الشعور في مرتبةٍ غير الشعور في مرتبةٍ أُخرى شدّةً وضعفاً، والحركة العبودية في مرتبةٍ غيرها في مرتبةٍ أُخرى شدّةً وضعفاً، وهكذا الأمر بالنسبة إلى جميع الحيثيات، وهذه الحقيقة ترشدنا إليها الآيات الأُولى من سورة الأعلى ببيانٍ مختصر وبمحتوى يحيّر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اسْمَ رَبِّكَ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فالمراحل الثلاثة المتمثّلة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متقدّمة على المرحلة الرابعة المتمثّلة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والتقديم والتأخير هذا راجع إلى كون الهداية مترتّبة في التحقّق على تلك المراحل، وبالتأمّل في تلك الآيات المباركة والتدقيق في الترتيب بين فقراتها يتجلّى لنا جيداً أنّ المرحلة الثالثة،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نفسها المرتبة الوجودية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تحدّد ما تتمتّع به المرتبة من فعليات وقابليات؛ وعلى أساس هذه الفعليات والقابليات يتحدّد أيضاً الطريق إلى المقصد الأعلى، وتتعيّن الحركة العبودية نحو الحقّ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فالشيء بعدما تُفاض عليه الكمالات،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والشعور، والقدرة، والحب، والشوق، وما أشبه ذلك، يجهّز بالاستعدادات بنحوٍ تؤهله لمعرفة الطريق والتحرك نحو المقصد الأسنى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تعالى</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937170_1051229030"/>
      <w:bookmarkStart w:id="715" w:name="_Toc270"/>
      <w:bookmarkEnd w:id="714"/>
      <w:r>
        <w:rPr>
          <w:rtl w:val="true"/>
        </w:rPr>
        <w:t>الحركة العبودية تناسب المرتبة الوجودية</w:t>
      </w:r>
      <w:bookmarkEnd w:id="715"/>
    </w:p>
    <w:p>
      <w:pPr>
        <w:pStyle w:val="BookText"/>
        <w:rPr/>
      </w:pPr>
      <w:r>
        <w:rPr>
          <w:rFonts w:ascii="Amiri" w:hAnsi="Amiri" w:eastAsia="Amiri" w:cs="Amiri"/>
          <w:color w:val="111111"/>
          <w:sz w:val="28"/>
          <w:sz w:val="28"/>
          <w:szCs w:val="28"/>
          <w:rtl w:val="true"/>
          <w:lang w:bidi="ar-SA"/>
        </w:rPr>
        <w:t>نصل ـ من التحليل السابق ـ إلى نتيجة مهمّة؛ وهي أنّ إعطاء الوجود أو الهندسة الخاصّة لشيءٍ ما، يعني ـ من زاويةٍ ما ـ تشخيص المقصد والمسير، وجعل هذه الهندسة تتحرّك لوحدها في هذا المسير ونحو هذا المقصد، وإذا تأمّلنا في هذه المسألة ندرك أنّ المسير المشخّص لكلّ موجود يتناسب مع هندسته الخاصّة التي هندس عليها، والمقصد النهائي لجميع الموجودات واحدٌ هو الوجود المطلق والكمال اللّامتناهي، لكنّ الطرق المؤدّية إليه متعدّدة ومتنوّعة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توضيح هذه الحقيقة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خصوصيات كلّ موجود ترجع إليه فقط، وتفترق عن خصوصيات موجود آخر، وبلسان فلسفي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الحدود هي التي تورث التعدد والتنوّع، وإلّا فلا معنى للتعدّد والكثرة في حقيقة الوجود الواحدة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كون النسق الوجودي مختلفاً ومتعدداً راجع إلى أنّ الوجودات ليست واحدة من جميع الحيثيات، فالوجودات في عين اشتراكها في حقيقة الوجود مختلفة ومتكثرة </w:t>
      </w:r>
      <w:bookmarkStart w:id="716" w:name="pg7448_77111"/>
    </w:p>
    <w:p>
      <w:pPr>
        <w:pStyle w:val="BookText"/>
        <w:rPr/>
      </w:pPr>
      <w:bookmarkEnd w:id="716"/>
      <w:r>
        <w:rPr>
          <w:rFonts w:ascii="Amiri" w:hAnsi="Amiri" w:eastAsia="Amiri" w:cs="Amiri"/>
          <w:color w:val="111111"/>
          <w:sz w:val="28"/>
          <w:sz w:val="28"/>
          <w:szCs w:val="28"/>
          <w:rtl w:val="true"/>
          <w:lang w:bidi="ar-SA"/>
        </w:rPr>
        <w:t>من حيث الحدود والتقدير، وهذا الاختلاف راجع إلى أنّ لكلّ موجود طوراً ونحواً من الوجود يخصّه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المسير يتناسب مع نحو الوجود والهندسة الخاصة ـ نلمسها في كلام موسى علیه السلام  في محاولة تعريفه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الهداية في الآية المباركة مترتّبة على إعطاء الوجود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مخلوق، وأنّ الطرق إلى الحقّ تعالى تتعدّد بتعدّد الوجود الخاصّ والخلقة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الهندسة الخاصّة</w:t>
      </w:r>
      <w:r>
        <w:rPr>
          <w:rFonts w:eastAsia="Amiri" w:cs="Amiri" w:ascii="Amiri" w:hAnsi="Amiri"/>
          <w:color w:val="111111"/>
          <w:sz w:val="28"/>
          <w:szCs w:val="28"/>
          <w:rtl w:val="true"/>
          <w:lang w:bidi="ar-SA"/>
        </w:rPr>
        <w:t>).</w:t>
      </w:r>
    </w:p>
    <w:p>
      <w:pPr>
        <w:pStyle w:val="Heading4"/>
        <w:numPr>
          <w:ilvl w:val="3"/>
          <w:numId w:val="1"/>
        </w:numPr>
        <w:rPr/>
      </w:pPr>
      <w:bookmarkStart w:id="717" w:name="__RefHeading___Toc1937172_1051229030"/>
      <w:bookmarkStart w:id="718" w:name="_Toc271"/>
      <w:bookmarkEnd w:id="717"/>
      <w:r>
        <w:rPr>
          <w:rtl w:val="true"/>
        </w:rPr>
        <w:t>التسليم بالطريق المحدد ضرورة تكوينية</w:t>
      </w:r>
      <w:bookmarkEnd w:id="718"/>
    </w:p>
    <w:p>
      <w:pPr>
        <w:pStyle w:val="BookText"/>
        <w:rPr/>
      </w:pPr>
      <w:r>
        <w:rPr>
          <w:rFonts w:ascii="Amiri" w:hAnsi="Amiri" w:eastAsia="Amiri" w:cs="Amiri"/>
          <w:color w:val="111111"/>
          <w:sz w:val="28"/>
          <w:sz w:val="28"/>
          <w:szCs w:val="28"/>
          <w:rtl w:val="true"/>
          <w:lang w:bidi="ar-SA"/>
        </w:rPr>
        <w:t>ما يترتب على المطالب السابقة أنّ حركة الموجود وعبوديته يتمّ تحديد طُرق تكاملها بما يتناسب والهندسة الخاصّة، وأنّ هذه الطرق متحقّقة بالفعل في النسق الوجودي، فالتسليم والخضوع لها من طرف الموجود أمرٌ ضروري، وهذه الضرورة ضرورة تكوينية لا تختلف ولا تتخلّف مطلقاً،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البذرة التي تتمتّع بهندسة خاصّة يتعيّن طريقُ تكاملها بما يُناسب هذه الهندسة، فتحرّكها نحو المقصد المحدّد لها يجعلها تستسلم بالحتم والضرورة للطريق المشخّص لها، والتسليم الضروري هذا حتميّة تكوينية في حدّ ذاته، لا معنى لتخلّفه واختلافه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الطريق المحدّد الذي يطويه الموجود في حركته التكامليّة لا ينحصر في طريق واحد أبداً، بل أمام الموجود طرقٌ متنوعة، وعليه أن يتحرّك بما يناسب الهندسة الخاصّة التي صُنِع عليها، وكلّ مسير اتّخذه في حركته نحو كماله يُعدّ في النهاية من جملة المسارات التي عُيّنت له من قبل، ومن الضروري الخضوع لهذا المسير أو الطريق، والنتائج التي يصل إليها هي النتائج التي حُددت وفق هذا المسير والطريق فقط</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تعيين الطريق بما يتناسب والهندسة الخاصّة ـ والمقصود </w:t>
      </w:r>
      <w:bookmarkStart w:id="719" w:name="pg7448_77112"/>
    </w:p>
    <w:p>
      <w:pPr>
        <w:pStyle w:val="BookText"/>
        <w:rPr/>
      </w:pPr>
      <w:bookmarkEnd w:id="719"/>
      <w:r>
        <w:rPr>
          <w:rFonts w:ascii="Amiri" w:hAnsi="Amiri" w:eastAsia="Amiri" w:cs="Amiri"/>
          <w:color w:val="111111"/>
          <w:sz w:val="28"/>
          <w:sz w:val="28"/>
          <w:szCs w:val="28"/>
          <w:rtl w:val="true"/>
          <w:lang w:bidi="ar-SA"/>
        </w:rPr>
        <w:t>من ضرورة التسليم لهذا الطريق من طرف الموجود ـ هو أنّ أمام كلّ موجود طُرقاً متعدّدة تناسب هندسته الخاصّة، وأنّ اتخاذه مسبقاً لأيّ طريق محدّد بخصوصياته ونتائجه في مسيره نحو مقصده، يخضع ـ شاء أم أبى ـ للسُّنن الحاكمة، والقوانين المهيمنة، التي لا تختلف ولا تتخلّف في أداء وظيفتها مطلقاً، ففي المثال الذي 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البذرة حين تحرّكها في طريقها التكاملي نحو مقصدها المحدّد لها أي النباتية، مسلِّمة وخاضعة للسُّنن الحاكمة على هذا الطريق، ولا يتأتّى لها أن تتمرّد على هذه السُّنن وأن لا تخضع لها، وإذا لم تتّخذ هذا الطريق المحدّد لها مسبقاً، لاتخذت لها سبيلاً آخر من السبل المحدّدة الأُخرى، وأيّ سبيل من السبل اتخذته، وفي أيّة حالة من الحالات تموضعت؛ يجب أن تسلّم للقوانين الخاصّة القاهرة والسُّنن التكوينية الحاكمة، ويجب أن تنتهي إلى النتائج المحدّدة حسب الهندسة الخاصّة التي صُنعت على ضوئها</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937174_1051229030"/>
      <w:bookmarkStart w:id="721" w:name="_Toc272"/>
      <w:bookmarkEnd w:id="720"/>
      <w:r>
        <w:rPr>
          <w:rtl w:val="true"/>
        </w:rPr>
        <w:t xml:space="preserve">إلى الله تصير الأُمور </w:t>
      </w:r>
      <w:r>
        <w:rPr>
          <w:rtl w:val="true"/>
        </w:rPr>
        <w:t>(</w:t>
      </w:r>
      <w:r>
        <w:rPr>
          <w:rtl w:val="true"/>
        </w:rPr>
        <w:t>هو الأوّل والآخر</w:t>
      </w:r>
      <w:r>
        <w:rPr>
          <w:rtl w:val="true"/>
        </w:rPr>
        <w:t>)</w:t>
      </w:r>
      <w:bookmarkEnd w:id="721"/>
    </w:p>
    <w:p>
      <w:pPr>
        <w:pStyle w:val="BookText"/>
        <w:rPr/>
      </w:pPr>
      <w:r>
        <w:rPr>
          <w:rFonts w:ascii="Amiri" w:hAnsi="Amiri" w:eastAsia="Amiri" w:cs="Amiri"/>
          <w:color w:val="111111"/>
          <w:sz w:val="28"/>
          <w:sz w:val="28"/>
          <w:szCs w:val="28"/>
          <w:rtl w:val="true"/>
          <w:lang w:bidi="ar-SA"/>
        </w:rPr>
        <w:t>إنّ الطريق الذي ينتهجه المتحرك في حركته التكاملية سينتهي إلى نتيجة خاصّة، واليوم الذي تنتهي فيه الحركة ـ أي يوم اللّقاء ـ يلقى ربّه بنحو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أية حركة اتّخذها الموجود في مسيره التكاملي ستوصله بنحوٍ خاص إلى الحقّ تعالى، وهذا النحو يختلف عن نحو وصول غيره من الموجودات الأُخرى؛ فإنّ كل موجود سيصل إلى مقصده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يناسب خصوصياته الوجودية، وبما يناسب المسير الذي اتّخذه في حركته التكاملية هذه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توصّلنا ـ من خلال البيانات السابقة ـ إلى النتيجة التالية،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سريان العلم والشعور في جميع الموجودات، يشعر المخلوق بما يناسب رتبته الوجودية بالكمال المطلق، ويطلب هذا الكمال بتمام حبّه وشوقه، ويتحرّك في مسارات متعدّدة نحوه، وهذا هو العَود الكلّي أو المعاد العام، الذي دلّت عليه الآيات المباركة التي مرّت الإشارة إليها فيما سبق</w:t>
      </w:r>
      <w:r>
        <w:rPr>
          <w:rFonts w:eastAsia="Amiri" w:cs="Amiri" w:ascii="Amiri" w:hAnsi="Amiri"/>
          <w:color w:val="111111"/>
          <w:sz w:val="28"/>
          <w:szCs w:val="28"/>
          <w:rtl w:val="true"/>
          <w:lang w:bidi="ar-SA"/>
        </w:rPr>
        <w:t xml:space="preserve">. </w:t>
      </w:r>
      <w:bookmarkStart w:id="722" w:name="pg7448_77113"/>
    </w:p>
    <w:p>
      <w:pPr>
        <w:pStyle w:val="Heading4"/>
        <w:numPr>
          <w:ilvl w:val="3"/>
          <w:numId w:val="1"/>
        </w:numPr>
        <w:rPr/>
      </w:pPr>
      <w:bookmarkStart w:id="723" w:name="__RefHeading___Toc1937176_1051229030"/>
      <w:bookmarkStart w:id="724" w:name="_Toc273"/>
      <w:bookmarkEnd w:id="722"/>
      <w:bookmarkEnd w:id="723"/>
      <w:r>
        <w:rPr>
          <w:rtl w:val="true"/>
        </w:rPr>
        <w:t>العود لا يعني البطلان أو لحوق الجزء بالكل</w:t>
      </w:r>
      <w:bookmarkEnd w:id="724"/>
    </w:p>
    <w:p>
      <w:pPr>
        <w:pStyle w:val="BookText"/>
        <w:rPr/>
      </w:pPr>
      <w:r>
        <w:rPr>
          <w:rFonts w:ascii="Amiri" w:hAnsi="Amiri" w:eastAsia="Amiri" w:cs="Amiri"/>
          <w:color w:val="111111"/>
          <w:sz w:val="28"/>
          <w:sz w:val="28"/>
          <w:szCs w:val="28"/>
          <w:rtl w:val="true"/>
          <w:lang w:bidi="ar-SA"/>
        </w:rPr>
        <w:t xml:space="preserve">العَود الكلّي حقيقةٌ لا تقبل الشك، وقد استفدنا هذا المعنى ـ كما مرّ عليك ـ من الآيات المباركة التي سبقت الإشارة إليها، غير أنّه ما يجب الالتفات إليه هو أن هذا العَود أو انتهاء الحركة لا يعني بـأيّة حال من الأحوال البطلان والتلاشي المحض، والاختفاء من صفحة الوجود، وهذا التوّهم الذي يعتقد به البعض يخالف الواقع والبراهين العقلية، بل يخالف النصوص الدينية بخاصّة الآيات التي مرّت علينا في الفقرات السابقة، صحيح هناك آيات قرآنية تُشير إلى هلاك جميع الأشياء، وأنّ الباقي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نظير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مَعَ اللَّهِ إِلَهًا آخَرَ لَا إِلَهَ إِلَّا هُوَ كُلُّ شَيْءٍ هَالِكٌ إِلَّا وَجْهَهُ لَهُ الْحُكْمُ وَإِلَيْهِ تُرْجَعُونَ</w:t>
      </w:r>
      <w:r>
        <w:rPr>
          <w:rFonts w:eastAsia="Amiri" w:cs="Amiri" w:ascii="Amiri" w:hAnsi="Amiri"/>
          <w:color w:val="111111"/>
          <w:sz w:val="28"/>
          <w:szCs w:val="28"/>
          <w:rtl w:val="true"/>
          <w:lang w:bidi="ar-SA"/>
        </w:rPr>
        <w:t>»</w:t>
      </w:r>
      <w:r>
        <w:rPr>
          <w:rStyle w:val="FootnoteAnchor"/>
          <w:rtl w:val="true"/>
        </w:rPr>
        <w:footnoteReference w:id="716"/>
      </w:r>
      <w:r>
        <w:rPr>
          <w:rFonts w:ascii="Amiri" w:hAnsi="Amiri" w:eastAsia="Amiri" w:cs="Amiri"/>
          <w:color w:val="111111"/>
          <w:sz w:val="28"/>
          <w:sz w:val="28"/>
          <w:szCs w:val="28"/>
          <w:rtl w:val="true"/>
          <w:lang w:bidi="ar-SA"/>
        </w:rPr>
        <w:t>، وقوله في سورة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بيد أنّ هلاك الأشياء وفناءها لا يعني أنّها تصير معدومة وبطلاناً محضاً، ولو بنينا على هذه القراءة لواجهتنا إشكالية ترتبط بالإنسان على أقل تقدير، تتمثّل في أنّ آيات كثيرة وروايات متضافرة تُشير إلى خلود الإنسان في نعيم الجنة؛ الأمر الذي لا ينسجم بتاتاً مع فنائه وهلاكه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الأوّل يؤكّد على فناء كل الأشياء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تشمل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الأشياء بما فيها الإنسان، بخاصّة إذا التفتنا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الآية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من سورة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 الإنسان بحكم المورد الأوّل</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يشمله الهلاك شأنه شأن جميع الأشياء الأُخرى، كما يشمله الفناء بحكم المورد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بانعدام الإنسان وانتفائه من صفحة الوجود، فهذا لا ينسجم مع آيات قرآنية كثيرة وروايات متعدّدة صريحة في خلود الإنسان في الجنة يوم </w:t>
      </w:r>
    </w:p>
    <w:p>
      <w:pPr>
        <w:pStyle w:val="BookText"/>
        <w:rPr/>
      </w:pPr>
      <w:r>
        <w:rPr>
          <w:rFonts w:ascii="Amiri" w:hAnsi="Amiri" w:eastAsia="Amiri" w:cs="Amiri"/>
          <w:color w:val="111111"/>
          <w:sz w:val="28"/>
          <w:sz w:val="28"/>
          <w:szCs w:val="28"/>
          <w:rtl w:val="true"/>
          <w:lang w:bidi="ar-SA"/>
        </w:rPr>
        <w:t xml:space="preserve">القيامة، أمّا إذا كان لكلمتي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معنىً آخر، وهو الذي جاء في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لجميع الأشياء بما فيها الإنسان وغير الإنسان، فلا يمكن أن يكون المعنى ذا وجوه متعدّدة، بحيث يكون في غير الإنسان بمعنى البطلان وفي الإنسان بمعنى آخر مختلف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وعليه؛ فإنّ هلاك الأشياء أو فناء الإنسان يوم القيامة لا يعني البطلان المحض والانتفاء المطلق، بل يُشير إلى معنىً خاص يظهر لنا حين التدبّر جيداً في الآيات والروايات، وما ينطويان عليه من نكات علمية، وهو أنّ الأشياء جميعها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فيها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تتخلّى يوم القيامة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انتهاء الحركة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وجوداتها السابقة الظاهرية والباطلة؛ وتتحلّى بوجودات حقيقية ومترقّية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وبتعبير أرباب الأذواق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القيامة يوم ظهور الوجه الحقيقي للأشياء، يوم بروز الجهة الباطنية من الإنسان؛ وذلك لأنّ للمخلوقات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الخلقية أو السرابية، أو ما يُعبّر عنها بجهة ما يلي الخلق في الإنسان، تُشير في ظاهرها إلى الحقيقة، غير أنّها سراب وظاهر الشيء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الحقّية التي تُمثّل ما يلي الحقّ في الإنسان، تُشير في ذاتها إلى الحقّ تعالى فقط، وهذه الجهة التي تمثل الجهة الحقيقية للإنسان قد حجبتها الجهة الأُولى الكاذبة وأخفتها عن الأنظار، فيوم القيامة هو يوم بروز هذه الحقيقة الباطنية، ويوم فناء الجهة الخلقية وهلاك الجنبة السرابية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يبقى من المخلوقات إلّا الوجه الحقيقي وما يلي الحقّ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وَجْهَهُ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الموجودات بصورتها الفعلية هنا غيرُ الموجودات بصورتها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الموجود يوم العَود يحكي عن الحقّ تعالى والمبدأ المتعال، فكلّما لاحظنا موجوداً ما هناك، نجده قائماً بالحقّ ومشيراً إليه تعالى بصورة حقّية تناسب ذلك اليوم، متخلّياً عن تلك الصورة التي كانت تمثّل الجهة الخلقية والسرابية الحاجبة عن الحقّ تعالى، فبدلاً من أن تُشير إلى الحقّ تعالى كانت تُوهم أنّها واقعية مستقلة، كاشفة عن نفسها وحدودها فقط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في يوم العَود، فإلى أيّ صوبٍ اتّجهنا لا نرى إلّا وجه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 xml:space="preserve">، وأمّا في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 الدنيوية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استثنينا غير المحجوبين الذين وصلوا إلى يوم القيامة، نرى الموجودات حاجبة لوجه الله ومُخفية للجهة الحقّية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لنا ـ مما سبق ـ المقصود من هلاك الأشياء وفناء الإنسان يوم القيامة، فليس يُراد بذلك الانعدام والاضمحلال، بل المراد الجدّي لهاته المفردات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المخلوق يبطل وجودُه الفعلي وينتهي الوجه الخلقي فيه، ويتحلّى حينها بوجود جديد يتمثّل في الوجه الحقّي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يمثّل يوم العَود اختفاءَ الجهة الخلقية السرابية للوجودات وظهور جهتها الحقّية، حينها تبقى بإبقاء الحقّ وتقوم بقيوميّته تعالى، فعَود جميع الموجودات إلى الحقّ وحركتها العبودية نحوه تعالى ـ بمقتضى هندستها الخاصّة ـ يزيل عنها الجهة الخلقية والسرابية، ويُجلّي فيها الجهة الحقّية التي تُخبر عن الحقّ تعالى بحقّ؛ فتقوم حينها به تعالى وتبقى بإبقائه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نُشير فيما يلي إلى كلام لسيدنا الأستاذ العلّامة الطباطبائي   قدِّسَ سرُّه في الميزان الشريف في تفسير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مَرْجِعُكُمْ جَمِيعًا وَعْدَ اللَّهِ حَقًّا إِنَّهُ يَبْدَأُ الْخَلْقَ ثُمَّ يُعِيدُهُ</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الْخَلْقَ ثُمَّ يُعِيدُهُ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 الجاري من سُنة الله ـ سبحانه ـ أنّه يفيض الوجود على مَن يخلقه من شيء، ويمدّه من رحمته بما تتمّ له به الخلقة، فيُوجَد ويعيش ويتنعّم برحمة منه تعالى ما دام موجوداً، حتى ينتهي إلى أجل معدود، وليس انتهاؤه إلى أجله المعدود المضروب له فناءً منه، وبطلاناً للرحمة الإلهية التي كان بها وجوده وبقاؤه، وسائر ما يلحق بذلك من حياة وقدرة وعلم ونحو ذلك، بل بقبضه تعالى ما بسطه عليه من الرحمة؛ فإنّ ما أفاضه الله عليه من عنده هو وجهه تعالى، ولن يهلك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فنفاد وجود الأشياء وانتهاؤها إلى الأجل ليس فناءً منها وبطلاناً لها على ما نتوهّمه، بل رجوعاً وعوداً منها إلى عنده، وقد كانت نزلت من عنده، وما عند الله باقٍ، فلم يكن إلّا بسطاً ثمّ قبضاً، فالله ـ سبحانه ـ يبدأ الأشياء ببسط الرحمة، ويعيدها إليه يقبضها، وهو المعاد والموعود</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والنقطة الأُخرى التي يجدر بنا ذكرها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عود الموجودات ورجوعها إلى المبدأ المتعال، وحركتها نحو الحقّ تعالى، ليس من قبيل رجوع الجزء إلى الكلّ، وانصهار الجميع في الكلّ، مثل لحوق أجزاء الشيء المبعثرة بالشيء نفسه مرّة أُخرى، أو مثل لحوق الفروع بأصولها، فتكون الوجودات أجزاءً تفرّقت وتبعثرت من المبدأ المتعال، ثمّ رجعت مضمحلّةً فيه مرّةً أُخرى،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الزعم خطأ يُخالف منطق العقل، ولا تقرّه البراهين العقلية الجليّة، وترفضه الروايات والآيات البيّنات، فلا يحتاج إلى الردّ والنقد؛ لأنّ عملية الإيجاد والخلق ليس بنحو التوليد والتجزئة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يَلِدْ وَلَمْ يُولَدْ</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وليس بمعنى تفكيك الأجزاء وتبعثرها عن الكلّ، حتى ترجع إليه الأجزاء والمكونات من جديد، تعالى الله عما يقوله الظالمون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تتمثّل عملية الإيجاد والخلق في إعطاء الوجود أو التجلّي، والرجوع بطبيعة الحال يتحقّق بتناسب هذا العطاء وهذا التجلّي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وباصطلاح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تعالى علّة كلّ وجود، ومُعطي الوجود ومُفيض البركات، وكلّ موجودٍ بوصفه معلولاً له تعالى ـ بواسطة أو بدون واسطة ـ يستمدّ منه تعالى التحقّق والقوام لا استقلال لوجوده، بل يُمثِّل عين الفقر والربط بالحقّ تعالى، وإذا كان الفقر والاحتياج في متن المخلوق وصميمه، فلا يمكن أن يفارقه أو ينسلخ عنه أبداً، اللّهم إلّا إذا تغير في ذاته وانقلب في جوهره</w:t>
      </w:r>
      <w:r>
        <w:rPr>
          <w:rFonts w:eastAsia="Amiri" w:cs="Amiri" w:ascii="Amiri" w:hAnsi="Amiri"/>
          <w:color w:val="111111"/>
          <w:sz w:val="28"/>
          <w:szCs w:val="28"/>
          <w:rtl w:val="true"/>
          <w:lang w:bidi="ar-SA"/>
        </w:rPr>
        <w:t xml:space="preserve">. </w:t>
      </w:r>
      <w:bookmarkStart w:id="725" w:name="pg7448_77117"/>
    </w:p>
    <w:p>
      <w:pPr>
        <w:pStyle w:val="Heading4"/>
        <w:numPr>
          <w:ilvl w:val="3"/>
          <w:numId w:val="1"/>
        </w:numPr>
        <w:rPr/>
      </w:pPr>
      <w:bookmarkStart w:id="726" w:name="__RefHeading___Toc1937178_1051229030"/>
      <w:bookmarkStart w:id="727" w:name="_Toc274"/>
      <w:bookmarkEnd w:id="725"/>
      <w:bookmarkEnd w:id="726"/>
      <w:r>
        <w:rPr>
          <w:rtl w:val="true"/>
        </w:rPr>
        <w:t>النتيجة</w:t>
      </w:r>
      <w:bookmarkEnd w:id="727"/>
    </w:p>
    <w:p>
      <w:pPr>
        <w:pStyle w:val="BookText"/>
        <w:rPr/>
      </w:pPr>
      <w:r>
        <w:rPr>
          <w:rFonts w:ascii="Amiri" w:hAnsi="Amiri" w:eastAsia="Amiri" w:cs="Amiri"/>
          <w:color w:val="111111"/>
          <w:sz w:val="28"/>
          <w:sz w:val="28"/>
          <w:szCs w:val="28"/>
          <w:rtl w:val="true"/>
          <w:lang w:bidi="ar-SA"/>
        </w:rPr>
        <w:t>وفي نهاية المطاف يتبين لنا أن العَود هو أن يصل الشيء إلى نقطة يتخلّى فيها عن وجوده السرابي، ويظهر بوجوده الحقّي الذي هو أعلى من وجوده الخلقي السابق، ويختفي الصبح الكاذب ويطلع محلّه الصبح الصادق، فترتفع الواسطة بين الخلق وبين الحقّ تعالى، وحينها يقوم بقيوميّة الله تعالى، ولا يُشير إلّا إليه، ولا يحكي إلّا عنه تعالى</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937180_1051229030"/>
      <w:bookmarkStart w:id="729" w:name="_Toc275"/>
      <w:bookmarkEnd w:id="728"/>
      <w:r>
        <w:rPr>
          <w:rtl w:val="true"/>
        </w:rPr>
        <w:t>تسبيح الموجودات</w:t>
      </w:r>
      <w:bookmarkEnd w:id="729"/>
    </w:p>
    <w:p>
      <w:pPr>
        <w:pStyle w:val="BookText"/>
        <w:rPr/>
      </w:pPr>
      <w:r>
        <w:rPr>
          <w:rFonts w:ascii="Amiri" w:hAnsi="Amiri" w:eastAsia="Amiri" w:cs="Amiri"/>
          <w:color w:val="111111"/>
          <w:sz w:val="28"/>
          <w:sz w:val="28"/>
          <w:szCs w:val="28"/>
          <w:rtl w:val="true"/>
          <w:lang w:bidi="ar-SA"/>
        </w:rPr>
        <w:t>كلّ منَّا تمرّ عليه الآيات التي تُشير إلى تسبيح المخلوقات والأشياء جميعاً، وكلّنا نعلم بها بنحو الإجمال، واللافت أنّنا لم نتأمل بما فيه الكفاية في معنى التسبيح والنكات التي تنطوي عليها تلك الآيات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زيادة على تعرّضه إلى تسبيح جميع المخلوقات يُشير أيضاً إلى أنّ هذا الأمر غير معلوم لدى النّاس العاديين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نُشير فيما يلي إلى الآيات التي تناولت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إِنَّهُ كَانَ حَلِيمًا غَفُورًا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المباركة بعد أن أشارت إلى تسبيح الجمادات ومَن فيهن،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يشعر ويعقل من الموجودات، دلّت على أنّ الإنسان العادي لا يفقه نوعية هذا التسبيح ولا كيفيته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تَفْقَهُونَ تَسْبِيحَهُمْ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الحكم لا يطال الجميع، بل يُستثنى منه أربابُ الحقائق والبصيرة من الأنبياء والأولياء، وأصحاب الكشف والشهود، وهذه المعرفة بدورها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المرتبة الكمالية التي يحتلها النبي أو الولي، فالنبي أو الولي يُدرك ببصيرته ماهية هذا التسبيح، ويرى ذرّات الوجود مريدة للحقّ تعالى ومسبّحة له كما هي في واقعها وحقيقتها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وَسَخَّرْنَا مَعَ دَاوُودَ الْجِبَالَ يُسَبِّحْنَ وَالطَّيْرَ وَكُنَّا فَاعِلِينَ</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الآية تُشير بصراحة إلى أنّ الجمادات والحيوانات تسبّحن خالقَها مع نبي الله داود علیه السلام ، وهذا لا يعني أنّها سبحت الله تعالى لتواجدها مع النبي داود علیه السلام ؛ وبالتالي يكون فعلها استثناءً من القاعدة، وفي غير هذه الحالة لا يصدر عنها التسبيح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من الآية المباركة هو أنّ النبي داود علیه السلام  لكونه متمحّضاً في العبودية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بصره حديداً؛ ممّا جعله يرى من أُفق عالية حقائقَ الأشياء، وهي تسبّح الحقّ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يُسَبِّحْنَ بِالْعَشِيِّ وَالْإِشْرَاقِ</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الآية تُشير إلى الحقيقة نفسها،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الجبال التي هي من الجمادات تسبّح الله تعالى برفقة نبي الله داود علیه السلام ، وهذا الفعل يدلّ على أنّ الجبال تتحرّك بشوق وحب نحو الحقّ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داود علیه السلام  تمثّل بحقيقة العبودية وانعجنت هويته بالحبّ الحقيقي، وفنى بتمام كيانه في الذات الإلهية تمام الفناء؛ الأمر الذي جعله يترقّى إلى قمّة الكمال المطلق، بحيث أشرف على جميع ذرّات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المادّية منها وغير المادّية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مشاهداً لتسبيحِها وحُبِّها للذات الإلهية وتحرّكِها العبادي نحوها، وكلّ مَن كان في محضره علیه السلام  وشاهد ذلك التضرّع وذلك البكاء وتلك المناجاة الإلهية، اهتزّ كيانه وتحرّك عاشقاً ومُريداً للذات المقدسة والكمال المطلق، وجاء في الآية المباركة ذكرُ الجبال خاصّة؛ لأنّ الجبال مظهرٌ للصلابة والشدّة، حيث يستبعد منها التسبيح الذي لا يُسانخ تلك الأوصاف</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يُسَبِّحُ لَهُ مَنْ فِي السَّمَاوَاتِ وَالْأَرْضِ وَالطَّيْرُ صَافَّاتٍ كُلٌّ قَدْ عَلِمَ صَلَاتَهُ وَتَسْبِيحَهُ وَاللَّهُ عَلِيمٌ بِمَا 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مُلْكُ السَّمَاوَاتِ وَالْأَرْضِ وَإِلَى اللَّهِ الْمَصِيرُ</w:t>
      </w:r>
      <w:r>
        <w:rPr>
          <w:rFonts w:eastAsia="Amiri" w:cs="Amiri" w:ascii="Amiri" w:hAnsi="Amiri"/>
          <w:color w:val="111111"/>
          <w:sz w:val="28"/>
          <w:szCs w:val="28"/>
          <w:rtl w:val="true"/>
          <w:lang w:bidi="ar-SA"/>
        </w:rPr>
        <w:t>»</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الآيتان المباركتان خطابٌ لرسول الله صلّى الله عليه و آله يحثّه على التأمّل في المخلوقات وهي تسبّح خالقَها وتصلّي له تعالى؛ وبالتأمّل جيداً في الآيتين وما تنطويان عليه من نكات علمية </w:t>
      </w:r>
    </w:p>
    <w:p>
      <w:pPr>
        <w:pStyle w:val="BookText"/>
        <w:rPr/>
      </w:pPr>
      <w:r>
        <w:rPr>
          <w:rFonts w:ascii="Amiri" w:hAnsi="Amiri" w:eastAsia="Amiri" w:cs="Amiri"/>
          <w:color w:val="111111"/>
          <w:sz w:val="28"/>
          <w:sz w:val="28"/>
          <w:szCs w:val="28"/>
          <w:rtl w:val="true"/>
          <w:lang w:bidi="ar-SA"/>
        </w:rPr>
        <w:t>نهتدي إلى حقائق متعالية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المرحلة الأُولى نهتدي إلى حقيقة،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الأكرم صلّى الله عليه و آله يتحلّى برؤية إلهية عالية للأشياء؛ بحيث يرى ـ من أُفقٍ 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المرتبة الكمالية المتعالية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المخلوقات مسبّحة ومصلّية لله تعالى؛ الأمر الذي يكشف عن أنّ النبي الأكرم صلّى الله عليه و آله ليس من صنف المحجوبين الذين لا يبصرون تلك الحقائق والمواصفات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المرحلة الثانية نهتدي إلى أنّ كلّ مخلوق يمارس التسبيح والصلاة بوعي منه وشعور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قَدْ عَلِمَ صَلَاتَهُ وَتَسْبِيحَهُ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يؤيّد ما ذكرناه سابقاً، من أنّ المخلوق يتّصف بصفات الكمال كالعلم بالكمال المطلق حسب مرتبته الوجودية وهندسته الإلهية؛ مما يدفعه إلى الحركة بحبٍّ وشوق نحو هذا الكمال، طالباً للزلفى والقرب منه، وكلّما تأمّلنا جيداً في محتوى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قَدْ عَلِمَ صَلَاتَهُ وَتَسْبِيحَهُ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إلى نتائج رفيعة، بخاصّة إذا ركّزنا على البنية النحوية للجملة؛ فإنّ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أنّ هاته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خاصّتان بكلّ مخلوق، وليس صحيحاً قول من قال بالتساوي بينها، كمّا وكيفاً، مرتكزاً في ذلك على المقايسة الخاطئة التي أشرنا إليها سابقاً، فمن الخطأ ـ إذن ـ أن نتوقّع من باقي المخلوقات أن تسبّح وتصلّي كصلاة الإنسان وتسبيحه بذات الكمّية والكيفية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فإنّ تسبيح ذرات الوجود وحركتها نحو الباري تعالى ليست أُموراً مُدرَكة ومعلومة لجميع النّاس، بل الأنبياء والأولياء وأصحاب الكشف والشهود هم الذين يحيطون بهذه الوجودات وما يصدر عنها من أفعال إلهية جميلة، من قبيل الحب والتسبيح والصلاة وما أشبه ذلك، فالأساس في المسألة هو رفع الحجب والموانع التي تمنع من الانفتاح على تلك الحالة الإلهية، وإذا تحقّق هذا الأمر في الإنسان انكشفت له ذرات الوجود كلّها على حقيقتها، وحينها يرى فيها حيثيات إلهية،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والتسبيح، وما أشبه ذلك، وما ترويه الأحاديث من أنّ الأشياء تغرق في التسبيح حينما يمرّ عليها الرسول الأكرم صلّى الله عليه و آله ، ينتمي إلى هذا الباب أيضاً</w:t>
      </w:r>
      <w:r>
        <w:rPr>
          <w:rFonts w:eastAsia="Amiri" w:cs="Amiri" w:ascii="Amiri" w:hAnsi="Amiri"/>
          <w:color w:val="111111"/>
          <w:sz w:val="28"/>
          <w:szCs w:val="28"/>
          <w:rtl w:val="true"/>
          <w:lang w:bidi="ar-SA"/>
        </w:rPr>
        <w:t xml:space="preserve">. </w:t>
      </w:r>
      <w:bookmarkStart w:id="730" w:name="pg7448_77120"/>
    </w:p>
    <w:p>
      <w:pPr>
        <w:pStyle w:val="Heading4"/>
        <w:numPr>
          <w:ilvl w:val="3"/>
          <w:numId w:val="1"/>
        </w:numPr>
        <w:rPr/>
      </w:pPr>
      <w:bookmarkStart w:id="731" w:name="__RefHeading___Toc1937182_1051229030"/>
      <w:bookmarkStart w:id="732" w:name="_Toc276"/>
      <w:bookmarkEnd w:id="730"/>
      <w:bookmarkEnd w:id="731"/>
      <w:r>
        <w:rPr>
          <w:rtl w:val="true"/>
        </w:rPr>
        <w:t>معنى التسبيح والحب والمرور السريع نحو الحق تعالى</w:t>
      </w:r>
      <w:bookmarkEnd w:id="73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الراغب الأصفهاني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السريع في الماء وفي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الله تعالى،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السريع في عبادة الله تعالى</w:t>
      </w:r>
      <w:r>
        <w:rPr>
          <w:rFonts w:eastAsia="Amiri" w:cs="Amiri" w:ascii="Amiri" w:hAnsi="Amiri"/>
          <w:color w:val="111111"/>
          <w:sz w:val="28"/>
          <w:szCs w:val="28"/>
          <w:rtl w:val="true"/>
          <w:lang w:bidi="ar-SA"/>
        </w:rPr>
        <w:t>»</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ـ الذي يعني تنزيه الحقّ تعالى عن العيب والنقص ـ في الأساس هو المرور السريع في مقام العبودية نحو الله تعالى، فبالالتفات إلى الأصل اللّغوي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نُدرك معنى هذه المفردة السارية في ذرّات الوجود؛ ونتصوّر تلبّس الوجودات بها تصوراً صحيحاً؛ فإنّ الموجود يعي ما ينطوي عليه من شعور بالوجود المطلق والكمال اللامتناهي،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تعالى الذي لا حدّ لجماله وجلاله، ويُدرك ما سواه تعالى من الواقعيات المحدودة والمشوبة بالنقائص، وكذلك يعي بأنّ وجوده وما ينطوي عليه من كمالات وجودية صادرٌ عن الحق تعالى وقائمٌ به؛ فينال من كمالات الحقّ الصفاتية والأسمائية بمقدار ما تتحمّله قابلياته وظرفه الوجودي، وبهذا يصير المخلوق مظهراً مشيراً إلى جمال الله تعالى وجلاله، لا هوية له في ذاته ولا استقلال له أمام ذات الحقّ تعالى المستقلة بالذات والحقيقة، فالحقّ تعالى بوصفه مطلقاً في جماله وجلاله لا يشوبه النقص أبداً، يُراد بالذات ويطلب بالحقيقة؛ لأنّ المخلوقات لا ترى وجوداً إلّا وجوده تعالى، ولا تشاهد جمالاً وجلالاً إلّا جلاله وجماله، هو الوجود المحض والقائم بالذات، هو الوحيد المنزّه عن النقائص والعيوب، وهو الغني الحميد، وغيره هو الفقير والمحتاج، والذات بهذه المواصفات الجمالية والجلالية لا يمكن أن لا تُحبّ ولا يمكن أن لا يُتحرك نحوها عبودياً وتسليماً، فلا يُتحرك إلّا إليها ولا يُتحرك إلى ما سواها، يُريد المتحرّك بحركته الحبّية الوصول إلى تلك الحقيقة والاقتراب منها؛ حتى تناله رحيميتها ويمسّه نورها الجميل والبهيّ، وسرّ هذه الحركة المتصلة وغير المنقطعة سارٍ في جميع المخلوقات، وحاكم على الكلّ، بحيث لا تشذّ عنه مفردة وجودية تنتمي إلى عالم الخالق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تأمّلتَ جيداً في ذرات الوجود تقف على هذه الحقيقة، وهي أنّ الموجود المحدود مع أنّه يحب وجوده والكمالات التي في صميم وجوده، ولجمال هذا الوجود يرغب في الاستحواذ عليه ويحرص على إبقائه والمحافظة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كلّه يتعلّق قلبه حبّاً بالوجود المتعالي والكمال المتسامي الذي لا حدّ لكماله وسنائه، ويتألّم من محدوديته الوجودية وضيقه الكمالي، الأمر الذي يجعله يتحرّك من بدو وجوده بحركة حبّية سريعة ومتّصلة، قاصداً ذاك الجمال الإلهي والبهاء الربّاني، وإذا برز مانع سارع إلى تجاوزه ورفعه من البين، مستمرّاً في عروجه وصعوده لا يتوقّف في حركته إلى أن يصل ـ ولن يصل ـ إلى المقصد وتمسّه ـ ولن تمسّه ـ الحقيقة المطلقة بجمالها وجلالها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نقطة في غاية الأهمّية، ينبغي التأمّل فيها ودراستها دراسة وافية،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السالك والمتحرك لا يمكنه أن يصل إلى الغاية والمقصد، ولا يمكن أن يلمسه المطلق بما هو مطلق؟ ولماذا لا تهدأ نفسه في طلبه للحقّ تعالى مهما ترقّى في مراتب الكمال؟ ولماذا لا ينفد ما استودع في فطرته من حبِّ الحركة والتكامل؟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بوصفه ذي مراتب وجوديّة خاصّة، لا يتوقّف في حركته نحو المراتب العالية، وكلّما وصل إلى مرتبة من مراتبه المتوسطة استمر في مسيره، إلى أن يصل إلى مرتبته النباتية التي يتجاوزها أيضاً، إذا تهيّأت الشروط الموضوعية المؤاتية، إلى أن يصل إلى مرتبة الحيوانية، ثمّ مرتبة أرقى منها هي الإنسانية، وهكذا يستمر في حركته ولا يقف عند حدٍّ من حدودها، ولو كان مغروساً في تكوين التراب المقصد النباتي لتوقّفت حركته بمجرد أن يصل إلى هذه المرتبة الكمالية، ولو كان مرتكزاً في صميم كيانه المقصد الحيواني لفتر شوقه وتوقّفت حركته بمجرد أن يعانق هذه الكمالات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توقّف التراب في مسيره التكاملي عند النبات لهو خيرُ شاهدٍ على أنّ هذا الكمال لم يكن هدفه النهائي، والكلام نفسه يصدق على الكمال الحيواني؛ فإنّه لمّا تجاوزه في حركته التكاملية عرفنا أنّ الحيوانية لم تكن هي هدف الحركة في أساسها؛ فنعلم من هذا أنّ للتراب مقصداً آخرَ غير تلك المقاصد السابقة، حينما يصل إليه يفتر </w:t>
      </w:r>
      <w:bookmarkStart w:id="733" w:name="pg7448_77122"/>
    </w:p>
    <w:p>
      <w:pPr>
        <w:pStyle w:val="BookText"/>
        <w:rPr/>
      </w:pPr>
      <w:bookmarkEnd w:id="733"/>
      <w:r>
        <w:rPr>
          <w:rFonts w:ascii="Amiri" w:hAnsi="Amiri" w:eastAsia="Amiri" w:cs="Amiri"/>
          <w:color w:val="111111"/>
          <w:sz w:val="28"/>
          <w:sz w:val="28"/>
          <w:szCs w:val="28"/>
          <w:rtl w:val="true"/>
          <w:lang w:bidi="ar-SA"/>
        </w:rPr>
        <w:t>طلبه وتستقرّ حركته، وهذا الوصول والعبور أو الاستمرار في الحركة يشير كلّه إلى أنّ مقصد التراب هو مقصد جميع ذرّات الوجود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إِلَى اللَّهِ تَصِيرُ الْأُمُورُ </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الحركة والمرور بسرعة بدون توقف في أيّة محطّة من محطّات الوجود هي التسبيح، تسبيح الحقّ تعالى والحركة العروجية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ترقّى الموجود في درجات الكمال يرى أنّ المرتبة التي وصل إليها لم تروِ غليله، ولم تشفِ عليله، فما فتئ يطلب مرتبة أُخرى أعلى كمالاً وأشرف منزلةً، وهكذا لا يقف في مسيره التكاملي أبداً، يطلب غايته القصوى وهدفه الأسمى الذي هو الكمال المحض، وهذه العملية التصاعدية في درجات الخير والكمال هي تقديس الحقّ تعالى وتنزيهه عمليّاً، ولهذا التسبيح والتنزيه لسان خاصٌّ معلومٌ عند الأولياء والأصفياء، ومجهولٌ عند المحجوبين، شأنه شأن التسبيح، ومنكرٌ عند أهل الضلال</w:t>
      </w:r>
      <w:r>
        <w:rPr>
          <w:rFonts w:eastAsia="Amiri" w:cs="Amiri" w:ascii="Amiri" w:hAnsi="Amiri"/>
          <w:color w:val="111111"/>
          <w:sz w:val="28"/>
          <w:szCs w:val="28"/>
          <w:rtl w:val="true"/>
          <w:lang w:bidi="ar-SA"/>
        </w:rPr>
        <w:t>.</w:t>
      </w:r>
    </w:p>
    <w:p>
      <w:pPr>
        <w:pStyle w:val="Heading4"/>
        <w:numPr>
          <w:ilvl w:val="3"/>
          <w:numId w:val="1"/>
        </w:numPr>
        <w:rPr/>
      </w:pPr>
      <w:bookmarkStart w:id="734" w:name="__RefHeading___Toc1937184_1051229030"/>
      <w:bookmarkStart w:id="735" w:name="_Toc277"/>
      <w:bookmarkEnd w:id="734"/>
      <w:r>
        <w:rPr>
          <w:rtl w:val="true"/>
        </w:rPr>
        <w:t>الحركة العبودية حركة تسبيحية</w:t>
      </w:r>
      <w:bookmarkEnd w:id="735"/>
    </w:p>
    <w:p>
      <w:pPr>
        <w:pStyle w:val="BookText"/>
        <w:rPr/>
      </w:pPr>
      <w:r>
        <w:rPr>
          <w:rFonts w:ascii="Amiri" w:hAnsi="Amiri" w:eastAsia="Amiri" w:cs="Amiri"/>
          <w:color w:val="111111"/>
          <w:sz w:val="28"/>
          <w:sz w:val="28"/>
          <w:szCs w:val="28"/>
          <w:rtl w:val="true"/>
          <w:lang w:bidi="ar-SA"/>
        </w:rPr>
        <w:t xml:space="preserve">تأسيساً على ما سبق نُدرك أنّ العبودية هي ذلك التسبيح والتنزيه؛ إذ إنّ هويتها تتمثّل في الانقطاع عن الأغيار والتعلّق بالحقّ تعالى والتحرّك نحوه، وهذا لا يتأتى إلّا إذا تجاوز السالك والمتحرك كلّ شيء بداعي الحب والشوق إلى الكمال المطلق الذي لا يشوبه نقص أو عيب، أمّا الأشياء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الحقّ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عنده آيات لله تعالى ومظاهر أسمائه الجمالية والجلالية ومجالي صفاته الكمالية، لا تمثّل في ذاتها شيئاً، بل هي فقيرة ومحدودة يلفّها النقص من جميع الجهات، ولو انقطعت العناية الإلهية عنها وتوقف عنها الفيض الإلهي لضمّها البطلان المحض؛ ولصارت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مَن تحقّق بالعبودية ـ وحصل له الانكسار وفنى في الله تعالى ـ كان لسان حاله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وجدتك أهلاً للعبادة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العبودية في ماهيتها هي تجاوز عن الأغيار بأيّة كيفية كانت، وحركة تسبيحية </w:t>
      </w:r>
    </w:p>
    <w:p>
      <w:pPr>
        <w:pStyle w:val="BookText"/>
        <w:rPr/>
      </w:pPr>
      <w:r>
        <w:rPr>
          <w:rFonts w:ascii="Amiri" w:hAnsi="Amiri" w:eastAsia="Amiri" w:cs="Amiri"/>
          <w:color w:val="111111"/>
          <w:sz w:val="28"/>
          <w:sz w:val="28"/>
          <w:szCs w:val="28"/>
          <w:rtl w:val="true"/>
          <w:lang w:bidi="ar-SA"/>
        </w:rPr>
        <w:t>نحو الحقّ تعالى بقصد الوصال؛ وعلى أساس هذه القراءة يمكننا فهم جملة كبيرة من الآيات والروايات، نشير فيما يلي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 فِي السَّمَاوَاتِ وَالْأَرْضِ وَمَنْ عِنْدَهُ لَا يَسْتَكْبِرُونَ عَنْ عِبَادَتِهِ وَلَا يَسْتَحْسِرُونَ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يُسَبِّحُونَ اللَّيْلَ وَالنَّهَارَ لَا يَفْتُرُونَ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الثانية تُشير إلى سرّ عدم اتصاف مَن عنده تعالى بالتكبّر على عبادته، وهو كونهم يسبّحونه تعالى ليلاً ونهاراً، ولا يملّون من هذا العمل المبارك، وغير خفيّ أنّ المقصود من التسبيح هو تلك الحركة العبودية نحو ذلك الكمال المطلق بحبٍّ وشوق، وهذه الشاخصة لا تفارقهم ولا تنفكّ عنهم أبداً، يمارسونها بقصد الوصل التامّ ولا يلتفتون إلى غيره تعالى، بل لا يلتفتون حتى إلى الطريق الذي يقطعونه في مسيرهم التكاملي هذا، ونوعية هذا التسبيح تختلف عن التسبيح القولي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التلفّظ بكلمة 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التسبيح بهذا المعنى يمثّل مرتبة من التسبيح الكلّي والحركة العبودية، لا كلّ مراتب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الأُولى عبارة عن توجيه الأمر للمؤمنين بذكر الله تعالى كثيراً، والآية الثانية تأمرهم بالتسبيح المستمر والمتصل، وجليٌّ أنّ كلمة التسبيح ـ هنا ـ تعنى تلك الحركة العبودية التي مرّت علينا، وليس المراد منها قسماً من معناها المتمثّل في التقديس والتنزيه اللسانيين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عَلَى مَا يَقُولُونَ وَسَبِّحْ بِحَمْدِ رَبِّكَ قَبْلَ طُلُوعِ الشَّمْسِ وَقَبْلَ غُرُوبِهَا وَمِنْ آنَاءِ اللَّيْلِ فَسَبِّحْ وَأَطْرَافَ النَّهَارِ لَعَلَّكَ تَرْضَى </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المباركة تأمر النبي الأكرم صلّى الله عليه و آله بالتسبيح في وقت يطال اليوم كلّه بنهاره وبليله، ولا يهمّنا الآن ما استنبطه علماؤنا من فقهيات وغيرها من الآية المباركة، ما </w:t>
      </w:r>
      <w:bookmarkStart w:id="736" w:name="pg7448_77124"/>
    </w:p>
    <w:p>
      <w:pPr>
        <w:pStyle w:val="BookText"/>
        <w:rPr/>
      </w:pPr>
      <w:bookmarkEnd w:id="736"/>
      <w:r>
        <w:rPr>
          <w:rFonts w:ascii="Amiri" w:hAnsi="Amiri" w:eastAsia="Amiri" w:cs="Amiri"/>
          <w:color w:val="111111"/>
          <w:sz w:val="28"/>
          <w:sz w:val="28"/>
          <w:szCs w:val="28"/>
          <w:rtl w:val="true"/>
          <w:lang w:bidi="ar-SA"/>
        </w:rPr>
        <w:t>نركّز عليه هنا هو أنّ الله تعالى أمر نبيَّه بالتسبيح في جميع الأوقات والحالات؛ ممّا يعني أنّ العمل يمثّل حركة متواصلة ودؤوبة للنبي الأكرم صلّى الله عليه و آله نحو الحقّ تعالى، والغاية التي ذكرتها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الحركة، لا يعلم مغزاها ومدلولها إلّا أرباب الأذواق، وما استنبطه فقهاؤنا العظام يؤيّد هذا المعنى الذي ذهبنا إليه؛ إذ معنى التسبيح في الآية المباركة عندهم هو الصلاة اليومية، والصلاة من مصاديق التسبيح الكلّي، أو شأن من شؤون تلك الحركة الحبّية والمتصلة نحو الحقّ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نموذجاً من الآيات الكثيرة التي تناولت مفردة التسبيح وبيّنت أنّها حركة حبّية متصلة نحو الحقّ تعالى، يطوي السالك في أثنائها مراحل متعاقبة متجاوزاً إياها إلى مرتبةٍ 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عنها بديلاً، ونوعية هذه الحركة العبودية لا تهمّ في حدِّ ذاتها؛ إذ قد تكون صلاةً أو صوماً أو حجّاً أو جهاداً أو ذكراً باللّسان وما أشبه ذلك، وهذه الحركة في محضر الحقّ تعالى يصدق عليها هذه الكلمة النوارنية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وجدتك أهلاً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عبادة الأحرار</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937186_1051229030"/>
      <w:bookmarkStart w:id="738" w:name="_Toc278"/>
      <w:bookmarkEnd w:id="737"/>
      <w:r>
        <w:rPr>
          <w:rtl w:val="true"/>
        </w:rPr>
        <w:t>النصوص الدالّة على التسبيح الكلّي دالّة على العَود الكلّي</w:t>
      </w:r>
      <w:bookmarkEnd w:id="738"/>
    </w:p>
    <w:p>
      <w:pPr>
        <w:pStyle w:val="BookText"/>
        <w:rPr/>
      </w:pPr>
      <w:r>
        <w:rPr>
          <w:rFonts w:ascii="Amiri" w:hAnsi="Amiri" w:eastAsia="Amiri" w:cs="Amiri"/>
          <w:color w:val="111111"/>
          <w:sz w:val="28"/>
          <w:sz w:val="28"/>
          <w:szCs w:val="28"/>
          <w:rtl w:val="true"/>
          <w:lang w:bidi="ar-SA"/>
        </w:rPr>
        <w:t xml:space="preserve">وصلنا من خلال التحليل السابق إلى حقيقة، وهي أنّ المخلوقات بتمامها تسبّح الله تعالى، وأنّ هذا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حركة حبّية متصلة نحوه تعالى، وتوصّلنا أيضاً إلى أن ملازمة هذا العمل للعَود الكلّي الذي نحن بصدده أمر لا يمكن الشكّ فيه، ولتجلية الموضوع أكثر ودفع أي شكّ قد يعلق في الأذهان، إليك فيما يلي جملة أُخرى من الآيات والروايات، تُشير إلى الحقيقة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لِلَّهِ مَا فِي السَّمَاوَاتِ وَالْأَرْضِ وَهُوَ الْعَزِيزُ الْحَكِيمُ</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وَيُسَبِّحُ الرَّعْدُ بِحَمْدِهِ وَالْمَلَائِكَةُ مِنْ خِيفَتِهِ</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الْمَلَائِكَةَ حَافِّينَ مِنْ حَوْلِ الْعَرْشِ يُسَبِّحُونَ بِحَمْدِ رَبِّهِمْ </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يَحْمِلُونَ الْعَرْشَ وَمَنْ حَوْلَهُ يُسَبِّحُونَ بِحَمْدِ رَبِّهِمْ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وَالْمَلَائِكَةُ يُسَبِّحُونَ بِحَمْدِ رَبِّهِمْ وَيَسْتَغْفِرُونَ لِمَنْ فِي الْأَرْضِ </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إن الآيات أعلاه تُشير بصراحة إلى أنّ المخلوقات جميعها تسبّح الله تعالى، حيث يُشير بعضها إلى تسبيح الملائكة، فيما يُشير بعضُها إلى تسبيح الرعد والسموات والأرض، كما تُشير الآية التي مرّ ذكرُها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التسبيح الكلّي والعام؛ إذ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تطال جميع ما سوى الله تعالى، وبالتالي لا يمكن أن يخلو مخلوق عن هذا العمل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التي تُشير إلى هذا المعنى، فهي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في كتاب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نوحاً لما حضرته الوفاة، قال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صلاة كلِّ شيء وبها يُرزق كلّ شيء</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تأمّلنا جيداً في هذه الرواية نصل إلى نكتة مهمة، وهي أنّ التسبيح والتحميد صلاةُ الشيء ورزق له أيضاً،؛ ممّا يعني أنّ اتصال هذا العمل المبارك موجِبٌ لبقاء الشيء، وجبران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أن تنقض الحيطان تسبيحها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في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أبيه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صلّى الله عليه و آله أن يُوسم البهائم، وأن يُضرب وجهها؛ فإنّها تسبّح بحمد ربّها</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739" w:name="pg7448_77126"/>
    </w:p>
    <w:p>
      <w:pPr>
        <w:pStyle w:val="BookText"/>
        <w:rPr/>
      </w:pPr>
      <w:bookmarkEnd w:id="739"/>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ـ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النمل يُسبّحنَ</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ـ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قتل الضفادع،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نعيقها تسبيح</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ـ في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آجال البهائم كلّها وخشاش الأرض والنمل والبراغيث والجراد والخيل والبغال والدواب كلّها وغير ذلك آجالها في التسبيح، فإذا انقضى تسبيحها قبض الله أرواحها، وليس إلى ملك الموت منها شيء</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الشريفة تُشير بصراحة إلى أنّ الواقعيات المذكورة تعيش بالتسبيح ونهايتها بالتسبيح، وأنّ قابض أرواحها هو الله تعالى نفسه، ولا علاقة لملك الموت قابض أرواح الناس بهذه الموجودات، وأمّا كيف تُقبض أرواحها؟ وبأيّ طريق؟ فنترك بيانه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ـ في الدر المنثور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مرّ على قوم وهم وقوف على دوابّ لهم ورواحلهم،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اركبوها سالمة ودعوها سالمة، ولا تتخذوها كراسي لأحاديثكم في الطرق والأسواق؛ فربّ مركوبةٍ خيرٌ من راكبها وأكثر ذكراً لله منه</w:t>
      </w:r>
      <w:r>
        <w:rPr>
          <w:rFonts w:eastAsia="Amiri" w:cs="Amiri" w:ascii="Amiri" w:hAnsi="Amiri"/>
          <w:color w:val="111111"/>
          <w:sz w:val="28"/>
          <w:szCs w:val="28"/>
          <w:rtl w:val="true"/>
          <w:lang w:bidi="ar-SA"/>
        </w:rPr>
        <w:t>»</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الرواية الشريفة إلى نكتة في غاية الروعة، وهي أنّ الدواب وغيرها دائماً في حالة تسبيح، وتسبيحها قد يفوق تسبيح الإنسان الغافل الذي يركبها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الروايات التي تُشير إلى الحقيقة التي حقّقناها في البحوث التي مرّت علينا، وهي تلك الحركة الحبّية المتصلة التي يطويها المخلوق نحو الحقّ تعالى</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937188_1051229030"/>
      <w:bookmarkStart w:id="741" w:name="_Toc279"/>
      <w:bookmarkEnd w:id="740"/>
      <w:r>
        <w:rPr>
          <w:rtl w:val="true"/>
        </w:rPr>
        <w:t>دلائل العَود الكلّي أمر عامّ وكلّي</w:t>
      </w:r>
      <w:bookmarkEnd w:id="74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الأدلّة التي تتعرّض إلى عموم العود أدلّة عامّة، تشكّل رؤية قرآنية عميقة نلمحها في شريحة كبيرة من الآيات والروايات، وندركها بالشهود والبرهان، 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يتعرّض من أوّله إلى آخره إلى الوجود والنسق الذي يخضع له، ومن </w:t>
      </w:r>
    </w:p>
    <w:p>
      <w:pPr>
        <w:pStyle w:val="BookText"/>
        <w:rPr/>
      </w:pPr>
      <w:r>
        <w:rPr>
          <w:rFonts w:ascii="Amiri" w:hAnsi="Amiri" w:eastAsia="Amiri" w:cs="Amiri"/>
          <w:color w:val="111111"/>
          <w:sz w:val="28"/>
          <w:sz w:val="28"/>
          <w:szCs w:val="28"/>
          <w:rtl w:val="true"/>
          <w:lang w:bidi="ar-SA"/>
        </w:rPr>
        <w:t>أين جاء؟ وما هو الطريق الذي يسلكه؟ وما هي كيفية السلوك؟ وإلى أين ينتهي؟ ومن خلال هذا التوضيح نريد للإنسان بوصفه مفردة من هذا النسق الخاص أن يلتفت إلى نفسه وينتبه عن غفلته، وأن يتحرّك في هذا الطريق حتى يعيش الانسجام مع هذا النسق، وأن لا يتحرّك خلاف الجهة التي تتحرّك إليها جميع موجودات العالم، وإلّا واجه قاهرية الحقّ تعالى وغضبه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ونلمس هذه الحقيقة أيضاً في الأدعية التي وصلت إلينا من أئمة أهل البيت علیهم السلام ، معدن العلم والعرفان وأهل العصمة والطهارة؛ ولعلّ حثّ المؤمنين على قراءة هذه الأدعية والتدبّر في مضامينها العالية هو للوقوف على الأسرار التي تنطوي عليها، والمعارف العالية التي تثيرها، والمتصلة معانيها بالمبدأ والمعاد وما أشبه ذلك، زيادة على ما في هذه القراءة من ثواب وبركة؛ وبذلك يُبصِر الإنسان الحقائق وينجو من الغفلة المميتة، وتتّسع رؤيته إلى الوجود والنسق الدقيق الذي يخضع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وفيما يلي بعض الروايات التي تُشير إلى العَود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الفصل السادس عشر من الجوشن 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رب كلّ شيء، يا من هو إله كلّ شيء</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المقطع الشريف يُشير ـ كما هو جليّ ـ إلى ربوبية الحقّ تعالى المطلقة، وإلهيَّته الشاملة لكل شيء؛ ممّا يعني أنّ كلّ مَن في الوجود مربوبٌ وخاضعٌ له تعالى، وهذا عين المعنى الذي حقّقناه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الفصل السابع والثلاثون من الدعاء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كلّ شيءٍ خاضعٌ له، يا مَن كلّ شيءٍ خاشعٌ له، يا مَن كلّ شيءٍ كائنٌ له، يا مَن كلّ شيءٍ موجودٌ به، يا مَن كلّ شيءٍ منيبٌ إليه، يا مَن كلّ شيءٍ خائفٌ منه، يا مَن كلّ شيءٍ قائمٌ به، يا مَن كلّ شيءٍ صائر إليه، يا مَن كلّ شيءٍ يسبّح بحمده، يا مَن 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فهذه العبارة المباركة تُشير إلى الحقيقة التي مرّت علينا بهذه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كلّ شيءٍ منيبٌ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شيءٍ يعود إلى الحقّ تعالى، وبهذه الجملة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كلّ شيء يسبّح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تسبّح الله في حركتها التكاملية، وتُشير أيضاً إلى الغاية من الحركة التكاملية بالجملة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نهاية الحركة نحو الحقّ تعالى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تتجلّى الأشياء في نهاية تكاملها بوجهِها الحقّي، وتبقى بإبقائه تعالى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في الفصل السابق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أوّل كلّ شيءٍ وآخره، يا إله كلّ شيءٍ ومليكه، يا ربَّ كلّ شيءٍ وصانعه، يا باري كلّ شيءٍ وخالقه، يا قابض كلّ شيءٍ وباسطه، يا مُبدئ كلّ شيءٍ ومُعيده</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فالعبارة الشريفة من الدعاء تُشير إلى الحقيقة نفسها التي نحن بصدد توضيحها؛ إذ تشير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إله كلّ شيءٍ ومليكه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معبود كلّ شيء، وبالجملة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مبدئ كلّ شيءٍ ومُعيده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تُشير إلى أنّ الله تعالى هندس الأشياء بحيث يلازم عَودُها إلى مصدرها إيجادَها وخلقها في أوّل مرة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نماذج من الروايات الشريفة والنورانية التي تناولت تلك الحقيقة بعبارات جميلة ولطفية، والتدبّر فيها بنحوٍ أعمق نُوكله إلى القارئ الكريم</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7448_77130"/>
      <w:bookmarkStart w:id="743" w:name="pg7448_77130"/>
      <w:bookmarkEnd w:id="743"/>
    </w:p>
    <w:p>
      <w:pPr>
        <w:pStyle w:val="Heading3"/>
        <w:numPr>
          <w:ilvl w:val="2"/>
          <w:numId w:val="1"/>
        </w:numPr>
        <w:rPr/>
      </w:pPr>
      <w:bookmarkStart w:id="744" w:name="pg7448_77130"/>
      <w:bookmarkStart w:id="745" w:name="__RefHeading___Toc1937190_1051229030"/>
      <w:bookmarkStart w:id="746" w:name="_Toc280"/>
      <w:bookmarkEnd w:id="744"/>
      <w:bookmarkEnd w:id="745"/>
      <w:r>
        <w:rPr>
          <w:rtl w:val="true"/>
        </w:rPr>
        <w:t>الجَهلُ المُرَکَّب الدَاءُ العُضَال</w:t>
      </w:r>
      <w:bookmarkEnd w:id="746"/>
    </w:p>
    <w:p>
      <w:pPr>
        <w:pStyle w:val="Heading4"/>
        <w:numPr>
          <w:ilvl w:val="3"/>
          <w:numId w:val="1"/>
        </w:numPr>
        <w:rPr/>
      </w:pPr>
      <w:bookmarkStart w:id="747" w:name="__RefHeading___Toc1937192_1051229030"/>
      <w:bookmarkStart w:id="748" w:name="_Toc281"/>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الشيخ محمد الكروي القيسي</w:t>
      </w:r>
      <w:r>
        <w:rPr>
          <w:rStyle w:val="FootnoteAnchor"/>
          <w:rtl w:val="true"/>
        </w:rPr>
        <w:footnoteReference w:id="748"/>
      </w:r>
    </w:p>
    <w:p>
      <w:pPr>
        <w:pStyle w:val="Heading4"/>
        <w:numPr>
          <w:ilvl w:val="3"/>
          <w:numId w:val="1"/>
        </w:numPr>
        <w:rPr/>
      </w:pPr>
      <w:bookmarkStart w:id="749" w:name="__RefHeading___Toc1937194_1051229030"/>
      <w:bookmarkStart w:id="750" w:name="_Toc282"/>
      <w:bookmarkEnd w:id="749"/>
      <w:r>
        <w:rPr>
          <w:rtl w:val="true"/>
        </w:rPr>
        <w:t>ضمن منهج الإصلاح</w:t>
      </w:r>
      <w:bookmarkEnd w:id="75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هو مَن يُشخِّص الداء، ويتعرَّف على الدواء، ويسعى إلى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فالوقوف عند المرحلة الأُولى، أو الاقتصار عليها وعلى الثانية، أو عدم المثابرة والجدّ في الثالثة، كلُّ ذلك ليس من العقل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كبرت روح الإنسان وتسامي عقله، صار همّه وهمّته أكبر؛ لذا فالمفكّر المؤمن صاحب الهمّ الكبير، يرى ـ بعين بصيرته ـ ما لا يراه غيره، ويسعى لِما لا يسعى له سواه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تعدّدت الأدواء والأمراض الفكرية والاجتماعية في واقعنا المعاصر، وتنوعت تنوعاً غريباً لم يعد يخفى على مَن لديه أدنى تأمل ومراقبة للواقع المعاصر، بل شعر بالخطر حتّى مَن ليس لديه باع في مجالات الفكر، فمرحلة تشخيص الأمراض صارت من الوضوح بحيث استشعر خطرها الكثير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التلكؤ والتباطؤ في المرحلتين اللاحقتين،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الدواء المناسب، ووضع الخطط لجعله في متناول الأيدي، فقليل من المفكّرين في واقعنا المعاصر مَن استطاع معرفة الدواء ووضع الخطط الملائمة؛ لجعله ميسوراً لمن يسعى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الأمر بهذه السهولة إلّا لمن امتلك قواعد التفكير السليم، وبنى بنيانه العقلي على أساسٍ متين من القواعد المحكمة القائمة على مُسلّمات العقل والمنطق السليم</w:t>
      </w:r>
      <w:r>
        <w:rPr>
          <w:rFonts w:eastAsia="Amiri" w:cs="Amiri" w:ascii="Amiri" w:hAnsi="Amiri"/>
          <w:color w:val="111111"/>
          <w:sz w:val="28"/>
          <w:szCs w:val="28"/>
          <w:rtl w:val="true"/>
          <w:lang w:bidi="ar-SA"/>
        </w:rPr>
        <w:t xml:space="preserve">. </w:t>
      </w:r>
      <w:bookmarkStart w:id="751" w:name="pg7448_77131"/>
    </w:p>
    <w:p>
      <w:pPr>
        <w:pStyle w:val="BookText"/>
        <w:rPr/>
      </w:pPr>
      <w:bookmarkEnd w:id="751"/>
      <w:r>
        <w:rPr>
          <w:rFonts w:ascii="Amiri" w:hAnsi="Amiri" w:eastAsia="Amiri" w:cs="Amiri"/>
          <w:color w:val="111111"/>
          <w:sz w:val="28"/>
          <w:sz w:val="28"/>
          <w:szCs w:val="28"/>
          <w:rtl w:val="true"/>
          <w:lang w:bidi="ar-SA"/>
        </w:rPr>
        <w:t>ولعلَّ الأصعب من كلّ هذا وذاك، هو اكتشاف القواسم المشتركة التي تُعدُّ أُصولاً ومنابع للأمراض الفكرية في المجتمع، وأوجاع تلك الأمراض المستعصية لها، فمعرفة مناشئ المرض والوقاية منها تُعدُّ أُولى خُطوات تشخيص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معرفة تلك القواسم المشتركة لا يُؤتاها إلّا ذو حظٍ عظيمٍ من المقدرة الفكرية التحليلية، وقليل ما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 الجهل منبعاً وقاسماً مشتركاً للكثير من الأمراض الفكرية والاجتماعية، بل لا توجد رذيلة ومنقصة إلّا وللجهل منها حصة الأسد، فباب الجهل باب أوسع من أن تُحيط به مقالةٌ في 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أسوأ أوجه الجهل ـ وأدنى أقسامه، وأبشع صوره ـ هو الجهل المركب، بل هو الداء القاتل، والمرض العضال الذي أعيى المصلحين، وأتعب المرشدين حتّى وُسِمَ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الداء العضال</w:t>
      </w:r>
      <w:r>
        <w:rPr>
          <w:rFonts w:eastAsia="Amiri" w:cs="Amiri" w:ascii="Amiri" w:hAnsi="Amiri"/>
          <w:color w:val="111111"/>
          <w:sz w:val="28"/>
          <w:szCs w:val="28"/>
          <w:rtl w:val="true"/>
          <w:lang w:bidi="ar-SA"/>
        </w:rPr>
        <w:t>»</w:t>
      </w:r>
      <w:r>
        <w:rPr>
          <w:rStyle w:val="FootnoteAnchor"/>
          <w:rtl w:val="true"/>
        </w:rPr>
        <w:footnoteReference w:id="749"/>
      </w:r>
      <w:r>
        <w:rPr>
          <w:rFonts w:ascii="Amiri" w:hAnsi="Amiri" w:eastAsia="Amiri" w:cs="Amiri"/>
          <w:color w:val="111111"/>
          <w:sz w:val="28"/>
          <w:sz w:val="28"/>
          <w:szCs w:val="28"/>
          <w:rtl w:val="true"/>
          <w:lang w:bidi="ar-SA"/>
        </w:rPr>
        <w:t>، فكان الصخرة الصماء التي تكسّرت عندها أحلام الطامحين للإصلاح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هذا الداء المستفحل؟</w:t>
      </w:r>
    </w:p>
    <w:p>
      <w:pPr>
        <w:pStyle w:val="Heading4"/>
        <w:numPr>
          <w:ilvl w:val="3"/>
          <w:numId w:val="1"/>
        </w:numPr>
        <w:rPr/>
      </w:pPr>
      <w:bookmarkStart w:id="752" w:name="__RefHeading___Toc1937196_1051229030"/>
      <w:bookmarkStart w:id="753" w:name="_Toc283"/>
      <w:bookmarkEnd w:id="752"/>
      <w:r>
        <w:rPr>
          <w:rtl w:val="true"/>
        </w:rPr>
        <w:t>تعريف الجهل المركب</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الجهل المركب</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قسّم المفكرون والمناطقة والفلاسفة الجهل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البسيط،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فالجهل البسيط ـ الذي لا تركيب فيه ـ هو أن يجهل إنسانٌ شيئاً، وهو مُطّلع على جهله، فهو يعلم بذلك الجهل، فليس في نفسه إلّا جهل واحد بذلك الشيء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في تعريفه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يجهل شيئاً وهو غير ملتفت إلى أنّه جاهل به، بل يعتقد أنّه من أهل العلم به، فلا يعلم أنّه لا يعلم، كأهل الاعتقادات الفاسدة الذين يحسبون أنّهم عالمون بالحقائق، وهم جاهلون بها في الواقع</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خلو النفس عن العلم، وإذعانها بما هو خلاف الواقع، مع اعتقاد كونها عالمة بما هو الحقّ، فصاحبه لا يعلم، ولا يعلم أنّه لا يعلم؛ ولذا سُمِّي مركباً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فسبب تسميته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المركب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مركب من جهلين، جهل بالواقع ونفس الأمر، وجهل بذلك الجهل،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يتوهم كونه عالماً، والحال أنّه جاهل لا علم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فالجهل المركب عكس الجهل البسيط؛ لأنّ الجهل البسيط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الإنسان شيئاً وهو مُطّلع وعالم بجهله، وواقف على ذلك، أمّا في الجهل المركب، فهو غير ملتفت إلى جهله، بل يحسب أنّه من أهل العلم بذلك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يظنُّ ظانٌّ بأنّ الأمر يتوقف عند حدٍّ معينٍ، أو علمٍ معينٍ، فهذا من الجهل المركب أيضاً، بل الأمر سيال في كلِّ اختصاص في مجالات الحياة المتعددة، فقد يظنُّ المبتدئ بالطب أنّه أصبح طبيباً حاذقاً، والحال أنّه ليس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يظنُّ مَن سمع كلمات من هنا وهناك، أنّه صار مفكّراً، والواقع خلاف ذلك، وقد يتوهم شخص أنّه صار قانونيّاً، والحال أنّه في بداية البدايات من علم القانون، بل قد يتوهم أحدهم أنّه على خُلقٍ رفيع، والحال أنّه لا خُلق له، وهكذا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مكمن الخطر؛ لذا ورد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هلك امرؤ عَرف قدر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أخالُ رجلاً يرفع نفسه فوق قدرها إلّا من خَلل في عقله</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فمنشأ الجهل المركب ـ على هذا ـ هو وجود خلل في تقييم الإنسان لنفسه؛ وما ذلك إلا لعدم الرشد في القوى العقلية لسبب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ولنعم قول الشاعر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البـلوى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في العلم كنه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يُحسن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يـدَّعـي أكــثـر مـنه </w:t>
      </w:r>
      <w:bookmarkStart w:id="754" w:name="pg7448_77133"/>
    </w:p>
    <w:p>
      <w:pPr>
        <w:pStyle w:val="Heading4"/>
        <w:numPr>
          <w:ilvl w:val="3"/>
          <w:numId w:val="1"/>
        </w:numPr>
        <w:rPr/>
      </w:pPr>
      <w:bookmarkStart w:id="755" w:name="__RefHeading___Toc1937198_1051229030"/>
      <w:bookmarkStart w:id="756" w:name="_Toc284"/>
      <w:bookmarkEnd w:id="754"/>
      <w:bookmarkEnd w:id="755"/>
      <w:r>
        <w:rPr>
          <w:rtl w:val="true"/>
        </w:rPr>
        <w:t>الجهل المركب في القرآن والسنّة</w:t>
      </w:r>
      <w:bookmarkEnd w:id="756"/>
    </w:p>
    <w:p>
      <w:pPr>
        <w:pStyle w:val="BookText"/>
        <w:rPr/>
      </w:pPr>
      <w:r>
        <w:rPr>
          <w:rFonts w:ascii="Amiri" w:hAnsi="Amiri" w:eastAsia="Amiri" w:cs="Amiri"/>
          <w:color w:val="111111"/>
          <w:sz w:val="28"/>
          <w:sz w:val="28"/>
          <w:szCs w:val="28"/>
          <w:rtl w:val="true"/>
          <w:lang w:bidi="ar-SA"/>
        </w:rPr>
        <w:t>لقد أشار القرآن الكريم والسنة المطهرة تصريحاً وتلويحاً، إلى هذا المرض الفتاك ـ الذي لا يحسُّ بخطره إلّا العالمون ـ في مواطن كثيرة منها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هَلْ نُنَبِّئُكُمْ بِالْأَخْسَرِينَ أَعْمَالًا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فِي الْحَيَاةِ الدُّنْيَا وَهُمْ يَحْسَبُونَ أَنَّهُمْ يُحْسِنُونَ صُنْعًا</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الطوسي في تبيانه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يظنون أنّهم يفعلون الأفعال الجميلة، والحسبان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الظنُّ، وهو ضدُّ العلم</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وقوعهم في الجهل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تفسير الكاشف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ويتلخّص المعنى بأنّ أخسر الناس صفقةً، وأخيبهم سعياً، هو الجاهل المركب، الذي يرى جهله علماً، وشرَّه خيراً، وإساءته إحساناً</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الوسائل، عن الإمام الباقر علیه السلام  في ذيل الآية المتقدِّمة،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النصارى، والقسيسون، والرهبان، وأهل الشبهات والأهواء من أهل القبلة، والحرورية، وأهل البدع</w:t>
      </w:r>
      <w:r>
        <w:rPr>
          <w:rFonts w:eastAsia="IRNazanin" w:cs="IRNazanin"/>
          <w:color w:val="111111"/>
          <w:sz w:val="28"/>
          <w:szCs w:val="28"/>
          <w:rtl w:val="true"/>
          <w:lang w:bidi="fa-IR"/>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السيّد الطباطبائي في ميزانه على الروايات الواردة في ذيل الآية بأنّها جميعاً من باب الجري والانطباق</w:t>
      </w:r>
      <w:r>
        <w:rPr>
          <w:rStyle w:val="FootnoteAnchor"/>
          <w:rtl w:val="true"/>
        </w:rPr>
        <w:footnoteReference w:id="758"/>
      </w:r>
      <w:r>
        <w:rPr>
          <w:rFonts w:ascii="Amiri" w:hAnsi="Amiri" w:eastAsia="Amiri" w:cs="Amiri"/>
          <w:color w:val="111111"/>
          <w:sz w:val="28"/>
          <w:sz w:val="28"/>
          <w:szCs w:val="28"/>
          <w:rtl w:val="true"/>
          <w:lang w:bidi="ar-SA"/>
        </w:rPr>
        <w:t>، بمعنى أنَّ ما ذُكر لها من مصاديق هي نماذج، فمن الممكن أن تنطبق على غيرهم في كلِّ زمانٍ ومكانٍ، والجامع لجميع المصاديق إنّما هو الجهل المركب، فيظنُّ أصحابها جهلاً أنَّهم محسنون، والحال أنّهم واقعون في الوهم والضلال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آمِنُوا كَمَا آمَنَ النَّاسُ قَالُوا أَنُؤْمِنُ كَمَا آمَنَ السُّفَهَاءُ أَلَا إِنَّهُمْ هُمُ السُّفَهَاءُ وَلَكِنْ لَا يَعْلَمُونَ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فقد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الجاهل بجهله على خلاف ما هو الواقع، أعظم ضلالةً وأتمُّ جهالةً من المعترف بجهله، فإنّه ربما يُعذر وتنفعه الآيات والنُّذر</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ـ ورد عن الإمام الصادق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عيسى بن مريم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داويت المرضى فشفيتهم بإذن الله، وأبرأت الأكمه والأبرص بأذن الله، وعالجت الموتى فأحييتهم بإذن الله، وعالجت الأحمق فلم أقدر على إصلاحه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وما الأحمق؟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برأيه ونفسه، الذي يرى الفضل كلَّه له لا عليه، ويوجب الحقَّ كلَّه لنفسه، ولا يوجب عليها حقاً، فذلك الأحمق الذي لا حيلة في مداواته</w:t>
      </w:r>
      <w:r>
        <w:rPr>
          <w:rFonts w:eastAsia="IRNazanin" w:cs="IRNazanin"/>
          <w:color w:val="111111"/>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ذُكر في الأحمق ظاهراً هي من لوازم الجهل المركب، فهو لتوهمه العلم يُصاب بالعُجب، ويتبع ذلك أن يرى لنفسه فضلاً، ويوجب لها حقاً؛ لذا عبَّرت بعض الروايات عن جاهل كهذا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الأحياء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ـ جاء عن أمير المؤمنين علیه السلام  في نهج البلاغة في صفات الفُسَّاق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 قد تسمَّى عالماً وليس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عين الجهل المركب</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فاقتبس جهائل من جُهَّال، وأضاليل من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والقلب قلب حيوانٍ، لا يَعرف باب الهدى فيتبعه، ولا باب العَمى فيصدُّ عنه، وذلك ميِّت الأحياء</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ـ وأخيراً، فقد ورد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يعلم ويعلم أنّه يعلم، فذاك عالم تعلَّموا منه، ورجل يعلم ولا يعلم أنّه يعلم، فذاك نائم فأنبهوه، ورجل لا يعلم ويعلم أنّه لا يعلم، فذاك جاهل فعلّموه، ورجل لا يعلم ولا يعلم أنّه لا يعلم فذاك أحمق فاجتنبوه</w:t>
      </w:r>
      <w:r>
        <w:rPr>
          <w:rFonts w:eastAsia="IRNazanin" w:cs="IRNazanin"/>
          <w:color w:val="111111"/>
          <w:sz w:val="28"/>
          <w:szCs w:val="28"/>
          <w:rtl w:val="true"/>
          <w:lang w:bidi="fa-IR"/>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أنَّ المقطع الأخير يُشير إلى الجهل المركب، </w:t>
      </w:r>
      <w:bookmarkStart w:id="757" w:name="pg7448_77135"/>
    </w:p>
    <w:p>
      <w:pPr>
        <w:pStyle w:val="BookText"/>
        <w:rPr/>
      </w:pPr>
      <w:bookmarkEnd w:id="757"/>
      <w:r>
        <w:rPr>
          <w:rFonts w:ascii="Amiri" w:hAnsi="Amiri" w:eastAsia="Amiri" w:cs="Amiri"/>
          <w:color w:val="111111"/>
          <w:sz w:val="28"/>
          <w:sz w:val="28"/>
          <w:szCs w:val="28"/>
          <w:rtl w:val="true"/>
          <w:lang w:bidi="ar-SA"/>
        </w:rPr>
        <w:t>والأمر باجتنابه؛ لذا يقول أحد المفكِّرين بشأن هذا الحديث الجليل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السؤال الذي يُثار هنا يرمي إلى تقصّي السبب، الذي جعل الأحاديث ـ الواردة في هذا الباب بشأن التعامل مع أصناف الجهال ـ توجب على الواعين من أبناء المجتمع تنبيه الغافل، والجاهل البسيط، في حين لا توجب عليهم شيئاً، إزاء المصاب بالجهل المركب، بل وتحثهم على رفضه واجتنابه؟</w:t>
      </w:r>
    </w:p>
    <w:p>
      <w:pPr>
        <w:pStyle w:val="BookText"/>
        <w:rPr/>
      </w:pPr>
      <w:r>
        <w:rPr>
          <w:rFonts w:ascii="Amiri" w:hAnsi="Amiri" w:eastAsia="Amiri" w:cs="Amiri"/>
          <w:color w:val="111111"/>
          <w:sz w:val="28"/>
          <w:sz w:val="28"/>
          <w:szCs w:val="28"/>
          <w:rtl w:val="true"/>
          <w:lang w:bidi="ar-SA"/>
        </w:rPr>
        <w:t>وجواب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الجهل المركب أخطر أنواع الجهل، وهو في الحقيقة داء لا دواء له، فالشخص الذي لا يعلم ويتصور أنّه يعلم مصاب ببلاءٍ خطيرٍ، هو الشعور بأنّه يعلم، ومثل هذا المرض إذا اتخذ طابع المرض المزمن يتعذَّر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الأحمق الحقيقي ليس المصاب بعاهة في دماغه، ويعجز عن إدراك الأُمور؛ بسبب مرض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الأحمق الحقيقي هو مَن يتمتع بدماغ سالم، إلّا أنَّ مرض العُجب والإحساس بأنّه يعلم هو الذي يفسد عليه عقله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1937200_1051229030"/>
      <w:bookmarkStart w:id="759" w:name="_Toc285"/>
      <w:bookmarkEnd w:id="758"/>
      <w:r>
        <w:rPr>
          <w:rtl w:val="true"/>
        </w:rPr>
        <w:t>مَن هم أكثر الناس إصابةً بهذا المرض؟</w:t>
      </w:r>
      <w:bookmarkEnd w:id="75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يخفى أنَّ الإنسان العالم الواقف على حقيقة علمه كيفاً وكماً، والذي عرف قدر نفسه، هو بمنأى عن هذا الداء العضال، وكذا مَن وقف على جهله وقلَّة زاده المعرفي وأنّه بحاجةٍ إلى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جَهِل ولا ضاع امرؤ عرف قدر نفسه</w:t>
      </w:r>
      <w:r>
        <w:rPr>
          <w:rFonts w:eastAsia="IRNazanin" w:cs="IRNazanin"/>
          <w:color w:val="111111"/>
          <w:sz w:val="28"/>
          <w:szCs w:val="28"/>
          <w:rtl w:val="true"/>
          <w:lang w:bidi="fa-IR"/>
        </w:rPr>
        <w:t>»</w:t>
      </w:r>
      <w:r>
        <w:rPr>
          <w:rStyle w:val="FootnoteAnchor"/>
          <w:rtl w:val="true"/>
        </w:rPr>
        <w:footnoteReference w:id="766"/>
      </w:r>
      <w:r>
        <w:rPr>
          <w:rFonts w:ascii="Amiri" w:hAnsi="Amiri" w:eastAsia="Amiri" w:cs="Amiri"/>
          <w:color w:val="111111"/>
          <w:sz w:val="28"/>
          <w:sz w:val="28"/>
          <w:szCs w:val="28"/>
          <w:rtl w:val="true"/>
          <w:lang w:bidi="ar-SA"/>
        </w:rPr>
        <w:t xml:space="preserve">، أمّا الحالة الوسطى، وهي أنَّ يكون للإنسان حظٌّ من العلم وحصيلةٌ منه، فهنا يشيع هذا الداء كثيراً عند هذه الطبقة من الناس، ولنُسمِّهم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أنصاف 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لم يقطعوا شوطاً في العلوم، فهؤلاء هم أكثر الناس وقوعاً به؛ لذا قال أحد الأكابر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الجهل المركب يكون عند أُناس هم بين بين، وهم الذين خرجوا قليلاً من بساطة العوام، وتقحَّموا في الجوَلان في ميدان العلم، بأقدام مرتعشة حتّى في مباديه، فهم يُقلقون العالم، ويشوّهون العلم، تارةً بالتقليد الأعمى في المسموعات </w:t>
      </w:r>
      <w:bookmarkStart w:id="760" w:name="pg7448_77136"/>
    </w:p>
    <w:p>
      <w:pPr>
        <w:pStyle w:val="BookText"/>
        <w:rPr/>
      </w:pPr>
      <w:bookmarkEnd w:id="760"/>
      <w:r>
        <w:rPr>
          <w:rFonts w:ascii="Amiri" w:hAnsi="Amiri" w:eastAsia="Amiri" w:cs="Amiri"/>
          <w:color w:val="111111"/>
          <w:sz w:val="28"/>
          <w:sz w:val="28"/>
          <w:szCs w:val="28"/>
          <w:rtl w:val="true"/>
          <w:lang w:bidi="ar-SA"/>
        </w:rPr>
        <w:t>الموافقة للأهواء، وتارةً بالوسوسة والتشكيك في كلِّ شيءٍ</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فعلى المتعلِّم ـ أيّ متعلمٍ كان، وفي أيِّ اختصاصٍ ـ في بدايات التعلُّم والطلب أن يحاذر كلَّ الحذر في هذه المرحلة، بأن يعرف حقيقة معلوماته، وأنّها مهما بلغت فهي كالقطرة في المحيط الخضم، ولا يغتر بإغرار الشيطان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المرحلة تكاد أن تكون أشدُّ مراحل طلب العلم حساسيةً؛ لذا اشتُهر على الألسن أنّ غاية العلم هو الاعتراف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الحكيم سقراط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في تحصيل العلم حتّى علمتُ أنّي لا أعلم</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937202_1051229030"/>
      <w:bookmarkStart w:id="762" w:name="_Toc286"/>
      <w:bookmarkEnd w:id="761"/>
      <w:r>
        <w:rPr>
          <w:rtl w:val="true"/>
        </w:rPr>
        <w:t>الخروج عن الاختصاص</w:t>
      </w:r>
      <w:bookmarkEnd w:id="762"/>
    </w:p>
    <w:p>
      <w:pPr>
        <w:pStyle w:val="BookText"/>
        <w:rPr/>
      </w:pPr>
      <w:r>
        <w:rPr>
          <w:rFonts w:ascii="Amiri" w:hAnsi="Amiri" w:eastAsia="Amiri" w:cs="Amiri"/>
          <w:color w:val="111111"/>
          <w:sz w:val="28"/>
          <w:sz w:val="28"/>
          <w:szCs w:val="28"/>
          <w:rtl w:val="true"/>
          <w:lang w:bidi="ar-SA"/>
        </w:rPr>
        <w:t>ثُمّ إنّ الأمر لا يقتصر على أنصاف المتعلمين، بل الأخطر والأدهى من ذلك عندما يتطفل غير ذوي الاختصاص على غير اختصاصاتهم، فترى مثلاً عالماً في التاريخ يعطي آراءً في الكيمياء، أو عالماً في الفيزياء يتكلَّم في الاقتصاد، أو خبيراً بالقانون ينتقد آراءً فلسفية أو اجتماعية، فهذه الحالة من أشدّ الحالات خطورةً، فعندما يتعدى تأثير الجهل المركب حامله؛ ليشمل الآخرين ليوقعهم في الضلالات؛ تكون هي الغاية القصوى للجهل، وخصوصاً إذا كان الجاهل المركب يمتلك مواصفات أُخرى، تُعدُّ عوامل مساعدة لتسويق جهله، كاللباقة، أو المركز الاجتماعي، أو السياسي،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سيكون أكثر تعقيداً؛ لذا ورد التحذير المتبادل لكلا الطرفين ـ أعني الملقي والمتلقِّي ـ بضرورة التثبت والتدبر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المتلقّي ـ وهو السامع أو الآخذ للمعلومة ـ مسؤولية جسيمة في اختيار القناة الصافية، والنبع الطاهر الذي يستقي منه علمه؛ إذ الأمر ليس بهذه الدرجة من العفوية والسذاجة، فلم تترك الشريعة هذا الأمر دون أن تُوليه أهميةً كبيرةً، والأمر عقلائي قبل أن يكون شرعيَّاً، فما من عاقلٍ يرومُ التعلَّم، والتدرج في مدارج الكمال، إلا واهتمَّ بأمر معلِّمه، وعمَّن يأخذ معلومته، ومع ذلك وردت النصوص الشرعية لتؤكِّد وتحثّ على </w:t>
      </w:r>
    </w:p>
    <w:p>
      <w:pPr>
        <w:pStyle w:val="BookText"/>
        <w:rPr/>
      </w:pPr>
      <w:r>
        <w:rPr>
          <w:rFonts w:ascii="Amiri" w:hAnsi="Amiri" w:eastAsia="Amiri" w:cs="Amiri"/>
          <w:color w:val="111111"/>
          <w:sz w:val="28"/>
          <w:sz w:val="28"/>
          <w:szCs w:val="28"/>
          <w:rtl w:val="true"/>
          <w:lang w:bidi="ar-SA"/>
        </w:rPr>
        <w:t xml:space="preserve">هذا الأمر العقلائي،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الشيخ الصدوق، عن عبد العظيم الحسني، عن علي بن جعفر، عن أخيه الإمام موسى بن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تسمع ما شئت؛ لأنَّ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وورد في كتاب الكافي عن زيد الشحّام، عن الإمام الباقر علیه السلام  في ذيل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طعامه؟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الذي يأخذه عمَّن يأخذه</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 فالمعلومة عُدَّت غذاءً للروح؛ فليُحاذر الإنسان في غذائه الروحي، كما يُحاذر في غذائه المادي، بل الأمر أشدُّ وأخطر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عُدَّ التلقِّي ـ تلقِّي المعلومة ـ في بعض النصوص عبادةً، ففي الكافي أيضاً، عن الحسن بن عليّ بن يقطين، عن الإمام الباقر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أصغى إلى ناطقٍ فقد عبده؛ فإنّ كان الناطق يؤدي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عبد الله؛ وإن كان الناطق يؤدي عن الشيطان فقد عبد الشيطان</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 فكم ممَّن يؤدون اليوم عن الشيطان، بل إنَّ بعض الفضائيات في عالمنا المعاصر صارت عين الشيطان ولسانه ويده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فنصوص الشريعة زاخرة بالتحذير له بأن يتوخى الدقة، وأن يقول ما يعلم، وأن لا يخوض فيما لا يعلم، ونحن نكتفي بقول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w:t>
      </w:r>
      <w:r>
        <w:rPr>
          <w:rStyle w:val="FootnoteAnchor"/>
          <w:rtl w:val="true"/>
        </w:rPr>
        <w:footnoteReference w:id="772"/>
      </w:r>
      <w:r>
        <w:rPr>
          <w:rFonts w:ascii="IRNazanin" w:hAnsi="IRNazanin" w:eastAsia="IRNazanin"/>
          <w:color w:val="111111"/>
          <w:sz w:val="28"/>
          <w:sz w:val="28"/>
          <w:szCs w:val="28"/>
          <w:rtl w:val="true"/>
          <w:lang w:bidi="fa-IR"/>
        </w:rPr>
        <w:t>، فقد ورد عن الإمام زين العابدين علیه السلام  قوله في ذيل تلك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لك أن تتكلّم بما شئت؛ لأنَّ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وصية الإمام علي علیه السلام  لابنه محمّد بن الحنفية،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لا تقلْ ما لا تعلم، بل لا تقلْ كلَّ ما تعلم؛ فإنَّ الله تبارك وتعالى قد فرض على جوارحك كلّها فرائض، </w:t>
      </w:r>
      <w:bookmarkStart w:id="763" w:name="pg7448_77138"/>
    </w:p>
    <w:p>
      <w:pPr>
        <w:pStyle w:val="BookText"/>
        <w:rPr/>
      </w:pPr>
      <w:bookmarkEnd w:id="763"/>
      <w:r>
        <w:rPr>
          <w:rFonts w:ascii="Amiri" w:hAnsi="Amiri" w:eastAsia="Amiri" w:cs="Amiri"/>
          <w:color w:val="111111"/>
          <w:sz w:val="28"/>
          <w:sz w:val="28"/>
          <w:szCs w:val="28"/>
          <w:rtl w:val="true"/>
          <w:lang w:bidi="ar-SA"/>
        </w:rPr>
        <w:t>يحتجُّ بها عليك يوم القيامة، ويسألك عنها</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فالناطق والمتكلّم بغير علم جاهل مركب، وقد أوقع غيره في شراك جهله</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937204_1051229030"/>
      <w:bookmarkStart w:id="765" w:name="_Toc287"/>
      <w:bookmarkEnd w:id="764"/>
      <w:r>
        <w:rPr>
          <w:rtl w:val="true"/>
        </w:rPr>
        <w:t>أعراض الجهل المركب وتبعاته</w:t>
      </w:r>
      <w:bookmarkEnd w:id="765"/>
    </w:p>
    <w:p>
      <w:pPr>
        <w:pStyle w:val="BookText"/>
        <w:rPr/>
      </w:pPr>
      <w:r>
        <w:rPr>
          <w:rFonts w:ascii="Amiri" w:hAnsi="Amiri" w:eastAsia="Amiri" w:cs="Amiri"/>
          <w:color w:val="111111"/>
          <w:sz w:val="28"/>
          <w:sz w:val="28"/>
          <w:szCs w:val="28"/>
          <w:rtl w:val="true"/>
          <w:lang w:bidi="ar-SA"/>
        </w:rPr>
        <w:t>لا يخفى أنَّ لكلِّ مرضٍ مادي يصيب الجسم أعراضاً خاصة يُعرف بها، ويُميز بواسطتها عن غيره، والأمر كذلك في الأمراض الروحية التي تُصيب النفس والروح، فلكلِّ داءٍ من دوّي الروح علامات وأعراض يُعرف بها، وسبق أن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الجهل المركب 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العضال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الذي أعيى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أعراض هذا المرض؟ وما هي تبعاته التي تُصاحبه وتنتج عنه؟</w:t>
      </w:r>
    </w:p>
    <w:p>
      <w:pPr>
        <w:pStyle w:val="BookText"/>
        <w:rPr/>
      </w:pPr>
      <w:r>
        <w:rPr>
          <w:rFonts w:ascii="Amiri" w:hAnsi="Amiri" w:eastAsia="Amiri" w:cs="Amiri"/>
          <w:color w:val="111111"/>
          <w:sz w:val="28"/>
          <w:sz w:val="28"/>
          <w:szCs w:val="28"/>
          <w:rtl w:val="true"/>
          <w:lang w:bidi="ar-SA"/>
        </w:rPr>
        <w:t>من الطبيعي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التبعات والأعراض المصاحبة للجهل المركب، سوف تتفاوت شدَّةً وضعفاً بما يناسب ذلك المرض، فكلّما اشتدَّ الجهل المركب اشتدَّت تلك الأعراض،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تلخيص تلك التبعات بما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الجهل المركب مانع من قبول الحقِّ والرجوع إليه، بل يصل الأمر بالجاهل المركب إلى معاداة العلم وأهله، فقد ورد عن أمير المؤمنين عليّ علیه السلام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بالجهل يُستثار كلّ شرٍّ</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w:t>
      </w:r>
      <w:r>
        <w:rPr>
          <w:rStyle w:val="FootnoteAnchor"/>
          <w:rtl w:val="true"/>
        </w:rPr>
        <w:footnoteReference w:id="77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جهل شيئاً عاداه</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ضادّ العلماء كالجهال</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فقبول الحقِّ يعني قبلَ كلِّ شيءٍ الجهل به، ثُمّ قبوله والإذعان له، والجاهل المركب لا يرى نفسه جاهلاً فكيف يذعن للحقِّ؟</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الجهل المركب يقتل الدافع لدى الإنسان لطلب العلم؛ إذ إنَّ الإنسان بفطرته </w:t>
      </w:r>
    </w:p>
    <w:p>
      <w:pPr>
        <w:pStyle w:val="BookText"/>
        <w:rPr/>
      </w:pPr>
      <w:r>
        <w:rPr>
          <w:rFonts w:ascii="Amiri" w:hAnsi="Amiri" w:eastAsia="Amiri" w:cs="Amiri"/>
          <w:color w:val="111111"/>
          <w:sz w:val="28"/>
          <w:sz w:val="28"/>
          <w:szCs w:val="28"/>
          <w:rtl w:val="true"/>
          <w:lang w:bidi="ar-SA"/>
        </w:rPr>
        <w:t>طالب للكمال، رافض للنقص، والعلم كمال، وكفى لكونه كمالاً أن يدَّعيه مَن لم يتصف به، فإذا رأى الإنسان نفسه عالماً، وهو جاهل مركب، فلماذا طلب العلم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الجهل المركب يُميت القلب، وقد عُبِّر عن المصاب به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 الأحياء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سبق أن نقلنا قول أمير المؤمنين في وصف الفُسَّاق،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قد تسمَّى عالماً وليس به، فاقتبس جهائل من جُهَّال، وأضاليل من ضُلّال، ونصب للناس أشراكاً من حبائل غرور، وقول زور، قد حمل الكتاب على آرائه، وعطف الحقَّ على أهوائه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فالصورة صورة إنسانٍ، والقلب قلب 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ميِّت الأحياء</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أحد شُرّاح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كونه ميّتاً؛ فلأنَّ الحياة الحقيقية التي تُطلب لكلِّ عاقلٍ، والتي وردت الشرائع والكتب الإلهية بالأمر بتحصيلها، هي حياة النفس باستكمال الفضائل التي هي سبب السعادة الباقية، وقد علمتَ أنَّ الجهل المركب هو الموت المضاد لتلك الحياة، فالجاهل بالحقيقة ميِّت، وأمّا أنّه ميِّت الأحياء؛ فلأنّه في صورة الحي</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ـ إنَّ الجهل المركب يُعدُّ منشئاً للكثير من الرذائل، والقبائح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كالعجب، والغرور، والتكبر، ففي ذيل قول أمير المؤمنين في نهج البلاغة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ـ عباد الله ـ أنَّ المؤمن لا يُصبح ولا يُمسي، إلّا ونفسه ظنون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زارياً عليها، ومستزيداً لها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الشُرّاح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عاقلٍ ـ مؤمناً كان أم غير مؤمن ٍـ يتهم نفسه، ويعيب عليها التقصير، ويطلب منها ولها المزيد من الكمال، والتحرر من الرذائل والعيوب، ومن أكبر العيوب أن يبرّئ الإنسان نفسه من العيب والخطأ، ولا مصدر لهذا الغرور إلّا الجهل المركب؛ فإنَّ الإنسان كلَّما ازداد علماً ازداد توقعاً للخطأ، وقبولاً للنقد</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766" w:name="pg7448_77140"/>
    </w:p>
    <w:p>
      <w:pPr>
        <w:pStyle w:val="Heading4"/>
        <w:numPr>
          <w:ilvl w:val="3"/>
          <w:numId w:val="1"/>
        </w:numPr>
        <w:rPr/>
      </w:pPr>
      <w:bookmarkStart w:id="767" w:name="__RefHeading___Toc1937206_1051229030"/>
      <w:bookmarkStart w:id="768" w:name="_Toc288"/>
      <w:bookmarkEnd w:id="766"/>
      <w:bookmarkEnd w:id="767"/>
      <w:r>
        <w:rPr>
          <w:rtl w:val="true"/>
        </w:rPr>
        <w:t>الجهل المركب حالة حيوانية</w:t>
      </w:r>
      <w:bookmarkEnd w:id="768"/>
    </w:p>
    <w:p>
      <w:pPr>
        <w:pStyle w:val="BookText"/>
        <w:rPr/>
      </w:pPr>
      <w:r>
        <w:rPr>
          <w:rFonts w:ascii="IRNazanin" w:hAnsi="IRNazanin" w:eastAsia="IRNazanin"/>
          <w:color w:val="111111"/>
          <w:sz w:val="28"/>
          <w:sz w:val="28"/>
          <w:szCs w:val="28"/>
          <w:rtl w:val="true"/>
          <w:lang w:bidi="fa-IR"/>
        </w:rPr>
        <w:t>إنَّ من أفضل نعم الله تعالى على الإنسان أن ميَّزه عن باقي أجناس الحيوانات بالعقل، تلك الجوهرة التي ارتفع بها الإنسان من حضيض الحالة الحيوانية، ليصل إلى مراتب يطمع بها حتّى الملائكة المقربين، فبالعقل تتحقق إنسانية الإنسان، ولولاه لصار الإنسان صنفاً من صنوف الحيوانات ليس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دام الإنسان سائراً بهدي العقل السليم فهو إنسان، فإن أهمل ذلك فقد رجع إلى الحالة الحيوانية؛ لذا وردت الأحاديث الجمَّة في مدح العقل، وذمِّ الجهل؛ لأنَّ الجهل عبارة عن تغييب لدور هذه الجوهرة النفيسة، فقد ورد في كتاب الكافي الشريف، عن الإمام محمّد بن عليّ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هو أحبُّ إليَّ منك، ولا أكملتك إلّا فيمَن أُحبُّ، أما إنّي إيّاك آمر، وإيّاك أنهى، وإيّاك أُعاقب، وإيّاك أُثيب</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مظاهر تغييب العقل الواضحة، هي حالة الجهل المركب؛ لأنَّ الجهل المركب هو إعمال للوهم ـ أي يتوهم الإنسان ويزعم ويحسب أنّه عالم، والحقيقة خلاف ذلك ـ والوقوف عند الوهم حالة حيوانية، تشترك فيها جميع الحيوانات مع الإنسان، 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الوهمي يحصل عليه كغيره من الحيوانات بقوة الوهم، وهي ـ هذه القوة ـ موضع افتراق الإنسان عن الحيوان، فيُترك الحيوان وحده يُدبر إدراكاته بالوهم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يذهب هو ـ الإنسان ـ في طريقه وحده، متميزاً عن الحيوان بقوة العقل والفكر التي لا حدَّ لها ولا نهاية</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عن أمير المؤمنين عليّ علیه السلام ، في الحديث الذي ذكرناه سابقاً،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وآخر قد تسمَّى عالماً وليس به، فاقتبس جهائل من جُهَّال، وأضاليل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فالصورة صورة إنسانٍ، والقلب قلب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ميِّت الأحياء</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769" w:name="pg7448_77141"/>
    </w:p>
    <w:p>
      <w:pPr>
        <w:pStyle w:val="BookText"/>
        <w:rPr/>
      </w:pPr>
      <w:bookmarkEnd w:id="769"/>
      <w:r>
        <w:rPr>
          <w:rFonts w:ascii="Amiri" w:hAnsi="Amiri" w:eastAsia="Amiri" w:cs="Amiri"/>
          <w:color w:val="111111"/>
          <w:sz w:val="28"/>
          <w:sz w:val="28"/>
          <w:szCs w:val="28"/>
          <w:rtl w:val="true"/>
          <w:lang w:bidi="ar-SA"/>
        </w:rPr>
        <w:t>وعبّر شارح أُصول الكافي عن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بالشيء اعتقاداً فاسداً،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المركب، والغيّ والغواية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وهذا أشدّ من الأوّل؛ لأنّه من الأمراض المهلكة للحياة القلبية، والأسقام المبطلة للحقيقة الإنسانية</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فيتبين ـ إلى هنا ـ أنَّ حقيقة الإنسان بعقله، وبه يُسمَّى الإنسان إنساناً، وإلّا فهو كالبهيمة، وعلى هذا 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إنسان بالقوة إذا لم يعلم ولم يجهل جهلاً مركباً، فإذا علم كان إنساناً بالفعل، أو جهل جهلاً مركباً كان حيواناً، بل أسوأ منه</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0" w:name="__RefHeading___Toc1937208_1051229030"/>
      <w:bookmarkStart w:id="771" w:name="_Toc289"/>
      <w:bookmarkEnd w:id="770"/>
      <w:r>
        <w:rPr>
          <w:rtl w:val="true"/>
        </w:rPr>
        <w:t>في علاج الجهل المركب</w:t>
      </w:r>
      <w:bookmarkEnd w:id="771"/>
    </w:p>
    <w:p>
      <w:pPr>
        <w:pStyle w:val="Heading5"/>
        <w:numPr>
          <w:ilvl w:val="4"/>
          <w:numId w:val="1"/>
        </w:numPr>
        <w:rPr/>
      </w:pPr>
      <w:bookmarkStart w:id="772" w:name="__RefHeading___Toc1937210_1051229030"/>
      <w:bookmarkStart w:id="773" w:name="_Toc290"/>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أجمع أهل المعرفة</w:t>
      </w:r>
      <w:r>
        <w:rPr>
          <w:rStyle w:val="FootnoteAnchor"/>
          <w:rtl w:val="true"/>
        </w:rPr>
        <w:footnoteReference w:id="787"/>
      </w:r>
      <w:r>
        <w:rPr>
          <w:rFonts w:ascii="Amiri" w:hAnsi="Amiri" w:eastAsia="Amiri" w:cs="Amiri"/>
          <w:color w:val="111111"/>
          <w:sz w:val="28"/>
          <w:sz w:val="28"/>
          <w:szCs w:val="28"/>
          <w:rtl w:val="true"/>
          <w:lang w:bidi="ar-SA"/>
        </w:rPr>
        <w:t>على أنّ من أصعب الصعاب، معالجة الجهل المركب؛ لذا فقد ورد في مطلع المقال تسميته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 العضال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فالجاهل بجهل كهذا، جمع بين الجهل والاعتقاد، وخلط معهما العُجب والهوى والغرور، فبالحقيقة أنَّ الجهل المركب عبارة عن عدَّة أمراض جُمعت في واحد؛ لذا كان من المتعذر تطبيب مَن أُصيب به، لكن مع هذا التعذر والصعوبة ذُكرت بعض الأُمور التي يمكن أن تكون علاجاً لهذا الداء المعضل، ويمكن تصور العلاج في مرحلتين اثنتين</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937212_1051229030"/>
      <w:bookmarkStart w:id="775" w:name="_Toc291"/>
      <w:bookmarkEnd w:id="774"/>
      <w:r>
        <w:rPr>
          <w:rtl w:val="true"/>
        </w:rPr>
        <w:t>المرحلة الأُولى</w:t>
      </w:r>
      <w:r>
        <w:rPr>
          <w:rtl w:val="true"/>
        </w:rPr>
        <w:t xml:space="preserve">: </w:t>
      </w:r>
      <w:r>
        <w:rPr>
          <w:rtl w:val="true"/>
        </w:rPr>
        <w:t>منع حصول هذا الداء بتجفيف منابعه</w:t>
      </w:r>
      <w:bookmarkEnd w:id="775"/>
    </w:p>
    <w:p>
      <w:pPr>
        <w:pStyle w:val="BookText"/>
        <w:rPr/>
      </w:pPr>
      <w:r>
        <w:rPr>
          <w:rFonts w:ascii="Amiri" w:hAnsi="Amiri" w:eastAsia="Amiri" w:cs="Amiri"/>
          <w:color w:val="111111"/>
          <w:sz w:val="28"/>
          <w:sz w:val="28"/>
          <w:szCs w:val="28"/>
          <w:rtl w:val="true"/>
          <w:lang w:bidi="ar-SA"/>
        </w:rPr>
        <w:t>إن أُولى المراحل لمعالجة هذا الداء الخطير هو تحاشي الأُمور التي تولد جهلاً مركباً عند الإنسان والتي منها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اتباع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فالهوى من أخطر مزالق الفكر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فعندما يحبُّ الإنسان شيئاً ويتعلق به، تعمى بصيرة عقله، وتُصم مسامع فكره، وبالتالي لا يقدر أن يتبين أو يدرك مواضع </w:t>
      </w:r>
    </w:p>
    <w:p>
      <w:pPr>
        <w:pStyle w:val="BookText"/>
        <w:rPr/>
      </w:pPr>
      <w:r>
        <w:rPr>
          <w:rFonts w:ascii="IRNazanin" w:hAnsi="IRNazanin" w:eastAsia="IRNazanin"/>
          <w:color w:val="111111"/>
          <w:sz w:val="28"/>
          <w:sz w:val="28"/>
          <w:szCs w:val="28"/>
          <w:rtl w:val="true"/>
          <w:lang w:bidi="fa-IR"/>
        </w:rPr>
        <w:t xml:space="preserve">الضعف في محبوبه المعشوق، وهكذا الحال بالنسبة لخصيصة المقت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لو أراد أن يُميّز مواطن الضعف والقوة في نظرية ما، ويفكّر فيها تفكيراً صائباً، فعليه أن يتحرر من الميول والرغبات النفسية؛ لأنَّ هذه الميول والرغبات، تؤثر في اعتقاده شاء أم لم يشأ، وعلى سبيل المثال لا الحصر أنَّه اشتُهر عن العلّامة الحلي عندما أراد أن يُفتي فيما إذا كان ماء البئر قد أصبح نجساً، هل يمكن تطهيره أو لا؟ أمر بردم بئر منزله أوّلاً، ثُمّ بدأ بمطالعة النصوص الفقهية في هذا الصدد، ثُمّ أفتى بعد ذلك بأنَّه لو أصبح ماء البئر نجساً، أمكن تطهيره طبقاً لما جاء في الكتب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فالعلّامة الحلي كان يعلم أنَّه لو لم تُردم بئر منزله، لأثّر وجودها في رأيه وفتواه بصورة لا إرادية، وهذه حقيقة لا تُنكر، فالإنسان لا يمكنه أن يُدرك الحقائق العقلية حقَّ الإدراك، أو يُبدي رأياً صائباً فيها إلّا إذا رُدمت بئر ميوله ورغباته النفسية، وتحرّر ذهنه من قيد هواها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فكلَّما تحرّر ذهن المحقق أو الباحث من الميول والرغبات النفسية، اقترب من الصواب، كما قال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الآراء من النهى، أبعدها من الهوى</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ـ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يبني الإنسان معلوماته، وخصوصاً المعلومات المصيرية على علمٍ، لم يصل إلى درجة عالية من الوضوح والكشف عن الواقع، فيتصرف على أساس ذلك العلم، تصرف الجازم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ما يُوصي به القرآن لتصحيح العقيدة، هو تجنب الاعتماد على هذا المنزلق، ويؤكّد على أتباعه بعدم بناء عقائدهم وآرائهم على دعائم الظنِّ والشك، والتسليم بشيء دونما تأكد من صحته وثبوته، ففي نظر القرآن أنَّه لا يحقُّ لمسلم أن يقتفي شيئاً، أو يجعله مداراً لعمله، ما لم يثبت له أنَّه قطعي وثابت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القرآن على منكري المعاد، بأنَّهم معوزون إلى الدليل على إنكار الحياة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إنكارهم لم يقمْ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اعتقادهم لا يقوم على أساسٍ علمي، وإنَّما يقوم على الظنِّ والحدس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مَا هِيَ إِلَّا حَيَاتُنَا الدُّنْيَا نَمُوتُ وَنَحْيَا وَمَا يُهْلِكُنَا إِلَّا الدَّهْرُ وَمَا لَهُمْ بِذَلِكَ مِنْ عِلْمٍ إِنْ هُمْ إِلَّا يَظُنُّونَ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ولعلَّ أغلب مشاكل عالمنا المعاصر اليوم تأتي من هذه الخاصرة الرخوة، فأصبح البعض يستبيح الدم والعرض والمال، لا لشيء إلّا لاتباع الظنِّ والهوى، وهذا من الطامات التي حذّر منها أُولو النُهى، وكلّ ذلك يُعدُّ مصدراً للجهل المركب، وينبوعاً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ـ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العصب،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والصاد والباء، أصل صحيح يدل على ربط شيء بشي</w:t>
      </w:r>
      <w:r>
        <w:rPr>
          <w:rFonts w:eastAsia="Amiri" w:cs="Amiri" w:ascii="Amiri" w:hAnsi="Amiri"/>
          <w:color w:val="111111"/>
          <w:sz w:val="28"/>
          <w:szCs w:val="28"/>
          <w:rtl w:val="true"/>
          <w:lang w:bidi="ar-SA"/>
        </w:rPr>
        <w:t>»</w:t>
      </w:r>
      <w:r>
        <w:rPr>
          <w:rStyle w:val="FootnoteAnchor"/>
          <w:rtl w:val="true"/>
        </w:rPr>
        <w:footnoteReference w:id="790"/>
      </w:r>
      <w:r>
        <w:rPr>
          <w:rFonts w:ascii="IRNazanin" w:hAnsi="IRNazanin" w:eastAsia="IRNazanin"/>
          <w:color w:val="111111"/>
          <w:sz w:val="28"/>
          <w:sz w:val="28"/>
          <w:szCs w:val="28"/>
          <w:rtl w:val="true"/>
          <w:lang w:bidi="fa-IR"/>
        </w:rPr>
        <w:t>، وكأنَّ المتعصِّب يحاول أن يرتبط بفئته التي شعر بالانتماء إليها على كلِّ حالٍ، أصابوا أم أخطأوا، أحسنوا أم أساءوا؛ ولهذا كان التعصُّب أحد منابع الجهل المركب؛ لأنّ المتعصِّب لا يعتقد أنَّه على خطأ البتة، بل يرى نفسه مُصيباً مُحسناً على كلِّ حالٍ، ولا يعلم أنَّه في تعصبه إنّما يتبع هواه وميول نفسه، وقد عبَّر أمير المؤمنين علیه السلام  عن الشيطان،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المتعصبين، وسلف المتكبرين الذي وضع أساس العصبية</w:t>
      </w:r>
      <w:r>
        <w:rPr>
          <w:rFonts w:eastAsia="IRNazanin" w:cs="IRNazanin"/>
          <w:color w:val="111111"/>
          <w:sz w:val="28"/>
          <w:szCs w:val="28"/>
          <w:rtl w:val="true"/>
          <w:lang w:bidi="fa-IR"/>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ـ إذا أراد الإنسان أن يتخذ موقفاً ما ـ من مراعاة أُسس العقل والدين المتينة، وعدم اتباع الهوى والعصبية دفعاً للجهل، وابتعاداً عن شِراكه المُهلكة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عدم الاختيار العلمي والدقيق لمصادر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مبالغة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إن لم يكن أهمّ الأُمور التي ذُكرت في هذه المرحلة، فهو لا يقلُّ أهميةً عنها؛ لأنَّ الكثير من المعلومات والاعتقادات والأفكار ـ بل والمواقف العملية والعلمية ـ تُبنى على معلومات استُقيت من مصادر موبوءة، لها مواقف مسبقة تعمل ضمن أيديلوجية معينة، ولها أهداف غير نبيلة؛ ولذلك شدّد أهل البيت علیهم السلام  على التدقيق والتثبت في مصادر العلم، وسبق أن نقلنا قولي الإمام الباقر علیه السلام ، حيث يقول في تفسير قول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فَلْيَنْظُرِ الْإِنْسَانُ إِلَى طَعَامِهِ </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حيث سأله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طعامه؟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الذي يأخذه عمّن يأخذه</w:t>
      </w:r>
      <w:r>
        <w:rPr>
          <w:rFonts w:eastAsia="IRNazanin" w:cs="IRNazanin"/>
          <w:color w:val="111111"/>
          <w:sz w:val="28"/>
          <w:szCs w:val="28"/>
          <w:rtl w:val="true"/>
          <w:lang w:bidi="fa-IR"/>
        </w:rPr>
        <w:t>»</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أصغى إلى ناطقٍ فقد </w:t>
      </w:r>
      <w:bookmarkStart w:id="776" w:name="pg7448_77144"/>
    </w:p>
    <w:p>
      <w:pPr>
        <w:pStyle w:val="BookText"/>
        <w:rPr/>
      </w:pPr>
      <w:bookmarkEnd w:id="776"/>
      <w:r>
        <w:rPr>
          <w:rFonts w:ascii="Amiri" w:hAnsi="Amiri" w:eastAsia="Amiri" w:cs="Amiri"/>
          <w:color w:val="111111"/>
          <w:sz w:val="28"/>
          <w:sz w:val="28"/>
          <w:szCs w:val="28"/>
          <w:rtl w:val="true"/>
          <w:lang w:bidi="ar-SA"/>
        </w:rPr>
        <w:t>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الانسان لا يأكل كلَّ ما يصادفه في الطريق، بل يتخير من الأطعمة أطيبها، وأشهاها، وأنظفها، بل وينظر إلى مَن أعدّها وهيّأها، ويُراعي المكان الذي تُباع فيه، هل هو مكان تُراعى فيه الشروط الصحية أو لا؟ فليكن التدقيق في مصادر المعرفة أشدُّ وآكد؛ لأنَّ غذاء الروح أعظم أهمية؛ إذ إنّه باقٍ مع الإنسان، بل هو الذي يكوّن شخصية الإنسان ويحدد ملامحها ويرسم مصيرها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الكثير الكثير من منابع المعلومات ومصادرها تصنع ـ بقصدٍ مُسبق ـ حالة الجهل المركب لدى الإنسان، وتحاول أن تُسيّره وفق أهدافها وأغراضها، من دون توخي للحقيقة والواقع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مبالغة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مصانع ضخمةً، لإنتاج وصناعة الجهل المركب في زماننا المعاصر، تنصب شباكها في كلِّ مكانٍ؛ محاولةً منها لاصطياد أكبر عدد ممكن من 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منابع أُخرى للجهل المركب، يطول بذكرها المقال، كالتسرّع في الأُمور، وعدم التثبت والدقة،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تركنا الكلام عنها اختصاراً</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937214_1051229030"/>
      <w:bookmarkStart w:id="778" w:name="_Toc292"/>
      <w:bookmarkEnd w:id="777"/>
      <w:r>
        <w:rPr>
          <w:rtl w:val="true"/>
        </w:rPr>
        <w:t>المرحلة الثانية</w:t>
      </w:r>
      <w:r>
        <w:rPr>
          <w:rtl w:val="true"/>
        </w:rPr>
        <w:t xml:space="preserve">: </w:t>
      </w:r>
      <w:r>
        <w:rPr>
          <w:rtl w:val="true"/>
        </w:rPr>
        <w:t>محاولة علاج هذا الداء بعد حصوله</w:t>
      </w:r>
      <w:bookmarkEnd w:id="778"/>
    </w:p>
    <w:p>
      <w:pPr>
        <w:pStyle w:val="BookText"/>
        <w:rPr/>
      </w:pPr>
      <w:r>
        <w:rPr>
          <w:rFonts w:ascii="Amiri" w:hAnsi="Amiri" w:eastAsia="Amiri" w:cs="Amiri"/>
          <w:color w:val="111111"/>
          <w:sz w:val="28"/>
          <w:sz w:val="28"/>
          <w:szCs w:val="28"/>
          <w:rtl w:val="true"/>
          <w:lang w:bidi="ar-SA"/>
        </w:rPr>
        <w:t>وقد ذُكرت لذلك عدَّة حلول نوجزها بالخطوات التالية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ـ عرض المعلومات على ذوي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الاختصاص خبير باختصاصه، ولا بدَّ أن يختار المرء المختص العاقل الكيّس الذي لا يتكلَّم وفق هواه وميوله النفسية، وخصوصاً في الأُمور المصيرية، كالعقائد والأُمور الراجعة إلى دين الإنسان؛ إذ إنَّها تُحدد مصيره، وترسم طريق حياته الدنيوية والأُخروية، فإنَّ أحدنا إذا أراد شراء بيتٍ أو سيارةٍ يسأل كثيراً ويتردد، ويتحرّى ذوي الخبرة ليسألهم، وإذا أقدم على الشراء بدون مشورةٍ، وكانت السلعة معيبةً، فإنَّه سيتعرَّض للّوم الشديد، والعتاب المرّ على تركه المشورة، مع العلم أنَّ البيت أو السيارة ممكن أن يعوّضا، ولا يترتب على نقصهما كبير أثر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بالك بالعلم الذي له مساس بالحياة الدنيا والآخرة على حدٍّ سواء، كالعقائد وما يتعلق بها، والأُمور الدينية، أو </w:t>
      </w:r>
    </w:p>
    <w:p>
      <w:pPr>
        <w:pStyle w:val="BookText"/>
        <w:rPr/>
      </w:pPr>
      <w:r>
        <w:rPr>
          <w:rFonts w:ascii="Amiri" w:hAnsi="Amiri" w:eastAsia="Amiri" w:cs="Amiri"/>
          <w:color w:val="111111"/>
          <w:sz w:val="28"/>
          <w:sz w:val="28"/>
          <w:szCs w:val="28"/>
          <w:rtl w:val="true"/>
          <w:lang w:bidi="ar-SA"/>
        </w:rPr>
        <w:t>بعض المواقف السياسية الضخمة؟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نرى بعض خُلَّص أصحاب الأئمّة يعرضون دينهم، وعقائدهم على الأئمّة علیهم السلام ؛ ليصحّحوا لهم الخطأ والاشتباه ـ إن وجد ـ أو ليقرّوهم عليها إن كانت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الشريف عن إسماعيل بن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عليك ديني الذي أُدين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فعل عبد العظيم الحسني الذي كان من أجلَّة أصحاب الإمام الجواد والإمام الهادي علیهماالسلام  ، ومن أحفاد الإمام الحسن الزكي علیه السلام ، ووكيلاً عن الأئمّة علیهم السلام  في منطقة الري، ومع هذه الجلالة نراه يعرض دينه على الإمام الهادي علیه السلام </w:t>
      </w:r>
      <w:r>
        <w:rPr>
          <w:rStyle w:val="FootnoteAnchor"/>
          <w:rtl w:val="true"/>
        </w:rPr>
        <w:footnoteReference w:id="795"/>
      </w:r>
      <w:r>
        <w:rPr>
          <w:rFonts w:ascii="Amiri" w:hAnsi="Amiri" w:eastAsia="Amiri" w:cs="Amiri"/>
          <w:color w:val="111111"/>
          <w:sz w:val="28"/>
          <w:sz w:val="28"/>
          <w:szCs w:val="28"/>
          <w:rtl w:val="true"/>
          <w:lang w:bidi="ar-SA"/>
        </w:rPr>
        <w:t>، كلُّ ذلك منهم رجوعاً إلى ذوي الخبرة والبصيرة، والعقل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ـ الاستعانة بالمشورة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استبدّ برأيه هلك، ومَن شاور الرجال شاركها عقولها</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 xml:space="preserve">، على حدِّ 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فغالباً ما تظهر للإنسان عيوب آرائه، ونقاط الضعف فيها، حينما يتم تداولها مع أشخاصٍ من ذوي العقل والمروءة، وقد ذُكرت للمشاور صفات عديدة يطول المقام بذكرها،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من ذوي العقل، وأن يُعطي أخاه محض الرأي، وأن لا يكون الرأي ناشئاً من هوى، أو عصبيةٍ، أو مصلحةٍ دنيويةٍ، و</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ـ الاستعانة ببقية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الطريقة قد اقترحها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وتتلخص بطرح احتمالين لحصول الجهل المركب، فيقول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إنَّ المنشأ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اعوجاج السليقة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والطبيعة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فأنفع العلاج له تحريض صاحبه على تعلُّم العلوم الرياضية من الهندسة والحساب؛ فإنّها موجبة لاستقامة الذهن لأُلفه ـ لأجلها ـ باليقينيات؛ فيتنبّه على خلل اعتقادها، فيصير </w:t>
      </w:r>
    </w:p>
    <w:p>
      <w:pPr>
        <w:pStyle w:val="BookText"/>
        <w:rPr/>
      </w:pPr>
      <w:r>
        <w:rPr>
          <w:rFonts w:ascii="Amiri" w:hAnsi="Amiri" w:eastAsia="Amiri" w:cs="Amiri"/>
          <w:color w:val="111111"/>
          <w:sz w:val="28"/>
          <w:sz w:val="28"/>
          <w:szCs w:val="28"/>
          <w:rtl w:val="true"/>
          <w:lang w:bidi="ar-SA"/>
        </w:rPr>
        <w:t>جهلها بسيطاً، فينتهض للطلب</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بدراسة العلوم اليقينية ـ كالهندسة والرياضيات ـ يتضح للجاهل المركب، قيمة اليقين ومعناه أوّلاً، وقيمة معارفه التي كان يظنُّ أنّها يقينية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يضيف حلولاً أُخرى سبق أن ذُكرت آنفاً، لكن لا بأس بذكرها تتميماً للفائدة، قال رحمة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في الاستدلال، فليوازن استدلاله لاستدلالات أهل التحقيق والمشهورين باستقامة القريحة، ويعرض أدلة المطلوب على القواعد الميزانية، باحتياطٍ تامٍ واستقصاءٍ بليغٍ، حتّى يظهر خطأه،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الجهل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مانع من عصبيةٍ، أو تقليدٍ، أو غير ذلك، فليجتهد في إزالته</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مسك ختام الحديث حديثاً ورد عن الإمام الصادق علیه السلام ، إذ يقول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قَدْ جُعِلْتَ طَبِيبَ نَفْسِكَ وبُيِّنَ لَكَ الدَّاءُ، وعُرِّفْتَ آيَةَ الصِّحَّةِ ودُلِلْتَ عَلَى الدَّوَاءِ، فَانْظُرْ كَيْفَ قِيَامُكَ عَلَى نَفْسِكَ</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اِنَّما خَرَجْتُ لِطَلَبِ الاِصْلاحِ في اُمّهِ جَدّي</w:t>
      </w:r>
    </w:p>
    <w:p>
      <w:pPr>
        <w:pStyle w:val="BookText"/>
        <w:rPr/>
      </w:pPr>
      <w:r>
        <w:rPr>
          <w:rFonts w:ascii="Amiri" w:hAnsi="Amiri" w:eastAsia="Amiri" w:cs="Amiri"/>
          <w:color w:val="111111"/>
          <w:sz w:val="28"/>
          <w:sz w:val="28"/>
          <w:szCs w:val="28"/>
          <w:rtl w:val="true"/>
          <w:lang w:bidi="ar-SA"/>
        </w:rPr>
        <w:t>الاِصلَاحُ الحُسَینيُّ</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مَجَلةٌ فَصلِیّةُ مُتخَصِّصَةُ في النّهضَةِ وَ تُعنیَ بالدِّرَاسَّاتِ الدِّینِیَّةِ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الشيخ عباس اللامي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صحيحة معاوية بن عمار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ينبغي أن يُحرم دون الوقت الذي وقّته رسول الله‘، إلّا أن يخاف فوت الشهر في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أبواب المواقيت، باب</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سعد بن عبد الله، عن أحمد بن محمد، عن أحمد بن محمد بن أبي نصر، عن بعض أصحابه،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لأبي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يتعجل الرجل قبل التروية بيوم أو يومين من أجل الزحام وضغاط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٥٩٠</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بالإسناد عن يونس، عن إسماعيل بن عبد الخالق،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يُعجّل الشيخ الكبير والمريض والمرأة والمعلول طواف الحج قبل أن يخرج إلى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علي بن مهزيار، عن الحسن، عن حماد بن عيسى، عن شعيب، عن أبي بصير،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خشيت ألّا تقوم آخر الليل أو كانت بك علة أو أصابك برد فصلّ صلاتك، وأوتر من أول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علي بن الحكم، عن سيف، عن عبد الأعلى،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نافلة النهار؟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عشرة ركعة متى ما نشطت، إن علي بن الحسين علیه السلام كانت له ساعات من النهار يُصلي فيها، فإذا شغله ضيعة أو سلطان قضاها، إنما النافلة مثل الهدية متى ما أُتي بها 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بن عيسى، عن أحمد بن محمد ابن أبي نصر،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 علیه السلام عن ركعتي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احشوا بهما صلاة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النضر، عن عبد الله بن سنان،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الجمعة حين تزول الشمس قدر شراك، ويخطب في الظل الأول، فيقول جبرئيل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قد زالت الشمس؛ فانزل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جُعلت الجمعة ركعتين من أجل الخطبتين، فهي صلاة حتى ينزل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عن أحمد بن الحسن بن علي بن فضال، عن عمرو بن سعيد، عن مصدق بن صدقة، عن عمار بن موسى الساباطي، عن أبي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الرجل إذا غلبته عينه أو عاقه أمر أن يصلي المكتوبة من الفجر ما بين أن يطلع الفجر إلى أن تطلع الشمس، وذلك في المكتوبة خاصة، فإن صلى ركعة من الغداة ثم طلعت الشمس فليُتمّ، وقد جازت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٢٥٧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٧٥١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 عبد علي بن جمعة، تفسير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٦٢٥</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الحسن بن يوسف،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٥١٦</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محمود، تفسير روح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الوسائل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سعد، عن محمد بن عيسى بن عبيد، عن العباس بن معروف، عن بعض أصحابنا، 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المسجد لعلة الكعبة، وحرم الحرم لعلّة المسجد، ووجب الإحرام لعلة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٣١٤</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السمهودي، علي بن عبد الله، خلاصة الوفا بأخبار دار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عياض وقبله أبو الوليد الناجي وغيرهما الإجماع على تفضيل ما ضم الأعضاء الشريفة حتى على الكعبة، كما قاله ابن عساكر في تحفته وغيره، بل نقل التاج السبكي عن ابن عقيل الحنبلي أنها أفضل من العرش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كاشف الغطاء، 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النهاية في مجرد الفقه والفتاوى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٥١٠</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٦٧٤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٣١٧</w:t>
      </w:r>
      <w:r>
        <w:rPr>
          <w:rFonts w:ascii="IRNazanin" w:hAnsi="IRNazanin" w:eastAsia="IRNazanin"/>
          <w:b w:val="false"/>
          <w:b w:val="false"/>
          <w:bCs w:val="false"/>
          <w:i w:val="false"/>
          <w:i w:val="false"/>
          <w:iCs w:val="false"/>
          <w:color w:val="333333"/>
          <w:sz w:val="20"/>
          <w:sz w:val="20"/>
          <w:szCs w:val="20"/>
          <w:rtl w:val="true"/>
        </w:rPr>
        <w:t>، المجلس</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البحراني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الحائر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مشرفه أفضل التحية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 أيضاً فيه كلام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 النقل عن المحقق في كتابه المشار إليه آنفا أنه جعل البلد محلاً للتمام، والمشهور بين أصحابنا الاختصاص بالحائر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٥٧٩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٥١٠</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مسافة ما بين الكفين إن أبسطهما، وهو قدر مدّ اليدين وما بينهما من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الدين،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البحراني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المرتضى وابن الجنيد، فظاهر كلاميهما المنع من التقصير في هذه المواضع الأربعة، وألحقا بها في ذلك أيضاً المشاهد المشرفة والضرائح المنورة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٤٨٣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الحلبي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الذي يغتسل في المدينة للإحرام، أيجُزيه عن الغسل في الميقات؟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الأحسائي، ابن أبي جمهور،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باب</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أبواب الطواف، الباب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 محمد بن الحسن،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٤٢٣</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 عبد الله بن جعفر،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أستاذ مساعد في جامعة المصطفى صلی الله علیه و آله  العالمية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محمد بن أحمد،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ـ على سبيل المثال 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الخميني، روح الله، تحرير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الرسائل العملية في نفس الباب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أبو مخنف، مقتل أبي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٣٤٠</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تذكرة الخواص</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رسالة إلى أهل الكوفة، وكذا في ص</w:t>
      </w:r>
      <w:r>
        <w:rPr>
          <w:rFonts w:ascii="IRNazanin" w:hAnsi="IRNazanin" w:eastAsia="IRNazanin"/>
          <w:b w:val="false"/>
          <w:b w:val="false"/>
          <w:bCs w:val="false"/>
          <w:i w:val="false"/>
          <w:i w:val="false"/>
          <w:iCs w:val="false"/>
          <w:color w:val="333333"/>
          <w:sz w:val="20"/>
          <w:sz w:val="20"/>
          <w:szCs w:val="20"/>
        </w:rPr>
        <w:t>٣٦٠</w:t>
      </w:r>
      <w:r>
        <w:rPr>
          <w:rFonts w:ascii="IRNazanin" w:hAnsi="IRNazanin" w:eastAsia="IRNazanin"/>
          <w:b w:val="false"/>
          <w:b w:val="false"/>
          <w:bCs w:val="false"/>
          <w:i w:val="false"/>
          <w:i w:val="false"/>
          <w:iCs w:val="false"/>
          <w:color w:val="333333"/>
          <w:sz w:val="20"/>
          <w:sz w:val="20"/>
          <w:szCs w:val="20"/>
          <w:rtl w:val="true"/>
        </w:rPr>
        <w:t xml:space="preserve"> في خطاب له مع جيش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محمد بن أحمد، 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للاستزادة راجع مقالة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و آزادي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 والحرية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للمؤلف، مجلة قرآن وعلم، العدد الرابع، خريف </w:t>
      </w:r>
      <w:r>
        <w:rPr>
          <w:rFonts w:ascii="IRNazanin" w:hAnsi="IRNazanin" w:eastAsia="IRNazanin"/>
          <w:b w:val="false"/>
          <w:b w:val="false"/>
          <w:bCs w:val="false"/>
          <w:i w:val="false"/>
          <w:i w:val="false"/>
          <w:iCs w:val="false"/>
          <w:color w:val="333333"/>
          <w:sz w:val="20"/>
          <w:sz w:val="20"/>
          <w:szCs w:val="20"/>
        </w:rPr>
        <w:t>١٣٨٨</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٦٠٧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وآية</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وآية</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ابن نما،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مهدي، 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تقي، ناسخ التواريخ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الدربندي،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الأُمم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محمد بن أحمد، مقتل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وآية</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إسلامي، دكتوراه في علم الحديث</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أحمد بن أبي يعقوب، 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يوسف بن عبد الله،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١١٠٣</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أحمد بن عبد العزيز، السقيفة وفدك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 النميري، عمر بن شبة،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٩٣٠</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الاندلسي، أحمد بن محمد،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الهيثمي، نور الدين علي،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الطبري،محمد بن جرير، 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علي بن الحسين،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يوسف بن عبد الله،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١١٣٦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أحمد بن يحيى،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الفرق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جمال الدين محمد،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٣٩١</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٤٢٦</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٤٢٧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عز الدين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التجمير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الجند في سخر العدو فلا يقتلون، وقد نهي أن يجمّر غزاة المسلمين في ثغور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الخليل بن أحمد،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أحمد بن أبي يعقوب،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٥١٢</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٧٢٧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عبده،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عز الدين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عليّ بن الحسين،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عليّ بن الحسين،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بن النعمان،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أحمد بن أبي يعقوب،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صلح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٢٥٩</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الفتنة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أبو الفرج،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 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بن الحجاج،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المغني في أبواب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النشار، نشأة الفكر الفلسفي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أمين، ضحى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وأستاذ في الحوزة العلمية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٣٧٤</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٣٧٥</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الكوفي، أحمد،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عبد الحسين،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ريّة، محمود، أبو هريرة شيخ المضيرة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أحمد بن عبد العزيز، السقيفة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يوسف بن عبد الله،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١٦٧٩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شبة، عمر، تاريخ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١٢٨٨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 أحمد،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 الإمام علي علیه السلام،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٤١٨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محمد بن أحمد،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٢٦٩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إسماعيل بن عمر،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الراوندي، قطب الدين،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٥٧٤</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٤٩١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محمد بن إسماعيل،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أنس، 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٦٣٤</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وأستاذ في الحوزة والجامعة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الأحسائي، ابن أبي جمهور،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بن النعمان،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محمد بن جعفر،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محمد بن أحمد،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علي بن الحسن، ترجمة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عبد الله، ليلة عاشوراء في الحديث و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علي بن أبي الكرم،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٦٠</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عبد الرسول، شرح زيارة عاشوراء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الدربندي، فاضل،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٦٠٠</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عبد الله، ليلة عاشوراء في الحديث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٢٩٦</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محمد بن جعفر،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الحرّاني، ابن شعبة،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لجنة الحديث في معهد باقر العلوم، موسوعة كلمات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محمد بن جعفر،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اللجنة العلمية في مؤسسة الإمام الصادق علیه السلام،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علي بن موسى،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إسلامي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١٤٩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الإنباه على قبائل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ـ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٤٨٩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٤٧٥</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المؤرِّخون في سلمان هذا الذي نقل عنه زهير بن القين، فقد ذكر الطبري في تاريخه أنّه سلمان بن ربيعة الباهلي قائد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ذكر بعض آخر أنّه سلمان الفارسي، كابن الأثير في الكامل الذي أشار إلى أنّه كان مع الفاتحين في تلك الحملة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والمفيد في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والحميري في الروض المعطار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وأكد ابن سعد في الطبقات حضوره في فتح بلنجر وأنّه قد أصاب مسكاً من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أنّ القائل هو سلمان الفارسي؛ لأنّه هو المؤهل لقول مثل هذا الكلام الذي لا يصدر إلّا من مدرسة أهل البيت علیهم السلام وتلامذتها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مع الركب الحسيني من المدينة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الطريق من مكّة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عبد الأمير، البالغون الفتح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المصادر اسمها ديلم بنت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ويبدو أنها كانت امرأة صالحة موالية لأهل البيت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ترجمة الإمام الحسين علیه السلام من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 زهير بن القين قد قُتل مع الحسين، فقالت امرأته لغلام له يقال له 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فكفّن مولاك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 فرأيت حسيناً ملقى،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أكفن مولاي وأدع حسيناً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فكفّنت حسيناً، ثمَّ رجعت، فقلت ذلك لها،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أحسنت، وأعطتني كفناً آخر،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 فكفّن مولاك، ففعلت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ـ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النيسابوري،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مع الركب الحسيني من المدينة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الطريق من مكّة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٥٤٠</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مع الركب الحسيني من المدينة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الطريق من مكّة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أبي أعثم، الخوارزمي في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الطبسي، مع الركب الحسيني من المدينة إلى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وقائع الطريق من مكّة إلى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٣٦٤</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ـ آية</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١٦٦</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الشيرازي، الأمثل في تفسير كتاب الله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٣٢٣</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٣٢٤</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٣١٥</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٣٣٤</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 الحلي،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وأستاذ في الحوزة العلمية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القائني، محمد باقر، 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مولى الرباب بنت امرئ القيس الكلبية زوجة الحسين علیه السلام، وقد صاحب الحسين علیه السلام من المدينة إلى مكّة ومن مكّة إلى كربلاء، ولم يُفارقه حتى قتل علیه السلام، ولكنه لم يوفّق لنيل الشهادة بين يدي الإمام الحسين علیه السلام، ولم يكن له دورٌ قتالي أصلاً، وبعد انتهاء المعركة وقع في الأسر، فعرضوه على ابن سعد،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فخلّى سبيله، وأصبح بعد ذلك من رواة واقعة الطف، وقد حرص أبو مخنف على الاتّصال به والأخذ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استفدناه من مواضع عدّة من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عنها أبو مخنف خبراً واحداً حول التحاق زوجها زهير بالحسين علیه السلام، وهو يرويه عنها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أبي حاتم، الجرح والتعديل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حذيفة من آل عامر بن جوين بن عائذ بن قيس الجرمى، كان مع علي يوم صفين، روى عنه أبو مخنف لوط بن يحيى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وعدّه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ويحيى هذا وإن كان أبوه من رموز الثورة وقيادييها إلّا أنّ أُمّه روعة كانت أخت عمرو بن الحجاج، وكان مشدوداً إلى خاله، وكان معه في كربلاء في عسكر عمر بن سعد، وكان معه أيضاً في قتاله ضد المختار تحت إمرة عبد الله بن مطيع والي الكوفة من قِبَل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٥٠٤</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٣١٤</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٣٢٦</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٣٣٤</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٣٤٠</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٣٤٤</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٣٤٧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وكانا مهتمّين بمتابعة أخبار النهضة، كما صرحا بذلك حيث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قضينا حجّنا لم يكن لنا همّة إلّا اللحاق بالحسين في الطريق لننظر ما يكون من أمره وشأنه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أخبارهما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٢٨٩</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٢٩٩</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ضُبط في أكثر المصادر من الفريقين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نسب معد واليمن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المنتخب من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العديم،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٣٦٧٣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اللباب في تهذيب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بدر الدين، مغاني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الباباني،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زاده آملي، أضبط المقال في ضبط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١٥٥</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مع أنّه عدّ من كُتبه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أخبار مخنف بن سليم؛ ولذا احتمل بعض الباحثين أنّه من تصحيف النسّاخ، وممَّن تابع النجاشي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في إيضاح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٣٥٩</w:t>
      </w:r>
      <w:r>
        <w:rPr>
          <w:rFonts w:ascii="IRNazanin" w:hAnsi="IRNazanin" w:eastAsia="IRNazanin"/>
          <w:b w:val="false"/>
          <w:b w:val="false"/>
          <w:bCs w:val="false"/>
          <w:i w:val="false"/>
          <w:i w:val="false"/>
          <w:iCs w:val="false"/>
          <w:color w:val="333333"/>
          <w:sz w:val="20"/>
          <w:sz w:val="20"/>
          <w:szCs w:val="20"/>
          <w:rtl w:val="true"/>
        </w:rPr>
        <w:t>، والتفرشي في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٧٤</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الأدباء للحموي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٢٢٥٢</w:t>
      </w:r>
      <w:r>
        <w:rPr>
          <w:rFonts w:ascii="IRNazanin" w:hAnsi="IRNazanin" w:eastAsia="IRNazanin"/>
          <w:b w:val="false"/>
          <w:b w:val="false"/>
          <w:bCs w:val="false"/>
          <w:i w:val="false"/>
          <w:i w:val="false"/>
          <w:iCs w:val="false"/>
          <w:color w:val="333333"/>
          <w:sz w:val="20"/>
          <w:sz w:val="20"/>
          <w:szCs w:val="20"/>
          <w:rtl w:val="true"/>
        </w:rPr>
        <w:t>، وتابعه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شاكر 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السلام عباس الوجيه في معجم رجال الاعتبار وسلوة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وعمر كحالة في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دريد،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٤٩٣</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أنساب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١٨٠</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٥٢١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xml:space="preserve"> ـ ص</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تحقيق محمد هادي اليوسفي الغروي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منتخب ذيل المذيّل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٣٨٩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٢٢٥٢</w:t>
      </w:r>
      <w:r>
        <w:rPr>
          <w:rFonts w:ascii="IRNazanin" w:hAnsi="IRNazanin" w:eastAsia="IRNazanin"/>
          <w:b w:val="false"/>
          <w:b w:val="false"/>
          <w:bCs w:val="false"/>
          <w:i w:val="false"/>
          <w:i w:val="false"/>
          <w:iCs w:val="false"/>
          <w:color w:val="333333"/>
          <w:sz w:val="20"/>
          <w:sz w:val="20"/>
          <w:szCs w:val="20"/>
          <w:rtl w:val="true"/>
        </w:rPr>
        <w:t>، وتابعه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شاكر،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عباس الوجيه، معجم رجال الاعتبار وسلوة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الطوسي ذلك في ترجمة خاصّة ليحيى، وإنّما ذكره ضمن ترجمته لأبي مخنف، حيث قال ـ بعد أن ذكر أبا مخنف في طبقة أصحاب أمير المؤمنين علیه السلام مجاراةً للكشي 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وعندي أنّ هذا غلط؛ لأنّ لوط بن يحيى لم يلقَ أمير المؤمنين علیه السلام، وكان أبوه يحيى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ـ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ـ على سبيل المثال لا الحصرـ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٥٦٢</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 فلهاوزن، الخوارج والشيعة، ترجمه عن الألمانية الدكتور عبد الرحمن بدوي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٢٢٥٣</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تاري، حقائق السقيفة في دراسة رواية أبي مخنف، ترجمة أحمد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تلك الروايات ما نقله أبو مخنف ـ لمّا خطب الحسين علیه السلام وسمع أخواته خطبته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وبكين، وبكى بناته فارتفعت أصواتهن، فأرسل إليهن أخاه العباس بن علي وعلياً ابنه، وقال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أسكتاهن، فلعمري ليكثرن بكاؤهن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ذهبا ليسكتاهن،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فظننا أنّه إنّما قالها حين سمع بكاؤهن؛ لأنّه قد كان نهاه أن يخرج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٤٢٤</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ـ ص</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وقعة الطف، تحقيق محمد هادي اليوسفي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٤٧٧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٥٣٧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٦٢٤</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الحلّي، خلاصة الأقوال في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التفرشي،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طرائف المقال في معرفة 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٥٦٦</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معجم رجال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الشبستري، الفائق في رواة وأصحاب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٦٢٥</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الأول من الكتاب في ذكر الممدوحين ومَن لم يضعفهم الأصحاب فيما علمته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ويفهم منه أنّه يعمل بخبر الراوي المهمَل كما يعمل بخبر الراوي الممدوح</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الثاني، مسالك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نقلاً عن كتاب شرح الاستبصار المخطوط لحفيد الشهيد الثاني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الإسترابادي،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الضعفاء والمتروكون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عدي، الكامل في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كثير،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٣٤٣</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الربعي، تاريخ مولد العلماء ووفياتهم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٢٢٥٢</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٣٣٥</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٢٥٤</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٤٢٠</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إسماعيل، إيضاح المكنون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١٧٨</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إسماعيل، هدية العارفين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٨٤١</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٣٢٠</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٢٢٥٣</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محمد مهدي، أنصار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ـ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اليوسفي الغروي</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الدين، عبد الحسين، مؤلفو الشيعة في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اليوسفي الغروي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الذريعة إلى تصانيف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مرآة الكتب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 معجم المطبوعات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اليوسفي الغروي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الغفاري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علينا عند الحديث عن مصنّفات أبي مخنف أنّ مروياته حول كربلاء تبلغ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الرقم بملاحظة تقطيع بعض الروايات، وعدِّ كلّ مقطعٍ روايةً، فالمسألة نسبية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اليوسفي الغروي</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وقعة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ـ ص</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هادي اليوسفي الغروي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 ابن أبي أسامة داهر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حفّاظ الحديث،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يرتّبه، ولِد سنة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ﻫ وتوفّي سنة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ﻫ، سمع يزيد بن هارون وعبد الوهاب الخفاف والواقدي ومحمد بن سعد وغيرهم، وروى عنه أبو جعفر الطبري، وأبو بكر بن خلاد، وأبو بكر الشافعي وخلق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أكثر أهل الحديث، ومنهم الدارقطني، وهو راوي كتاب الطبقات عن أُستاذه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المغني في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 ميزان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كحالة،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من المصادر والمراجع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منتقى الجمان في الأحاديث الصحاح والحسان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كليات في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القندوزي،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الكنتوري، كشف الحجب والأستار عن أسماء الكتب والأسفار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٥٤٥</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الله، حيدر، نظرية السنّة في الفكر الإمامي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٢٧٦</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الدربندي،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وأستاذ في الحوزة العلمية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الأقوال وغيرها، ياقوت الحموي في كتابه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باب الميم والكاف وما يليهما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جغرافية مكة المكرّمة، موقع على شبكة الأنترنت</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الغريفي، محيي الدين، الوقت والقبلة في الفقه والهيئة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جغرافية مكة المكرمة، موقع على شبكة الأنترنت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قاسم، عدنان فرحان، دروس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ثرب</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قاسم، عدنان فرحان، دروس في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جغرافية المدينة المنورة، موقع على شبكة الأنترنت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شبكة كربلاء المقدّسة، صفحة مدينة كربلاء، موقع على شبكة الأنترنت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باب الكاف والراء وما يليها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كربلاء العراقية، مجتمع شط العرب، موقع على شبكة الأنترنت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ياقوت، معجم البلدان 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١٠٤</w:t>
      </w:r>
      <w:r>
        <w:rPr>
          <w:rFonts w:ascii="IRNazanin" w:hAnsi="IRNazanin" w:eastAsia="IRNazanin"/>
          <w:b w:val="false"/>
          <w:b w:val="false"/>
          <w:bCs w:val="false"/>
          <w:i w:val="false"/>
          <w:i w:val="false"/>
          <w:iCs w:val="false"/>
          <w:color w:val="333333"/>
          <w:sz w:val="20"/>
          <w:sz w:val="20"/>
          <w:szCs w:val="20"/>
          <w:rtl w:val="true"/>
        </w:rPr>
        <w:t>، باب العين والراء وما يليهما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الجواهري، حسن، بحوث في الفقه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جريدة الرياض السعودية الألكترونية على موقعها على شبكة الأنترنت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محمد بن عمر،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 ناصر مكارم، تفسير 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 هاشم،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٨٠٥</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محمد بن عمر،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القرطبي، محمد بن أحمد، الجامع لأحكام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وما بعدها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٩٦</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الفيض،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٢٠٤</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الحاكم،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الاستذكار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٤٦٤</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الحاكم،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٥٥٧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٥٥٠</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٥٣٣</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٤٥٤</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٢٢٦</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٣٦٦</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محمد علي الأحسائي،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المرعشي، هامش كتاب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محمد بن جرير،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جمهور، محمد بن علي الأحسائي،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الأحسائي، ابن أبي جمهور،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المرعشي، هامش كتاب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حسين، خاتمة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والخميني، روح الله، كتاب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والحكيم، محمد سعيد، مصباح المنهاج،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شرح ص</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من العلماء كثير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باحثة إسلامية، بكالوريوس هندسة مدني، الجامعة التكنولوجية،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بكالوريوس شريعة، الجامعة العالمية الإسلامية،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ماجستير كلّية الآداب، قسم الأديان المقارن، الجامعة الحرّة، هولندا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سعدي أبو حبيب، القاموس الفقهي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تحرير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الفضل بن الحسن،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 مسلم،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 ابن أبي شيبة،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ميرزا حسين النوري،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فأحكامه سبحانه حرمات الله؛ إذ لا يحلّ انتهاكها، وأعلام طاعته وعبادته حرمات الله؛ إذ لا يحلّ هتكها، وأنبياؤه وأوصياؤهم وشهداء دينه وكتبه وصحفه من حرمات الله، يحرم هتكهم، فلو عظّمهم المؤمن أحياءً وأمواتاً فقد عمل بالآيتين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وَمَنْ يُعَظِّمْ حُرُمَاتِ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ذَلِكَ وَمَنْ يُعَظِّمْ شَعَائِرَ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 في ظلال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مختار، معجم اللغة العربية المعاصر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www.arabdict.com</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الفصول المهمّة في أُصول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محمد مهدي، شجرة 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الخامنئي، علي الحسيني، منتخب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٥٠٦</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الطبسي، نجم الدين، صوم عاشوراء بين السنّة النبوية والبدعة الأُموية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يوسف، الحدائق الناضرة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عبد الأعلى، مهذّب الأحكام في بيان الحلال والحرام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الشاهرودي، علي النمازي، مستدرك سفينة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٩٨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٩١٧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الكاشي، عبد الوهاب، مأساة الحسين علیه السلام بين السائل والمجيب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٣١٣</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محمد علي، الموسوعة الفقهية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٣٠٤</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هذه الجملة جاء في مجلة ميقات الحجّ العدد الثالث </w:t>
      </w:r>
      <w:r>
        <w:rPr>
          <w:rFonts w:ascii="IRNazanin" w:hAnsi="IRNazanin" w:eastAsia="IRNazanin"/>
          <w:b w:val="false"/>
          <w:b w:val="false"/>
          <w:bCs w:val="false"/>
          <w:i w:val="false"/>
          <w:i w:val="false"/>
          <w:iCs w:val="false"/>
          <w:color w:val="333333"/>
          <w:sz w:val="20"/>
          <w:sz w:val="20"/>
          <w:szCs w:val="20"/>
        </w:rPr>
        <w:t>١٤١٦</w:t>
      </w:r>
      <w:r>
        <w:rPr>
          <w:rFonts w:ascii="IRNazanin" w:hAnsi="IRNazanin" w:eastAsia="IRNazanin"/>
          <w:b w:val="false"/>
          <w:b w:val="false"/>
          <w:bCs w:val="false"/>
          <w:i w:val="false"/>
          <w:i w:val="false"/>
          <w:iCs w:val="false"/>
          <w:color w:val="333333"/>
          <w:sz w:val="20"/>
          <w:sz w:val="20"/>
          <w:szCs w:val="20"/>
          <w:rtl w:val="true"/>
        </w:rPr>
        <w:t>ﻫ، بعنوان شريعة ابراهيم علیه السلام في القرآن المجيد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شريف، حياة الإمام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لوط بن يحيى، مقتل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محسن، 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٦٣٦</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٥٠٥</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القاعدة الفقهية كثيراً على لسان الفقهاء وفي كتبهم الفقهية والاستدلالية، وهي محل اعتمادهم؛ إذ لم يناقش في صحتها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البجنوردي، محمد حسن، القواعد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السيستاني، علي،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الحكم المجعول من دون ملاحظة الظروف المحيطة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الجليل رزق، معالم التجديد الفقهي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 بحث السيد كمال الحيدري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الحكم المجعول مع ملاحظة الظروف المحيطة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جعفر بن محمد،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وأستاذ في الحوزة العلمية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٣٧٧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 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٥٧٤</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النوري،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تذكرة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٢٦٥</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٣٤٥</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٤٦٠</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عن أبي أسامة، كما في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٤٦٣</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٦١٠</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٤٥٦</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سماحة الأستاذ الشيخ محمد السند في محضر درسه المبارك</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الفقهية ، البجنوردي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 باب زيارة الإمام الحسين  علیه السلام</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٤٣٧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٥٨٢</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 يُراد به إما الإمام الباقر أو الصادق علیه السلام، وهذا التعبير وارد كثيراً في الكتب الروائية، مستعمل لأغراض يريدها أصحاب الأئمة علیهم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العلوي، محمد بن علي، فضل زيارة الحسين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٥٦١</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محمد، الشعائر الحسينية بين الأصالة والتجديد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١٥٣</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ذيله في الحديث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من هذه الأبواب</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للكليني ، الجزء الأول ، كتاب فضل العلم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يستخدم لفظ العلج في لغة العرب عموماً للدلالة على الغلظة والجفاء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 ص</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الخوئي، صراط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الخميني، استفتاءات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الگلبایگاني، مجمع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٥٣٧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٩٤</w:t>
      </w:r>
      <w:r>
        <w:rPr>
          <w:rFonts w:ascii="IRNazanin" w:hAnsi="IRNazanin" w:eastAsia="IRNazanin"/>
          <w:b w:val="false"/>
          <w:b w:val="false"/>
          <w:bCs w:val="false"/>
          <w:i w:val="false"/>
          <w:i w:val="false"/>
          <w:iCs w:val="false"/>
          <w:color w:val="333333"/>
          <w:sz w:val="20"/>
          <w:sz w:val="20"/>
          <w:szCs w:val="20"/>
          <w:rtl w:val="true"/>
        </w:rPr>
        <w:t xml:space="preserve"> ـ</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مرتضى،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 الساتر، بحوث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القطيفي، منير، الرافد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لأبحاث آية الله السيد علي الحسيني السيستاني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السبحاني، جعفر، مجلة پژوهش هاي أُصولي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اتجاهان في تدوين أُصول الفقه واقتراحات لتطويره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محمد، مجلة پژوهشهاي أُصولي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رؤية جديدة إلى مباحث علم الأُصول</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لاريجاني، صادق، پژوهش وحوزه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نشر في المجلة باللغة الفارسية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 جعفر، مجلة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هاي أُصولي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اتجاهان في تدوين أُصول الفقه واقتراحات لتطويره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وأستاذ في الحوزة العلمية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المدرسي، عباس، مجلة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 أجرته معه المجلّة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المعالم الجديدة للأُصول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الفضلي، عبد الهادي، دروس في أُصول فقه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عبد الساتر، بحوث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القطيفي، منير، الرافد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لأبحاث آية الله السيد علي الحسيني السيستاني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الآصفي، محمد مهدي، مجلة پژوهش هاي أُصولي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المنهجيات المعاصرة لعلم الأُصول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باقر، 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الآصفي، محمد مهدي، مجلة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هاي أُصولي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المنهجيات المعاصرة لعلم الأُصول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لاريجاني، صادق، مجلة پژوهش وحوزه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باللغة الفارسية،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 جديد في تدوين وتبويب علم الأُصول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إسلامي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٨٨</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ﮖ ﮗ ﮘ ﮙ ﮚ</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الراغب، 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الأحسائي، ابن أبي جمهور، عوالي الئالي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٤١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 محمد بن مسعود،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٢٩٤</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 جلال الدين،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الكفعمي، إبراهيم، البلد الأمين والدرع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٤٠٣</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٤٠٥</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٤١٠</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كاتب وباحث إسلامي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حيدر، جامع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٥١٥</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استبعدنا البحوث الفلسفية، والمنطقية المعمّقة حول ماهية الجهل المركب، وحقيقة تعريفه؛ لأنّها تُخرج البحث عن هدفه الأصلي</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محمد،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علي، مشكاة الأنوار في غرر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٤٣٠</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محمد بن الحسن، التبيان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الكاشف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١٦٤</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محمد بن الحسن،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الطباطبائي، محمد حسين،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الكاشاني، فتح الله، زبدة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للكاتب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العقل والجهل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موسوعة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٣٥١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البلاغي، محمد جواد، الرحلة المدرسية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٥١١</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٦٠٥</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٤٣٤</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٦٠٥</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٦٢٦</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٤٣٢١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الآمدي،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٩٦١٢</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ابن ميثم،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٢٩٩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مغنية، محمد جواد، في ظلال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٥٢٨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 محمد رضا،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المازندراني، محمد صالح،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الأنطاكي، داود، تذكرة أُولي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الطريحي، فخر الدين،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٣٤٦</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الريشهري، محمد، موسوعة العقائد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فارس، أحمد، معجم مقاييس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٤٦٥</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علي،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٤١٩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 صبحي،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٥٠٠</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النراقي، محمد، 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محمد بن يعقوب،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362</Pages>
  <Words>60518</Words>
  <Characters>276068</Characters>
  <CharactersWithSpaces>335371</CharactersWithSpaces>
  <Paragraphs>1817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2026-08-27T09:33:45Z</dcterms:created>
  <dc:creator>ghaemiyeh.com</dc:creator>
  <dc:description/>
  <dc:language>en-US</dc:language>
  <cp:lastModifiedBy/>
  <dcterms:modified xsi:type="dcterms:W3CDTF">2026-08-27T13:03:59Z</dcterms:modified>
  <cp:revision>1</cp:revision>
  <dc:subject/>
  <dc:title>الاصلاح الحسینی 5 مجلة فصلیة متخصصة فی النهضة و تعنی بالدراسات الدینِیة</dc:title>
</cp:coreProperties>
</file>

<file path=docProps/custom.xml><?xml version="1.0" encoding="utf-8"?>
<Properties xmlns="http://schemas.openxmlformats.org/officeDocument/2006/custom-properties" xmlns:vt="http://schemas.openxmlformats.org/officeDocument/2006/docPropsVTypes"/>
</file>