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على ابن کاطع الأوهام والأحلام دلیل الأدعیاء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23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923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9241_1051229030">
            <w:r>
              <w:rPr>
                <w:webHidden/>
                <w:rStyle w:val="IndexLink"/>
                <w:rtl w:val="true"/>
              </w:rPr>
              <w:t>مقدّمة المركز</w:t>
            </w:r>
            <w:r>
              <w:rPr>
                <w:rStyle w:val="IndexLink"/>
                <w:rtl w:val="true"/>
              </w:rPr>
              <w:t>:</w:t>
              <w:tab/>
            </w:r>
            <w:r>
              <w:rPr>
                <w:rStyle w:val="IndexLink"/>
              </w:rPr>
              <w:t>6</w:t>
            </w:r>
          </w:hyperlink>
        </w:p>
        <w:p>
          <w:pPr>
            <w:pStyle w:val="Contents2"/>
            <w:tabs>
              <w:tab w:val="clear" w:pos="8743"/>
              <w:tab w:val="right" w:pos="9026" w:leader="dot"/>
            </w:tabs>
            <w:rPr/>
          </w:pPr>
          <w:hyperlink w:anchor="__RefHeading___Toc329243_1051229030">
            <w:r>
              <w:rPr>
                <w:webHidden/>
                <w:rStyle w:val="IndexLink"/>
                <w:rtl w:val="true"/>
              </w:rPr>
              <w:t xml:space="preserve">كذب من يدَّعي النيابة الخاصّة بعد السمري </w:t>
            </w:r>
            <w:r>
              <w:rPr>
                <w:rStyle w:val="IndexLink"/>
                <w:rtl w:val="true"/>
              </w:rPr>
              <w:t>(</w:t>
            </w:r>
            <w:r>
              <w:rPr>
                <w:rStyle w:val="IndexLink"/>
                <w:rtl w:val="true"/>
              </w:rPr>
              <w:t>رحمه 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329245_1051229030">
            <w:r>
              <w:rPr>
                <w:webHidden/>
                <w:rStyle w:val="IndexLink"/>
                <w:rtl w:val="true"/>
              </w:rPr>
              <w:t>النيابة الخاصّة تحتاج لإثباتها إلى معجزة</w:t>
            </w:r>
            <w:r>
              <w:rPr>
                <w:rStyle w:val="IndexLink"/>
                <w:rtl w:val="true"/>
              </w:rPr>
              <w:t>:</w:t>
              <w:tab/>
            </w:r>
            <w:r>
              <w:rPr>
                <w:rStyle w:val="IndexLink"/>
              </w:rPr>
              <w:t>9</w:t>
            </w:r>
          </w:hyperlink>
        </w:p>
        <w:p>
          <w:pPr>
            <w:pStyle w:val="Contents2"/>
            <w:tabs>
              <w:tab w:val="clear" w:pos="8743"/>
              <w:tab w:val="right" w:pos="9026" w:leader="dot"/>
            </w:tabs>
            <w:rPr/>
          </w:pPr>
          <w:hyperlink w:anchor="__RefHeading___Toc329247_1051229030">
            <w:r>
              <w:rPr>
                <w:webHidden/>
                <w:rStyle w:val="IndexLink"/>
                <w:rtl w:val="true"/>
              </w:rPr>
              <w:t>اليماني والسفياني كفرسي رهان</w:t>
            </w:r>
            <w:r>
              <w:rPr>
                <w:rStyle w:val="IndexLink"/>
                <w:rtl w:val="true"/>
              </w:rPr>
              <w:t>:</w:t>
              <w:tab/>
            </w:r>
            <w:r>
              <w:rPr>
                <w:rStyle w:val="IndexLink"/>
              </w:rPr>
              <w:t>12</w:t>
            </w:r>
          </w:hyperlink>
        </w:p>
        <w:p>
          <w:pPr>
            <w:pStyle w:val="Contents2"/>
            <w:tabs>
              <w:tab w:val="clear" w:pos="8743"/>
              <w:tab w:val="right" w:pos="9026" w:leader="dot"/>
            </w:tabs>
            <w:rPr/>
          </w:pPr>
          <w:hyperlink w:anchor="__RefHeading___Toc329249_1051229030">
            <w:r>
              <w:rPr>
                <w:webHidden/>
                <w:rStyle w:val="IndexLink"/>
                <w:rtl w:val="true"/>
              </w:rPr>
              <w:t>حديث المهديّين الاثني عشر</w:t>
            </w:r>
            <w:r>
              <w:rPr>
                <w:rStyle w:val="IndexLink"/>
                <w:rtl w:val="true"/>
              </w:rPr>
              <w:t>:</w:t>
              <w:tab/>
            </w:r>
            <w:r>
              <w:rPr>
                <w:rStyle w:val="IndexLink"/>
              </w:rPr>
              <w:t>13</w:t>
            </w:r>
          </w:hyperlink>
        </w:p>
        <w:p>
          <w:pPr>
            <w:pStyle w:val="Contents2"/>
            <w:tabs>
              <w:tab w:val="clear" w:pos="8743"/>
              <w:tab w:val="right" w:pos="9026" w:leader="dot"/>
            </w:tabs>
            <w:rPr/>
          </w:pPr>
          <w:hyperlink w:anchor="__RefHeading___Toc329251_1051229030">
            <w:r>
              <w:rPr>
                <w:webHidden/>
                <w:rStyle w:val="IndexLink"/>
                <w:rtl w:val="true"/>
              </w:rPr>
              <w:t>معنى الرؤيا ومدى حجّيتها</w:t>
            </w:r>
            <w:r>
              <w:rPr>
                <w:rStyle w:val="IndexLink"/>
                <w:rtl w:val="true"/>
              </w:rPr>
              <w:t>:</w:t>
              <w:tab/>
            </w:r>
            <w:r>
              <w:rPr>
                <w:rStyle w:val="IndexLink"/>
              </w:rPr>
              <w:t>19</w:t>
            </w:r>
          </w:hyperlink>
        </w:p>
        <w:p>
          <w:pPr>
            <w:pStyle w:val="Contents2"/>
            <w:tabs>
              <w:tab w:val="clear" w:pos="8743"/>
              <w:tab w:val="right" w:pos="9026" w:leader="dot"/>
            </w:tabs>
            <w:rPr/>
          </w:pPr>
          <w:hyperlink w:anchor="__RefHeading___Toc329253_1051229030">
            <w:r>
              <w:rPr>
                <w:webHidden/>
                <w:rStyle w:val="IndexLink"/>
                <w:rtl w:val="true"/>
              </w:rPr>
              <w:t>المحور الأوّل</w:t>
            </w:r>
            <w:r>
              <w:rPr>
                <w:rStyle w:val="IndexLink"/>
                <w:rtl w:val="true"/>
              </w:rPr>
              <w:t xml:space="preserve">: </w:t>
            </w:r>
            <w:r>
              <w:rPr>
                <w:rStyle w:val="IndexLink"/>
                <w:rtl w:val="true"/>
              </w:rPr>
              <w:t>تعريف الرؤيا</w:t>
            </w:r>
            <w:r>
              <w:rPr>
                <w:rStyle w:val="IndexLink"/>
                <w:rtl w:val="true"/>
              </w:rPr>
              <w:t>:</w:t>
              <w:tab/>
            </w:r>
            <w:r>
              <w:rPr>
                <w:rStyle w:val="IndexLink"/>
              </w:rPr>
              <w:t>20</w:t>
            </w:r>
          </w:hyperlink>
        </w:p>
        <w:p>
          <w:pPr>
            <w:pStyle w:val="Contents2"/>
            <w:tabs>
              <w:tab w:val="clear" w:pos="8743"/>
              <w:tab w:val="right" w:pos="9026" w:leader="dot"/>
            </w:tabs>
            <w:rPr/>
          </w:pPr>
          <w:hyperlink w:anchor="__RefHeading___Toc329255_1051229030">
            <w:r>
              <w:rPr>
                <w:webHidden/>
                <w:rStyle w:val="IndexLink"/>
                <w:rtl w:val="true"/>
              </w:rPr>
              <w:t>المحور الثاني</w:t>
            </w:r>
            <w:r>
              <w:rPr>
                <w:rStyle w:val="IndexLink"/>
                <w:rtl w:val="true"/>
              </w:rPr>
              <w:t xml:space="preserve">: </w:t>
            </w:r>
            <w:r>
              <w:rPr>
                <w:rStyle w:val="IndexLink"/>
                <w:rtl w:val="true"/>
              </w:rPr>
              <w:t>هل كلّ رؤيا صادقة ولها حقيقة؟</w:t>
            </w:r>
            <w:r>
              <w:rPr>
                <w:rStyle w:val="IndexLink"/>
                <w:rtl w:val="true"/>
              </w:rPr>
              <w:tab/>
            </w:r>
            <w:r>
              <w:rPr>
                <w:rStyle w:val="IndexLink"/>
              </w:rPr>
              <w:t>21</w:t>
            </w:r>
          </w:hyperlink>
        </w:p>
        <w:p>
          <w:pPr>
            <w:pStyle w:val="Contents2"/>
            <w:tabs>
              <w:tab w:val="clear" w:pos="8743"/>
              <w:tab w:val="right" w:pos="9026" w:leader="dot"/>
            </w:tabs>
            <w:rPr/>
          </w:pPr>
          <w:hyperlink w:anchor="__RefHeading___Toc329257_1051229030">
            <w:r>
              <w:rPr>
                <w:webHidden/>
                <w:rStyle w:val="IndexLink"/>
                <w:rtl w:val="true"/>
              </w:rPr>
              <w:t>المحور الثالث</w:t>
            </w:r>
            <w:r>
              <w:rPr>
                <w:rStyle w:val="IndexLink"/>
                <w:rtl w:val="true"/>
              </w:rPr>
              <w:t xml:space="preserve">: </w:t>
            </w:r>
            <w:r>
              <w:rPr>
                <w:rStyle w:val="IndexLink"/>
                <w:rtl w:val="true"/>
              </w:rPr>
              <w:t>الرؤيا التي لها الحجّية</w:t>
            </w:r>
            <w:r>
              <w:rPr>
                <w:rStyle w:val="IndexLink"/>
                <w:rtl w:val="true"/>
              </w:rPr>
              <w:t>:</w:t>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41_61606"/>
      <w:bookmarkStart w:id="1" w:name="pg7241_61606"/>
      <w:bookmarkEnd w:id="1"/>
    </w:p>
    <w:p>
      <w:pPr>
        <w:pStyle w:val="Heading2"/>
        <w:numPr>
          <w:ilvl w:val="1"/>
          <w:numId w:val="1"/>
        </w:numPr>
        <w:rPr/>
      </w:pPr>
      <w:bookmarkStart w:id="2" w:name="pg7241_61606"/>
      <w:bookmarkStart w:id="3" w:name="__RefHeading___Toc329237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الردّ الساطع على ابن كاطع</w:t>
      </w:r>
    </w:p>
    <w:p>
      <w:pPr>
        <w:pStyle w:val="BookText"/>
        <w:rPr/>
      </w:pPr>
      <w:r>
        <w:rPr>
          <w:rFonts w:ascii="Amiri" w:hAnsi="Amiri" w:eastAsia="Amiri" w:cs="Amiri"/>
          <w:color w:val="111111"/>
          <w:sz w:val="28"/>
          <w:sz w:val="28"/>
          <w:szCs w:val="28"/>
          <w:rtl w:val="true"/>
          <w:lang w:bidi="ar-SA"/>
        </w:rPr>
        <w:t>الأوهام والأحلام دليل الأدعياء</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الدهنين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23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الأوهام والأحلام دليل الأدعياء</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الدهنين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241_6161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29241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كثر الحديث عن المدعو أحمد إسماعيل كاطع وما جاء به من دعاوى وأكاذيب وصلت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باطلة ما أنزل الله بها من سلطان رأى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كتبه وكتب أصحابه خير شاهد على ما نقول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بل من باب أنَّ الشبهة قد 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إلقاء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نشر هذا الكرّاس للردّ على ابن كاطع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241_61614"/>
    </w:p>
    <w:p>
      <w:pPr>
        <w:pStyle w:val="BookText"/>
        <w:rPr/>
      </w:pPr>
      <w:bookmarkEnd w:id="10"/>
      <w:r>
        <w:rPr>
          <w:rFonts w:ascii="Amiri" w:hAnsi="Amiri" w:eastAsia="Amiri" w:cs="Amiri"/>
          <w:color w:val="111111"/>
          <w:sz w:val="28"/>
          <w:sz w:val="28"/>
          <w:szCs w:val="28"/>
          <w:rtl w:val="true"/>
          <w:lang w:bidi="ar-SA"/>
        </w:rPr>
        <w:t xml:space="preserve">ظهر في الآونة الأخيرة رجل في البصرة باسم أحمد إسماعيل كاطع وادَّعى النيابة الخاصّة، وأنَّه وصيّ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ابن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هو اليماني، بل ادَّعى أنَّه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وعدلاً بعدما ملئت ظلماً وجوراً، إلى غيرها من الادّعاءات الباطلة، وقد رأينا من الواجب علينا أن نردَّ على هذا المدَّعي ونُبيِّن كذبه للقرّاء الكرام، فنقول</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29243_1051229030"/>
      <w:bookmarkStart w:id="12" w:name="_Toc4"/>
      <w:bookmarkEnd w:id="11"/>
      <w:r>
        <w:rPr>
          <w:rtl w:val="true"/>
        </w:rPr>
        <w:t xml:space="preserve">كذب من يدَّعي النيابة الخاصّة بعد السمري </w:t>
      </w:r>
      <w:r>
        <w:rPr>
          <w:rtl w:val="true"/>
        </w:rPr>
        <w:t>(</w:t>
      </w:r>
      <w:r>
        <w:rPr>
          <w:rtl w:val="true"/>
        </w:rPr>
        <w:t>رحمه الله</w:t>
      </w:r>
      <w:r>
        <w:rPr>
          <w:rtl w:val="true"/>
        </w:rPr>
        <w:t>):</w:t>
      </w:r>
      <w:bookmarkEnd w:id="12"/>
    </w:p>
    <w:p>
      <w:pPr>
        <w:pStyle w:val="BookText"/>
        <w:rPr/>
      </w:pPr>
      <w:r>
        <w:rPr>
          <w:rFonts w:ascii="Amiri" w:hAnsi="Amiri" w:eastAsia="Amiri" w:cs="Amiri"/>
          <w:color w:val="111111"/>
          <w:sz w:val="28"/>
          <w:sz w:val="28"/>
          <w:szCs w:val="28"/>
          <w:rtl w:val="true"/>
          <w:lang w:bidi="ar-SA"/>
        </w:rPr>
        <w:t xml:space="preserve">أمَّا دعواه النيابة الخاصّة فهي باطلة بدليل التوقيع الشريف الصادر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نائبه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فَأَجْمِعْ أَمْرَكَ وَلَا تُوصِ إِلَى أَحَدٍ يَقُومَ مَقَامَكَ بَعْدَ وَفَاتِكَ، فَقَدْ وَقَعَتِ </w:t>
      </w:r>
      <w:bookmarkStart w:id="13" w:name="pg7241_61616"/>
    </w:p>
    <w:p>
      <w:pPr>
        <w:pStyle w:val="BookText"/>
        <w:rPr/>
      </w:pPr>
      <w:bookmarkEnd w:id="13"/>
      <w:r>
        <w:rPr>
          <w:rFonts w:ascii="Amiri" w:hAnsi="Amiri" w:eastAsia="Amiri" w:cs="Amiri"/>
          <w:color w:val="111111"/>
          <w:sz w:val="28"/>
          <w:sz w:val="28"/>
          <w:szCs w:val="28"/>
          <w:rtl w:val="true"/>
          <w:lang w:bidi="ar-SA"/>
        </w:rPr>
        <w:t xml:space="preserve">الْغَيْبَةُ الثَّانِيَةُ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329245_1051229030"/>
      <w:bookmarkStart w:id="15" w:name="_Toc5"/>
      <w:bookmarkEnd w:id="14"/>
      <w:r>
        <w:rPr>
          <w:rtl w:val="true"/>
        </w:rPr>
        <w:t>النيابة الخاصّة تحتاج لإثباتها إلى معجزة</w:t>
      </w:r>
      <w:r>
        <w:rPr>
          <w:rtl w:val="true"/>
        </w:rPr>
        <w:t>:</w:t>
      </w:r>
      <w:bookmarkEnd w:id="15"/>
    </w:p>
    <w:p>
      <w:pPr>
        <w:pStyle w:val="BookText"/>
        <w:rPr/>
      </w:pPr>
      <w:r>
        <w:rPr>
          <w:rFonts w:ascii="Amiri" w:hAnsi="Amiri" w:eastAsia="Amiri" w:cs="Amiri"/>
          <w:color w:val="111111"/>
          <w:sz w:val="28"/>
          <w:sz w:val="28"/>
          <w:szCs w:val="28"/>
          <w:rtl w:val="true"/>
          <w:lang w:bidi="ar-SA"/>
        </w:rPr>
        <w:t xml:space="preserve">ولا بدَّ من الإشارة إلى أنَّ النيابة العامّة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تتمثَّل اليوم بمراجعنا العظام لا تحتاج إلى معجزة لإثباتها، بل يكفي أن نعلم باجتهاده من خلال أساتذته وأبحاثه وتلامذته، بخلاف النيابة الخاصّة التي لا تكون لأحد إلَّا بتعيين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للنائب فإنَّها بحاجة إلى معجزة لإثباتها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ما جاء حول الحلَّاج الذي ادَّعى النيابة الخاصّة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أبي نصر هبة الله بن محمّد الكاتب ابن بنت أُمّ كلثوم بنت أبي جعفر العمري،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تعالى أن يكشف أمر الحلَّاج ويظهر فضيحته ويُخزيه، وقع له أنَّ أبا سهل 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تجوز عليه مخرقته وتتمّ عليه حيلته، فوجَّه إليه يستدعيه وظنَّ أنَّ أبا سهل كغيره من الضعفاء في هذا الأمر بفرط جهله، وقدر أن يستجرّه إليه فيتمخرق به ويتسوف بانقياده على غيره، فيستتبَّ له ما قصد إليه من الحيلة والبهرجة على الضعفة، لقدر أبي سهل في أنفس الناس ومحلِّه من العلم والأدب أيضاً عندهم، ويقول له في مراسلته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وكيل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وبهذا أوّلاً كان يستجرّ الجهّال ثمّ يعلو منه إلى غيره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وقد أُمرت بمراسلتك وإظهار ما تريده من النصرة لك لتقوي نفسك، ولا ترتاب بهذا الأمر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أمراً يسيراً يخفُّ مثله عليك في جنب ما ظهر على يديك من الدلائل والبراهين، وهو أنّي رجل أُحبُّ الجواري وأصبو إليهنَّ، ولي منهنَّ عدَّة أتحظّاهنَّ، والشيب يُبعدني عنهنَّ ويُبغِّضني إليهنَّ، </w:t>
      </w:r>
    </w:p>
    <w:p>
      <w:pPr>
        <w:pStyle w:val="BookText"/>
        <w:rPr/>
      </w:pPr>
      <w:r>
        <w:rPr>
          <w:rFonts w:ascii="Amiri" w:hAnsi="Amiri" w:eastAsia="Amiri" w:cs="Amiri"/>
          <w:color w:val="111111"/>
          <w:sz w:val="28"/>
          <w:sz w:val="28"/>
          <w:szCs w:val="28"/>
          <w:rtl w:val="true"/>
          <w:lang w:bidi="ar-SA"/>
        </w:rPr>
        <w:t>وأحتاج أن أخضبه في كلّ جمعة، وأتحمَّل منه مشقَّة شديدة لأستر عنهنَّ ذلك، وإلَّا انكشف أمري عندهنَّ، فصار القرب بُعداً والوصال هجراً، وأُريد أن تغنيني عن الخضاب وتكفيني مؤنته، وتجعل لحيتي سوداء، فإنّي طوع يديك، وصائر إليك، وقائل بقولك، وداعٍ إلى مذهبك، مع ما لي في ذلك من البصيرة ولك من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الحلَّاج من قوله وجوابه علم أنَّه قد أخطأ في مراسلته وجهل في الخروج إليه بمذهبه، وأمسك عنه ولم يرد إليه جواباً، ولم يرسل إليه رسولاً، وصيَّره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أُحدوثة وضحكة ويطنز به عند كلّ أحد، وشهر أمره عند الصغير والكبير، وكان هذا الفعل سبباً لكشف أمره وتنفير الجماعة عنه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معجزة هذا المدَّعي الكذّاب أحمد بن إسماعيل بن كاطع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6" w:name="pg7241_61622"/>
    </w:p>
    <w:p>
      <w:pPr>
        <w:pStyle w:val="Heading2"/>
        <w:numPr>
          <w:ilvl w:val="1"/>
          <w:numId w:val="1"/>
        </w:numPr>
        <w:rPr/>
      </w:pPr>
      <w:bookmarkStart w:id="17" w:name="__RefHeading___Toc329247_1051229030"/>
      <w:bookmarkStart w:id="18" w:name="_Toc6"/>
      <w:bookmarkEnd w:id="16"/>
      <w:bookmarkEnd w:id="17"/>
      <w:r>
        <w:rPr>
          <w:rtl w:val="true"/>
        </w:rPr>
        <w:t>اليماني والسفياني كفرسي رهان</w:t>
      </w:r>
      <w:r>
        <w:rPr>
          <w:rtl w:val="true"/>
        </w:rPr>
        <w:t>:</w:t>
      </w:r>
      <w:bookmarkEnd w:id="18"/>
    </w:p>
    <w:p>
      <w:pPr>
        <w:pStyle w:val="BookText"/>
        <w:rPr/>
      </w:pPr>
      <w:r>
        <w:rPr>
          <w:rFonts w:ascii="Amiri" w:hAnsi="Amiri" w:eastAsia="Amiri" w:cs="Amiri"/>
          <w:color w:val="111111"/>
          <w:sz w:val="28"/>
          <w:sz w:val="28"/>
          <w:szCs w:val="28"/>
          <w:rtl w:val="true"/>
          <w:lang w:bidi="ar-SA"/>
        </w:rPr>
        <w:t xml:space="preserve">وأمَّا دعواه بأنَّه اليماني فهي باطلة جزماً، لأنَّه قد ورد في روايات صحيحة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اليماني يخرج في نفس اليوم الذي يخرج فيه السفياني والخراساني، وأنَّ اليماني والسفياني كفرسي رهان، فعن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 في يوم واحد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السفياني واليماني والخراساني في سنة واحدة، في شهر واحد، في يوم واحد، نظام كنظام الخرز يتبع بعضه بعضاً، فيكون البأس من كلّ وجه، ويل لمن </w:t>
      </w:r>
      <w:bookmarkStart w:id="19" w:name="pg7241_61624"/>
    </w:p>
    <w:p>
      <w:pPr>
        <w:pStyle w:val="BookText"/>
        <w:rPr/>
      </w:pPr>
      <w:bookmarkEnd w:id="19"/>
      <w:r>
        <w:rPr>
          <w:rFonts w:ascii="Amiri" w:hAnsi="Amiri" w:eastAsia="Amiri" w:cs="Amiri"/>
          <w:color w:val="111111"/>
          <w:sz w:val="28"/>
          <w:sz w:val="28"/>
          <w:szCs w:val="28"/>
          <w:rtl w:val="true"/>
          <w:lang w:bidi="ar-SA"/>
        </w:rPr>
        <w:t>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خرج السفياني ونحن غافلون؟ أم خرج الخراساني ونحن نائمون؟ كلَّا وألف كلَّا، بل من يدَّعي أنَّه اليماني قبل خروج السفياني والخراساني فهو الكذّاب المفتر</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29249_1051229030"/>
      <w:bookmarkStart w:id="21" w:name="_Toc7"/>
      <w:bookmarkEnd w:id="20"/>
      <w:r>
        <w:rPr>
          <w:rtl w:val="true"/>
        </w:rPr>
        <w:t>حديث المهديّين الاثني عشر</w:t>
      </w:r>
      <w:r>
        <w:rPr>
          <w:rtl w:val="true"/>
        </w:rPr>
        <w:t>:</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ادّعاءه بأنَّه ابن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يوجد عنده دليل على ذلك إلَّا رواية ضعيفة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يُسميّها هذا المدَّعي رواية الوصيّة وزعم أنَّها تنطبق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ذكرها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الغيبة، وهي</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عبد الله الحسين بن علي بن سفيان البزوفري، عن علي بن سنان الموصلي العدل، عن علي بن الحسين، عن أحمد بن محمّد بن الخليل، عن جعفر بن أحمد المصري،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في الليلة التي كانت فيها وفاته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أحضر صحيفة ودواة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حتَّى انتهى إلى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سيكون بعدي اثنا عشر إماماً ومن بعدهم اثنا عشر مهدياً، فأنت يا علي أوّل الاثني عشر إماماً سمّاك الله تعالى في سمائه علياً المرتضى، وأمير المؤمنين، والصدّيق الأكبر، والفاروق الأعظم، والمأمون، والمهدي، فلا تصحُّ هذه الأسماء لأحد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وصيّي على أهل بيتي حيّهم وميّتهم، وعلى نسائي، فمن ثبَّتَها لقيتني غداً، ومن </w:t>
      </w:r>
    </w:p>
    <w:p>
      <w:pPr>
        <w:pStyle w:val="BookText"/>
        <w:rPr/>
      </w:pPr>
      <w:r>
        <w:rPr>
          <w:rFonts w:ascii="Amiri" w:hAnsi="Amiri" w:eastAsia="Amiri" w:cs="Amiri"/>
          <w:color w:val="111111"/>
          <w:sz w:val="28"/>
          <w:sz w:val="28"/>
          <w:szCs w:val="28"/>
          <w:rtl w:val="true"/>
          <w:lang w:bidi="ar-SA"/>
        </w:rPr>
        <w:t>طلَّقتها فأنا بريء منها، لم ترَني ولم أرَها في عرصة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خليفتي على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حضرتك الوفاة فسلِّمها إلى ابني الحسن البرّ الوصول، فإذا حضرته الوفاة فليسلّمها إلى ابني الحسين الشهيد الزكي المقتول، فإذا 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اثنا عشر إماماً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يكون من بعده اثنا عشر مهدياً، فإذا حضرته الوفاة فليسلّمها إلى ابنه أوّل المقرَّبين له ثلاثة أسامي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كاسمي، واسم أبي وهو عبد الله، وأحمد، والاسم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أوّل المؤمنين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وللردّ على كلامه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يدَّعي الإمامة لا بدَّ أن يكون له دليل قطعي على مدَّعاه، وكذا لا بدَّ أن يكون له معاجز وكرامات، ولا يمكنه الاستناد إلى رواية واحدة ضعيفة كهذه الرواية عى إثبات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ضعيفة لاشتمال سندها على عدَّة مجاهيل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علم الأُصول أنَّه لا يمكن الأخذ برواية صحيحة إذا تعارضت مع رواية أقوى منها دلالةً، وهذه الرواية مع ضعفها تُعارضها عدَّة روايات أقوى منها دلالةً، منها رواية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تُؤكِّد على أنَّ الذي يستلم الأمر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p>
    <w:p>
      <w:pPr>
        <w:pStyle w:val="BookText"/>
        <w:rPr/>
      </w:pPr>
      <w:r>
        <w:rPr>
          <w:rFonts w:ascii="Amiri" w:hAnsi="Amiri" w:eastAsia="Amiri" w:cs="Amiri"/>
          <w:color w:val="111111"/>
          <w:sz w:val="28"/>
          <w:sz w:val="28"/>
          <w:szCs w:val="28"/>
          <w:rtl w:val="true"/>
          <w:lang w:bidi="ar-SA"/>
        </w:rPr>
        <w:t xml:space="preserve">علي بن أبي حمزة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جدّك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أنسيت يا شيخ أو تناسيت؟ ليس هكذا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الإمام إلَّا وله عقب إلَّا الإمام الذي يخرج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عقب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سمعت جدّك يقول</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استثنى الإمام الثاني عشر من أن يكون له عقب حين موته، فكيف يدَّعي هذا الكذّاب بأنَّه أحمد ابن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بسنده عن عبد الله بن القاسم البطل،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 وتراً لآل محمّد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من أصحابه عليهم البيض المذهَّب لكلّ بيضة وجهان، المؤدّون إلى الناس أنَّ هذا الحسين قد خرج حتَّى لا يشكّ المؤمنون فيه، وأنَّه ليس بدجّال ولا شيطان، والحجّة القائم بين أظهرهم، فإذا استقرَّت المعرفة في قلوب المؤمنين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الحجّة الموت، فيكون الذي يُغسِّله ويُكفِّنه ويُحنِّطه ويُلحده في حفرته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يلي الوصيّ إلَّا الوصيّ</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يتولّى الأمر من بعد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أحمد بن إسماعيل الكذّاب</w:t>
      </w:r>
      <w:r>
        <w:rPr>
          <w:rFonts w:eastAsia="Amiri" w:cs="Amiri" w:ascii="Amiri" w:hAnsi="Amiri"/>
          <w:color w:val="111111"/>
          <w:sz w:val="28"/>
          <w:szCs w:val="28"/>
          <w:rtl w:val="true"/>
          <w:lang w:bidi="ar-SA"/>
        </w:rPr>
        <w:t xml:space="preserve">. </w:t>
      </w:r>
      <w:bookmarkStart w:id="22" w:name="pg7241_61637"/>
    </w:p>
    <w:p>
      <w:pPr>
        <w:pStyle w:val="BookText"/>
        <w:rPr/>
      </w:pPr>
      <w:bookmarkEnd w:id="22"/>
      <w:r>
        <w:rPr>
          <w:rFonts w:ascii="Amiri" w:hAnsi="Amiri" w:eastAsia="Amiri" w:cs="Amiri"/>
          <w:color w:val="111111"/>
          <w:sz w:val="28"/>
          <w:sz w:val="28"/>
          <w:szCs w:val="28"/>
          <w:rtl w:val="true"/>
          <w:lang w:bidi="ar-SA"/>
        </w:rPr>
        <w:t xml:space="preserve">ومنها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سمعت من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القائم 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مهدياً،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ولكنَّهم قوم من شيعتنا يدعون الناس إلى موالاتنا ومعرفة حقّنا</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صحَّ سند رواية المهديين الاثني عشر لا يمكن الأخذ بها لمعارضتها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يدَّعي انتسابه إلى أحد لا بدَّ أن يكون له دليل وشواهد كإقرار الأب أو شهادة القابلة وغيرها من القرائن بدون معارضة، فما هو دليلك بأنَّك ابن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إسماعيل بن كاطع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2"/>
        <w:numPr>
          <w:ilvl w:val="1"/>
          <w:numId w:val="1"/>
        </w:numPr>
        <w:rPr/>
      </w:pPr>
      <w:bookmarkStart w:id="23" w:name="__RefHeading___Toc329251_1051229030"/>
      <w:bookmarkStart w:id="24" w:name="_Toc8"/>
      <w:bookmarkEnd w:id="23"/>
      <w:r>
        <w:rPr>
          <w:rtl w:val="true"/>
        </w:rPr>
        <w:t>معنى الرؤيا ومدى حجّيتها</w:t>
      </w:r>
      <w:r>
        <w:rPr>
          <w:rtl w:val="true"/>
        </w:rPr>
        <w:t>:</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الأدلَّة التي يستند إليها هذا المدَّعي هو الرؤيا، ويقول بأنَّه رأى في المنام أنَّه ابن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w:t>
      </w:r>
      <w:r>
        <w:rPr>
          <w:rFonts w:eastAsia="Amiri" w:cs="Amiri" w:ascii="Amiri" w:hAnsi="Amiri"/>
          <w:color w:val="111111"/>
          <w:sz w:val="28"/>
          <w:szCs w:val="28"/>
          <w:rtl w:val="true"/>
          <w:lang w:bidi="ar-SA"/>
        </w:rPr>
        <w:t xml:space="preserve">. </w:t>
      </w:r>
      <w:bookmarkStart w:id="25" w:name="pg7241_61639"/>
    </w:p>
    <w:p>
      <w:pPr>
        <w:pStyle w:val="BookText"/>
        <w:rPr/>
      </w:pPr>
      <w:bookmarkEnd w:id="25"/>
      <w:r>
        <w:rPr>
          <w:rFonts w:ascii="Amiri" w:hAnsi="Amiri" w:eastAsia="Amiri" w:cs="Amiri"/>
          <w:color w:val="111111"/>
          <w:sz w:val="28"/>
          <w:sz w:val="28"/>
          <w:szCs w:val="28"/>
          <w:rtl w:val="true"/>
          <w:lang w:bidi="ar-SA"/>
        </w:rPr>
        <w:t>فللردَّ على كلامه هذا ينبغي لنا أن نتكلَّم في محاور ثلاثة، هي</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329253_1051229030"/>
      <w:bookmarkStart w:id="27" w:name="_Toc9"/>
      <w:bookmarkEnd w:id="26"/>
      <w:r>
        <w:rPr>
          <w:rtl w:val="true"/>
        </w:rPr>
        <w:t>المحور الأوّل</w:t>
      </w:r>
      <w:r>
        <w:rPr>
          <w:rtl w:val="true"/>
        </w:rPr>
        <w:t xml:space="preserve">: </w:t>
      </w:r>
      <w:r>
        <w:rPr>
          <w:rtl w:val="true"/>
        </w:rPr>
        <w:t>تعريف الرؤيا</w:t>
      </w:r>
      <w:r>
        <w:rPr>
          <w:rtl w:val="true"/>
        </w:rPr>
        <w:t>:</w:t>
      </w:r>
      <w:bookmarkEnd w:id="27"/>
    </w:p>
    <w:p>
      <w:pPr>
        <w:pStyle w:val="BookText"/>
        <w:rPr/>
      </w:pPr>
      <w:r>
        <w:rPr>
          <w:rFonts w:ascii="Amiri" w:hAnsi="Amiri" w:eastAsia="Amiri" w:cs="Amiri"/>
          <w:color w:val="111111"/>
          <w:sz w:val="28"/>
          <w:sz w:val="28"/>
          <w:szCs w:val="28"/>
          <w:rtl w:val="true"/>
          <w:lang w:bidi="ar-SA"/>
        </w:rPr>
        <w:t>هناك أكثر من نظرية في هذا الباب، منها النظرية الغربية التي تقول بأنَّ الرؤيا لا تُعبِّر عن حقيقة غيبية ولا حقيقة مستقبلية، وإنَّما هي انعكاس وتأثّر لما في الخارج، فهي عبارة عمَّا يُحدِّث به الإنسان نفسه، أو انعكاس لما يعيشه من الأُمور الدنيوية، فهي قضيّة مادّية صرفة لا واقع لها، ولا تكشف عن أيّ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مبني على إنكار الروح والإيمان بالوجود المادّي للإنسان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النظرية الإسلاميّة فهي تؤمن بأنَّ الرؤيا تحكي عن حقيقة ما، وتكون حاكية لأمر حادث في الماضي أو لأمر سيحدث في المستقبل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هذه النظرية تكون الرؤيا متعلّقة بالروح، لأنَّ روح الإنسان تتعلَّق بعالم الغيب في منامه، فتدرك </w:t>
      </w:r>
      <w:bookmarkStart w:id="28" w:name="pg7241_61641"/>
    </w:p>
    <w:p>
      <w:pPr>
        <w:pStyle w:val="BookText"/>
        <w:rPr/>
      </w:pPr>
      <w:bookmarkEnd w:id="28"/>
      <w:r>
        <w:rPr>
          <w:rFonts w:ascii="Amiri" w:hAnsi="Amiri" w:eastAsia="Amiri" w:cs="Amiri"/>
          <w:color w:val="111111"/>
          <w:sz w:val="28"/>
          <w:sz w:val="28"/>
          <w:szCs w:val="28"/>
          <w:rtl w:val="true"/>
          <w:lang w:bidi="ar-SA"/>
        </w:rPr>
        <w:t>بعض ما في ذلك العالم، وبالتالي يمكنه أن يترجم ما رآه إذا انتبه من النوم، فالنفس مجرَّدة في ذاتها مادّية في فعلها، وإذا نام الإنسان فكأنَّما تتفرَّغ النفس والتفتت إلى العالم العلوي فيحصل عندها الرؤيا</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329255_1051229030"/>
      <w:bookmarkStart w:id="30" w:name="_Toc10"/>
      <w:bookmarkEnd w:id="29"/>
      <w:r>
        <w:rPr>
          <w:rtl w:val="true"/>
        </w:rPr>
        <w:t>المحور الثاني</w:t>
      </w:r>
      <w:r>
        <w:rPr>
          <w:rtl w:val="true"/>
        </w:rPr>
        <w:t xml:space="preserve">: </w:t>
      </w:r>
      <w:r>
        <w:rPr>
          <w:rtl w:val="true"/>
        </w:rPr>
        <w:t>هل كلّ رؤيا صادقة ولها حقيقة؟</w:t>
      </w:r>
      <w:bookmarkEnd w:id="30"/>
    </w:p>
    <w:p>
      <w:pPr>
        <w:pStyle w:val="BookText"/>
        <w:rPr/>
      </w:pPr>
      <w:r>
        <w:rPr>
          <w:rFonts w:ascii="Amiri" w:hAnsi="Amiri" w:eastAsia="Amiri" w:cs="Amiri"/>
          <w:color w:val="111111"/>
          <w:sz w:val="28"/>
          <w:sz w:val="28"/>
          <w:szCs w:val="28"/>
          <w:rtl w:val="true"/>
          <w:lang w:bidi="ar-SA"/>
        </w:rPr>
        <w:t>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الروح أحياناً تنتقل إلى العالم العلوي، ولكن ليس كلّ روح إذا فرغت من البدن تمكَّنت من الاتّصال بعالم العقل والمجرَّدات وذلك لكدورتها وقلَّة صفائها، هذا من جهة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الإنسان كما أنَّ لديه حواسّاً ظاهرة كذلك لديه حواس باطنة تُدرس في علم النفس الفلسفي تحت عنوان الحسّ المشترك والمتخيّلة، وهذا الحسّ المشترك لديه قدرة على التصرّف في الصور، فحتَّى لو انفصلت الروح عن البدن وذهبت إلى عالم المثال لا تبقى وحدها المتصرّفة، بل من الممكن أن تشترك معها الحسّ المشترك فيؤثِّر على الصور التي أدركتها النفس من عالم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هنا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يا مفضَّل في الأحلام كيف دبّر الأمر فيها فمزج صادقها بكاذبها، فإنَّها لو كانت كلّها تصدق لكان الناس كلّهم أنبياء، ولو كانت كلّها تكذب لم يكن فيها منفعة، بل كانت فضلاً لا معنى له، فصارت تصدق أحياناً فينتفع بها الناس في مصلحة يهتدى لها أو مضرَّة يتحذَّر منها، وتكذب كثيراً لئلَّا يُعتمد عليها كلّ الاعتماد</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الرؤى بعضها صادقة وبعضها غير صادقة، والصادقة منها بعضها قابل للتعبير وبعضها غير قابل للتعبير، فعن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لإبليس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هزع، يملأ ما بين المشرق والمغرب في كلّ ليلة، يأتي الناس في المنام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يلقي في روع الناس ومخيّلتهم صوراً تحدث بسببها أضغاث الأحلام والرؤى الكاذبة</w:t>
      </w:r>
      <w:r>
        <w:rPr>
          <w:rFonts w:eastAsia="Amiri" w:cs="Amiri" w:ascii="Amiri" w:hAnsi="Amiri"/>
          <w:color w:val="111111"/>
          <w:sz w:val="28"/>
          <w:szCs w:val="28"/>
          <w:rtl w:val="true"/>
          <w:lang w:bidi="ar-SA"/>
        </w:rPr>
        <w:t xml:space="preserve">. </w:t>
      </w:r>
      <w:bookmarkStart w:id="31" w:name="pg7241_61645"/>
    </w:p>
    <w:p>
      <w:pPr>
        <w:pStyle w:val="BookText"/>
        <w:rPr/>
      </w:pPr>
      <w:bookmarkEnd w:id="31"/>
      <w:r>
        <w:rPr>
          <w:rFonts w:ascii="Amiri" w:hAnsi="Amiri" w:eastAsia="Amiri" w:cs="Amiri"/>
          <w:color w:val="111111"/>
          <w:sz w:val="28"/>
          <w:sz w:val="28"/>
          <w:szCs w:val="28"/>
          <w:rtl w:val="true"/>
          <w:lang w:bidi="ar-SA"/>
        </w:rPr>
        <w:t>وإذا كانت بعض الرؤى صادقة وبعضها كاذبة فكيف نُميِّز الصادقة عن الكاذبة بنحو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تفيد الرؤى إلَّا الظنّ فلا تكون حجّة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 يُغْنِي مِنَ الْحَقِّ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لا يثبت بالرؤيا حكماً شرعياً وغيره من الأُمور</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329257_1051229030"/>
      <w:bookmarkStart w:id="33" w:name="_Toc11"/>
      <w:bookmarkEnd w:id="32"/>
      <w:r>
        <w:rPr>
          <w:rtl w:val="true"/>
        </w:rPr>
        <w:t>المحور الثالث</w:t>
      </w:r>
      <w:r>
        <w:rPr>
          <w:rtl w:val="true"/>
        </w:rPr>
        <w:t xml:space="preserve">: </w:t>
      </w:r>
      <w:r>
        <w:rPr>
          <w:rtl w:val="true"/>
        </w:rPr>
        <w:t>الرؤيا التي لها الحجّية</w:t>
      </w:r>
      <w:r>
        <w:rPr>
          <w:rtl w:val="true"/>
        </w:rPr>
        <w:t>:</w:t>
      </w:r>
      <w:bookmarkEnd w:id="33"/>
    </w:p>
    <w:p>
      <w:pPr>
        <w:pStyle w:val="BookText"/>
        <w:rPr/>
      </w:pPr>
      <w:r>
        <w:rPr>
          <w:rFonts w:ascii="Amiri" w:hAnsi="Amiri" w:eastAsia="Amiri" w:cs="Amiri"/>
          <w:color w:val="111111"/>
          <w:sz w:val="28"/>
          <w:sz w:val="28"/>
          <w:szCs w:val="28"/>
          <w:rtl w:val="true"/>
          <w:lang w:bidi="ar-SA"/>
        </w:rPr>
        <w:t xml:space="preserve">أمَّا الرؤيا الحجّة فهي رؤيا المعصوم فقط، وما يحصل فيها من الأمر والنهي فهو مختصٌّ بالمعصوم أيضاً، قال تعالى على لسان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مخاطباً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فالرؤيا الحجّة هي رؤيا المعصوم أمَّا رؤيا غير المعصوم فهي وإن كانت صادقة ولكنَّها ليست بحجّة، وهذا الأمر قد أكَّده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ابن </w:t>
      </w:r>
    </w:p>
    <w:p>
      <w:pPr>
        <w:pStyle w:val="BookText"/>
        <w:rPr/>
      </w:pPr>
      <w:r>
        <w:rPr>
          <w:rFonts w:ascii="Amiri" w:hAnsi="Amiri" w:eastAsia="Amiri" w:cs="Amiri"/>
          <w:color w:val="111111"/>
          <w:sz w:val="28"/>
          <w:sz w:val="28"/>
          <w:szCs w:val="28"/>
          <w:rtl w:val="true"/>
          <w:lang w:bidi="ar-SA"/>
        </w:rPr>
        <w:t xml:space="preserve">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تروي هذه الناصبة؟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ماذا؟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أذانهم وركوعهم وسجودهم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بن كعب رآه في النوم،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فإنَّ دين الله أعزّ من أن يُرى في النوم</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يُقرِّر حقيقة مفادها أنَّ الرؤيا لا تصلح أن تكون مصدراً من مصادر التشريع والاعتقاد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المنحرفة فهي تستند إلى الرؤيا في إثبات معتقداتها وتُحدِّد لها إماماً وفقاً للأحلام كما هو حال أتباع هذا المدَّعي الكذّاب أحمد إسماعيل كاطع الذين يدَّعون أنَّهم رأوا في المنام أنَّ أحد المعصومين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أحمد إسماعيل كاطع، ونحن نقول لهم ما قاله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فإنَّ دين الله أعزّ من أن يُرى في النوم</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ما يستند إليه هذا المدَّعي الآثم، وفيما بيَّناه من الردّ عليه كفاية لمن كان له قلب أو ألقى السمع وهو شهيد، فلا نُطيل بذكر باقي خزعبلاته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للمفضَّل بن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2797</Words>
  <Characters>12555</Characters>
  <CharactersWithSpaces>15258</CharactersWithSpaces>
  <Paragraphs>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2026-08-27T08:37:53Z</dcterms:created>
  <dc:creator>ghaemiyeh.com</dc:creator>
  <dc:description/>
  <dc:language>en-US</dc:language>
  <cp:lastModifiedBy/>
  <dcterms:modified xsi:type="dcterms:W3CDTF">2026-08-27T12:07:56Z</dcterms:modified>
  <cp:revision>1</cp:revision>
  <dc:subject/>
  <dc:title>الرد الساطع على ابن کاطع الأوهام والأحلام دلیل الأدعیاء</dc:title>
</cp:coreProperties>
</file>

<file path=docProps/custom.xml><?xml version="1.0" encoding="utf-8"?>
<Properties xmlns="http://schemas.openxmlformats.org/officeDocument/2006/custom-properties" xmlns:vt="http://schemas.openxmlformats.org/officeDocument/2006/docPropsVTypes"/>
</file>