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تفسیر آیه التطهیر و تفسیر آیه الانذار و احادیث یوم الدار او بدء الدعوه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99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000_1051229030">
            <w:r>
              <w:rPr>
                <w:webHidden/>
                <w:rStyle w:val="IndexLink"/>
                <w:rtl w:val="true"/>
              </w:rPr>
              <w:t>في تفسيرآية التطهير</w:t>
            </w:r>
            <w:r>
              <w:rPr>
                <w:rStyle w:val="IndexLink"/>
                <w:rtl w:val="true"/>
              </w:rPr>
              <w:tab/>
            </w:r>
            <w:r>
              <w:rPr>
                <w:rStyle w:val="IndexLink"/>
              </w:rPr>
              <w:t>8</w:t>
            </w:r>
          </w:hyperlink>
        </w:p>
        <w:p>
          <w:pPr>
            <w:pStyle w:val="Contents3"/>
            <w:tabs>
              <w:tab w:val="clear" w:pos="8459"/>
              <w:tab w:val="right" w:pos="9026" w:leader="dot"/>
            </w:tabs>
            <w:rPr/>
          </w:pPr>
          <w:hyperlink w:anchor="__RefHeading___Toc5002_105122903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004_1051229030">
            <w:r>
              <w:rPr>
                <w:webHidden/>
                <w:rStyle w:val="IndexLink"/>
                <w:rtl w:val="true"/>
              </w:rPr>
              <w:t>المقدّمة</w:t>
            </w:r>
            <w:r>
              <w:rPr>
                <w:rStyle w:val="IndexLink"/>
                <w:rtl w:val="true"/>
              </w:rPr>
              <w:tab/>
            </w:r>
            <w:r>
              <w:rPr>
                <w:rStyle w:val="IndexLink"/>
              </w:rPr>
              <w:t>10</w:t>
            </w:r>
          </w:hyperlink>
        </w:p>
        <w:p>
          <w:pPr>
            <w:pStyle w:val="Contents3"/>
            <w:tabs>
              <w:tab w:val="clear" w:pos="8459"/>
              <w:tab w:val="right" w:pos="9026" w:leader="dot"/>
            </w:tabs>
            <w:rPr/>
          </w:pPr>
          <w:hyperlink w:anchor="__RefHeading___Toc5006_1051229030">
            <w:r>
              <w:rPr>
                <w:webHidden/>
                <w:rStyle w:val="IndexLink"/>
                <w:rtl w:val="true"/>
              </w:rPr>
              <w:t>تحقيق دقيق</w:t>
            </w:r>
            <w:r>
              <w:rPr>
                <w:rStyle w:val="IndexLink"/>
                <w:rtl w:val="true"/>
              </w:rPr>
              <w:tab/>
            </w:r>
            <w:r>
              <w:rPr>
                <w:rStyle w:val="IndexLink"/>
              </w:rPr>
              <w:t>18</w:t>
            </w:r>
          </w:hyperlink>
        </w:p>
        <w:p>
          <w:pPr>
            <w:pStyle w:val="Contents3"/>
            <w:tabs>
              <w:tab w:val="clear" w:pos="8459"/>
              <w:tab w:val="right" w:pos="9026" w:leader="dot"/>
            </w:tabs>
            <w:rPr/>
          </w:pPr>
          <w:hyperlink w:anchor="__RefHeading___Toc5008_1051229030">
            <w:r>
              <w:rPr>
                <w:webHidden/>
                <w:rStyle w:val="IndexLink"/>
                <w:rtl w:val="true"/>
              </w:rPr>
              <w:t>مصادر التحقیق</w:t>
            </w:r>
            <w:r>
              <w:rPr>
                <w:rStyle w:val="IndexLink"/>
                <w:rtl w:val="true"/>
              </w:rPr>
              <w:tab/>
            </w:r>
            <w:r>
              <w:rPr>
                <w:rStyle w:val="IndexLink"/>
              </w:rPr>
              <w:t>28</w:t>
            </w:r>
          </w:hyperlink>
        </w:p>
        <w:p>
          <w:pPr>
            <w:pStyle w:val="Contents2"/>
            <w:tabs>
              <w:tab w:val="clear" w:pos="8743"/>
              <w:tab w:val="right" w:pos="9026" w:leader="dot"/>
            </w:tabs>
            <w:rPr/>
          </w:pPr>
          <w:hyperlink w:anchor="__RefHeading___Toc5010_1051229030">
            <w:r>
              <w:rPr>
                <w:webHidden/>
                <w:rStyle w:val="IndexLink"/>
                <w:rtl w:val="true"/>
              </w:rPr>
              <w:t>تفسیر آیة الإنذار وأحادیث یوم الدار، أو بدء الدعوة</w:t>
            </w:r>
            <w:r>
              <w:rPr>
                <w:rStyle w:val="IndexLink"/>
                <w:rtl w:val="true"/>
              </w:rPr>
              <w:tab/>
            </w:r>
            <w:r>
              <w:rPr>
                <w:rStyle w:val="IndexLink"/>
              </w:rPr>
              <w:t>30</w:t>
            </w:r>
          </w:hyperlink>
        </w:p>
        <w:p>
          <w:pPr>
            <w:pStyle w:val="Contents3"/>
            <w:tabs>
              <w:tab w:val="clear" w:pos="8459"/>
              <w:tab w:val="right" w:pos="9026" w:leader="dot"/>
            </w:tabs>
            <w:rPr/>
          </w:pPr>
          <w:hyperlink w:anchor="__RefHeading___Toc5012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014_1051229030">
            <w:r>
              <w:rPr>
                <w:webHidden/>
                <w:rStyle w:val="IndexLink"/>
                <w:rtl w:val="true"/>
              </w:rPr>
              <w:t>المقدّمة</w:t>
            </w:r>
            <w:r>
              <w:rPr>
                <w:rStyle w:val="IndexLink"/>
                <w:rtl w:val="true"/>
              </w:rPr>
              <w:tab/>
            </w:r>
            <w:r>
              <w:rPr>
                <w:rStyle w:val="IndexLink"/>
              </w:rPr>
              <w:t>32</w:t>
            </w:r>
          </w:hyperlink>
        </w:p>
        <w:p>
          <w:pPr>
            <w:pStyle w:val="Contents3"/>
            <w:tabs>
              <w:tab w:val="clear" w:pos="8459"/>
              <w:tab w:val="right" w:pos="9026" w:leader="dot"/>
            </w:tabs>
            <w:rPr/>
          </w:pPr>
          <w:hyperlink w:anchor="__RefHeading___Toc5016_1051229030">
            <w:r>
              <w:rPr>
                <w:webHidden/>
                <w:rStyle w:val="IndexLink"/>
                <w:rtl w:val="true"/>
              </w:rPr>
              <w:t>نقده الآخر</w:t>
            </w:r>
            <w:r>
              <w:rPr>
                <w:rStyle w:val="IndexLink"/>
                <w:rtl w:val="true"/>
              </w:rPr>
              <w:tab/>
            </w:r>
            <w:r>
              <w:rPr>
                <w:rStyle w:val="IndexLink"/>
              </w:rPr>
              <w:t>40</w:t>
            </w:r>
          </w:hyperlink>
        </w:p>
        <w:p>
          <w:pPr>
            <w:pStyle w:val="Contents3"/>
            <w:tabs>
              <w:tab w:val="clear" w:pos="8459"/>
              <w:tab w:val="right" w:pos="9026" w:leader="dot"/>
            </w:tabs>
            <w:rPr/>
          </w:pPr>
          <w:hyperlink w:anchor="__RefHeading___Toc5018_1051229030">
            <w:r>
              <w:rPr>
                <w:webHidden/>
                <w:rStyle w:val="IndexLink"/>
                <w:rtl w:val="true"/>
              </w:rPr>
              <w:t>آية الإنذار وحديث الدار</w:t>
            </w:r>
            <w:r>
              <w:rPr>
                <w:rStyle w:val="IndexLink"/>
                <w:rtl w:val="true"/>
              </w:rPr>
              <w:tab/>
            </w:r>
            <w:r>
              <w:rPr>
                <w:rStyle w:val="IndexLink"/>
              </w:rPr>
              <w:t>41</w:t>
            </w:r>
          </w:hyperlink>
        </w:p>
        <w:p>
          <w:pPr>
            <w:pStyle w:val="Contents3"/>
            <w:tabs>
              <w:tab w:val="clear" w:pos="8459"/>
              <w:tab w:val="right" w:pos="9026" w:leader="dot"/>
            </w:tabs>
            <w:rPr/>
          </w:pPr>
          <w:hyperlink w:anchor="__RefHeading___Toc5020_1051229030">
            <w:r>
              <w:rPr>
                <w:webHidden/>
                <w:rStyle w:val="IndexLink"/>
                <w:rtl w:val="true"/>
              </w:rPr>
              <w:t>مصادر التحقیق</w:t>
            </w:r>
            <w:r>
              <w:rPr>
                <w:rStyle w:val="IndexLink"/>
                <w:rtl w:val="true"/>
              </w:rPr>
              <w:tab/>
            </w:r>
            <w:r>
              <w:rPr>
                <w:rStyle w:val="IndexLink"/>
              </w:rPr>
              <w:t>74</w:t>
            </w:r>
          </w:hyperlink>
        </w:p>
        <w:p>
          <w:pPr>
            <w:pStyle w:val="Contents2"/>
            <w:tabs>
              <w:tab w:val="clear" w:pos="8743"/>
              <w:tab w:val="right" w:pos="9026" w:leader="dot"/>
            </w:tabs>
            <w:rPr/>
          </w:pPr>
          <w:hyperlink w:anchor="__RefHeading___Toc5022_1051229030">
            <w:r>
              <w:rPr>
                <w:webHidden/>
                <w:rStyle w:val="IndexLink"/>
                <w:rtl w:val="true"/>
              </w:rPr>
              <w:t>الفهرس</w:t>
            </w:r>
            <w:r>
              <w:rPr>
                <w:rStyle w:val="IndexLink"/>
                <w:rtl w:val="true"/>
              </w:rPr>
              <w:tab/>
            </w:r>
            <w:r>
              <w:rPr>
                <w:rStyle w:val="IndexLink"/>
              </w:rPr>
              <w:t>82</w:t>
            </w:r>
          </w:hyperlink>
        </w:p>
        <w:p>
          <w:pPr>
            <w:pStyle w:val="Contents2"/>
            <w:tabs>
              <w:tab w:val="clear" w:pos="8743"/>
              <w:tab w:val="right" w:pos="9026" w:leader="dot"/>
            </w:tabs>
            <w:rPr/>
          </w:pPr>
          <w:hyperlink w:anchor="__RefHeading___Toc5024_1051229030">
            <w:r>
              <w:rPr>
                <w:webHidden/>
                <w:rStyle w:val="IndexLink"/>
                <w:rtl w:val="true"/>
              </w:rPr>
              <w:t>آثار سماحة آية الله العظمى الصافي الگلپايگاني مدّ ظلّه الوارف</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2_180625"/>
      <w:bookmarkStart w:id="1" w:name="pg10662_180625"/>
      <w:bookmarkEnd w:id="1"/>
    </w:p>
    <w:p>
      <w:pPr>
        <w:pStyle w:val="Heading2"/>
        <w:numPr>
          <w:ilvl w:val="1"/>
          <w:numId w:val="1"/>
        </w:numPr>
        <w:rPr/>
      </w:pPr>
      <w:bookmarkStart w:id="2" w:name="pg10662_180625"/>
      <w:bookmarkStart w:id="3" w:name="__RefHeading___Toc4996_105122903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آیه‌التطهیر و تفسیر آیه الانذار و احادیث یوم‌الدار، او بدء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صافی‌گلپایگانی دام ظله،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(Yomaldar)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BP102/654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4644254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في تفسیرآیة التطهیر وتفسیر آیة الإنذار وأحادیث یوم الدار، أو بدء الدعوة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الکبیر المرجع الدیني الأعلی سماحة آیة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الله العظمی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الشیخ لطف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الشریف</w:t>
      </w:r>
      <w:r>
        <w:rPr>
          <w:rFonts w:eastAsia="Amiri" w:cs="Amiri" w:ascii="Amiri" w:hAnsi="Amiri"/>
          <w:color w:val="111111"/>
          <w:sz w:val="28"/>
          <w:szCs w:val="28"/>
          <w:rtl w:val="true"/>
          <w:lang w:bidi="ar-SA"/>
        </w:rPr>
        <w:t xml:space="preserve">) </w:t>
      </w:r>
      <w:bookmarkStart w:id="7" w:name="pg10662_180632"/>
    </w:p>
    <w:p>
      <w:pPr>
        <w:pStyle w:val="Heading2"/>
        <w:numPr>
          <w:ilvl w:val="1"/>
          <w:numId w:val="1"/>
        </w:numPr>
        <w:rPr/>
      </w:pPr>
      <w:bookmarkStart w:id="8" w:name="__RefHeading___Toc5000_1051229030"/>
      <w:bookmarkStart w:id="9" w:name="_Toc3"/>
      <w:bookmarkEnd w:id="7"/>
      <w:bookmarkEnd w:id="8"/>
      <w:r>
        <w:rPr>
          <w:rtl w:val="true"/>
        </w:rPr>
        <w:t>في تفسيرآية التطهير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002_105122903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62_180635"/>
      <w:bookmarkStart w:id="13" w:name="pg10662_180635"/>
      <w:bookmarkEnd w:id="13"/>
    </w:p>
    <w:p>
      <w:pPr>
        <w:pStyle w:val="Heading3"/>
        <w:numPr>
          <w:ilvl w:val="2"/>
          <w:numId w:val="1"/>
        </w:numPr>
        <w:rPr/>
      </w:pPr>
      <w:bookmarkStart w:id="14" w:name="pg10662_180635"/>
      <w:bookmarkStart w:id="15" w:name="__RefHeading___Toc5004_1051229030"/>
      <w:bookmarkStart w:id="16" w:name="_Toc5"/>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لا يخفى أنّ من أشهر الآيات الّتي تثبت بها طهارة أهل البيت من رجس المعصية والخطأ آية التطهير الّتي دلّت الروايات المتواترة المخرّجة في كتب الحديث والتفسير على أنّ المراد منهم هو أمير المؤمنين عليّ بن أبي طالب وفاطمة الزهراء سيّدة نساء أهل الجنّة والإمامان السبطان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بعدهم من قام مقامهم إلى خاتم الأئمّة الإثني عشر مولانا المهديّ المنتظر ابن الحسن العسكري بن عليّ بن محمد بن عليّ بن موسى بن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بعض المعاندين للعترة الطاهرة لمّا رأى عدم إمكان إنكار نزولها فيه لمكان هذه الروايات المتواترة عند الفريقين، نفی دلالتها على </w:t>
      </w:r>
    </w:p>
    <w:p>
      <w:pPr>
        <w:pStyle w:val="BookText"/>
        <w:rPr/>
      </w:pPr>
      <w:r>
        <w:rPr>
          <w:rFonts w:ascii="Amiri" w:hAnsi="Amiri" w:eastAsia="Amiri" w:cs="Amiri"/>
          <w:color w:val="111111"/>
          <w:sz w:val="28"/>
          <w:sz w:val="28"/>
          <w:szCs w:val="28"/>
          <w:rtl w:val="true"/>
          <w:lang w:bidi="ar-SA"/>
        </w:rPr>
        <w:t>عصمتهم الّتي دلّت عليها غيرها من الأدلّة العقلية والشرعية أيضاً، فأنكر دلالة الآية على عصمتهم الاختياريّة إذا كانت الإرادة فيه التكوينيّة، وأمّا التشريعية فزعم أنّها تعمّ جميع المكلّفين ولا تدلّ على عصمتهم هذا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المحقّقون من العلماء حول مفاد الآية وأنّ الإرادة فيها هي التكوينية، وسائرِ الأدلّة الّتي اُقيمت على عصمتهم كتباً مفردةً وأثبتوا دلالة الآية على فضيلتهم وعصمتهم، وعدم منافاة كون عصمتهم بالإرادة التكوينية وكونها من أعظم فضائلهم بما لا مزيد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فهذه رسالة تثبت فيها دلالة الآية على عصمتهم وإن تنزّلنا عن كون الإرادة تكوينيةً وقلنا بأنّ المراد منها الإرادة التشريعية لم يسبق فيما نعلم مؤلّفها بهذا البيان غيرُه فطالعه واغتنمه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 رسله أبي القاسم محمد وآله المطهّرين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الآيات الّتي استدلّ بها على عصمة سيّدة نساء العالمين وسادتنا الأئمّة الهداة الميامين عليهم أفضل صلاة المصلِّين وطهارتهم عن كلّ رجس، آية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 مضافاً إلى الأخبار الكثيرة الّتي أخرجها أعلام المحدِّثين وأكابر المفسّرين من العامّة والخاصّة في كتب الحديث والجوامع والمسانيد،</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وأصحابه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محقّقة لِما ثبت بعدها، نافية لِما لم يثبت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والإرادة الّتي جاءت في الآية الكريمة هي الإرادة الحتمية والحقيقية الّتي يتبعها التطهير، دون ما يسمّونه بالإرادة التشريعية الّتي يتبعها الأمر أو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تعالى أراد التطهير عن الأرجاس عن جميع المكلّفين بالإرادة التشريعية، أيإنشاء البعث أو الزجر، وأمرهم بكلّ ما ينبغي أن يفعلوه، ونهاهم عن كلّ ما ينبغي أن يتركوه، والآية الكريمة تدلّ على اختصاص الإرادة المذكورة فيها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وهي الإرادة الحتمية الحقيقية الّتي يتبعها التطهير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لا ريب في أنّ هذا التعبير الصريح في اختصاصهم بهذه الإرادة، صريحٌ في المدح والتعظيم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كانت الإرادة غير حتمية فلا مدح لهم بها، ويختلّ نظام الكلام المنزّه عنه كلام العقلاء فضلا عن الله تعالى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فلا مناص من القول بأنّ المراد منها هي الإرادة المستتبعة للتطهير وإذهاب الرجس؛ وبذلك تختصّ الآية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w:t>
      </w:r>
    </w:p>
    <w:p>
      <w:pPr>
        <w:pStyle w:val="BookText"/>
        <w:rPr/>
      </w:pPr>
      <w:r>
        <w:rPr>
          <w:rFonts w:ascii="IRNazanin" w:hAnsi="IRNazanin" w:eastAsia="IRNazanin"/>
          <w:color w:val="111111"/>
          <w:sz w:val="28"/>
          <w:sz w:val="28"/>
          <w:szCs w:val="28"/>
          <w:rtl w:val="true"/>
          <w:lang w:bidi="fa-IR"/>
        </w:rPr>
        <w:t>يدّعِ ولم يقل أحدٌ بعصمة غيرهم، فيندفع توهّم شمول الآية لغير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ثبت عدم عصمتهم كأزواج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أنّ الإرادة هي الإرادة الحقيقية، أنّ متعلّق الإرادة في الآية إذهاب الرجس عنهم الّذي هو فعل الله تعالى، والإرادة الّتي تتعلّق بفعله تعالى حتمية لا تتخلّف عن المراد، ففرق بين ما يكون المراد فعله تعالى وبين ما يكون فعل غيره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متعلّق الإرادة فعلَ الغير المختار، يصحّ أن تكون هي التشريعية، كما يجوز أن تكون التكوينية،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وإن كان الظاهر من موارد الاستعمالات بلا قرينة صارفة هو الاُولى، وإطلاق الإرادة التشريعية على إنشاء ما يصلح لأن يكون باعثاً أو زاجراً مجرّد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متعلّق الإرادة فعلَ الله تعالى أو صدور الفعل عن غيره المختار بدون اختياره، كانت الإرادة حتميةً لا تتخلّف عن المراد، وإلّا لزم إسناد العجز إلى البارئ سبحانه وتعالى شأنه، المنزّه عن كلّ عجز ونقص، والمتعالي عن ذلك علوّاً كبيراً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عليك أنّ في الآية ضروباً من التأكيد في المدح والتعظيم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يدلّ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تَطْهِيراً أيضاً على عِظَم شأن هذا </w:t>
      </w:r>
    </w:p>
    <w:p>
      <w:pPr>
        <w:pStyle w:val="BookText"/>
        <w:rPr/>
      </w:pP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إذا كان إذهاب الرجس عنهم بفعل الله تعالى وإرادته الحقيقية لا التشريعية، كيف يوجّه مدحهم وتفضيلهم على غيرهم لأمر لم يكن من فعلهم، ولا باختيارهم؟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عنايات الله الخاصّة بل والعامّة لا تشمل إلّا مَن له قابلية قبولها، وهو عزّ وجلّ أعلم بمحالِّها ومواردها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شَيْءٍ إِلَّا عِندَنَا خَزَائِنُهُ وَمَا نُنَزِّلُهُ إِلَّا بِقَدَرٍ مَعْلُومٍ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يَقْسِمُونَ رَحْمَةَ رَبِّكَ نَحْنُ قَسَمْنَا بَيْنَهُم مَّعِيشَتَهُمْ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كالتوفيق والخذلان فلا يفوز بالتوفيق من الله الّذي هو وليّ </w:t>
      </w:r>
    </w:p>
    <w:p>
      <w:pPr>
        <w:pStyle w:val="BookText"/>
        <w:rPr/>
      </w:pPr>
      <w:r>
        <w:rPr>
          <w:rFonts w:ascii="Amiri" w:hAnsi="Amiri" w:eastAsia="Amiri" w:cs="Amiri"/>
          <w:color w:val="111111"/>
          <w:sz w:val="28"/>
          <w:sz w:val="28"/>
          <w:szCs w:val="28"/>
          <w:rtl w:val="true"/>
          <w:lang w:bidi="ar-SA"/>
        </w:rPr>
        <w:t>التوفيق إلّا مَن كانت له أهلية ذلك وكسبها بالاختيار، كما لا يصيب الخذلان إلّا مَن جعل نفسه في معرضه بالاختيار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يَسْتَهْزِؤُونَ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اُمور مرتبطة بالشؤون الربوبية، واستصلاح حال العباد وما تقتضيه الحكمة الإلهية، وهو العالم بها وبمواردها، وهو الحكيم العليم الفيّاض الوهّاب الجواد الّذي لا يبخل، ولا تنفد خزائنه، ولا يمنع فيضه ممّن له أهلية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اختلاف الناس في الاستعدادات والقوى النفسانية والجسمانية؟ فالله تعالى أعطى من أعطاه من قوّة الدرك والشعور بحكمته؛ ولأنّه أهل لقبول عطيّته وأخذ موهبته، ولم يَحرم مَن لم يُعطِهِ ذلك ولم يبخس حقّه، بل أعطاه بقدر استعداده وقدرته، وهو العالِم بذلك كلّه وهو الحكيم العليم، ونعم ما قاله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هفت اِقليم عالم را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را آنچه لايق بود داد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مسكين اگر پر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 گنجشك از زمين برداشتى </w:t>
      </w:r>
    </w:p>
    <w:p>
      <w:pPr>
        <w:pStyle w:val="BookText"/>
        <w:rPr/>
      </w:pPr>
      <w:r>
        <w:rPr>
          <w:rFonts w:ascii="IRNazanin" w:hAnsi="IRNazanin" w:eastAsia="IRNazanin"/>
          <w:color w:val="111111"/>
          <w:sz w:val="28"/>
          <w:sz w:val="28"/>
          <w:szCs w:val="28"/>
          <w:rtl w:val="true"/>
          <w:lang w:bidi="fa-IR"/>
        </w:rPr>
        <w:t>گر بريزى آب را در كوزهاى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گنجد؟ قسمت يكروزهاى</w:t>
      </w:r>
    </w:p>
    <w:p>
      <w:pPr>
        <w:pStyle w:val="BookText"/>
        <w:rPr/>
      </w:pPr>
      <w:r>
        <w:rPr>
          <w:rFonts w:ascii="IRNazanin" w:hAnsi="IRNazanin" w:eastAsia="IRNazanin"/>
          <w:color w:val="111111"/>
          <w:sz w:val="28"/>
          <w:sz w:val="28"/>
          <w:szCs w:val="28"/>
          <w:rtl w:val="true"/>
          <w:lang w:bidi="fa-IR"/>
        </w:rPr>
        <w:t>آب كم جو، تشنگى آور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بجوشد آبت از بالا و پست</w:t>
      </w:r>
    </w:p>
    <w:p>
      <w:pPr>
        <w:pStyle w:val="BookText"/>
        <w:rPr/>
      </w:pPr>
      <w:r>
        <w:rPr>
          <w:rFonts w:ascii="Amiri" w:hAnsi="Amiri" w:eastAsia="Amiri" w:cs="Amiri"/>
          <w:color w:val="111111"/>
          <w:sz w:val="28"/>
          <w:sz w:val="28"/>
          <w:szCs w:val="28"/>
          <w:rtl w:val="true"/>
          <w:lang w:bidi="ar-SA"/>
        </w:rPr>
        <w:t>ثم إنّ بعض أهل الأهواء من المغترّين بالثقافة الغربية، ومن حذا حذوهم ممّن نعتوا أنفسهم بالثقافة والتنوّر الفكري وما هم بذلك زعم أنّ الإرادة لو كانت تشريعية، ليكون أهل العصمة وغيرهم سواءً لكان اجتنابهم عن المعاصي والقبائح باختيارهم لكانت أدلَّ على فضيلتهم وكمال نفوسهم من اجتنابهم عن المعصية بصفة أنّهم معصومون، وأنّ الله أراد عصمتهم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التافه أراد نفي العصمة، ونفي دلالة آية التطهير على عصمتهم، وإنكارها من الأصل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الزعم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العصمة وعدم الاختيار، ولا منافاة بينها وبين الاختيار، فإنّ الإرادة الحتمية والتكوينية تارةً تتعلّق بفعله، وما يصدر عنه بلا واسطة أمر بينه وبين المراد،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بوقوع أمر بدون واسطة أمر آخر، سواء كان في خارج عالم الاختيار والأسبابوالمسبّبات أو في عالم الاختيار والأسباب، فلا تتخلّف الإرادة عن المراد، حتى إذا كانت متعلّقة بأمر اختياري لولا هذه الإرادة، وبما له أسباب كثيرة؛ لأنّه بعد ما أراد وقوعه </w:t>
      </w:r>
      <w:bookmarkStart w:id="17" w:name="pg10662_180650"/>
    </w:p>
    <w:p>
      <w:pPr>
        <w:pStyle w:val="BookText"/>
        <w:rPr/>
      </w:pPr>
      <w:bookmarkEnd w:id="17"/>
      <w:r>
        <w:rPr>
          <w:rFonts w:ascii="Amiri" w:hAnsi="Amiri" w:eastAsia="Amiri" w:cs="Amiri"/>
          <w:color w:val="111111"/>
          <w:sz w:val="28"/>
          <w:sz w:val="28"/>
          <w:szCs w:val="28"/>
          <w:rtl w:val="true"/>
          <w:lang w:bidi="ar-SA"/>
        </w:rPr>
        <w:t>مطلقاً بدون واسطة الأسباب واختيار فاعل مختار يقع لا محالة كما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اُخرى تتعلّق بما يصدر عن العبد بالاختيار، أو بوقوع ما يكون له أسباب متعدّدة كذلك، أعني باختياره وبواسطة الأسباب، ففي مثله فإنّ حصول المراد وتحقّقه وعدم تخلّف الإرادة عن المراد إنّما يكون بصدوره عن العبد بالاختيار، وبكونه مسبّباً لهذه الأسباب، ففي هذه الصورة لا تنافي بين إرادته المتعلّقة بما يقع في عالم الاختيار والأسباب والمسبّبات، وتوسّط الوسائط والأسباب، بل لو وقع بغير اختيار العبد أو بتأثير الأسباب لكان من تخلّف المراد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إذهاب الرجس عنهم، وتعلّق إرادته تعالى به الّتي لا تتخلّف عن مراده هي عصمتهم، وعدم صدور القبائح منهم، وطهارتهم عن الأرجاس حال كونهم مختارين في الفعل والترك، غير مقهورين، محفوفين بشواغل عالم الطبيعة، ممّا يدعو النفوس إلى الانصراف عن الملأ الأعلى، والاشتغال بذكر الله تعالى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006_1051229030"/>
      <w:bookmarkStart w:id="19" w:name="_Toc6"/>
      <w:bookmarkEnd w:id="18"/>
      <w:r>
        <w:rPr>
          <w:rtl w:val="true"/>
        </w:rPr>
        <w:t>تحقيق دقيق</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تحقيق دقيق في سدّ ثغور دلالة هذه الآية على عصمة الأئمّة، ألهمنا الله تعالى ببركة ما حقّقه الرجل الإلهيّ الفريد في عصره، الإمام في العلوم الإسلامية، سيّدنا الاُستاذ البروجردي أعلى الله في الفردوس </w:t>
      </w:r>
    </w:p>
    <w:p>
      <w:pPr>
        <w:pStyle w:val="BookText"/>
        <w:rPr/>
      </w:pPr>
      <w:r>
        <w:rPr>
          <w:rFonts w:ascii="Amiri" w:hAnsi="Amiri" w:eastAsia="Amiri" w:cs="Amiri"/>
          <w:color w:val="111111"/>
          <w:sz w:val="28"/>
          <w:sz w:val="28"/>
          <w:szCs w:val="28"/>
          <w:rtl w:val="true"/>
          <w:lang w:bidi="ar-SA"/>
        </w:rPr>
        <w:t>مقامه في مباحثه في اُصول الفقه، في مبحث الجمع بين الحكم الظاهري والواقعي، ورفع التنافي المتوهّم بينهما؛ تذكرةً ومماشاةً لمن يصرّ على كون الإرادة في الآية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مستمدّين العون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الإرادة التشريعية هي عبارة عن العلم بالشيء بأنّهينبغي أن يُفعل، أو لا يفعل، وإنشاء الأمر والنهي، والطلب والزجر لكونهما صالحين أن يكونا داعيين للعبد إذا فعل ما اُمر به أوْ زاجراً له إن فعل ما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إنشاء ما يصلح لأن يكون داعياً له إلى الفعل المأمور به، وزاجراً عن الفعل المنهيّ عنه؛ كي ينبعث نحو الفعل من ينبعث بأمره، وينتهي عن المنهيّ عنه من ينتهي عن نهيه، ويُتمّ الحجّة على غيره ممّن يستخفّ بأمره، ولا يعتني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قد يجتمع مع الطلب الحقيقي وإرادة الفعل من العبد جدّاً، وهي روح الحكم كما يمكن أن يفارقه، فإذا علم المولى من حال عبده أنّه ينبعث بأمره، وينزجر بنهيه، وأنّ أمره يدعوه إلى إطاعته وامتثاله، يريد منه بالإرادة الجدّية والطلب الحقيقي فعل ما أمره به، وترك ما نهاه عنه، فأمره ونهيه بالنسبة إلى هذا العبد يكون حقيقياً جدّياً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علم من حاله أنّه لا يؤثّر فيه أمر المولى، ولا يحرّكه بشيء، ولا يصير داعياً له نحو الإطاعة والامتثال فلا يعقل أن يكون أمره ونهيه بالنسبة إلى هذا العبد حقيقياً، ولا يقترن مثل هذا الأمر والنهي بالإرادة الجدّية من الآمر والناهي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فإنشاء الأمر والطلب في الصورة الاُولى كما يكون بالإرادة الحقيقية يكون حقيقياً مجامعاً مع الإرادة الجدّية، وفي الصورة الثانية يكون صورياً، ولإتمام الحجّة وقطع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يعقل إرادة الانبعاث الجديّة والطلب الحقيقي ممّن يعلم أنّه لاينبعث بأمر المولى، فلا يعقل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القيام وترك الزنی وترك الخمر بالإرادة الجدّية ممّن يعلم أنّه لا ينبعث بهذا الأمر ولا يأتمر به، ولا ينزجر عن الزنی وشرب الخمر، ولا ينتهي بنهيه عنهما حتى لو كان المولى من الموالي العرفيّين، ولم يعلم ذلك من العبد، واحتمل في حقّه تأثير أمره فيه وانبعاثه به، وتحريكه نحو الفعل، لا تتأتّى منه الإرادة الجدّية بمجرّد ذلك الاحتمال، بل إنّما يأمر وينهى برجاء انبعاث عبده أو انتهائه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تعلّق الإرادة الجدّية والطلب الحقيقي بصدور فعل عمّن يعلم المريد أنّه لا يفعله، والأمر أو النهي في هذه </w:t>
      </w:r>
    </w:p>
    <w:p>
      <w:pPr>
        <w:pStyle w:val="BookText"/>
        <w:rPr/>
      </w:pPr>
      <w:r>
        <w:rPr>
          <w:rFonts w:ascii="Amiri" w:hAnsi="Amiri" w:eastAsia="Amiri" w:cs="Amiri"/>
          <w:color w:val="111111"/>
          <w:sz w:val="28"/>
          <w:sz w:val="28"/>
          <w:szCs w:val="28"/>
          <w:rtl w:val="true"/>
          <w:lang w:bidi="ar-SA"/>
        </w:rPr>
        <w:t>الصورة لا يكون إلّا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إنشاء الأمر لا لغاية الانبعاث، بل لإتمام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يستفاد من كثير من الآيات القرآنية الكريمة،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لِيُنذِرَ مَن كَانَ حَيّاً وَيَحِقَّ الْقَوْلُ عَلَى الْكَافِرِينَ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لِيَهْلِكَ مَنْ هَلَكَ عَن بَيِّنَةٍ وَيَحْيَى مَنْ حَيَّ عَن بَيِّنَةٍ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فإرادة قبول الإنذار من المنذر، والإنذار بقصد أن يُنذَر المنذَر لا </w:t>
      </w:r>
    </w:p>
    <w:p>
      <w:pPr>
        <w:pStyle w:val="BookText"/>
        <w:rPr/>
      </w:pPr>
      <w:r>
        <w:rPr>
          <w:rFonts w:ascii="Amiri" w:hAnsi="Amiri" w:eastAsia="Amiri" w:cs="Amiri"/>
          <w:color w:val="111111"/>
          <w:sz w:val="28"/>
          <w:sz w:val="28"/>
          <w:szCs w:val="28"/>
          <w:rtl w:val="true"/>
          <w:lang w:bidi="ar-SA"/>
        </w:rPr>
        <w:t>يكون حقيقياً إلّا إذا كان المنذَر ممّن اتّبع الذكر وخشي الرحمن بالغيب، ويؤثّر فيه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يؤثّر فيه ذلك، ولا يُنذَر بالإنذار فإنذاره ليس إلّاصوريّاً ولرفع عذره؛ ولئلّا يكون له على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منها ما يعلم المريد من حال المراد منه أنّه ينبعث نحو المأمور به بأمره، ويحرّكه ويصير داعياً له، فيطلب منه ذلك بالطلب الحقيقيّ والإرادة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منها ما يعلم المريد من حال المراد منه أنّه لا يتأثّر بأمره، فيحكم بأمره أو نهيه بما ينبغي أن يفعل أو لا يفعل وينشئ ما يصلح أن يكون داعياً له، ولكن لا طلب له حقيقياً في هذه الصورة، ولا يريد انبعاث المأمور بهذا الأمر بالإرادة الجدّية، بل لا يصحّ إطلاق الطلب والإرادة على ذلك بنحو الحقيقة إلّا مجازاً وبالتمحّل، بخلاف الأوّل فإنّ إطلاق الطلب والإرادة وأنّه مريد وطالب يكون على نحو الحقيقة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المذكورة في الآية وإن كانت تشريعية إلّا أنّها جدّية حقيقية من النوع الأوّل الّذي أراد الآمر والناهي بالإرادة الجدّية والطلب الحقيقي انبعاث المأمور، وأمره ونهيه يصدر عنه بداعي </w:t>
      </w:r>
    </w:p>
    <w:p>
      <w:pPr>
        <w:pStyle w:val="BookText"/>
        <w:rPr/>
      </w:pPr>
      <w:r>
        <w:rPr>
          <w:rFonts w:ascii="Amiri" w:hAnsi="Amiri" w:eastAsia="Amiri" w:cs="Amiri"/>
          <w:color w:val="111111"/>
          <w:sz w:val="28"/>
          <w:sz w:val="28"/>
          <w:szCs w:val="28"/>
          <w:rtl w:val="true"/>
          <w:lang w:bidi="ar-SA"/>
        </w:rPr>
        <w:t>انبعاثه، وصراحة الآية في ذلك أنّ الإرادة المذكورة في الآية وفي كلّ مورد لم تكن قرينة على المجاز صريحة في الإرادة الجدّية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أبى المعاند عن كلّ ذلك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عامّة تشمل جميع المكلّفين المطيعين والعاصين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 في الألفاظ والأسماء والاصطلاحات، وقد قيل من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مَشاحَّة في الاصطلاح، فعرِّفِ الإرادة التشريعية بما شئت،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هي جعل ما يصلح لأن يكون داعياً للعبد أو زاجراً له، وإنشاء ما له قابلية الداعوية وبعث العبد نحو الفعل أو الترك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أنّك تعلم أنّ هذا مجرّد اصطلاح، ولا يحصر مفهوم الإرادة في ذلك، ولا يخرج عن مفهومها الحقيقي ولا ينفي ما هو واقع الأمر، وهو أنّ المولى إذا علم من حال عبده أنّه ينبعث بأمرهويتحرّك بتشريعاته يطلب منه ما أمره به بالطلب الحقيقي وبالإرادة الجدّية، وإذا علم من حاله أنّه لا ينبعث بذلك ولا يؤثّر أمره ونهيه في تحريكه أو امتناعه لا يطلب منه بتشريعاته ما شرّعه بالطلب الحقيقي والإرادة الحقيقية، ولا يدعوه نحو فعل ما أمره به بداعي أن يفعله، بل يدعوه بداعي أن يُتمَّ عليه الحجّة، وهذا ما نسمّيه بالأمر الصوري، ومن راجع وجدانه يعرف منه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الإرادة على التشريعية إطلاق مجازي، بخلاف إطلاقه على الإرادة الجدّية فإنّه إطلاق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يمكنك إنكار الإرادة الجدّية بالمعنى الّذي تلوناه عليك؟</w:t>
      </w:r>
    </w:p>
    <w:p>
      <w:pPr>
        <w:pStyle w:val="BookText"/>
        <w:rPr/>
      </w:pPr>
      <w:r>
        <w:rPr>
          <w:rFonts w:ascii="Amiri" w:hAnsi="Amiri" w:eastAsia="Amiri" w:cs="Amiri"/>
          <w:color w:val="111111"/>
          <w:sz w:val="28"/>
          <w:sz w:val="28"/>
          <w:szCs w:val="28"/>
          <w:rtl w:val="true"/>
          <w:lang w:bidi="ar-SA"/>
        </w:rPr>
        <w:t>وهل يمكنك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تتعلّق بما لا تؤثّر الإرادة التشريعية في الانبعاث نحوه؟</w:t>
      </w:r>
    </w:p>
    <w:p>
      <w:pPr>
        <w:pStyle w:val="BookText"/>
        <w:rPr/>
      </w:pPr>
      <w:r>
        <w:rPr>
          <w:rFonts w:ascii="Amiri" w:hAnsi="Amiri" w:eastAsia="Amiri" w:cs="Amiri"/>
          <w:color w:val="111111"/>
          <w:sz w:val="28"/>
          <w:sz w:val="28"/>
          <w:szCs w:val="28"/>
          <w:rtl w:val="true"/>
          <w:lang w:bidi="ar-SA"/>
        </w:rPr>
        <w:t>وهل يمكنك إنكار تعلّقها حقيقةً بالانبعاث، وبوقوع الفعل عن العبد إذا كان الأمر والطلب والإرادة التشريعية مؤثّراً في بعث العبد أو زجره؟</w:t>
      </w:r>
    </w:p>
    <w:p>
      <w:pPr>
        <w:pStyle w:val="BookText"/>
        <w:rPr/>
      </w:pPr>
      <w:r>
        <w:rPr>
          <w:rFonts w:ascii="Amiri" w:hAnsi="Amiri" w:eastAsia="Amiri" w:cs="Amiri"/>
          <w:color w:val="111111"/>
          <w:sz w:val="28"/>
          <w:sz w:val="28"/>
          <w:szCs w:val="28"/>
          <w:rtl w:val="true"/>
          <w:lang w:bidi="ar-SA"/>
        </w:rPr>
        <w:t>وهل يمكنك أن تقول بعد ذلك بظهور الإرادة المذكورة في الآية في الإرادة التشريعية دون الإرادة الجدّية، مع عدم وجود قرينة صارفة عن المعنى الحقيقي، ووجود الشواهد في الكلام على أنّ المراد بالإرادة هي الجدّية؟</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جدّية، وتشريعية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فالتشريعية عبارة عن طلب التكاليف من جميع المكلّفين على السواء بإنشاء ما يصلح أن يكون داعياً لهم، والحكم بما ينبغي أو يجب أن يفعل، أو لا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والجدّية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وغير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فالتكوينية ما يتعلّق بكون شيء بدون واسطة فعل فاعل مختار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التكوينية ما يتعلّق بفعل فاعل مختار إذا علم من حاله تحريكه وانبعاثه بالطلب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كلّ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وإن قطع بالإرادة التشريعية عذر عباده، وأنشأ بأوامره ونواهيه ما يصلح أن يكون داعياً للجميع نحو الفعل المأمور به، أو زاجراً لهم عن الفعل المنهيّ عنه، وجعل الكلّ في ذلك سواء، إلّا أنّ إرادته الحقيقية وطلبه الحقيقي تتعلّق بفعل مَن ينبعث عن أمره وينزجر عن نهيه، وأنّ المستفاد من الآية الشريفة أنّه لعلمه بحال هذه الذوات المقدّسة، وأنّهم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لَايَسْبِقُونَهُ بِالْقَوْلِ وَهُمْ بِأَمْرِهِ يَعمَلُونَ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يَشَاؤُونَ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بالإرادة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انبعاثهم نحو جميع الطاعات، وانزجارهم عن جميع المنهيّات، فأمرهم بما أمرهم، ونهاهم عمّا نهاهم، لا لأن يكون هذا الأمر والنهي لقطع العذر وإتمام الحجّة عليهم، بل لانبعاثهم نحو ما اُمروا به، وانزجارهم عمّا نُهُوا عنه؛ وليكون باعثاً وداعياً لهم للامتثال، وتطهيراً لهم عن جميع </w:t>
      </w:r>
    </w:p>
    <w:p>
      <w:pPr>
        <w:pStyle w:val="BookText"/>
        <w:rPr/>
      </w:pPr>
      <w:r>
        <w:rPr>
          <w:rFonts w:ascii="Amiri" w:hAnsi="Amiri" w:eastAsia="Amiri" w:cs="Amiri"/>
          <w:color w:val="111111"/>
          <w:sz w:val="28"/>
          <w:sz w:val="28"/>
          <w:szCs w:val="28"/>
          <w:rtl w:val="true"/>
          <w:lang w:bidi="ar-SA"/>
        </w:rPr>
        <w:t>الأرجاس، وقد أخبرَنا بذلك في هذه الآية الكريمة إعلاماً بجلالة قدرهم، وعلوّ شأنهم، وسموّ مقامهم، وكمال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دلّت الآية الشريفة على أنّ فيهم ملكة قبول كلّ ما أمر الله تعالى به ونهى عنه، والاهتداء بهدايته، ومن كان حاله هذا، يريد الله تعالى إذهاب الرجس عنه، ويوفّر له أسباب التوفيق، ويخصّه بعناياته الخاصّة، ويجعله تحت رعايته الكاملة، يلهمه كلّ خير، ويميّز له كلّ شرّ، لا يَدعُه في حال من الحالات، ولا في شأن من الشؤون، يختاره ويصطفيه من بين عباده، وهو القادر على ما يريد، وبكلّ شيء عليم، لَا يُسْئَلُ عَمّا يَفْعَلُ وَهُمْ يُسْأَلُونَ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هو حاصل لغير هؤلاء الذوات الكريمة أيضاًمن الّذين يخشون الرحمن بالغيب، ويتّبعون الذكر، ويقبلون المواعظ بحسب مراتبهم ودرجاتهم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ونحن نعرف كثيراً من الناس على بعض مراتب تلك الصفة السامية والملكة العالية القدسية، مطيعين لله خائفين منه، أهل الخضوع والخشوع وقيام الليل، معروفين بالعدالة والزهد، ولكن لا نعرف على صفة العصمة المطلقة التامّة غير من شهد الله تعالى له بذلك؛ </w:t>
      </w:r>
    </w:p>
    <w:p>
      <w:pPr>
        <w:pStyle w:val="BookText"/>
        <w:rPr/>
      </w:pPr>
      <w:r>
        <w:rPr>
          <w:rFonts w:ascii="Amiri" w:hAnsi="Amiri" w:eastAsia="Amiri" w:cs="Amiri"/>
          <w:color w:val="111111"/>
          <w:sz w:val="28"/>
          <w:sz w:val="28"/>
          <w:szCs w:val="28"/>
          <w:rtl w:val="true"/>
          <w:lang w:bidi="ar-SA"/>
        </w:rPr>
        <w:t>لأنّ صاحب ملكة العصمة المطلقة لا يُعرَف إلّا من طريق الوحي، والارتباط بعالم القدس والملكوت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عرّفَنا الله تعالى في هذه الآية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وأخبرنا بطهارتهم عن الأرجاس كلِّها، وعصمتهم صلوات الله عليهم أجمعين ورزقنا الله اتّباعهم والاقتداء بهم، وأماتنا بحبّهم وولايتهم، ولا يفرّق بيننا وبينهم طرفة عين أبداً في الدنيا والآخرة، إنّه الكريم المتفضّل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حرّره تراب أقدام محبّي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bookmarkStart w:id="20" w:name="pg10662_180670"/>
    </w:p>
    <w:p>
      <w:pPr>
        <w:pStyle w:val="Heading3"/>
        <w:numPr>
          <w:ilvl w:val="2"/>
          <w:numId w:val="1"/>
        </w:numPr>
        <w:rPr/>
      </w:pPr>
      <w:bookmarkStart w:id="21" w:name="__RefHeading___Toc5008_1051229030"/>
      <w:bookmarkStart w:id="22" w:name="_Toc7"/>
      <w:bookmarkEnd w:id="20"/>
      <w:bookmarkEnd w:id="21"/>
      <w:r>
        <w:rPr>
          <w:rtl w:val="true"/>
        </w:rPr>
        <w:t>مصادر التحقیق</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من الحیرة، ابن بابویه القمي،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الکوفي، فرات الکوفي، فرات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القمّي، عليّ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آي القرآن،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التفسیر بالمأثور،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تفسیر القرآن العظیم، الآلوسي، السیّد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البیهقي،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 الحسکاني، عبید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النعماني،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أنوار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في النصّ علی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علی الصحیحین، الحاکم النیسابوري،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 xml:space="preserve">. </w:t>
      </w:r>
      <w:bookmarkStart w:id="23" w:name="pg10662_180674"/>
    </w:p>
    <w:p>
      <w:pPr>
        <w:pStyle w:val="Heading2"/>
        <w:numPr>
          <w:ilvl w:val="1"/>
          <w:numId w:val="1"/>
        </w:numPr>
        <w:rPr/>
      </w:pPr>
      <w:bookmarkStart w:id="24" w:name="__RefHeading___Toc5010_1051229030"/>
      <w:bookmarkStart w:id="25" w:name="_Toc8"/>
      <w:bookmarkEnd w:id="23"/>
      <w:bookmarkEnd w:id="24"/>
      <w:r>
        <w:rPr>
          <w:rtl w:val="true"/>
        </w:rPr>
        <w:t>تفسیر آیة الإنذار وأحادیث یوم الدار، أو بدء الدعوة</w:t>
      </w:r>
      <w:bookmarkEnd w:id="2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5012_1051229030"/>
      <w:bookmarkStart w:id="27" w:name="_Toc9"/>
      <w:bookmarkEnd w:id="26"/>
      <w:r>
        <w:rPr>
          <w:rtl w:val="true"/>
        </w:rPr>
        <w:t>اشارة</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662_180677"/>
      <w:bookmarkStart w:id="29" w:name="pg10662_180677"/>
      <w:bookmarkEnd w:id="29"/>
    </w:p>
    <w:p>
      <w:pPr>
        <w:pStyle w:val="Heading3"/>
        <w:numPr>
          <w:ilvl w:val="2"/>
          <w:numId w:val="1"/>
        </w:numPr>
        <w:rPr/>
      </w:pPr>
      <w:bookmarkStart w:id="30" w:name="pg10662_180677"/>
      <w:bookmarkStart w:id="31" w:name="__RefHeading___Toc5014_1051229030"/>
      <w:bookmarkStart w:id="32" w:name="_Toc10"/>
      <w:bookmarkEnd w:id="30"/>
      <w:bookmarkEnd w:id="31"/>
      <w:r>
        <w:rPr>
          <w:rtl w:val="true"/>
        </w:rPr>
        <w:t>المقدّمة</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الآيات النازلة في أهل البيت سيّما في فضائل أمير المؤمنين الإمام أبي الحسن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 ذكرها الفريقان في كتبهم في أسباب النزول والتفسير، وأفرد بعض الأعلام والحفّاظ من أهل السنّة كالحاكم الحسكاني في شواهد التنزيل كتباً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جدّ أعدائهم في المنع عن رواية الأحاديث حول تفسير هذه الآيات أو تأويلها لم تخلص كتب الجوامع والمسانيد الّتي صُنّفت تحت إشراف هذه السياسات ورقابتها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الآيات، آية الإنذار الّتي تقرأ بعض ما يتعلّق بها في هذه الرسالة المسمّاة حديث يوم الدار وتعرف أنّ إنكار ما ورد في شأن نزولها، ممّا يدلّ على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شنشنة أخزميّة وخصلة اُمويّة حرّكها بغض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أظهر آيات النفاق،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أبي القاسم محمد وعلى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وَأَنْذِرْ عَشِيرَتَكَ الْأَقْرَبِينَ</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يأتينا من الناصبة، وبقيّة الفئة الباغية، والمرتزقة الّذين يعيشون في أحضان الاستعمار وهمّهم الوحيد التفرقة بين المسلمين، وإشغالهم بخلافات مستحدثة؛ كيلا يلبّوا دعوة المصلحين وعباقرة الاُمّة إلى توحيد الكلمة ما يجرح العواطف، ويُثير الفتنة والتباغض والتخالف، ممّا لا ربح فيه إلّا للأعداء، ولا يزيدنا إلّا الضعف والفشل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إن دلّ على شيء، فإنّما يدلّ على أنّهم جعلوا أصابعهم في آذانهم؛ حتى لا يسمعوا صرخات المصلحين؛ لأنّهم لا يحبّون استيقاظ اُمّتنا الكبيرة، الّتي لو استيقظت من نومتها، وعرفت صلاحياتها </w:t>
      </w:r>
    </w:p>
    <w:p>
      <w:pPr>
        <w:pStyle w:val="BookText"/>
        <w:rPr/>
      </w:pPr>
      <w:r>
        <w:rPr>
          <w:rFonts w:ascii="Amiri" w:hAnsi="Amiri" w:eastAsia="Amiri" w:cs="Amiri"/>
          <w:color w:val="111111"/>
          <w:sz w:val="28"/>
          <w:sz w:val="28"/>
          <w:szCs w:val="28"/>
          <w:rtl w:val="true"/>
          <w:lang w:bidi="ar-SA"/>
        </w:rPr>
        <w:t>وطاقاتها وإمكانيّاتها لقامت بوجه كلّ استكبار واستضعاف وقضت عليه، ورفعت راية التوحيد، وأسَّست المدنية على النظام الإلهيِّ الخالي من الظلم والانظلام، وسلب الحريّات الّتي منحها الله تعالى الإنسان في شرائع الأنبياء، سيّما الشريعة الإسلامية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التفت الجيل الحاضر المسلم إلى مستقبله و إلى حاضره، وما يجري في العالم، وما أحاط البشريةَ من المشاكل الّتي فرضتها عليها الصهاينة وأذناب الاستعمار، والتبشير والإلحاد وعبدة لنين وماركس، أدرك ما يجب عليه من القيام بإبلاغ رسالة الإسلام لإنقاذ البشرية، والسعي للقضاء على كلّ سلطة وسيطرة إلّا سلطة أحكام الله تعالى، ويدكّ بذلك عروش الجبابرة والمستكبرين ويهدّد 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 ما على البسيطة شيء أشدّ خطراً على الاستكبار العالمي من تيقّظ المسلمين من رقدتهم، واعتصامهم بحبل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عجب من وقوفهم بوجه المصلحين وسعيهم في تفرقة كلمة المسلمين وتجزئة بلادهم؛ ليكون كلّ إقليم ومنطقة تحت أمرحاكم عميل ونظام في خدمة الشرق أو الغرب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بلاد المسلمين بعين البصيرة والعبرة؛ لتدرك محنتها من هؤلاء الحكّام والمهتمّين بتفرقة المسلمين، ثمّ انظر هل تجد لهذه </w:t>
      </w:r>
    </w:p>
    <w:p>
      <w:pPr>
        <w:pStyle w:val="BookText"/>
        <w:rPr/>
      </w:pPr>
      <w:r>
        <w:rPr>
          <w:rFonts w:ascii="Amiri" w:hAnsi="Amiri" w:eastAsia="Amiri" w:cs="Amiri"/>
          <w:color w:val="111111"/>
          <w:sz w:val="28"/>
          <w:sz w:val="28"/>
          <w:szCs w:val="28"/>
          <w:rtl w:val="true"/>
          <w:lang w:bidi="ar-SA"/>
        </w:rPr>
        <w:t>الحكومات المتخالفة في السياسة والنظام والإدارة مفهوماً؟ غير أنّ الاستعمار لم يقم ولن يدوم في بلادنا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واُوجّه السؤال إلى المسلمين المضطهدين تحت سيطرة هذه الحكومات الجائرة عن الحاكم الإسلامي الّذي قرن الله طاعته بطاعة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هو إذاً حاكم الاُردن، أو تركيا، أو الجزيرة العربية المسمّاة بإسم السعودية، أو حاكم الكويت، أو البحرين، أو قطر، أو أبوظبي، أو سلطنة عمان، أو المغرب، أو تونس، أو الجزائر، أو باكستان، أو ماليزيا، أو أندونزيا، أو الصوُمال، أو لبنان، أو نيجيريا، أو اليمن الشمالية، أو اليمن الجنوبية الماركسية، أو ليبيا الاشتراكية، أو السودان، أو مصر، أو العراق، أو تانزانيا، أو سوريا، أو أفغانستان، أو اُوزبكستان، أو تاجيكستان، أو ألبانيا، أو بنگلادش، وأو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 يحكم من حكّام هذه البلاد بحكم الإسلام؟ وأيُّ هذه الحكومات حكومة شرعية إسلامية تمثّل وحدة الاُمّة وحكومتها العالمية الّتي تسود العالم كلَّه؟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تعرف منها من لا يتحكّم في مصيره الشرق الملحد أو الغرب المستعمر؟ ومن هي شبكات هؤلاء المستعمرين الّذين لا يرقبون في </w:t>
      </w:r>
    </w:p>
    <w:p>
      <w:pPr>
        <w:pStyle w:val="BookText"/>
        <w:rPr/>
      </w:pPr>
      <w:r>
        <w:rPr>
          <w:rFonts w:ascii="IRNazanin" w:hAnsi="IRNazanin" w:eastAsia="IRNazanin"/>
          <w:color w:val="111111"/>
          <w:sz w:val="28"/>
          <w:sz w:val="28"/>
          <w:szCs w:val="28"/>
          <w:rtl w:val="true"/>
          <w:lang w:bidi="fa-IR"/>
        </w:rPr>
        <w:t xml:space="preserve">مؤمن إلًّا ولا ذمّةً، يُنفقون الأموال الطائلة الّتي يحصلون عليها بامتصاص دماء الشعوب، من أجل اختلاق الخلافات وإنكار الحقائق الإسلامية، وإيجاد الشكّ في التاريخ المليء بأمجادنا وبطولات أبطالنا؟ كما يحاولون أن تبقى اختلافات الفرق بحالها، فحينما يرون أنّ الشعور بالولاء لأهل البيت والتمسّك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سيشمل جميع الاُمّة ويوحّدها، ويُذهب بالأحقاد الّتي أوجدتها السياسة، ويقضي على تفرقة الاُمّة بالفريقين الشيعة والسنّة، ويلفّ الجميع حول الكتاب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ويوحّد المذاهب أجمع، يتوسّلون بأهل التعصّب والعناد والنصاب يخيفونهم من ظهور الحقّ ويقظة الشباب المثقّفين، وفهمهم ما وراء الوقائع الدامية والخلافات الطائفية من مؤامرات المنافقين ومبغضي أهل البيت، فيستأجرون لذلك أقلام عبدة الدنيا، ومحبّي الجاه، والضعفاء الّذين لا يفهمون ما وراء هذه الاُمور، ولا يفكّرون فيما يريده الاستعمار من الاحتفاظ بتفرّق المسلمين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 والله، لقد أدرك الاستعمار أنّ جيلنا المسلم قد استيقظ عن نومته، وانتبه إلى ما حوله، وأدرك أنّ الخلافات المذهبية والسياسات العاملة لمنع الناس عن التمسّك بالثقلين وأخذ العلم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وحدهم حملته وسَدَنته، تذوب بالإمعان الخالص من التعصّب في </w:t>
      </w:r>
    </w:p>
    <w:p>
      <w:pPr>
        <w:pStyle w:val="BookText"/>
        <w:rPr/>
      </w:pPr>
      <w:r>
        <w:rPr>
          <w:rFonts w:ascii="IRNazanin" w:hAnsi="IRNazanin" w:eastAsia="IRNazanin"/>
          <w:color w:val="111111"/>
          <w:sz w:val="28"/>
          <w:sz w:val="28"/>
          <w:szCs w:val="28"/>
          <w:rtl w:val="true"/>
          <w:lang w:bidi="fa-IR"/>
        </w:rPr>
        <w:t>الكتاب والسنّة والتاريخ، كما أدرك الكثير من أبناء أهل السنّة، فلبَّوا دعوة المصلحين الأفذاذ؛ لترك العصبيات الطائفية، وفهموا أنّ شيعة أهل البيت لا ذنب لهم إلّا ولاء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العلم عنهم في ظروف لم تكن موافقةً لسياسة أرباب السلطة المتغلّبين على المسلمين، فتحكّموا في رقاب محبّيهم ورواة فضائلهم ومناقبهم وحملة العلم عنهم ونكّلوا بهم أشدّ التنكيل وساموهم سوء العذاب، حتى أصبح الرجوع إلى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الحديث عنهم، وحتى إعانة الذرّيّة الطاهرة النبوية من أعظم الجرائم السياسية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بقيت شرذمة ضئيلة من أبناء هؤلاء الّذين يقولون بشرعية حكومات الطواغيت، الّذين عَلَوا وطغوا واستكبروا في الأرض، أمثال معاوية ويزيد والوليد وهارون والمتوكّل وغيرهم، وكان استكبارهم أكثر من استكبار طواغيت الجاهلية في روما وإيران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وهؤلآء لا يزالون يصدّون المسلمين عن التجاوب والتفاهم، ويلبّون دعوة الاستعمار لإثارة الضغائن وإنكار الحقائق، ينظرون دائماً إلى الخلف، ولا ينظرون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يقبلون من التاريخ والحديث إلّا ما يؤيّد آراءهم، ويجرحون كأسلافهم كلّ من يروي ما لا يوافق أهواءهم، ويطعنون في كلّ حديث يخالف مذهبهم وإن بلغ في الصحّة </w:t>
      </w:r>
    </w:p>
    <w:p>
      <w:pPr>
        <w:pStyle w:val="BookText"/>
        <w:rPr/>
      </w:pPr>
      <w:r>
        <w:rPr>
          <w:rFonts w:ascii="IRNazanin" w:hAnsi="IRNazanin" w:eastAsia="IRNazanin"/>
          <w:color w:val="111111"/>
          <w:sz w:val="28"/>
          <w:sz w:val="28"/>
          <w:szCs w:val="28"/>
          <w:rtl w:val="true"/>
          <w:lang w:bidi="fa-IR"/>
        </w:rPr>
        <w:t>ما بلغ، أو يأوّلونه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أعمت العصبية أبصارهم وبصائرهم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عندهم بدعة، والبدعة عندهم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يقتفون آثار السفيانيّين، ويدافعون عن سيرة الجبابرة، ويعملون على كتمان فضائل بطل الإسلام، ونفس الرسول وابن عمّه وأخيه، وباب مدينة علمه، ومن هو منه بمنزلة هارون من موسى إلّا أنّه لا نبيّ بعده، ومن لا يحبّه إلّا مؤمن، ولا يبغضه إلّا منافق،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ينكرون مناقبه ومناقب أهل بيته، ويرمون من روى فضائله بالكذب ووضع الحديث، ويعدّون ولاء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جريمةً لا تُغتفر، ولكن لو كانت هذه المناقب مرويّةً في شأن أعداء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يقابلونها بالإنكار، وسيّما إذا كان رجالها مطعونين بالنصب وقتل المسلمين وأقبح الظلم وأشنع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في بعض المجلّات</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من الكاتب محمد حسنين هيكل، على كتاب للجنرال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ترجمة الركن صبحي الجابي، فيه موارد هامّة من الاشتباه، وقلب الحقائق، من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إلى المنقولات الضعيفة والحكايات الواهية في شأن بدء الوحي وكيفية نزوله، ممّا لا يناسب شأن الرسالة المحمدية، فيتّهم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بخشيته على نفسه عندما نزل عليه </w:t>
      </w:r>
    </w:p>
    <w:p>
      <w:pPr>
        <w:pStyle w:val="BookText"/>
        <w:rPr/>
      </w:pPr>
      <w:r>
        <w:rPr>
          <w:rFonts w:ascii="IRNazanin" w:hAnsi="IRNazanin" w:eastAsia="IRNazanin"/>
          <w:color w:val="111111"/>
          <w:sz w:val="28"/>
          <w:sz w:val="28"/>
          <w:szCs w:val="28"/>
          <w:rtl w:val="true"/>
          <w:lang w:bidi="fa-IR"/>
        </w:rPr>
        <w:t>الوحي، وجاءه الملك الأمين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كأنّه والعياذ بالله لم يحصل له اليقين بما جعل الله على عاتقه وشرّفه به من النبوّة والرسالة، فانطلقت به السيّدة خديجة‘ أتت به ورقة بن نوفل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وإن كانت رواية البخاري ومسلم في بدء الوحي وكيفية نزوله</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مردودة عليهما وعلى شيوخهما؛ لأنّ شأن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المعرفة والإدراك كان أنبل وأجلّ من الشكّ فيما أوحى الله تعالى به، وأمر الرسالة أيضاً أعلى وأنزه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لا يعرف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تعرفه وتؤمن به السيّدة خديجة‘ وقد كان تحت رعاية الله تعالى قبل البعثة، وخلق الله نوره قبل أن يخلق العالم، مضافاً إلى أنّه يجب أن يكون إلقاء الوحي والتعيين لهذا المنصب العظيم سيّما الرسالة المحمدية العظمى على نحو يحصل للمبعوث بها بنفسها اليقين والإيمان على أنّه بعث إلهيٌّ ووحي 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شأن الرسالة وشأن الرسول بريء من خشيته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يكون المراد خشيته من الله تعالى لعظم ما أمره به وجعله على عاتقه، ولا ريب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أخشى الناس وأخوفهم من الله تعالى، </w:t>
      </w:r>
      <w:bookmarkStart w:id="33" w:name="pg10662_180693"/>
    </w:p>
    <w:p>
      <w:pPr>
        <w:pStyle w:val="BookText"/>
        <w:rPr/>
      </w:pPr>
      <w:bookmarkEnd w:id="33"/>
      <w:r>
        <w:rPr>
          <w:rFonts w:ascii="Amiri" w:hAnsi="Amiri" w:eastAsia="Amiri" w:cs="Amiri"/>
          <w:color w:val="111111"/>
          <w:sz w:val="28"/>
          <w:sz w:val="28"/>
          <w:szCs w:val="28"/>
          <w:rtl w:val="true"/>
          <w:lang w:bidi="ar-SA"/>
        </w:rPr>
        <w:t>وكان أعبدهم وأزهدهم، وأعرفهم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من كان أعرف الناس بالله يكون أخوفهم منه وأرجى به منهم، أمّا الشكّ والخشية على نفسه فلم يعرضه حتى لحظةً واحدةً، وهذا أمر يعرفه من سبر تاريخ حياته وأخلاقه الكريمة، وقد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الرَّسُولُ بِمَااُنْزِلَ إِلَيْهِ مِنْ رَبِّهِ</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أوّل ما نزل به الوحي آمن بما اُنزل إليه وخرج من غار حراء وقلبه مليء بالإيمان بما نزل به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016_1051229030"/>
      <w:bookmarkStart w:id="35" w:name="_Toc11"/>
      <w:bookmarkEnd w:id="34"/>
      <w:r>
        <w:rPr>
          <w:rtl w:val="true"/>
        </w:rPr>
        <w:t>نقده الآخر</w:t>
      </w:r>
      <w:bookmarkEnd w:id="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أنكر على المؤلّف ما ذكر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مدّة ثلاث سنوات يتلقّى تعليمات ربّه، دون أن يتكلّم شيئاً عن رسالته، ويوهم القارئ بأنّ عليّاً وخديجة وأبا بكر أسلموا في زمن واحد، ولم يكن بين إسلام خديجة والإمام واسلام أبي بكر فترة حتى يسيرة، مع أنّه يظهر لمن يُمعن النظر في الأحاديث الصحيحة والتاريخ أنّ أبا بكر لم يُسلم إلّا بعد فترة طويلة لا يستبعد تقديرها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يأبى العقل أن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ثلاث سنوات أوأكثر يتلقّى تعليمات ربّه، ولم يكن </w:t>
      </w:r>
      <w:bookmarkStart w:id="36" w:name="pg10662_180695"/>
    </w:p>
    <w:p>
      <w:pPr>
        <w:pStyle w:val="BookText"/>
        <w:rPr/>
      </w:pPr>
      <w:bookmarkEnd w:id="36"/>
      <w:r>
        <w:rPr>
          <w:rFonts w:ascii="IRNazanin" w:hAnsi="IRNazanin" w:eastAsia="IRNazanin"/>
          <w:color w:val="111111"/>
          <w:sz w:val="28"/>
          <w:sz w:val="28"/>
          <w:szCs w:val="28"/>
          <w:rtl w:val="true"/>
          <w:lang w:bidi="fa-IR"/>
        </w:rPr>
        <w:t>مأموراً بإظهارها وتبليغها بغير خديجة وعليّ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يعبدون الله بما تعبّده الله به سرّاً، حتّى إذا أمر الله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الدعوة بلغ عدد المؤمنين في ثلاث سنوات إلى الأربعين أو أكثر على اختلاف الروايات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بل ينصّ على ما قلناه الروايات الكثيرة الّتي دلّت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تعالى مع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أو تسع سنين قبل أن يعبده أحد من هذه الاُمّة، وأنّ الملائكة صلّت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لأنّه لم يصلِّ معه أحد غيره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الجزري، اُسد الغابة،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الطبري، الرياض النضرة،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الطبري، ذخائر العقبى، 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الحموئي، فرائد السمطين،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ابن حجر العسقلاني، تهذيب التهذيب،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المتقي الهندي، كنز العمّال،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5018_1051229030"/>
      <w:bookmarkStart w:id="38" w:name="_Toc12"/>
      <w:bookmarkEnd w:id="37"/>
      <w:r>
        <w:rPr>
          <w:rtl w:val="true"/>
        </w:rPr>
        <w:t>آية الإنذار وحديث الدار</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أخذ هذا الناقد على هذا المؤلّف وناقشه أنّه ذكر حديث الدار ويوم الإنذار، وتجاوز عن الحدّ في نقده، وحكم باختلاف الرواية بالأصل؛ لوجود راوٍ مشهور بالكذب وصنع الأحاديث بزعمه وهو </w:t>
      </w:r>
    </w:p>
    <w:p>
      <w:pPr>
        <w:pStyle w:val="BookText"/>
        <w:rPr/>
      </w:pPr>
      <w:r>
        <w:rPr>
          <w:rFonts w:ascii="Amiri" w:hAnsi="Amiri" w:eastAsia="Amiri" w:cs="Amiri"/>
          <w:color w:val="111111"/>
          <w:sz w:val="28"/>
          <w:sz w:val="28"/>
          <w:szCs w:val="28"/>
          <w:rtl w:val="true"/>
          <w:lang w:bidi="ar-SA"/>
        </w:rPr>
        <w:t>أبو مريم الأنصاري عبد الغفّار بن القاسم، الّذي أثنى عليه الحافظ ابن عقدة وأطراه، كما في لسان الميزان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مشهورة مستفيضة أخرجها جمع من الحفّاظ وأكابر المحدِّثين، واختصرها بعضهم، كما أبدل الطبريّ في تفسيره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يُؤَازِرُنِي عَلَى هَذَا الْأَمْرِ عَلَى أَنْ يَكُونَ أَخِي وَوَصِيّي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هَذَا الْأَمْرِ عَلَى أَنْ يَكُونَ أَخِي وَوَصِيّي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والطبري وهو الّذي روى الرواية كاملة وتامّة في تاريخه</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يرويها بهذه الصورة المحرّفة المشوّهة المجملة حتى لا يفهم القارئ مغزاه، ولا يعرف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عليه في هذه الروايات وفي غيرها من الأحاديث، أو لا يرمونه أهل العناد والنصب بالرفض والتشيّع، ولا يفعلون به ما فعله أهل دمشق بالنسائي صاحب السنن والخصائص العلوية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تبع الطبريّ في تفسيره، ابن كثير في تاريخه،</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لم يدلّ على شيء فقد دلّ على أنّ السياسة هي القوّة الّتي تعيّن منهج سير العلم والحديث والتفكّر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الكلمة القاطعة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سياسيّاً نقلها والتحدّث بها، لأنّها إعلان إبطال الحكومات المستبدّة الّتي قلبت نظام الإدارة والحكم، وأحيت سنن الأكاسرة والقياصرة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فالنظام الّذي يقطع عرقوبَ مثلِ بشير بن مروان، ويضرب عطيّة العوفي أربعمائة سوط، وينتف لحيته؛ لإبائهما عن سبّ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مهما أمكنه التحدّث بمثل هذه الأحاديث والإجهار بها، ويبالغ في المنع عن ذلك تخويفاً وتطميعاً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يحيى بن يعمر يُبعَثُ به من خراسان إلى الكوفة بأمر الحجّاج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فلا عجب بمؤاخذة هؤلاء المتعصّبين للباطل لهيكل بإخراجه رواية يوم الدار في تاريخه، حتى اضطرّ إلى حذفها منه في طبعته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عجب منهم إن لم يؤاخذوا عليه تركه في تاريخه كثيراً من فضائل الإمام التاريخية، وما وقع فيه من الأغلاط والاشتباهات فيما يرجع إلى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 وصيّه وأخيه الرشيدة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تعجّب من الكاتب محمد حسنين هيکل، الّذي يكتب في مجلّة حضارة الإسلام مؤاخذته على الجنرال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ومترجم كتابه بنقل حديث يوم الدار بالمضمون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فتلك شنشنة اُخزومية، وسيرة اُموية، وبدعة مروانية قد اُلزموا بها في ردّ الأحاديث الصحيحة، وجرح رواة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أنَّهُم يحتجّون بروايات أمثال المغيرة بن شعبة، وبُسر بن أرطاة، وأزهر الحرازي الحمصي، وحريز بن عثمان الرحبي، وخالد بن عبد الله </w:t>
      </w:r>
    </w:p>
    <w:p>
      <w:pPr>
        <w:pStyle w:val="BookText"/>
        <w:rPr/>
      </w:pPr>
      <w:r>
        <w:rPr>
          <w:rFonts w:ascii="Amiri" w:hAnsi="Amiri" w:eastAsia="Amiri" w:cs="Amiri"/>
          <w:color w:val="111111"/>
          <w:sz w:val="28"/>
          <w:sz w:val="28"/>
          <w:szCs w:val="28"/>
          <w:rtl w:val="true"/>
          <w:lang w:bidi="ar-SA"/>
        </w:rPr>
        <w:t>القسري، وشبابة بن سوار، وعمر بن سعيد بن العاص الاُموي، وعمران بن حطّان وغيرهم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كتبهم في الرجال وفي الجرح والتعديل،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والجرح</w:t>
      </w:r>
    </w:p>
    <w:p>
      <w:pPr>
        <w:pStyle w:val="BookText"/>
        <w:rPr/>
      </w:pPr>
      <w:r>
        <w:rPr>
          <w:rFonts w:ascii="Amiri" w:hAnsi="Amiri" w:eastAsia="Amiri" w:cs="Amiri"/>
          <w:color w:val="111111"/>
          <w:sz w:val="28"/>
          <w:sz w:val="28"/>
          <w:szCs w:val="28"/>
          <w:rtl w:val="true"/>
          <w:lang w:bidi="ar-SA"/>
        </w:rPr>
        <w:t>والتعديل للرازي، وتدبّر في كلماتهم في شأن أبي مريم الأنصاري، الّذي روى هذا الحديث في عصر كان روايةمثله من أكبر الجرائم السياسية، وانظر هل تجد في ذلك الرجل موضع غمز وتنقيص إلّا الموالاة ومودّة ذوي القربى، ورواية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تجد غير ذلك سبباً لتركهم حديثه وحديث أمثاله، فرموه لذلك تارةً بالكذب، وتارةً اُخرى بعدم الوثاقة، وعلّته الأصلية هو التشيّع وروايته أحاديث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أحمد بن حنبل يقول فيه، كما نقله الرازي عنه في الجرح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بثقة، كان يحدّث ببلايا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متروك الحديث، كان من رؤساء الشيعة</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لسان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عنه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ذنب الرجل أنّه أوّلاً كان يحدّث ببلايا في عثمان،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رؤساء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الحديث ببلايا عثمان موجباً للقدح في أحدٍ فما يقولون في عائشة وطلحة والزبير وعمّار وغيرهم من الصحابة، الّذين كانوا من المتجاهرين في القوم ببلايا عثمان وذمّه المشيرين عليه حتى قتل؟</w:t>
      </w:r>
    </w:p>
    <w:p>
      <w:pPr>
        <w:pStyle w:val="BookText"/>
        <w:rPr/>
      </w:pPr>
      <w:r>
        <w:rPr>
          <w:rFonts w:ascii="IRNazanin" w:hAnsi="IRNazanin" w:eastAsia="IRNazanin"/>
          <w:color w:val="111111"/>
          <w:sz w:val="28"/>
          <w:sz w:val="28"/>
          <w:szCs w:val="28"/>
          <w:rtl w:val="true"/>
          <w:lang w:bidi="fa-IR"/>
        </w:rPr>
        <w:t>وإذا كان عثمان أحدث في الإسلام ما أحدث، وصنع ما أغضب الصحابة مثل الصحابيّ الزاهد الكبير الّذي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عليه صنائعه غير المرضيّة، فنفاه عثمان إلى الربذة، فمات في منفاه وحيداً مظلوماً، فما ذنب أبي مريم الأنصاري إن حدّث ببلاياه؟ وإن كان هذا سبباً للطعن فيه فمن كان هذه بلاياه أحقّ وأولى بالطعن منه؟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أتريدون أن لا يقول أحد من التاريخ وممّا جرى على هذه الاُمّة شيئاً، ولا يعرف أحد ما وقع في عصر الصحابة، ولا يفهموا تلكم الحقائق الّتي </w:t>
      </w:r>
    </w:p>
    <w:p>
      <w:pPr>
        <w:pStyle w:val="BookText"/>
        <w:rPr/>
      </w:pPr>
      <w:r>
        <w:rPr>
          <w:rFonts w:ascii="Amiri" w:hAnsi="Amiri" w:eastAsia="Amiri" w:cs="Amiri"/>
          <w:color w:val="111111"/>
          <w:sz w:val="28"/>
          <w:sz w:val="28"/>
          <w:szCs w:val="28"/>
          <w:rtl w:val="true"/>
          <w:lang w:bidi="ar-SA"/>
        </w:rPr>
        <w:t>ترتبط معرفتها بمعرفة رسالة الإسلام، ومناهجها العالية في السياسة والحكومة والمال وغيرها؟</w:t>
      </w:r>
    </w:p>
    <w:p>
      <w:pPr>
        <w:pStyle w:val="BookText"/>
        <w:rPr/>
      </w:pPr>
      <w:r>
        <w:rPr>
          <w:rFonts w:ascii="Amiri" w:hAnsi="Amiri" w:eastAsia="Amiri" w:cs="Amiri"/>
          <w:color w:val="111111"/>
          <w:sz w:val="28"/>
          <w:sz w:val="28"/>
          <w:szCs w:val="28"/>
          <w:rtl w:val="true"/>
          <w:lang w:bidi="ar-SA"/>
        </w:rPr>
        <w:t>لا والله، لا يمكن ذلك، وإن أمكن إخفاء تلك الحقائق التاريخية في العصور الماضية لا يمكن ذلك في عصرنا الحاضر، عصر الطباعة والنشر، والثقافة والفكر، الّذي تيقّظ فيه المسلمون من رقدتهم، وأدركوا سيّما الشبّان المثقّفون أنّ بلاءنا كلّه يرجع إلى صنائع بعض الأوّلين من أهل السياسة، ممّا شوّه وجه الإسلام في الحكم والإدارة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قدحاً كون الرجل من رؤساء الشيعة، فما يقول هؤلاء في رؤسائهم،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وأبي ذرّ، والمقداد، وعمّار بن ياسر،</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 من الصحابة المعروفين بالوفاء والولاء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التابعين لهم بإحسان؟ </w:t>
      </w:r>
    </w:p>
    <w:p>
      <w:pPr>
        <w:pStyle w:val="BookText"/>
        <w:rPr/>
      </w:pPr>
      <w:r>
        <w:rPr>
          <w:rFonts w:ascii="Amiri" w:hAnsi="Amiri" w:eastAsia="Amiri" w:cs="Amiri"/>
          <w:color w:val="111111"/>
          <w:sz w:val="28"/>
          <w:sz w:val="28"/>
          <w:szCs w:val="28"/>
          <w:rtl w:val="true"/>
          <w:lang w:bidi="ar-SA"/>
        </w:rPr>
        <w:t>وما يقولون في أئمّة الشيعة المعصومين، الّذين أذهب الله عنهم الرجس، وطهّرهم تطهيراً؟</w:t>
      </w:r>
    </w:p>
    <w:p>
      <w:pPr>
        <w:pStyle w:val="BookText"/>
        <w:rPr/>
      </w:pPr>
      <w:r>
        <w:rPr>
          <w:rFonts w:ascii="IRNazanin" w:hAnsi="IRNazanin" w:eastAsia="IRNazanin"/>
          <w:color w:val="111111"/>
          <w:sz w:val="28"/>
          <w:sz w:val="28"/>
          <w:szCs w:val="28"/>
          <w:rtl w:val="true"/>
          <w:lang w:bidi="fa-IR"/>
        </w:rPr>
        <w:t>وما يقولون في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أوّل من سنّ التشيّع، وهو الّذي لقّب المؤتمّين بأمير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بالشيعة،</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وبشّرهم بأنّهم خير البرية؟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ويُسئل عن حال من جرح أبا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مرضيّ عند علماء الجرح والتعديل من أهل نحلته؟</w:t>
      </w:r>
    </w:p>
    <w:p>
      <w:pPr>
        <w:pStyle w:val="BookText"/>
        <w:rPr/>
      </w:pPr>
      <w:r>
        <w:rPr>
          <w:rFonts w:ascii="Amiri" w:hAnsi="Amiri" w:eastAsia="Amiri" w:cs="Amiri"/>
          <w:color w:val="111111"/>
          <w:sz w:val="28"/>
          <w:sz w:val="28"/>
          <w:szCs w:val="28"/>
          <w:rtl w:val="true"/>
          <w:lang w:bidi="ar-SA"/>
        </w:rPr>
        <w:t>فابن معين يتّهم مثل أحمد بن حنبل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المقبلي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أحدهم ينتقل من مذهب إلى آخر بسبب شيخ أو دولة أو غير ذلك من الأسباب الدنيويّة والعصبية الطبيعية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مالكاً لم يكن صاحب حديث، بل كان صاحب رأي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الليث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أحصيتُ على مالك سبعين مسألة، وكلّها مخالفة لسنّة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في غيرهم من أئمّتهم ما قالوا</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لا يبقى اعتماد على أقوالهم في الجرح والتعديل المبتنية على ما سمعت في تعرّف أحوال رجال الشيعة والمتشيّعين ورواة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يجوز الركون عليها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رويت بإسناد آخر ليس فيه عبد الغفّار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البيهقي في دلائل النبوة عن ابن إسحاق، عن شيخ أبْهَمَ اسمه، عن عبد الله بن الحارث،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جِئْتُكُمْ بِأَمْرِ الدُّنْيَا وَالْآخِرَةِ</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أدري لماذا أبهم ابن إسحاق شيخه الراوي عن عبد الله بن الحارث، كما لا أدري أنّ عدم الانتهاء إلى آخر الحديث هل كان من البيهقي، أو من ابن إسحاق، أو غيرهما؟ وكان ذلك خوفاً عن النواصب، </w:t>
      </w:r>
    </w:p>
    <w:p>
      <w:pPr>
        <w:pStyle w:val="BookText"/>
        <w:rPr/>
      </w:pPr>
      <w:r>
        <w:rPr>
          <w:rFonts w:ascii="Amiri" w:hAnsi="Amiri" w:eastAsia="Amiri" w:cs="Amiri"/>
          <w:color w:val="111111"/>
          <w:sz w:val="28"/>
          <w:sz w:val="28"/>
          <w:szCs w:val="28"/>
          <w:rtl w:val="true"/>
          <w:lang w:bidi="ar-SA"/>
        </w:rPr>
        <w:t>أو إخفاءً للحقّ عناداً ونصباً، ولا يبعد أن يكون الشيخ الّذي أبهم اسمه ابن إسحاق، هو عبد الغفّار بن القاسم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الاحتمال يكون السند في ذلك موافقاً لسند الطبري، لا يثبت به وجود سند آخر للحديث غيره، إلّا أنّه جاء بإسناد آخر ليس فيه هذا الرجل، كما تفطّن به ابن كثير، فقال بعد ما قال في عبد الغفّار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روى ابن أبي حاتم في تفسيره،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عيسى بن ميسرة الحارثي، عن عبد الله بن عبد القدّوس، عن الأعمش، عن المنهال بن عمرو،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لِي رِجْلَ شَاةٍ بِصَاعٍ مِنْ طَعَامٍ، وَإِنَاءً لَبَناً، وَادْعُ لِي بَنِي هَاشِم، فَدَعَوْتُهُمْ، وَإِنَّهُمْ يَوْمَئِذٍ لَأَرْبَعُونَ غَيْرَ رَجُلٍ، أَوْ أَرْبَعُونَ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القصّة نحو ما تقدّم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يَقْضِي </w:t>
      </w:r>
    </w:p>
    <w:p>
      <w:pPr>
        <w:pStyle w:val="BookText"/>
        <w:rPr/>
      </w:pPr>
      <w:r>
        <w:rPr>
          <w:rFonts w:ascii="Amiri" w:hAnsi="Amiri" w:eastAsia="Amiri" w:cs="Amiri"/>
          <w:color w:val="111111"/>
          <w:sz w:val="28"/>
          <w:sz w:val="28"/>
          <w:szCs w:val="28"/>
          <w:rtl w:val="true"/>
          <w:lang w:bidi="ar-SA"/>
        </w:rPr>
        <w:t>عَنِّي دَيْنِي وَيَكُونُ خَلِيفَتِي فِي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وَسَكَتَ الْعَبَّاسُ خَشْيَةَ أَنْ يُحِيطَ ذَلِكَ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أَنَا لِسِنِّ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قَالَهاَ مَرَّةً اُخْرَى، فَسَکَتَ الْعَبَّاسُ،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الطريق فيها شاهد لِما تقدّم، إلّا أنّه لم يذكر ابن عبّاس فيها، 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الإمام أحمد في مسنده من حديث عبّاد بن عبد الله الأسدي وربيعة بن ناجذ عن عليّ نحو ما تقدّم، أو كالشاهد 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كثير كما يظهر من كلامه يقوّي ضعف السند من طريق الطبري بغيره ممّا لا ضعف فيه، إلّا أنّه أيضاً غلط في أصل تضعيف السند كغيره، كما أنّه غلط غلطاً كبيراً في الحكم على عبد الغفّار بن القاسم بأنّه كذّاب شيعي ولم يأتِ بدليل على ذلك، غير أنّ ابن المديني وغيره اتّهمه بوضع الحديث، وضعّفه الباقون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 يتّقي الله، ويعتقد حرمة عرض المسلم كحرمة ما له </w:t>
      </w:r>
    </w:p>
    <w:p>
      <w:pPr>
        <w:pStyle w:val="BookText"/>
        <w:rPr/>
      </w:pPr>
      <w:r>
        <w:rPr>
          <w:rFonts w:ascii="Amiri" w:hAnsi="Amiri" w:eastAsia="Amiri" w:cs="Amiri"/>
          <w:color w:val="111111"/>
          <w:sz w:val="28"/>
          <w:sz w:val="28"/>
          <w:szCs w:val="28"/>
          <w:rtl w:val="true"/>
          <w:lang w:bidi="ar-SA"/>
        </w:rPr>
        <w:t>ودمه، لا يخوض في عرض المسلم بمجرّد التهمة، ولا يُسيء الظنّ به، ولا يجوز له أن يقول أزيد ممّا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ذلك، فمن أين قلت يا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كذّاب؟ وما كذبه؟ ومن أين علمت ذلك؟ وما جوابك حين يخاصمك عبد الغفّار عند الله تعالى؟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وممّا يؤيّد حُسنَ حال الرجال، ويزيد في تعرّف حالهم، معرفة شيوخهم وتلاميذهم ومن أخذ عنهم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وللرجل في هذا شأن سامٍ ومكان عالٍ، فإنّ شيوخه الّذين أخذ العقيدة والمذهب منهم، واتّخذهم أئمّة وتمسّك بهم، واعتصم بحبل ولايتهم الّذي هو حبل الله، هم مَن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زين العابدين، والإمام باقر علوم النبيّين، والإمام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تخرّج هذا الرجل من مدرستهم الكبيرة، وتلمّذ عندهم، وأخذ العلم من نَميرهم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رجال،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العلامة الحلي، خلاصة الأقوال،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الطوسي، رجال،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الأردبیلي، جامع الرواة،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الحديث عن عطاء، وعَدِيّ بن ثابت، والمنهال بن عمرو، ونافع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منه يحيى بن سعد الأنصاري، وشعبة، وكان حسن الرأي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حاتم الرازي، الجرح والتعديل،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جماعة من الأجلّاء والرواة، كالحسن بن محبوب، ومحمد بن موسى خوراء، وصالح بن عقبة، وموسى بن بكر، وعليّ بن الحسن بن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ولّاد، وأبان بن عثمان، وهشام بن سالم، وعليّ بن النعمان، وعثمان بن عيسی، وعبد الله بن المغيرة، وثعلبة بن ميمون، ويونس بن يعقوب، والقاسم بن سليمان، وعبد الرحمن بن حمّاد، ومحمد بن أبي حمزة، ومحمد بن عيسى، والعبّاس بن معروف، وسيف، وفضالة، وإبراهيم بن سنان، وظريف بن ناصح، وأحمد بن عمر، وجميل بن صالح والحسن بن 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الأردبیلي، جامع الرواة،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 قدره، وحسن عقيدته، وإيمانه بالأئمّة الإثني عشر، الّذين بشّر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بهم، كما جاء في الروايات المتواترة، ما روى الشيخ الجليل أبو القاسم عليّ بن محمد بن عليّ الخزّاز القمّي في كتاب كفاية الأثر في النصوص على الأئمّة الإثني عشر، بسنده عنه، قال أبو مريم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مولاي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اُناس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p>
    <w:p>
      <w:pPr>
        <w:pStyle w:val="BookText"/>
        <w:rPr/>
      </w:pPr>
      <w:r>
        <w:rPr>
          <w:rFonts w:ascii="IRNazanin" w:hAnsi="IRNazanin" w:eastAsia="IRNazanin"/>
          <w:color w:val="111111"/>
          <w:sz w:val="28"/>
          <w:sz w:val="28"/>
          <w:szCs w:val="28"/>
          <w:rtl w:val="true"/>
          <w:lang w:bidi="fa-IR"/>
        </w:rPr>
        <w:t>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فأيّ الإسلام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سَلِمَ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لسانه ويده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الأخلاق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والسماحة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المؤمنين أكمل إيماناً؟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الجهاد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عُقِر جواده واُهريق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الصلاة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الصدقة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تهجر ما حرّم الله عزّ وجلّ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فما تقول في الدخول على السلطان؟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ربّما سافرت إلى الشام فأدخل على إبراهيم بن الوليد،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الغفّار إنّ دخولك على السلطان يدعو إلى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الدنيا، ونسيان الموت، وقلّة الرضا بما قسم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فإنّي ذو عيلة وأتّجر إلى ذلك المكان لجرّ المنفعة، فما ترى في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إنّي لست آمرك بترك الدنيا، بل آمرك بترك الذنوب، فترك الدنيا فضيلة، وترك الذنوب فريضة، وأنت إلى إقامة الفريضة أحوج منك إلى اكتساب الفضيلة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يده ورجله،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يا ابن رسول الله فما نجد العلم الصحيح إلّا عندكم، وإنّي قد كبرت سنّي ودقّ عظمي، ولا أرى فيكم ما اُسَرُّ به، أراكم مُقتَّلين مشرّدين خائفين، وإنّي أقمت على قائمكم منذ حين،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اليوم أو غداً،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الغفّار إنّ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السابع من وُلدي، وليس هو أوان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حدّثني أبي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بعدي اثنا عشر عدد نقباء بني إسرائيل، تسعة من صلب الحسين، والتاسع قائمهم يخرج في آخر الزمان، فيملأها قسطاً وعدلاً کما مُلئت جوراً وظلماً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كائن يا ابن رسول الله فإلى من بعدك؟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جعفر، وهو سيّد أولادي وأبو الأئمّة، صادق في قوله وفعله، ولقد سألت عظيماً يا عبد الغفّار وإنّك لأهل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مفتاح العلم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العمى طول السؤال وإنّما تمام العمى طول السكوت على الجهل</w:t>
      </w:r>
    </w:p>
    <w:p>
      <w:pPr>
        <w:pStyle w:val="BookText"/>
        <w:rPr/>
      </w:pPr>
      <w:r>
        <w:rPr>
          <w:rFonts w:ascii="Amiri" w:hAnsi="Amiri" w:eastAsia="Amiri" w:cs="Amiri"/>
          <w:color w:val="111111"/>
          <w:sz w:val="28"/>
          <w:sz w:val="28"/>
          <w:szCs w:val="28"/>
          <w:rtl w:val="true"/>
          <w:lang w:bidi="ar-SA"/>
        </w:rPr>
        <w:t>الخزّاز القميّ، كفاية الأثر،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 للمؤلف،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وقد ظهر لك أنّ للحديث طرقاً كثيرة، بعضها فيها عبد الغفّار، وبعضها ليس فيه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طائفة من هذه الطرق؛ ليظهر لك قوّة أسنادها واشتهارها، وأنّ العلماء الحفّاظ والمحدّثين تلقّوها بالقبول،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كثير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حاتم في تفسيره، وهذا هو الطريق الّذي مرّ نقله عنه، وليس فيه عبد الغفّار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البيهقي في دلائل النبوة، عن ابن إسحاق، عن شيخ أبهم اسمه، أخرجه ابن كثير أيضاً عن البيهقي، وقد مرّ نقله أيضاً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الحافظ الكبير عبيد الله بن عبد الله بن </w:t>
      </w:r>
    </w:p>
    <w:p>
      <w:pPr>
        <w:pStyle w:val="BookText"/>
        <w:rPr/>
      </w:pPr>
      <w:r>
        <w:rPr>
          <w:rFonts w:ascii="Amiri" w:hAnsi="Amiri" w:eastAsia="Amiri" w:cs="Amiri"/>
          <w:color w:val="111111"/>
          <w:sz w:val="28"/>
          <w:sz w:val="28"/>
          <w:szCs w:val="28"/>
          <w:rtl w:val="true"/>
          <w:lang w:bidi="ar-SA"/>
        </w:rPr>
        <w:t>أحمد، المعروف بالحاكم الحسكاني بطريق ليس فيه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فنجويه، حدّثنا موسى بن محمد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شبيب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صباح بن يحيى المزني، عن زكريّا بن ميسرة،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وَأَنْذِرْ عَشِيرَتَكَ الْأَقْرَبِينَ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بني عبد المطّلب، وهم يومئذ أربعون رجلاً، الرجل منهم يأكل المسنّة ويشرب العسّ، فأمر عليّاً برِجْل شاة فأَدمها،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أُدْنُوا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القوم عشرةً عشرة، فأكلوا حتى صدروا، ثمّ دعا بقعب من لبن، فجرع منه جرعةً،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اِشْرِبُوا بِبِسْمِ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فشرب القوم حتى رووا، فبدرهم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أسحركم 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فلم يتكلّم، ثم دعاهم هذا، وقد ظهر لك أنّ للحديث طرقاً كثيرة، بعضها فيها عبد الغفّار، وبعضها ليس فيه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طائفة من هذه الطرق؛ ليظهر لك قوّة أسنادها واشتهارها، وأنّ العلماء الحفّاظ والمحدّثين تلقّوها بالقبول،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كثير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حاتم في تفسيره، وهذا هو الطريق الّذي مرّ نقله عنه، وليس فيه عبد الغفّار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البيهقي في دلائل النبوة، عن ابن إسحاق، عن شيخ أبهم اسمه، أخرجه ابن كثير أيضاً عن البيهقي، وقد مرّ نقله أيضاً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الحافظ الكبير عبيد الله بن عبد الله بن أحمد، المعروف بالحاكم الحسكاني بطريق ليس فيه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فنجويه، حدّثنا موسى بن محمد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شبيب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صباح بن يحيى المزني، عن زكريّا بن ميسرة،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وَأَنْذِرْ عَشِيرَتَكَ الْأَقْرَبِينَ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بني عبد المطّلب، وهم يومئذ أربعون رجلاً، الرجل منهم يأكل المسنّة ويشرب العسّ، فأمر عليّاً برِجْل شاة فأَدمها،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القوم عشرةً عشرة، فأكلوا حتى صدروا، ثمّ دعا بقعب من لبن، فجرع منه جرعةً،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 بِبِسْمِ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 القوم حتى رووا، فبدرهم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أسحركم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فلم يتكلّم، ثم دعاهممن الغد على مثل ذلك من الطعام والشراب، ثمّ أنذرهم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إِنِّي أَنَا النَّذِيرُ إِلَيْكُمْ مِنَ الله عَزَّ وَجَلَّ، وَالْبَشِيرُ بِمَا لَمْ يَجِي‌ءُ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جِئْتُكُمْ بِالدُّنْيَا وَالْآخِرَةِ فَأَسْلِمُوا وَأَطِيعُونِي تَهْتَدُوا، وَمَنْ يُؤَاخِينِي وَيُوَازِرُنِي وَيَكُونُ وَلِيِّي وَوَصِيِّي بَعْدِي، وَخَلِيفَتِي فِي أَهْلِي وَيَقْضِي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وأعاد ذلك ثلاثاً، كلّ ذلك يسكت </w:t>
      </w:r>
    </w:p>
    <w:p>
      <w:pPr>
        <w:pStyle w:val="BookText"/>
        <w:rPr/>
      </w:pPr>
      <w:r>
        <w:rPr>
          <w:rFonts w:ascii="Amiri" w:hAnsi="Amiri" w:eastAsia="Amiri" w:cs="Amiri"/>
          <w:color w:val="111111"/>
          <w:sz w:val="28"/>
          <w:sz w:val="28"/>
          <w:szCs w:val="28"/>
          <w:rtl w:val="true"/>
          <w:lang w:bidi="ar-SA"/>
        </w:rPr>
        <w:t>القوم ويقول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الْقَوْمُ وَهُمْ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أَمَّرَهُ عَلَيْكَ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ابن البطريق بسنده عن الثعلبي في تفسيره</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الحافظ الشهير أبو القاسم عليّ بن الحسن بن هبة الله الشافعي، المعروف بابن عساكر،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البركات عمر بن إبراهيم الزيدي العلوي بالكوفة، أنبأنا أبو الفرج محمد بن أحمد بن علان الشاهد، أنبأنا محمد بن جعفر بن محمد بن الحسين، أنبأنا أبو عبد الله محمد بن القاسم بن زكريّا المحاربي، أنبأنا عبّاد بن يعقوب، أنبأنا عبد الله بن عبد القدّوس، عن الأعمش، عن المنهال بن عمرو، عن عبّاد بن عبد الله،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ascii="Amiri" w:hAnsi="Amiri" w:eastAsia="Amiri" w:cs="Amiri"/>
          <w:color w:val="111111"/>
          <w:sz w:val="28"/>
          <w:sz w:val="28"/>
          <w:szCs w:val="28"/>
          <w:rtl w:val="true"/>
          <w:lang w:bidi="ar-SA"/>
        </w:rPr>
        <w:t>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لِي رِجْلَ شَاةٍ بِصَاعٍ مِنْ طَعَامٍ، وَأَعِدَّ قَعْباً مِنْ لَبَنٍ وَكَانَ الْقَعْبُ قَدَرَ رَيِّ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اجْمَعْ بَنِي هَاشِم، وَهُمْ يَوْمَئِذٍ أَرْبَعُونَ رَجُلاً أَوْ أَرْبَعُونَ غَيْرَ رَجُلٍ، فَدَعَا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فَوَضَعَهُ بَيْنَهُمُ، فَأَكَلُوا </w:t>
      </w:r>
    </w:p>
    <w:p>
      <w:pPr>
        <w:pStyle w:val="BookText"/>
        <w:rPr/>
      </w:pPr>
      <w:r>
        <w:rPr>
          <w:rFonts w:ascii="Amiri" w:hAnsi="Amiri" w:eastAsia="Amiri" w:cs="Amiri"/>
          <w:color w:val="111111"/>
          <w:sz w:val="28"/>
          <w:sz w:val="28"/>
          <w:szCs w:val="28"/>
          <w:rtl w:val="true"/>
          <w:lang w:bidi="ar-SA"/>
        </w:rPr>
        <w:t>حَتَّى شَبِعُوا، وَإِنَّ مِنْهُمْ لَمَنْ يَأْكُلُ الْجَذْعَةَ بِإِدَامِهَا، ثُمَّ تَنَاوَلُوا الْقَدَحَ فَشَرِبُوا حَتَّى رَوَوْا وَبَقِيَ فِيهِ عَامَّتُهُ،فَقَالَ</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 يَرَوْنَ أَنَّهُ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 بِقَعْبٍ مِنْ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فَجَمَعَهُمْ، فَأَكَلُوا مِثْلَ مَا أَكَلُوا بِالْمَرَّةِ الْأُولَى، وَشَرِبُوا مِثْلَ الْمَرَّةِ الْأُولَى، وَفَضْل مِنْهُ مَا فَضُلَ الْمَرَّةَ الْأُولَى،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رِجْلَ شَاةٍ بِصَاعٍ مِنْ طَعَامٍ، وَأَعِدَّ بِقَعْبٍ مِنْ لَبَنٍ،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بَنِي هَاشِمٍ، فَجَمَعْتُهُمْ، فَأَكَلُوا وَشَرِبُوا، فَبَدَرَهُمْ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دَيْنِي وَيَكُونُ خَلِيفَتِي وَوَصِيّي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الْعَبَّاسُ مَخَافَةً أَنْ يُحِيطَ ذَلِكَ بِمَالِهِ، فَأَعَادَ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فَسَكَتِ الْقَوْمُ، وَسَكَتِ الْعَبَّاسُ مَخَافَةً أَنْ يُحيطَ ذَلِكَ بِمَالِهِ، فَأَعَادَ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إِنِّي يَوْمَئِذٍ 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البطريق بإسناده، عن عبد الله بن </w:t>
      </w:r>
    </w:p>
    <w:p>
      <w:pPr>
        <w:pStyle w:val="BookText"/>
        <w:rPr/>
      </w:pPr>
      <w:r>
        <w:rPr>
          <w:rFonts w:ascii="IRNazanin" w:hAnsi="IRNazanin" w:eastAsia="IRNazanin"/>
          <w:color w:val="111111"/>
          <w:sz w:val="28"/>
          <w:sz w:val="28"/>
          <w:szCs w:val="28"/>
          <w:rtl w:val="true"/>
          <w:lang w:bidi="fa-IR"/>
        </w:rPr>
        <w:t>أحمد بن حنبل،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الأعمش، عن المنهال، عن عبّاد بن عبد الله الأسدي،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نَزَلَتْ هَذِهِ الْآيَةُ 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فَاجْتَمَعَ ثَلَاثُونَ رَجُلاً، فَأَكَلُوا وَاشْرَبُوا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فَقَالَ رَجُلٌ لَمْ يُسَمِّهِ شَرِيكٌ يَا رَسُولَ الله أَنْتَ كُنْتَ تَجِدُ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أَهْلِ بَيْتِهِ،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شمس الدين مفتي الفريقين يحيى بن الحسن بن البطريق الأسدي بإسناده، عن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 الحميد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الأعمش، عن المنهال بن عمرو، عن عبّاد بن عبد الله الأسدی،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أَنْذِرْ عَشِيرَتَكَ الْأَقْرَبِينَ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w:t>
      </w:r>
    </w:p>
    <w:p>
      <w:pPr>
        <w:pStyle w:val="BookText"/>
        <w:rPr/>
      </w:pPr>
      <w:r>
        <w:rPr>
          <w:rFonts w:ascii="Amiri" w:hAnsi="Amiri" w:eastAsia="Amiri" w:cs="Amiri"/>
          <w:color w:val="111111"/>
          <w:sz w:val="28"/>
          <w:sz w:val="28"/>
          <w:szCs w:val="28"/>
          <w:rtl w:val="true"/>
          <w:lang w:bidi="ar-SA"/>
        </w:rPr>
        <w:t>رَجُلاً مِنْ أَهْلِ بَيْتِهِ أَنْ كَانَ الرَّجُلُ مِنْهُمْ لَيَأْكُلُ جَذْعَةً وَأَنْ كَانَ شَارِباً فُرْقاً فَقَدَّمَ إِلَيْهِمْ رَجُلاً فَأَكَلُوا حَتَّى شَبِعُوا فَقَالَ لَهُمْ مَنْ يَضْمَنُ عَنِّي دَيْنِي وَمَوَاعِيدِي وَيَكُونُ مَعِي فِي الْجَنَّةِ وَيَكُونُ خَلِيفَتِي فِي أَهْلِي؟ فَعَرَضَ ذَلِكَ عَلَى أَهْلِ بَيْتِهِ فَقَالَ عَلِيٌّ أَنَا،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وَيُنْجِزُ مَوَاعِيدِي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الحديث للحمّاني، وبعضه لحديث أبي خثيمة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عثمان بن المغيرة، عن أبي صادق، عن ربيعة بن ناجذ،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الْمُطَّلِبِ، فِيهِمْ رَهْطٌ، كُلُّهُمْ يَأْكُلُ الْجَذَعَةَ وَ يَشْرَبُ 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لَهُمْ مُدّاً مِنْ طَعَامٍ فَأَكَلُوا حَتَّى شَبِعُوا قَالَ وَبَقِيَ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يُمَسَّ ثُمَّ دَعَا بِغَمْرٍ فَشَرِبُوا حَتَّى رَوَوْا وَبَقِيَ الشَّرَابُ كَأَنَّهُ لَمْ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بُعِثْتُ إِلَيْكُمْ خَاصَّةً وَإِلَى النَّاسِ بِعَامَّةٍ وَقَدْ رَأَيْتُمْ، مِنْ هَذِهِ الْآيَةِ مَا رَأَيْتُمْ فَأَيُّكُمْ يُبَايِعُنِي عَلَى أَنْ يَكُونَ أَخِي وَصَاحِبِي؟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فَقُمْتُ إِلَيْهِ وَكُنْتُ أَصْغَرَ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كُلُّ ذَلِكَ أَقُومُ إِلَيْهِ فَيَقُولُ لِي اجْلِسْ حَتَّى كَانَ فِي الثَّالِثَةِ ضَرَبَ بِيَدِهِ عَلَى يَدَيَّ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وأخرجه ابن حجر،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ثقات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ابن عساكر بسنده عن ربيعة،</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حجر نحوه،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يَقْضِي عَنِّي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وَسَكَتَ الْقَوْمُ، فَأَعَادَ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واللفظ له، وأحمد باختصار، والطبراني في الأوسط باختصار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وأحد إسنادَي البزّار رجال الصحيح غير شريك وهو ثقة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عن عبّاد بن عبد الله الأسدي،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فَاجْتَمَعَ ثَلَاثُونَ، فَأَكَلُوا وَشَرِبُوا، فَقَالَ لَهُمْ مَنْ يَضْمَنُ عَنِّي دَيْنِي وَمَوَاعِيدِي وَيَكُونُ مَعِي فِي الْجَنَّةِ، وَيَكُونُ خَلِيفَتِي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لَمْ يُسَمِّهُ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كُنْتَ بَحْراً، مَنْ يَقُومُ بِهَذَا؟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أَهْلِ بَيْتِهِ،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علّامة المعتزلة، عن شيخه أبي جعفر الإسكافي،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كَلَّفَهُ فِي مَبْدَأِ الدَّعْوَةِ قَبْلَ ظُهُورِ كَلِمَةِ الْإِسْلامِ وَانْتِشارِهَا بِمَكَّةَ أَنْ يَصْنَعَ لَهُ طَعَاماً، وَأَنْ يَدْعُو لَهُ بَنِي عَبْدِ الْمُطَّلِبِ، فَصَنَعَ لَهُ الطَّعَامَ، وَدَعَاهُمْ لَهُ، فَخَرَجُوا ذَلِكَ الْيَوْمَ، وَلَمْ يُنْذِرُهُمْ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لِكَلِمَةٍ قَالَهَاعَمَّهُ أبَو لَهَبٍ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فَكَلَّفَهُ فِي الْيَوْمِ الثَّانِي أَنْ يَصْنَعَ مِثْلَ ذَلِكَ الطَّعَامِ، وَأَنْ يَدْعُوهُمْ ثَانِيةً، فَصَنَعَهُ وَدَعَاهُمْ،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فَدَعَاهُمْ إِلَى الدِّينِ، وَدَعَاهُ مَعَهُمْ؛ لِأَنَّهُ مِنْ بَنِي عَبْدِ الْمُطَّلِبِ، ثُمَّ ضَمِنَ لِمَنْ يُؤَازِرُهُ مِنْهُمْ وَيَنْصُرُهُ عَلَى قَوْلِهِ أَنْ يَجْعَلَهُ أَخَاهُ فِي الدِّينِ وَوَصِيِّهِ بَعْدَ مَوْتِهِ، وَخَلِيفَتِهِ مِنْ بَعْدِهِ، فَأَمْسِكُوا كُلُّهُمْ وَأَجَابَهُ هُوَ وَحْدَهُ،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أَنْصُرُكَ عَلَى مَا جِئْتَ بِهِ، وَاُؤَازِرُكَ وَاُبَايِعُكَ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لَمَّا رَأَى مِنْهُمُ الْخِذْلَانَ وَمِنْهُ النَّصْرَ، وَشَاهَدَ مِنْهُمُ الْمَعْصِيَةَ وَمِنْهُ الطَّاعَةَ، وَعَايَنَ مِنْهُمُ الْإِبَاءَ وَمِنْهُ الْإِجَابَةِ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فَقَامُوا يَسْخَرُونَ وَيَضْحَكُونَ </w:t>
      </w:r>
    </w:p>
    <w:p>
      <w:pPr>
        <w:pStyle w:val="BookText"/>
        <w:rPr/>
      </w:pPr>
      <w:r>
        <w:rPr>
          <w:rFonts w:ascii="Amiri" w:hAnsi="Amiri" w:eastAsia="Amiri" w:cs="Amiri"/>
          <w:color w:val="111111"/>
          <w:sz w:val="28"/>
          <w:sz w:val="28"/>
          <w:szCs w:val="28"/>
          <w:rtl w:val="true"/>
          <w:lang w:bidi="ar-SA"/>
        </w:rPr>
        <w:t>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أَمَّرَهُ عَلَيْكَ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المتّقي الهندي،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قَدْ جِئْتُكُمْ بِخَيْرِ الدُّنْيَا وَالْآخِرَةِ، وَقَدْ أَمَرَنِيَ اللهُ أَنْ أَدْعُوَكُمْ إِلَيْهِ، فَأَيُّكُمْ يُؤَازِرُنِي عَلَى هَذَا الْأَمْرِ عَلَى أَنْ يَكُونَ أَخِي وَوَصِيّي وَخَلِيفَتِي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جرير، وفيه عبد الغفّار بن القاسم، 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يتركوه إلّا لولائه لأهل البيت، ولروايته فضائل ابن عمّ النبيّ وأخيه ووصيّه وخليفته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أيضاً المتّقي الهندي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فَاجْتَمَعَ ثَلَاثُونَ رَجُلاً فَأَكَلُوا وَشَرِبُوا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مَنْ‌يَضْمَنُ عَنِّي دَيْنِي وَمَوَاعِيدِي وَيَكُونُ مَعِي فِي الْجَنَّةِ وَيَكُونُ خَلِيفَتِي فِي أَهْلِي؟ </w:t>
      </w:r>
    </w:p>
    <w:p>
      <w:pPr>
        <w:pStyle w:val="BookText"/>
        <w:rPr/>
      </w:pP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بَحْراً مَنْ يَقُومُ بِهَذَا؟ 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أَهْلِ بَيْتِهِ وَاحِداً وَاحِداً،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وابن جرير، وصحّحه الطحاوي ض</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أيضاً المتّقي الهندي،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بَنِي عَبْدِ الْمُطَّلِبِ، وَصَنَعَ لَهُمْ طَعَاماً لَيْسَ بِالكَثِيرِ،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مِنْ جَوَانِبِهَا، فَإِنَّ الْبَرَكَةَ تَنْزِلُ مِنْ ذُرْوَتِهَا، وَوَضَعَ يَدَهُ أَوَّلُهُمْ فَأَكَلُوا حَتَّى شَبِعُوا، ثُمَّ دَعَا بِقَدَحٍ، فَشَرِبَ أَوَّلُهُمْ، ثُمَّ سَقَاهُمْ فَشَرِبُوا حَتَّى رَوَوْا،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لَقِدْماً سَحَرَكُمْ؟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جِئْتُكُمْ بِمَا لَمْ يَجِئْ بِهِ أَحَدٌ قَطُّ، أَدْعُوكُمْ إِلَى شَهَادَةِ أَنْ لَا إِلَهَ إِلَّا اللهُ، وَإِلَى اللهِ، وَإِلَى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فَنَفِّرُوا وَتَفَرَّقُوا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الثَّانِيَةَ عَلَى مِثْلِهَا، فَقَالَ أَبُو لَهَبٍ كَمَا قَالَ فِي الْمَرَّةِ الْاُولَى، فَدَعَاهُمْ، فَفَعَلُوا مِثْلَ ذَلِكَ، ثُمَّ قَالَ لَهُمْ وَمَدَّ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أَنْ يَكُونَ أَخِي وَصَاحِبِي وَوَلِيُّكُمْ مِنْ بَعْدِي؟ فَمَدَدْتُ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اُبَايِعُكَ، وَأَنَا يَوْمَئِذٍ أَصْغَرُ الْقَوْمِ، عَظِيمُ الْبَطْنِ، فَبَايَعَنِي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الطَّعَامُ أَنَا صَنَعْتُهُ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الطرق والمتون كلّها تقوّي ما أسنده الطبري في تاريخه بسند فيه عبد الغفّار بن القاسم إن فرضنا ضعفه به، فيرقى السند بهذا السند بهذه الطرق وبشواهد كثيرة صحيحة ومتواترة إلى درجة كمال الصحّة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أخرجه الطبري فهو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الغفّار بن القاسم، عن المنهال بن عمرو، عنعبد الله بن الحارث بن نوفل بن الحارث بن عبد المطّلب، عن عبد الله بن عبّاس،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وَأَنْذِرْ عَشيرَتَكَ الْأَقْرَبِينَ‌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اُنْذِرَ عَشِيرَتِيَ الْأَقْرَبِينَ فَضِقْتُ بِذَلِكَ ذَرْعاً وَعَرَفْتُ أَنِّي مَتَى اُبَادِيهِمْ بِهَذَا الْأَمْرِ أَرَى مِنْهُمْ مَا أَكْرَهُ فَصَمَتُّ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 فَاصْنَعْ لَنَا صَاعاً مِنْ طَعَامٍ وَاجْعَلْ عَلَيْهِ رِجْلَ شَاةٍ وَامْلَأْ لَنَا عُسّاً مِنْ لَبَنٍ اجْمَعْ لِي بَنِي عَبْدِ الْمُطَّلِبِ حَتَّى أُکَلِّمَهُمْ وَأُبَلِّغَهُمْ مَا اُمِرْتُ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مَا أَمَرَنِي بِهِ ثُمَّ دَعَوْتُهُمْ لَهُ وَهُمْ يَوْمَئِذٍ أَرْبَعُونَ رَجُلاً يَزِيدُونَ </w:t>
      </w:r>
    </w:p>
    <w:p>
      <w:pPr>
        <w:pStyle w:val="BookText"/>
        <w:rPr/>
      </w:pPr>
      <w:r>
        <w:rPr>
          <w:rFonts w:ascii="Amiri" w:hAnsi="Amiri" w:eastAsia="Amiri" w:cs="Amiri"/>
          <w:color w:val="111111"/>
          <w:sz w:val="28"/>
          <w:sz w:val="28"/>
          <w:szCs w:val="28"/>
          <w:rtl w:val="true"/>
          <w:lang w:bidi="ar-SA"/>
        </w:rPr>
        <w:t>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وَحَمْزَةُ، وَالْعَبَّاسُ، وَأَبُو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إِلَيْهِ دَعَانِي بِالطَّعَامِ الَّذِي صَنَعْتُ لَهُمْ فَجِئْتُ بِهِ فَلَمَّا وَضَعْتُهُ تَنَاوَلَ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حَذِيَّةً 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مَا لَهُمْ بِشَيْ‌ءٍ حَاجَةٌ وَماَ أَرَى إِلَّا مَوْضِعَ أَيْدِيهِمْ وَأَيْمُ الله الَّذِي نَفْسُ عَلِيٍّ بِيَدِهِ وَإِنْ كَانَ الرَّجُلُ الْوَاحِدُ مِنْهُمْ لَيَأْكُلُ مَا قَدَّمْتُ لِجَمِيعِهِمْ،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فَجِئْتُهُمْ بِذَلِكَ الْعُسِّ فَشَرِبُوا مِنْهُ حَتَّى رَوَوْا جَمِيعاً وَأَيْمُ الله إِنْ كَانَ الرَّجُلُ الْوَاحِدُ مِنْهُمْ لَيَشْرَبُ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لَقِدْماً سَحَرَكُمْ صَاحِبَكُمْ، فَتَفَرَّقَ الْقَوْمُ وَلَمْ يُكَلِّمُهُمْ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أُكَلِّمَهُمْ فَعُدَّ لَنَا مِنَ الطَّعَامِ بِمِثْلَ مَا صَنَعْتَ ثُمَّ اجْمَعَهُمْ إِلَيَّ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وَأَكَلُوا حَتَّى مَا لَهُمْ بِشَيءٍ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فَجِئْتُهُمْ بِذَلِكَ الْعُسِّ فَشَرِبُوا حَتَّى رَوَوْا مِنْهُ جَمِيعاً، ثُمَّ تَكَلَّمَ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وَالله مَا أَعْلَمُ شَابّاً فِي‌الْعَرَبِ جَاءَ قَوْمَهُ بِأَفْضَلَ مِمَّا جِئْتُكُمْ بِهِ، إِنِّي قَدْ جِئْتُكُمْ بِخَيْرِ الدُّنْيَا وَالْآخِرَةِ، وَقَدْ أَمَرَنِيَ اللهُ تَعَالَی أَنْ أَدْعُوَكُمْ إِلَيْهِ، فَأَيُّكُمْ يُؤَازِرُنِي عَلَى هَذَا الْأَمْرِ، عَلَی أَنْ يَکُونَ أَخِي </w:t>
      </w:r>
    </w:p>
    <w:p>
      <w:pPr>
        <w:pStyle w:val="BookText"/>
        <w:rPr/>
      </w:pPr>
      <w:r>
        <w:rPr>
          <w:rFonts w:ascii="Amiri" w:hAnsi="Amiri" w:eastAsia="Amiri" w:cs="Amiri"/>
          <w:color w:val="111111"/>
          <w:sz w:val="28"/>
          <w:sz w:val="28"/>
          <w:szCs w:val="28"/>
          <w:rtl w:val="true"/>
          <w:lang w:bidi="ar-SA"/>
        </w:rPr>
        <w:t>وَوَصِيِّي وَخَلِيفَتِي فِيکُمْ؟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وَإِنِّي لَاُحَدِّثُهُمْ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للحديث طرقاً ومتوناً اُخرى، وفيما أتينا بها من الطرق غنىً وكفاية، ولعلّ الفاحص المتتبّع يجد أكثر ممّا اطّلعنا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الكلام نُنبِّه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الاختصار الواقع في الأحاديث إنّما هو لبعض الأسباب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اختُصِر الحديث لأنّ مجلس إملاء الحديث كان مناسباً للاختصار، واُخرى لأنّ الراوي قصد من رواية الحديث التنبيه على نكتة خاصّة وموضوع خاصّ، وثالثةً لأنّه سئل عن موضوع خاصّ مربوط ببعض ما في الحديث، ورابعةً لعلّة خوف الراوي من المُسْتَمْلين والمستمعين، وخامسةً لمنافاة نقل تمام ألفاظ الحديث مع أغراضه السياسية والدنيوية، وغير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وإن كان ممكناً في الاختصار الّذي عرض على هذا </w:t>
      </w:r>
    </w:p>
    <w:p>
      <w:pPr>
        <w:pStyle w:val="BookText"/>
        <w:rPr/>
      </w:pPr>
      <w:r>
        <w:rPr>
          <w:rFonts w:ascii="Amiri" w:hAnsi="Amiri" w:eastAsia="Amiri" w:cs="Amiri"/>
          <w:color w:val="111111"/>
          <w:sz w:val="28"/>
          <w:sz w:val="28"/>
          <w:szCs w:val="28"/>
          <w:rtl w:val="true"/>
          <w:lang w:bidi="ar-SA"/>
        </w:rPr>
        <w:t>الحديث إلّا أنّ في مثله من أخبار فضائل العترة الطاهرة لمّا كان الحذف والتحريف والإبدال والاختصار، وعدم التصريح بالأسامي، والتأويل، وحتى الإعراض عن سماع الحديث، وترك الإملاء قد وقع في موارد كثيرة لا تحصى، الأظهر أنّ ما وقع في هذا الحديث الشريف أيضاً من الاختصار والإبدال إنّما وقع لإخفاء فضائلهم وكتمان مناقبهم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عناداً ونصباً، كما أنّ تركهم تخريج المئات بل الاُلوف من تلك الأحاديث أو إعراضهم عن أخذ العلم والفقه عنهم ليس إلّا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ونِعمَ ما قال خليل بن أحمد اللغوي الشهير لمّا سئل عن فضائل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في مدح امرئ کتمت فضائله اولياءه خوفاً، وکتمت مناقبه أعداؤه حسداً، ثمّ ظهر بين الكتمين ما ملأ الخافقين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الّذي قال في شأن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الكلّ إليه واستغناؤه عن الكلّ دليل على أنّه إمام الكلّ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لك أنّ حديث يوم الدار في التنصيص على خلافة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مستفيض، بل متواتر، وعدم التصريح في متون بعض طرقها بالخلافة لبعض الأسباب الّتي ذكرناها في الأمر الأوّل لا يضرّ بعدم وجودها في غيرها، وبعد ما علمنا أنّ أصل عدم الزيادة يُقدَّم عند العقلاء على أصل عدم النقيصة، سيّما في مورد يمكن تعدّد صدور الكلام وتعدّد وقوع الواقعة، وسيّما إذا كانت الروايات المتضمّنة للزيادة أقرب بحسب الاعتبار بالقبول، وخصوصاً إذا كانت للزيادة في الأخبار الكثيرة شواهد لا تحصى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ريب أنّ الوراثة المذكورة في بعض متون هذا الحديث ليست الوراثة المالية؛ فإنّها مضافاً إلى عدم موافقتها لِما عليه إجماع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من أنّ البنت ترث جميع تركة الأب بالفرض والردّ، ولا يرث معها غيرها من العمومة والخؤولة وأبنائهم، وأن ابن العمّ الأبويني يرث العمّ دونالعمّ الأبيّ من غير أن يكون هذا الحكم مختصّاً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توافق على مذهب العامّة أيضاً الخبر المكذوب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 للقرآن المجيد،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بدلالة هذه القرينة أنّ الوراثة المذكورة في هذا الحديث إنّما اُريد بها وراثة العلم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بعضهم عن هذا الحديث الصريح على خلافة الإمام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تقتضي أن يكون هو الخليفة بعده بلا فصل، بل الحديث صادق، وإن سبق عليه الثلاثة الّذين تقمّصوا بها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 واضح غنيّ عن البيان،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خَلِيفَتِي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عدم الفصل، ولو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خليفتي بعد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نوعاً من التهافت أو الاُحجيّة الّتي ينبغي تنزيه كلام الحكيم في مثل هذه المقامات عنهما، وهذا أصرح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هذا أيضاً صريح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ونظير هذا التصريح في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في الأحاديث،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كُلِّ مُؤْمِنٍ بَعْدِي</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مَوْلَى كُلِّ مُؤْمِنٍ وَمُؤْمِنَةٍ، وَهُوَ وَليُّكُمْ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وَلِيُّكُمْ بَعْدِي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وَهُوَ فَارُوقُ هَذِهِ الْاُمَّةِ، وَيَعْسُوبُ الْمُؤْمِنِينَ، وَالْمَالُ يَعْسُوبُ الظَّلَمَةِ، وَهُوَ الصِدِّيقُ الْأَكْبَرْ، وَهُوَ خَلِيفَتِي مِنْ بَعْدِي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كثرة مُخرِّجِي هذا الحديث من أكابر أهل السنّة، مثل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 في سننه ودلائله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في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في تاريخه وتفسيره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في 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في الخصائص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الضياء المقدّسي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سعيد في إيضاح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الخلدي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الحفّاظ وأرباب التاريخ، كابن حجر، وأبي نعيم وهَيْكَل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ولشهرة هذا الحديث ذكره كما في المراجعات</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الكتاب الغربيّين في كتبهم الفرنسية والإنجليزية والألمانية، واختصره توماس </w:t>
      </w:r>
    </w:p>
    <w:p>
      <w:pPr>
        <w:pStyle w:val="BookText"/>
        <w:rPr/>
      </w:pPr>
      <w:r>
        <w:rPr>
          <w:rFonts w:ascii="Amiri" w:hAnsi="Amiri" w:eastAsia="Amiri" w:cs="Amiri"/>
          <w:color w:val="111111"/>
          <w:sz w:val="28"/>
          <w:sz w:val="28"/>
          <w:szCs w:val="28"/>
          <w:rtl w:val="true"/>
          <w:lang w:bidi="ar-SA"/>
        </w:rPr>
        <w:t>كارليل في كتابه الأبطال المترجم بالعربية والفارسية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هذا آخر ما كتبناه حول آية الإنذار وحديث يوم الدار، حامداً لله تعالى، ومصلّياً على النبيّ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سيّما ابن عمّه سيف الله المسلول، ونفس الرسول، وزوج البتول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لطف الله الصافي الگلپايگاني </w:t>
      </w:r>
      <w:bookmarkStart w:id="39" w:name="pg10662_180760"/>
    </w:p>
    <w:p>
      <w:pPr>
        <w:pStyle w:val="Heading3"/>
        <w:numPr>
          <w:ilvl w:val="2"/>
          <w:numId w:val="1"/>
        </w:numPr>
        <w:rPr/>
      </w:pPr>
      <w:bookmarkStart w:id="40" w:name="__RefHeading___Toc5020_1051229030"/>
      <w:bookmarkStart w:id="41" w:name="_Toc13"/>
      <w:bookmarkEnd w:id="39"/>
      <w:bookmarkEnd w:id="40"/>
      <w:r>
        <w:rPr>
          <w:rtl w:val="true"/>
        </w:rPr>
        <w:t>مصادر التحقیق</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في ُاصول الأحکام، الآمدي،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المکتب الإسلامي،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في معرفة الأصحاب، ابن عبد البر، یوسف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في معرفة الصحابة،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المحمدیة أو دفاع عن الحدیث، أبو ریّه،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البطحاء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w:t>
      </w:r>
    </w:p>
    <w:p>
      <w:pPr>
        <w:pStyle w:val="BookText"/>
        <w:rPr/>
      </w:pP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أمان الاُمّة من الضلال والاختلاف، الصافي الگلپایگاني، لطف الله، قم، المطبعة العلمیة،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الطبري، محمد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والملوك،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ابن عساکر،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آي القرآن،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الأردبیلي،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ابن أبي حاتم الرازي،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خطط الشام، کرد علي، محمد، دمشق، مکتبة النوري،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في معرفة الرجال،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ومعرفة أحوال صاحب الشریعة، البیهقي،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في مناقب ذوی القربی، الطبري، أحمد بن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القدسي،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مصنّفي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النجاشي،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الحسیني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وبصیرة المتعظین، الفتّال النیسابوري،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الشریف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فضائل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في سیرة خیر العباد، الصالحي الشامي،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في فضائل الأئمّة الأطهار ، المغربي، القاضي نعمان بن محمد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موسّسة النشر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ابن أبي الحدید،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 الحسکاني، عبید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العتب الجمیل على أهل الجرح والتعدیل، ابن عقیل العلوي،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في مناقب إمام الأبرار، ابن البطریق، یحیی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 في فضائل المرتضی والبتول والسبطین والأئمّة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الحموئي، إبراهیم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المحمودي،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التاریخ،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ضعفاء الرجال، ابنعدي الجرجاني،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الهلالي العامري،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الهادي،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في النصّ علی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علاء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ومنبع الفوائد، الهیثمي، عليّ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المراجعات، شرف الدین الموسوي، السیّد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الجمعیة الإسلامیة،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الصحیحین، الحاکم النیسابوري،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الأحادیث والآثار، ابن أبي شیبة الکوفي،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طبقات الرواة، الخوئي، السیّد أبو القاسم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أمیر المؤمنین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الکوفي،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إحیاء الثقافة الإسلامیة،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الصافي الگلپایگاني، لطف الله، طهران، مکتبة الصدر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في نقد الرجال، الذهبي،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إلی تحصیل مسائل الشریعة،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وأنباء أبناء الزمان، ابن خلّکان، أحمد بن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الثقافة</w:t>
      </w:r>
      <w:r>
        <w:rPr>
          <w:rFonts w:eastAsia="IRNazanin" w:cs="IRNazanin"/>
          <w:color w:val="111111"/>
          <w:sz w:val="28"/>
          <w:szCs w:val="28"/>
          <w:rtl w:val="true"/>
          <w:lang w:bidi="fa-IR"/>
        </w:rPr>
        <w:t xml:space="preserve">. </w:t>
      </w:r>
      <w:bookmarkStart w:id="42" w:name="pg10662_180775"/>
    </w:p>
    <w:p>
      <w:pPr>
        <w:pStyle w:val="Heading2"/>
        <w:numPr>
          <w:ilvl w:val="1"/>
          <w:numId w:val="1"/>
        </w:numPr>
        <w:rPr/>
      </w:pPr>
      <w:bookmarkStart w:id="43" w:name="__RefHeading___Toc5022_1051229030"/>
      <w:bookmarkStart w:id="44" w:name="_Toc14"/>
      <w:bookmarkEnd w:id="42"/>
      <w:bookmarkEnd w:id="43"/>
      <w:r>
        <w:rPr>
          <w:rtl w:val="true"/>
        </w:rPr>
        <w:t>الفهرس</w:t>
      </w:r>
      <w:bookmarkEnd w:id="44"/>
    </w:p>
    <w:p>
      <w:pPr>
        <w:pStyle w:val="BookText"/>
        <w:rPr/>
      </w:pPr>
      <w:r>
        <w:rPr>
          <w:rFonts w:ascii="Amiri" w:hAnsi="Amiri" w:eastAsia="Amiri" w:cs="Amiri"/>
          <w:color w:val="111111"/>
          <w:sz w:val="28"/>
          <w:sz w:val="28"/>
          <w:szCs w:val="28"/>
          <w:rtl w:val="true"/>
          <w:lang w:bidi="ar-SA"/>
        </w:rPr>
        <w:t>في تفسير 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تحقيق دقيق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تفسیر آیة الإنذار وأحادیث یوم الدار، أو بدء الدعوة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نقده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آية الإنذار وحديث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0662_180779"/>
      <w:bookmarkStart w:id="46" w:name="pg10662_180779"/>
      <w:bookmarkEnd w:id="46"/>
    </w:p>
    <w:p>
      <w:pPr>
        <w:pStyle w:val="Heading2"/>
        <w:numPr>
          <w:ilvl w:val="1"/>
          <w:numId w:val="1"/>
        </w:numPr>
        <w:rPr/>
      </w:pPr>
      <w:bookmarkStart w:id="47" w:name="pg10662_180779"/>
      <w:bookmarkStart w:id="48" w:name="__RefHeading___Toc5024_1051229030"/>
      <w:bookmarkStart w:id="49" w:name="_Toc15"/>
      <w:bookmarkEnd w:id="47"/>
      <w:bookmarkEnd w:id="48"/>
      <w:r>
        <w:rPr>
          <w:rtl w:val="true"/>
        </w:rPr>
        <w:t>آثار سماحة آية الله العظمى الصافي الگلپايگاني مدّ ظلّه الوارف</w:t>
      </w:r>
      <w:bookmarkEnd w:id="49"/>
    </w:p>
    <w:p>
      <w:pPr>
        <w:pStyle w:val="BookText"/>
        <w:rPr/>
      </w:pPr>
      <w:r>
        <w:rPr>
          <w:rFonts w:ascii="Amiri" w:hAnsi="Amiri" w:eastAsia="Amiri" w:cs="Amiri"/>
          <w:color w:val="111111"/>
          <w:sz w:val="28"/>
          <w:sz w:val="28"/>
          <w:szCs w:val="28"/>
          <w:rtl w:val="true"/>
          <w:lang w:bidi="ar-SA"/>
        </w:rPr>
        <w:t>الصورة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القمّي، الإمامة والتبصرة،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النعماني، الغیبة،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الخزّاز القمّي، کفایة الأثر،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روح المعاني،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القمّي، الإمامة والتبصرة،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النعماني، الغیبة،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الخزّاز القمّي، کفایة الأثر،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الحاکمالنیسابوري،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البیهقي، 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الکوفي، تفسیر،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القمّي،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الطبري، جامع البیان،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الحاکم الحسکاني،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السیوطي، الدرّ المنثور،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إلی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تَشَاؤُونَ إِلَّا أَنْ يَشَاءَ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الطبراني، 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المغربي، 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المفید،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رجب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البخاري،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الأثیر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البیان،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البداية والنهاية،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عاصم بن أبي النجود المقري المقدّم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بن يوسف الثقفي بلغه أنّ يحيى بن يعمر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والحسين رضي الله عنهما من ذرّية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يحيى يومئذ بخراسان، فكتب الحجّاج إلى قتيبة بن مسلم والي خراسان وقد تقدّم ذكره أيضاً أن ابعث إليّ بيحيى بن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به إليه، فقام بين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تزعم أنّ الحسن والحسين من ذرّية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لألقيّن الأكثر منك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لتخرجّن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أماني إن خرجت؟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جلّ ثناؤه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وَوَهَبْنَا لَهُ إِسْحَقَ وَيَعْقُوبَ كُلّاً هَدَيْنَا وَنُوحاً هَدَيْنَا مِن قَبْلُ وَمِن ذُرِّيَّتِهِ دَاوُودَ وَسُلَيْمَانَ وَأَيُّوبَ وَيُوسُفَ وَمُوسَى وَهَارُونَ وَكَذَلِكَ نَجْزِي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وَزَكَرِيَّا وَيَحْيَى وَعِيسَى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عيسى وإبراهيم أكثر ممّا بين الحسن والحسين ومحمد صلوات الله عليه وسلامه، فقال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أراك إلّا قد خرجت، والله لقد قرأتها وما علمت بها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كتابنا أمان الاُمّه من الضلال والاختلاف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الرازي، الجرح والتعدیل،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المغربي، شرح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الطبرسي،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الكاتب الشهير محمد كرد علي وهو من أبناء السنّة في كتابه 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جماعة من كبار الصحابة بموالاة عليّ في عصر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سلمان الفارسي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بايعنا رسول الله على النصح للمسلمين، والائتمام بعليّ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والموالاة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أبي سعيد الخدري الّذي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الناس بخمس، فعملوا بأربع وتركوا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سُئل عن الأربع؟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والزكاة، وصوم شهر رمضان،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الواحدة الّتي تركوها؟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 لمفروضة معهنّ؟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هي مفروضة معهنّ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أبي ذرّ الغفاري، وعمّار بن ياسر، وحذيفة بن اليمان، وذي الشهادتين خزيمة بن ثابت، وأبي أيوب الأنصاري، وخالد بن سعيد بن العاص، وقيس بن سعد بن عبادة، وكثير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علي، خطط الشام،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الصدوق، الأمالي،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الهلالي العامري، کتاب سلیم بن قیس،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الحاکم الحسکاني،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الفتّال النیسابوري، روضة الواعظین،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ریّه، أضواء على السنّة المحمّديّة،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ریّه، أضواء على السنّة المحمّديّة،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ریّه، أضواء على السنّة المحمّديّة،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أبوریّه، أضواء على السنّة المحمّدية،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عقیل العلوي، العتب الجميل 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البیهقي،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ابن کثیر، البداية والنهاية،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هو، كما قال البيهقي، قال أبو عمر أحمد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ابن إسحاق إنّما سمعه من عبد الغفّار بن القاسم بن مريم عن المنهال بن عمرو، عن عبد الله بن الحارث، قال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ما أخفى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واستسر به إلى أن أمر بإظهاره ثلاث سنين من مبعثه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شريك القاضي عن المنهال بن عمرو، عن عبّاد بن عبدالله الأسدي، عن عليّ في إطعامه إيّاهم بقريب من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البیهقي،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البداية والنهاية،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ایضاً 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الجرجاني، الکامل في ضعفاء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الذهبي، میزان الإعتدال،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أرباب الرجال والتراجم والفهارس من الشيعة المشهورين بكمال التورّع والاحتياط، سيّما في الجرح والتعديل صرّحوا بوثاقة هذا الشيخ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مريم عبد الغفّار بن القاسم بن القيس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والرجل من أصحاب الإمام زين العابدين عليّ بن الحسين وابنه الإمام محمد بن عليّ الباقر وابنه الإمام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ويكفيه ذلك فخراً وشرفاً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ترجمته في فهرست الشيخ ورجاله، و رجال النجاشي، وخلاصة الأقوال للعلّامة، ورجال ابن داود، ورجال الكشّي، والوجيزة، والبُلغة، وجامع الرواة وغيرها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البیهقي،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البیهقي،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عمدة عیون صحاح الأخبار، الفصل الثاني عشر،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الفصل الثالث عشر،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 عمدة عیون صحاح الأخبار، الفصل الثالث عشر،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 عمدة عیون صحاح الأخبار، الفصل الثالث عشر،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أیضاً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الکامل في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الحسیني الأسترآبادي، الرواشح السماوية،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الحديث،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أیضاً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النیسابوري،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شیبة الکوفي،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المتقي الهندي،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عساکر، تاريخ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الطبري، بشارة المصطفی،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عساکر، تاريخ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الطبري، ذخائر العقبی،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الکوفي،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الطوسي، الأمالي،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الصالحي الشامي، 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الموسوي، المراجعات،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12024</Words>
  <Characters>55751</Characters>
  <CharactersWithSpaces>67240</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2026-08-27T08:25:17Z</dcterms:created>
  <dc:creator>ghaemiyeh.com</dc:creator>
  <dc:description/>
  <dc:language>en-US</dc:language>
  <cp:lastModifiedBy/>
  <dcterms:modified xsi:type="dcterms:W3CDTF">2026-08-27T11:55:20Z</dcterms:modified>
  <cp:revision>1</cp:revision>
  <dc:subject/>
  <dc:title>فی تفسیر آیه التطهیر و تفسیر آیه الانذار و احادیث یوم الدار او بدء الدعوه</dc:title>
</cp:coreProperties>
</file>

<file path=docProps/custom.xml><?xml version="1.0" encoding="utf-8"?>
<Properties xmlns="http://schemas.openxmlformats.org/officeDocument/2006/custom-properties" xmlns:vt="http://schemas.openxmlformats.org/officeDocument/2006/docPropsVTypes"/>
</file>