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المصلح العالمی فی الادیان السماویة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521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135213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135215_372815092">
            <w:r>
              <w:rPr>
                <w:webHidden/>
                <w:rStyle w:val="IndexLink"/>
                <w:rtl w:val="true"/>
              </w:rPr>
              <w:t>كلمة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4135217_372815092">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4135219_372815092">
            <w:r>
              <w:rPr>
                <w:webHidden/>
                <w:rStyle w:val="IndexLink"/>
                <w:rtl w:val="true"/>
              </w:rPr>
              <w:t>أولاً</w:t>
            </w:r>
            <w:r>
              <w:rPr>
                <w:rStyle w:val="IndexLink"/>
                <w:rtl w:val="true"/>
              </w:rPr>
              <w:t xml:space="preserve">: </w:t>
            </w:r>
            <w:r>
              <w:rPr>
                <w:rStyle w:val="IndexLink"/>
                <w:rtl w:val="true"/>
              </w:rPr>
              <w:t>المصلح العالمي في الإسلام</w:t>
            </w:r>
            <w:r>
              <w:rPr>
                <w:rStyle w:val="IndexLink"/>
                <w:rtl w:val="true"/>
              </w:rPr>
              <w:tab/>
            </w:r>
            <w:r>
              <w:rPr>
                <w:rStyle w:val="IndexLink"/>
              </w:rPr>
              <w:t>12</w:t>
            </w:r>
          </w:hyperlink>
        </w:p>
        <w:p>
          <w:pPr>
            <w:pStyle w:val="Contents3"/>
            <w:tabs>
              <w:tab w:val="clear" w:pos="8459"/>
              <w:tab w:val="right" w:pos="9026" w:leader="dot"/>
            </w:tabs>
            <w:rPr/>
          </w:pPr>
          <w:hyperlink w:anchor="__RefHeading___Toc4135221_37281509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135223_372815092">
            <w:r>
              <w:rPr>
                <w:webHidden/>
                <w:rStyle w:val="IndexLink"/>
                <w:rtl w:val="true"/>
              </w:rPr>
              <w:t>القرآن الكريم</w:t>
            </w:r>
            <w:r>
              <w:rPr>
                <w:rStyle w:val="IndexLink"/>
                <w:rtl w:val="true"/>
              </w:rPr>
              <w:tab/>
            </w:r>
            <w:r>
              <w:rPr>
                <w:rStyle w:val="IndexLink"/>
              </w:rPr>
              <w:t>15</w:t>
            </w:r>
          </w:hyperlink>
        </w:p>
        <w:p>
          <w:pPr>
            <w:pStyle w:val="Contents3"/>
            <w:tabs>
              <w:tab w:val="clear" w:pos="8459"/>
              <w:tab w:val="right" w:pos="9026" w:leader="dot"/>
            </w:tabs>
            <w:rPr/>
          </w:pPr>
          <w:hyperlink w:anchor="__RefHeading___Toc4135225_372815092">
            <w:r>
              <w:rPr>
                <w:webHidden/>
                <w:rStyle w:val="IndexLink"/>
                <w:rtl w:val="true"/>
              </w:rPr>
              <w:t>السنّة الشريفة</w:t>
            </w:r>
            <w:r>
              <w:rPr>
                <w:rStyle w:val="IndexLink"/>
                <w:rtl w:val="true"/>
              </w:rPr>
              <w:tab/>
            </w:r>
            <w:r>
              <w:rPr>
                <w:rStyle w:val="IndexLink"/>
              </w:rPr>
              <w:t>20</w:t>
            </w:r>
          </w:hyperlink>
        </w:p>
        <w:p>
          <w:pPr>
            <w:pStyle w:val="Contents3"/>
            <w:tabs>
              <w:tab w:val="clear" w:pos="8459"/>
              <w:tab w:val="right" w:pos="9026" w:leader="dot"/>
            </w:tabs>
            <w:rPr/>
          </w:pPr>
          <w:hyperlink w:anchor="__RefHeading___Toc4135227_372815092">
            <w:r>
              <w:rPr>
                <w:webHidden/>
                <w:rStyle w:val="IndexLink"/>
                <w:rtl w:val="true"/>
              </w:rPr>
              <w:t>الأحاديث في التراث الإمامي</w:t>
            </w:r>
            <w:r>
              <w:rPr>
                <w:rStyle w:val="IndexLink"/>
                <w:rtl w:val="true"/>
              </w:rPr>
              <w:tab/>
            </w:r>
            <w:r>
              <w:rPr>
                <w:rStyle w:val="IndexLink"/>
              </w:rPr>
              <w:t>20</w:t>
            </w:r>
          </w:hyperlink>
        </w:p>
        <w:p>
          <w:pPr>
            <w:pStyle w:val="Contents3"/>
            <w:tabs>
              <w:tab w:val="clear" w:pos="8459"/>
              <w:tab w:val="right" w:pos="9026" w:leader="dot"/>
            </w:tabs>
            <w:rPr/>
          </w:pPr>
          <w:hyperlink w:anchor="__RefHeading___Toc4135229_372815092">
            <w:r>
              <w:rPr>
                <w:webHidden/>
                <w:rStyle w:val="IndexLink"/>
                <w:rtl w:val="true"/>
              </w:rPr>
              <w:t>الأحاديث في التراث السنّيّ</w:t>
            </w:r>
            <w:r>
              <w:rPr>
                <w:rStyle w:val="IndexLink"/>
                <w:rtl w:val="true"/>
              </w:rPr>
              <w:tab/>
            </w:r>
            <w:r>
              <w:rPr>
                <w:rStyle w:val="IndexLink"/>
              </w:rPr>
              <w:t>25</w:t>
            </w:r>
          </w:hyperlink>
        </w:p>
        <w:p>
          <w:pPr>
            <w:pStyle w:val="Contents2"/>
            <w:tabs>
              <w:tab w:val="clear" w:pos="8743"/>
              <w:tab w:val="right" w:pos="9026" w:leader="dot"/>
            </w:tabs>
            <w:rPr/>
          </w:pPr>
          <w:hyperlink w:anchor="__RefHeading___Toc4135231_372815092">
            <w:r>
              <w:rPr>
                <w:webHidden/>
                <w:rStyle w:val="IndexLink"/>
                <w:rtl w:val="true"/>
              </w:rPr>
              <w:t>ثانياً</w:t>
            </w:r>
            <w:r>
              <w:rPr>
                <w:rStyle w:val="IndexLink"/>
                <w:rtl w:val="true"/>
              </w:rPr>
              <w:t xml:space="preserve">: </w:t>
            </w:r>
            <w:r>
              <w:rPr>
                <w:rStyle w:val="IndexLink"/>
                <w:rtl w:val="true"/>
              </w:rPr>
              <w:t>الموعود في اليهودية</w:t>
            </w:r>
            <w:r>
              <w:rPr>
                <w:rStyle w:val="IndexLink"/>
                <w:rtl w:val="true"/>
              </w:rPr>
              <w:tab/>
            </w:r>
            <w:r>
              <w:rPr>
                <w:rStyle w:val="IndexLink"/>
              </w:rPr>
              <w:t>31</w:t>
            </w:r>
          </w:hyperlink>
        </w:p>
        <w:p>
          <w:pPr>
            <w:pStyle w:val="Contents2"/>
            <w:tabs>
              <w:tab w:val="clear" w:pos="8743"/>
              <w:tab w:val="right" w:pos="9026" w:leader="dot"/>
            </w:tabs>
            <w:rPr/>
          </w:pPr>
          <w:hyperlink w:anchor="__RefHeading___Toc4135233_372815092">
            <w:r>
              <w:rPr>
                <w:webHidden/>
                <w:rStyle w:val="IndexLink"/>
                <w:rtl w:val="true"/>
              </w:rPr>
              <w:t>ثالثاً</w:t>
            </w:r>
            <w:r>
              <w:rPr>
                <w:rStyle w:val="IndexLink"/>
                <w:rtl w:val="true"/>
              </w:rPr>
              <w:t xml:space="preserve">: </w:t>
            </w:r>
            <w:r>
              <w:rPr>
                <w:rStyle w:val="IndexLink"/>
                <w:rtl w:val="true"/>
              </w:rPr>
              <w:t>الموعود في النصرانيّة</w:t>
            </w:r>
            <w:r>
              <w:rPr>
                <w:rStyle w:val="IndexLink"/>
                <w:rtl w:val="true"/>
              </w:rPr>
              <w:tab/>
            </w:r>
            <w:r>
              <w:rPr>
                <w:rStyle w:val="IndexLink"/>
              </w:rPr>
              <w:t>36</w:t>
            </w:r>
          </w:hyperlink>
        </w:p>
        <w:p>
          <w:pPr>
            <w:pStyle w:val="Contents2"/>
            <w:tabs>
              <w:tab w:val="clear" w:pos="8743"/>
              <w:tab w:val="right" w:pos="9026" w:leader="dot"/>
            </w:tabs>
            <w:rPr/>
          </w:pPr>
          <w:hyperlink w:anchor="__RefHeading___Toc4135235_372815092">
            <w:r>
              <w:rPr>
                <w:webHidden/>
                <w:rStyle w:val="IndexLink"/>
                <w:rtl w:val="true"/>
              </w:rPr>
              <w:t>الخاتمة</w:t>
            </w:r>
            <w:r>
              <w:rPr>
                <w:rStyle w:val="IndexLink"/>
                <w:rtl w:val="true"/>
              </w:rPr>
              <w:tab/>
            </w:r>
            <w:r>
              <w:rPr>
                <w:rStyle w:val="IndexLink"/>
              </w:rPr>
              <w:t>46</w:t>
            </w:r>
          </w:hyperlink>
        </w:p>
        <w:p>
          <w:pPr>
            <w:pStyle w:val="Contents2"/>
            <w:tabs>
              <w:tab w:val="clear" w:pos="8743"/>
              <w:tab w:val="right" w:pos="9026" w:leader="dot"/>
            </w:tabs>
            <w:rPr/>
          </w:pPr>
          <w:hyperlink w:anchor="__RefHeading___Toc4135237_372815092">
            <w:r>
              <w:rPr>
                <w:webHidden/>
                <w:rStyle w:val="IndexLink"/>
                <w:rtl w:val="true"/>
              </w:rPr>
              <w:t>المصادر</w:t>
            </w:r>
            <w:r>
              <w:rPr>
                <w:rStyle w:val="IndexLink"/>
                <w:rtl w:val="true"/>
              </w:rPr>
              <w:tab/>
            </w:r>
            <w:r>
              <w:rPr>
                <w:rStyle w:val="IndexLink"/>
              </w:rPr>
              <w:t>48</w:t>
            </w:r>
          </w:hyperlink>
        </w:p>
        <w:p>
          <w:pPr>
            <w:pStyle w:val="Contents2"/>
            <w:tabs>
              <w:tab w:val="clear" w:pos="8743"/>
              <w:tab w:val="right" w:pos="9026" w:leader="dot"/>
            </w:tabs>
            <w:rPr/>
          </w:pPr>
          <w:hyperlink w:anchor="__RefHeading___Toc4135239_372815092">
            <w:r>
              <w:rPr>
                <w:webHidden/>
                <w:rStyle w:val="IndexLink"/>
                <w:rtl w:val="true"/>
              </w:rPr>
              <w:t>المحتویات</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9_82597"/>
      <w:bookmarkStart w:id="1" w:name="pg7159_82597"/>
      <w:bookmarkEnd w:id="1"/>
    </w:p>
    <w:p>
      <w:pPr>
        <w:pStyle w:val="Heading2"/>
        <w:numPr>
          <w:ilvl w:val="1"/>
          <w:numId w:val="1"/>
        </w:numPr>
        <w:rPr/>
      </w:pPr>
      <w:bookmarkStart w:id="2" w:name="pg7159_82597"/>
      <w:bookmarkStart w:id="3" w:name="__RefHeading___Toc4135211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المصلح العالمي في الأديان السماويّة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الدكتور صفاء الخرزجي</w:t>
      </w:r>
    </w:p>
    <w:p>
      <w:pPr>
        <w:pStyle w:val="BookText"/>
        <w:rPr/>
      </w:pPr>
      <w:r>
        <w:rPr>
          <w:rFonts w:ascii="Amiri" w:hAnsi="Amiri" w:eastAsia="Amiri" w:cs="Amiri"/>
          <w:color w:val="111111"/>
          <w:sz w:val="28"/>
          <w:sz w:val="28"/>
          <w:szCs w:val="28"/>
          <w:rtl w:val="true"/>
          <w:lang w:bidi="ar-SA"/>
        </w:rPr>
        <w:t>المراجعة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گیم</w:t>
      </w:r>
    </w:p>
    <w:p>
      <w:pPr>
        <w:pStyle w:val="BookText"/>
        <w:rPr/>
      </w:pP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521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الكراس</w:t>
      </w:r>
    </w:p>
    <w:p>
      <w:pPr>
        <w:pStyle w:val="BookText"/>
        <w:rPr/>
      </w:pPr>
      <w:r>
        <w:rPr>
          <w:rFonts w:ascii="Amiri" w:hAnsi="Amiri" w:eastAsia="Amiri" w:cs="Amiri"/>
          <w:color w:val="111111"/>
          <w:sz w:val="28"/>
          <w:sz w:val="28"/>
          <w:szCs w:val="28"/>
          <w:rtl w:val="true"/>
          <w:lang w:bidi="ar-SA"/>
        </w:rPr>
        <w:t>اسم الكراسة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في الأديان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الدكتور صفاء الخرزجي</w:t>
      </w:r>
    </w:p>
    <w:p>
      <w:pPr>
        <w:pStyle w:val="BookText"/>
        <w:rPr/>
      </w:pPr>
      <w:r>
        <w:rPr>
          <w:rFonts w:ascii="Amiri" w:hAnsi="Amiri" w:eastAsia="Amiri" w:cs="Amiri"/>
          <w:color w:val="111111"/>
          <w:sz w:val="28"/>
          <w:sz w:val="28"/>
          <w:szCs w:val="28"/>
          <w:rtl w:val="true"/>
          <w:lang w:bidi="ar-SA"/>
        </w:rPr>
        <w:t>المراجعة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گیم</w:t>
      </w:r>
    </w:p>
    <w:p>
      <w:pPr>
        <w:pStyle w:val="BookText"/>
        <w:rPr/>
      </w:pP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pStyle w:val="BookText"/>
        <w:rPr/>
      </w:pPr>
      <w:r>
        <w:rPr>
          <w:rFonts w:eastAsia="Times New Roman" w:cs="Times New Roman" w:ascii="Times New Roman" w:hAnsi="Times New Roman"/>
          <w:color w:val="111111"/>
          <w:sz w:val="28"/>
          <w:szCs w:val="28"/>
          <w:lang w:val="en-US" w:bidi="en-US"/>
        </w:rPr>
        <w:t>Al-Daleel Foundation</w:t>
      </w:r>
    </w:p>
    <w:p>
      <w:pPr>
        <w:pStyle w:val="BookText"/>
        <w:rPr/>
      </w:pPr>
      <w:r>
        <w:rPr>
          <w:rFonts w:eastAsia="Times New Roman" w:cs="Times New Roman" w:ascii="Times New Roman" w:hAnsi="Times New Roman"/>
          <w:color w:val="111111"/>
          <w:sz w:val="28"/>
          <w:szCs w:val="28"/>
          <w:lang w:val="en-US" w:bidi="en-US"/>
        </w:rPr>
        <w:t>for Doctrinal Studies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http://aldaleel-inst.com www.facebook.com/aldaleel.inst</w:t>
      </w:r>
      <w:r>
        <w:rPr>
          <w:rFonts w:eastAsia="Times New Roman" w:cs="Times New Roman" w:ascii="Times New Roman" w:hAnsi="Times New Roman"/>
          <w:color w:val="111111"/>
          <w:sz w:val="28"/>
          <w:szCs w:val="28"/>
          <w:rtl w:val="true"/>
          <w:lang w:val="en-US" w:bidi="en-US"/>
        </w:rPr>
        <w:t xml:space="preserve"> </w:t>
      </w:r>
      <w:bookmarkStart w:id="7" w:name="pg7159_82601"/>
    </w:p>
    <w:p>
      <w:pPr>
        <w:pStyle w:val="Heading2"/>
        <w:numPr>
          <w:ilvl w:val="1"/>
          <w:numId w:val="1"/>
        </w:numPr>
        <w:rPr/>
      </w:pPr>
      <w:bookmarkStart w:id="8" w:name="__RefHeading___Toc4135215_372815092"/>
      <w:bookmarkStart w:id="9" w:name="_Toc3"/>
      <w:bookmarkEnd w:id="7"/>
      <w:bookmarkEnd w:id="8"/>
      <w:r>
        <w:rPr>
          <w:rtl w:val="true"/>
        </w:rPr>
        <w:t>كلمة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المرسلين أبي</w:t>
      </w:r>
    </w:p>
    <w:p>
      <w:pPr>
        <w:pStyle w:val="BookText"/>
        <w:rPr/>
      </w:pPr>
      <w:r>
        <w:rPr>
          <w:rFonts w:ascii="Amiri" w:hAnsi="Amiri" w:eastAsia="Amiri" w:cs="Amiri"/>
          <w:color w:val="111111"/>
          <w:sz w:val="28"/>
          <w:sz w:val="28"/>
          <w:szCs w:val="28"/>
          <w:rtl w:val="true"/>
          <w:lang w:bidi="ar-SA"/>
        </w:rPr>
        <w:t>القاسم محمّد وعلى 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المنظومة الفكريِّة العقديّة من أهمّ دعائم شخصيّة الإنسان وتميّزه البشري؛</w:t>
      </w:r>
    </w:p>
    <w:p>
      <w:pPr>
        <w:pStyle w:val="BookText"/>
        <w:rPr/>
      </w:pPr>
      <w:r>
        <w:rPr>
          <w:rFonts w:ascii="Amiri" w:hAnsi="Amiri" w:eastAsia="Amiri" w:cs="Amiri"/>
          <w:color w:val="111111"/>
          <w:sz w:val="28"/>
          <w:sz w:val="28"/>
          <w:szCs w:val="28"/>
          <w:rtl w:val="true"/>
          <w:lang w:bidi="ar-SA"/>
        </w:rPr>
        <w:t>فهي التي تحدّد نظرته العامة للكون وعلاقته به، ولها تأثيرٌ مباشرٌ على مساره السلوكيّ وطبيعة تعاطيه مع محيطه ونمط الحياة الّتي يعيشها، لهذا على صعيد الفرد، وأمّا على صعيد المجتمع فإنّ المنظومة الفكريّة العقديّة تنعكس على مجمل العلاقات بين أفراد المجتمع، كما أنّها تحدّد نوع النظم السياسيّة والاقتصاديّة والاجتماعيّة الّتي تحكم تلك العلاقات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فالمنظومة الفكريّة والعقديّة تتحكم بمصير الإنسان، </w:t>
      </w:r>
    </w:p>
    <w:p>
      <w:pPr>
        <w:pStyle w:val="BookText"/>
        <w:rPr/>
      </w:pPr>
      <w:r>
        <w:rPr>
          <w:rFonts w:ascii="Amiri" w:hAnsi="Amiri" w:eastAsia="Amiri" w:cs="Amiri"/>
          <w:color w:val="111111"/>
          <w:sz w:val="28"/>
          <w:sz w:val="28"/>
          <w:szCs w:val="28"/>
          <w:rtl w:val="true"/>
          <w:lang w:bidi="ar-SA"/>
        </w:rPr>
        <w:t>فإمّا أن تصنع له سعادةً واستقرارًا وحياةً كريمةً، وإمّا أن تغرقه في شقاءٍ وفوضى وإذلالٍ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للإنسان أن يعتني بعقيدته، ويأخذها من المصادر المعتمدة فيها، وأن يطمئنّ لسلامتها من الانحراف والتشويه، وأن يبادر لمعالجة ما قد يشوبها بسبب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وفي ظلّ الظروف الراهنة الّتي يعيشها العالم الإسلاميّ بشكلٍ عامًّ، وبلدنا العراق بشكلٍ خاصًّ، ندرك أنّ هناك تهديدًا كبيرًا للفكر والعقيدة الإسلامية الحقة ومن دوائر مختلفةٍ، ونستشعر حاجة مجتمعنا الماسة والملحّة لبيان معالم العقيدة الصحيحة، ورفع الشبهات التي ألبست على بعض الناس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مشروع مؤسّسة الدليل للبحوث والدراسات العقديّة التابعة للعتبة الحسينيّة المقدّسة؛ تلبية لهذه الحاجة، وليحمل على عاتقه مسؤوليّة التصدّي لدفع الشبهات والتأكيد على العقائد الحقة بالوسائل والإمكانيّات المتاحة؛ وذلك للمساهمة في سدّ الفراغ الفكري العقد الّذي يعاني منه المجتمع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تلك الوسائل المعتمدة في مشروعنا أسلوب البحث وفق </w:t>
      </w:r>
    </w:p>
    <w:p>
      <w:pPr>
        <w:pStyle w:val="BookText"/>
        <w:rPr/>
      </w:pPr>
      <w:r>
        <w:rPr>
          <w:rFonts w:ascii="IRNazanin" w:hAnsi="IRNazanin" w:eastAsia="IRNazanin"/>
          <w:color w:val="111111"/>
          <w:sz w:val="28"/>
          <w:sz w:val="28"/>
          <w:szCs w:val="28"/>
          <w:rtl w:val="true"/>
          <w:lang w:bidi="fa-IR"/>
        </w:rPr>
        <w:t>رؤيةٍ علميّةٍ موضوعيّةٍ، وبخطابٍ سلسٍ شيّقٍ يتناغم مع أغلب شرائح المجتمع، فکان قرار المجلس العلمي الموقّر في المؤسّسة إطلاق مشروع سلسلة الكراريس العقديّة، وهي مؤلّفاتٌ موجزةٌ في شكلها وحجمها، كبيرةٌ في مضمونها وأهدافها؛ لمعالجة موضوعاتٍ محددةٍ وحسب الحاجة الفعليّة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نعيش في أيّام الغيبة الكبرى لولي الله الأعظم وخاتم أوصياء نبيّه، وما نلاحظه من وقوع عقيدة المنجي العالمي بين الإفراط والتفريط، بين الإنكار والادّعاء؛ رجح القائمون على المؤسّسة إصدار كرّاسةٍ تبرز نظرة الديانات السماويّة لها؛ لبيان أهميتها وثباتها؛ ما يبعث الإنسان على الاحتياط والجد في التعامل معها، وأن لا يستعجل في اتخاذ الموقف منها؛ فلا يكونمن المنکرین ولا يسعى وراء المدعين، بل يتّخذ طريقاً يبساً في البحر لا يخاف درکاً ولا يخشى، وقد تجشم عناء إعداد هذه الكراسة عضو المجلس العلمي في المؤسّسة الأستاذ الدكتور علي شيخ، وكان تحت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العالميّ في الأديان السماويّة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 المؤسّسة أن تتوجّه بالشكر الجزيل للأستاذ الباحث؛ </w:t>
      </w:r>
    </w:p>
    <w:p>
      <w:pPr>
        <w:pStyle w:val="BookText"/>
        <w:rPr/>
      </w:pPr>
      <w:r>
        <w:rPr>
          <w:rFonts w:ascii="Amiri" w:hAnsi="Amiri" w:eastAsia="Amiri" w:cs="Amiri"/>
          <w:color w:val="111111"/>
          <w:sz w:val="28"/>
          <w:sz w:val="28"/>
          <w:szCs w:val="28"/>
          <w:rtl w:val="true"/>
          <w:lang w:bidi="ar-SA"/>
        </w:rPr>
        <w:t>لما بذله من جهدٍ قيّمٍ في كتابة هذا البحث، ونرجو له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bookmarkStart w:id="10" w:name="pg7159_82605"/>
    </w:p>
    <w:p>
      <w:pPr>
        <w:pStyle w:val="Heading2"/>
        <w:numPr>
          <w:ilvl w:val="1"/>
          <w:numId w:val="1"/>
        </w:numPr>
        <w:rPr/>
      </w:pPr>
      <w:bookmarkStart w:id="11" w:name="__RefHeading___Toc4135217_372815092"/>
      <w:bookmarkStart w:id="12" w:name="_Toc4"/>
      <w:bookmarkEnd w:id="10"/>
      <w:bookmarkEnd w:id="11"/>
      <w:r>
        <w:rPr>
          <w:rtl w:val="true"/>
        </w:rPr>
        <w:t>تمهيدٌ</w:t>
      </w:r>
      <w:bookmarkEnd w:id="12"/>
    </w:p>
    <w:p>
      <w:pPr>
        <w:pStyle w:val="Heading2"/>
        <w:numPr>
          <w:ilvl w:val="1"/>
          <w:numId w:val="1"/>
        </w:numPr>
        <w:rPr/>
      </w:pPr>
      <w:bookmarkStart w:id="13" w:name="__RefHeading___Toc4135219_372815092"/>
      <w:bookmarkStart w:id="14" w:name="_Toc5"/>
      <w:bookmarkEnd w:id="13"/>
      <w:r>
        <w:rPr>
          <w:rtl w:val="true"/>
        </w:rPr>
        <w:t>أولاً</w:t>
      </w:r>
      <w:r>
        <w:rPr>
          <w:rtl w:val="true"/>
        </w:rPr>
        <w:t xml:space="preserve">: </w:t>
      </w:r>
      <w:r>
        <w:rPr>
          <w:rtl w:val="true"/>
        </w:rPr>
        <w:t>المصلح العالمي في الإسلام</w:t>
      </w:r>
      <w:bookmarkEnd w:id="14"/>
    </w:p>
    <w:p>
      <w:pPr>
        <w:pStyle w:val="Heading3"/>
        <w:numPr>
          <w:ilvl w:val="2"/>
          <w:numId w:val="1"/>
        </w:numPr>
        <w:rPr/>
      </w:pPr>
      <w:bookmarkStart w:id="15" w:name="__RefHeading___Toc4135221_372815092"/>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عقيدة المنجي العالميّ أو المنتظر ليست عقيدةً دينيّةً وحسب، بل هي أملٌ منشودٌ لكلّ البشريّة، بغضّ النظر عن الانتماء الدينيّ أو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هذه العقيدة فطريّةٌ تتطلّع إليها نفوس كلّ الصالحين في البشريّة بغضّ النظر عن الانتماء الدينيّ أو المذهبيّ، يقول الشهيد محمد باقر الصدر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المهديّ تجسيداً لعقيدةٍ إسلاميّةٍ ذات طابع دينيًّ فحسب، بل هو عنوانٌ الطموحٍ اتجهت إليه البشريّة بمختلف أديانها ومذاهبها، وصياغةٌ الإلهام ٍفطريًّ، أدرك الناس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تنوّع عقائدهم ووسائلهم إلى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للإنسانية يوماً موعوداً على الأرض، تحقّق فيه رسالات السماء بمغزاها الكبير وهدفها النهائي، وتجد فيه المسيرة المكدودة للإنسان على مر التاريخ استقرارها وطمأنينتها، بعد عناءٍ طويلٍ، بل لم يقتصر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الشعور بهذا اليوم الغيبي والمستقبل المنتظر على المؤمنين دينیّاً بالغيب، بل امتدّ إلى غيرهم أيضاً وانعكس حتى على أشدّ الإيديولوجيّات والاتّجاهات </w:t>
      </w:r>
    </w:p>
    <w:p>
      <w:pPr>
        <w:pStyle w:val="BookText"/>
        <w:rPr/>
      </w:pPr>
      <w:r>
        <w:rPr>
          <w:rFonts w:ascii="Amiri" w:hAnsi="Amiri" w:eastAsia="Amiri" w:cs="Amiri"/>
          <w:color w:val="111111"/>
          <w:sz w:val="28"/>
          <w:sz w:val="28"/>
          <w:szCs w:val="28"/>
          <w:rtl w:val="true"/>
          <w:lang w:bidi="ar-SA"/>
        </w:rPr>
        <w:t>العقائديّة رفضاً للغيب والغيبيات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تعدّ عقيدة انتظار المنجي والمصلح العالميّ في آخر الزمان، من العقائد المهمة المشتركة بين الأديان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فالمشتركات بين هذه الأديان التوحيديّة كثيرةً كالإيمان بالله والمعاد والنبوّة وعقيدة ظهور المنجي العالميّ الذي سيقوم عند ظهوره ومجيئه بنشر التوحيد والمحبّة والعدل والرحمة في أرجاء المعمورة، ويطهّرها من براثن الشرك والكفر والظلم والطغيان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يتّضح جلياً أنّ عقيدة مجيء هذا المصلح العالمي، وقضيّة وقوع هذا التغيير من الظلم إلى العدل والقسط، ومن الفساد إلى الإصلاح الّذي يشمل كلّ المعمورة، ليس معتقداً مختصاً بالشيعة الإماميّة الاثني عشريّة كما يروّج له بعض المغرضين الجاهلين بتعاليم الإسلام الأصيلة، بل ولا يختصّ بالدين الإسلامي فقط، بل هو اعتقادٌ عميقٌ وراسخٌ لدى كلّ الأديان بصورةٍ عامةٍ والتوحيديّة </w:t>
      </w:r>
    </w:p>
    <w:p>
      <w:pPr>
        <w:pStyle w:val="BookText"/>
        <w:rPr/>
      </w:pPr>
      <w:r>
        <w:rPr>
          <w:rFonts w:ascii="Amiri" w:hAnsi="Amiri" w:eastAsia="Amiri" w:cs="Amiri"/>
          <w:color w:val="111111"/>
          <w:sz w:val="28"/>
          <w:sz w:val="28"/>
          <w:szCs w:val="28"/>
          <w:rtl w:val="true"/>
          <w:lang w:bidi="ar-SA"/>
        </w:rPr>
        <w:t>منها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أنّ هذه العقيدة يتّفق عليها أصحاب الديانات التوحيديّة الثلاث، غير أنّ هناك اختلافاً في تفاصيل هذه العقيدة وجزئيّاتها من دينٍ لآخر، فكل دينٍ من هذه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شخصيّة المنجي موضع اختلافٍ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علاماتٍ وأماراتٍ لمنجيء هذا المنجي، وما سيفعله أثناء مجيئه، ويذكر كيفيّة محاربته للظالمين وتحقيقه رجاء وأتباع ذلك الدين أملهم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ارتأت مؤسسة الدليل التابعة للعتبة الحسينيّة المقدّسة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نظرة سريعةٍ عن هذا العقيدة المهمّة والحيويّة والأساسية في هذه الأديان السماويّة، وتوضيح حقيقة كونها عقيدةً سماويّةً نطق بها الأنبياء عليهم السلام على مر التاريخ، وهنا في هذا البحث المختصر سنشير الى أهم ما يرتبط بهذه العقيدة من وجهة هذه الأديان، والله من وراء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المسلمون جميعاً بالمصلح العالمي الّذي سيظهر في آخر الزمان، وهو الإمام المهدي عند المسلمين كافّةً، سيّما الشيعة </w:t>
      </w:r>
      <w:bookmarkStart w:id="17" w:name="pg7159_82608"/>
    </w:p>
    <w:p>
      <w:pPr>
        <w:pStyle w:val="BookText"/>
        <w:rPr/>
      </w:pPr>
      <w:bookmarkEnd w:id="17"/>
      <w:r>
        <w:rPr>
          <w:rFonts w:ascii="Amiri" w:hAnsi="Amiri" w:eastAsia="Amiri" w:cs="Amiri"/>
          <w:color w:val="111111"/>
          <w:sz w:val="28"/>
          <w:sz w:val="28"/>
          <w:szCs w:val="28"/>
          <w:rtl w:val="true"/>
          <w:lang w:bidi="ar-SA"/>
        </w:rPr>
        <w:t>الأماميّة الاثني عشريّة، ولنا على هذا الاعتقاد عدّة أدلّةٍ من القرآن الكريم والسنّة الشريفة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135223_372815092"/>
      <w:bookmarkStart w:id="19" w:name="_Toc7"/>
      <w:bookmarkEnd w:id="18"/>
      <w:r>
        <w:rPr>
          <w:rtl w:val="true"/>
        </w:rPr>
        <w:t>القرآن الكريم</w:t>
      </w:r>
      <w:bookmarkEnd w:id="19"/>
    </w:p>
    <w:p>
      <w:pPr>
        <w:pStyle w:val="BookText"/>
        <w:rPr/>
      </w:pPr>
      <w:r>
        <w:rPr>
          <w:rFonts w:ascii="Amiri" w:hAnsi="Amiri" w:eastAsia="Amiri" w:cs="Amiri"/>
          <w:color w:val="111111"/>
          <w:sz w:val="28"/>
          <w:sz w:val="28"/>
          <w:szCs w:val="28"/>
          <w:rtl w:val="true"/>
          <w:lang w:bidi="ar-SA"/>
        </w:rPr>
        <w:t>هناك آياتٌ كثيرةٌ من القرآن الكريم تشير إلى هذه العقيدة</w:t>
      </w:r>
    </w:p>
    <w:p>
      <w:pPr>
        <w:pStyle w:val="BookText"/>
        <w:rPr/>
      </w:pPr>
      <w:r>
        <w:rPr>
          <w:rFonts w:ascii="Amiri" w:hAnsi="Amiri" w:eastAsia="Amiri" w:cs="Amiri"/>
          <w:color w:val="111111"/>
          <w:sz w:val="28"/>
          <w:sz w:val="28"/>
          <w:szCs w:val="28"/>
          <w:rtl w:val="true"/>
          <w:lang w:bidi="ar-SA"/>
        </w:rPr>
        <w:t>الإسلامية الأصيلة النابعة من تعاليمه السمحاء،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من جملة الآيات القرآنيّة المفسّرة بزمان ظهور الإمام الحجة علیه السلام، فقد 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المؤمنين الصالحين من هذه الأمّة بأن يجعلهم المستخلفين لمن كان قبلهم، أي يجعلهم بدل الذين كانوا من قبل في هذه الأرض،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 المؤمنين الأرض، ليحكموا فيها بدين الله، بعد إعطائهم القدرة والسلطة وتوفير الإمكانيّات، ويجعل الله خوفهم أمنّا، فلا </w:t>
      </w:r>
    </w:p>
    <w:p>
      <w:pPr>
        <w:pStyle w:val="BookText"/>
        <w:rPr/>
      </w:pPr>
      <w:r>
        <w:rPr>
          <w:rFonts w:ascii="Amiri" w:hAnsi="Amiri" w:eastAsia="Amiri" w:cs="Amiri"/>
          <w:color w:val="111111"/>
          <w:sz w:val="28"/>
          <w:sz w:val="28"/>
          <w:szCs w:val="28"/>
          <w:rtl w:val="true"/>
          <w:lang w:bidi="ar-SA"/>
        </w:rPr>
        <w:t xml:space="preserve">يخافون أحداً إلاّ الله، ويعبدون الله دون تقيّةٍ أو مجاراةٍ لأحد، ويتجاهرون بالحقّ الّذي سوف يسيطر على أرجاء المعمورة، وهذا ما سيكون عليه الأمر في زمن ظهور المصلح العالمي، يقول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من مجمل هذه الآية أنّ الله يبشر مجموعةً من المسلمين الذين يتصفون بالإيمان والعمل الصالح بثلاث بشائر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استخلافهم وحكومتهم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تعالیم الحق في كل 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كل عوامل الخوف والإضطراب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الآية فيها إشارةٌ إلى حكومة المهديّ الّذي يخضع له الشرق والغرب في العالم، ويجري حكم الحق في عهده في كلّ أرجاء العالم، ويزول الاضطراب والخوف والحرب والظلم وتتحقّق للبشرية عبادة الله النقيّة من كل أنواع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حكومة المهديّ مصداقٌ لها؛ إذ يتفق المسلمون كافةً من شيعةٍ وسنّةٍ على أنّ المهدي علیه السّلام يملأ الأرض عدلاً وقسطاً بعد أن مُلئت جوراً </w:t>
      </w:r>
    </w:p>
    <w:p>
      <w:pPr>
        <w:pStyle w:val="BookText"/>
        <w:rPr/>
      </w:pPr>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المعنى العلّامة الطباطبائي في تفسيره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الآية إن أعطيت حقّ معناها لم تنطبق إلاّ على المجتمع</w:t>
      </w:r>
    </w:p>
    <w:p>
      <w:pPr>
        <w:pStyle w:val="BookText"/>
        <w:rPr/>
      </w:pPr>
      <w:r>
        <w:rPr>
          <w:rFonts w:ascii="IRNazanin" w:hAnsi="IRNazanin" w:eastAsia="IRNazanin"/>
          <w:color w:val="111111"/>
          <w:sz w:val="28"/>
          <w:sz w:val="28"/>
          <w:szCs w:val="28"/>
          <w:rtl w:val="true"/>
          <w:lang w:bidi="fa-IR"/>
        </w:rPr>
        <w:t>الموعود الّذي سينعقد بظهور المهديّ علیه السلام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التفسير الروائيّ عن الإمام عليًّ السجّاد في تفسير هذه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شيعتنا أهل البيت، يفعل الله ذلك بهم على يد رجلٍ منّا وهو مهديّ هذه الأمّة، وهو الّذي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يبق من الدنيا إلاّ يومٌ واحدٌ لطول الله ذلك اليوم حتّى يلي رجلٌ من عترتي اسمه اسمي 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w:t>
      </w:r>
    </w:p>
    <w:p>
      <w:pPr>
        <w:pStyle w:val="BookText"/>
        <w:rPr/>
      </w:pPr>
      <w:r>
        <w:rPr>
          <w:rFonts w:ascii="Amiri" w:hAnsi="Amiri" w:eastAsia="Amiri" w:cs="Amiri"/>
          <w:color w:val="111111"/>
          <w:sz w:val="28"/>
          <w:sz w:val="28"/>
          <w:szCs w:val="28"/>
          <w:rtl w:val="true"/>
          <w:lang w:bidi="ar-SA"/>
        </w:rPr>
        <w:t>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فالآية فيها بشارة انتصار الحقّ على الباطل والإيمان على الكفر، وهي بشارةٌ لكلّ الأحرار الذين يريدون العدالة وحكومة العدل، وانطواء بساط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وزوال حكومة الفراعنة ما هي إلا نموذجٌ لتحقق هذه المشيئة</w:t>
      </w:r>
    </w:p>
    <w:p>
      <w:pPr>
        <w:pStyle w:val="BookText"/>
        <w:rPr/>
      </w:pPr>
      <w:r>
        <w:rPr>
          <w:rFonts w:ascii="Amiri" w:hAnsi="Amiri" w:eastAsia="Amiri" w:cs="Amiri"/>
          <w:color w:val="111111"/>
          <w:sz w:val="28"/>
          <w:sz w:val="28"/>
          <w:szCs w:val="28"/>
          <w:rtl w:val="true"/>
          <w:lang w:bidi="ar-SA"/>
        </w:rPr>
        <w:t>الإلهيّة، والمثل الأكمل هو حكومة نبي الإسلام وبعض أصحابه بعد ظهور الأسلام، كحكومة أمير المؤمنين علي بن أبي طالب، والمثل الأكبر والأوسع هو ظهور حكومة الحق والعدالة على الأرض على يد المصلح العالمي في آخر الزمان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عن أهل البيت في تفسير هذه الآية أنّها إشارةٌ إلى هذا الظهور المبارك، فقد ورد عن أمير المؤمنين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عقيب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إنّ حكومة المهدي العالميّة في آخر الأمر لا تمنع من وجود حكوماتٍ دينيّةٍ في معايير محدودةٍ قبلها قادتها هم 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تمّت الظروف والشروط لمثل هذه الحكومات الإسلامية، فإنّ وعد الله المحتوم والمشيئة الإلهيّة سيتحقّقان في شأنها، ولا بّد أن يكون النصر حليفها بإذن الله، ولكن حكومة الإمام في آخر الزمان ستكون هي الأكمل على مرّ التاريخ وفق المعطيات والنصوص الإسلامية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أخرى استدل بها أئمّتنا على ظهور المهدي المصلح العالمي في آخر الزمان، يقول الشهيد مطهري بعد ذكره لهذه الآيات وغيرها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الآيات تشير الى أنّ ظهور المهدي حلقةٌ من حلقات النضال بين أهل الحق وأهل الباطل، </w:t>
      </w:r>
      <w:bookmarkStart w:id="20" w:name="pg7159_82613"/>
    </w:p>
    <w:p>
      <w:pPr>
        <w:pStyle w:val="BookText"/>
        <w:rPr/>
      </w:pPr>
      <w:bookmarkEnd w:id="20"/>
      <w:r>
        <w:rPr>
          <w:rFonts w:ascii="IRNazanin" w:hAnsi="IRNazanin" w:eastAsia="IRNazanin"/>
          <w:color w:val="111111"/>
          <w:sz w:val="28"/>
          <w:sz w:val="28"/>
          <w:szCs w:val="28"/>
          <w:rtl w:val="true"/>
          <w:lang w:bidi="fa-IR"/>
        </w:rPr>
        <w:t>وأنّ هذا النضال سيسفر عن انتصار قوی الحقّ</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135225_372815092"/>
      <w:bookmarkStart w:id="22" w:name="_Toc8"/>
      <w:bookmarkEnd w:id="21"/>
      <w:r>
        <w:rPr>
          <w:rtl w:val="true"/>
        </w:rPr>
        <w:t>السنّة الشريفة</w:t>
      </w:r>
      <w:bookmarkEnd w:id="22"/>
    </w:p>
    <w:p>
      <w:pPr>
        <w:pStyle w:val="BookText"/>
        <w:rPr/>
      </w:pPr>
      <w:r>
        <w:rPr>
          <w:rFonts w:ascii="IRNazanin" w:hAnsi="IRNazanin" w:eastAsia="IRNazanin"/>
          <w:color w:val="111111"/>
          <w:sz w:val="28"/>
          <w:sz w:val="28"/>
          <w:szCs w:val="28"/>
          <w:rtl w:val="true"/>
          <w:lang w:bidi="fa-IR"/>
        </w:rPr>
        <w:t>هناك أحاديث كثيرةٌ عن طرق الفريقين عن النبيّ الأكرم صلی الله علیه و آله</w:t>
      </w:r>
    </w:p>
    <w:p>
      <w:pPr>
        <w:pStyle w:val="BookText"/>
        <w:rPr/>
      </w:pPr>
      <w:r>
        <w:rPr>
          <w:rFonts w:ascii="Amiri" w:hAnsi="Amiri" w:eastAsia="Amiri" w:cs="Amiri"/>
          <w:color w:val="111111"/>
          <w:sz w:val="28"/>
          <w:sz w:val="28"/>
          <w:szCs w:val="28"/>
          <w:rtl w:val="true"/>
          <w:lang w:bidi="ar-SA"/>
        </w:rPr>
        <w:t>أشارت بشكلٍ صريحٍ إلى هذه العقيدة الإسلامية، ومنها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135227_372815092"/>
      <w:bookmarkStart w:id="24" w:name="_Toc9"/>
      <w:bookmarkEnd w:id="23"/>
      <w:r>
        <w:rPr>
          <w:rtl w:val="true"/>
        </w:rPr>
        <w:t>الأحاديث في التراث الإمامي</w:t>
      </w:r>
      <w:bookmarkEnd w:id="24"/>
    </w:p>
    <w:p>
      <w:pPr>
        <w:pStyle w:val="BookText"/>
        <w:rPr/>
      </w:pPr>
      <w:r>
        <w:rPr>
          <w:rFonts w:ascii="IRNazanin" w:hAnsi="IRNazanin" w:eastAsia="IRNazanin"/>
          <w:color w:val="111111"/>
          <w:sz w:val="28"/>
          <w:sz w:val="28"/>
          <w:szCs w:val="28"/>
          <w:rtl w:val="true"/>
          <w:lang w:bidi="fa-IR"/>
        </w:rPr>
        <w:t>المرويّات عن النبيّ الأكرم وأهل بيته الطاهرين في التراث الشيعي کثيرةٌ،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الأكرم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وآخرهم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يملؤها قسطاً وعدلاً كما ملئت جوراً وظلماً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بعثني بالحق بشيراً، لو لم يبق من الدنيا إلا يومٌ واحدٌ لطول الله ذلك اليوم حتى يخرج فيه ولدي المهدي، فينزل روح الله عیسی ابن مريم فيصلّي خلفه، وتشرق الأرض بنور ربّها، ويبلغ </w:t>
      </w:r>
    </w:p>
    <w:p>
      <w:pPr>
        <w:pStyle w:val="BookText"/>
        <w:rPr/>
      </w:pPr>
      <w:r>
        <w:rPr>
          <w:rFonts w:ascii="IRNazanin" w:hAnsi="IRNazanin" w:eastAsia="IRNazanin"/>
          <w:color w:val="111111"/>
          <w:sz w:val="28"/>
          <w:sz w:val="28"/>
          <w:szCs w:val="28"/>
          <w:rtl w:val="true"/>
          <w:lang w:bidi="fa-IR"/>
        </w:rPr>
        <w:t>سلطانه المشرق والمغرب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ذلك لكائنٌ؟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عود بالنبوّة، واصطفاه على جميع البريّة، ولكن بعد غيبةٍ وحيرةٍ، فلا يثبت فيها إلا المخلصون المباشرون لروح اليقين، الّذين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ميثاقهم بولايتنا، وكتب في قلوبهم الإيمان، وأيّدهم بروحٍ منه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الحسن المجتبى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علمتم أنّه ما منّا أحدٌ إلا ويقع في عُنُقه بيعةٌ لطاغية زمانه؟ إلا القائم الّذي يصلّي روح الله عیسی ابن مريم خلفه،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يخفي ولادته ويغيّب شخصه؛ لئلا يكون لأحدٍ في عنقه بيعةٌ إذا خرج، ذلك التاسع من ولد أخي الحسين ابن سيدة الإماء، يطيل الله عمره </w:t>
      </w:r>
    </w:p>
    <w:p>
      <w:pPr>
        <w:pStyle w:val="BookText"/>
        <w:rPr/>
      </w:pPr>
      <w:r>
        <w:rPr>
          <w:rFonts w:ascii="Amiri" w:hAnsi="Amiri" w:eastAsia="Amiri" w:cs="Amiri"/>
          <w:color w:val="111111"/>
          <w:sz w:val="28"/>
          <w:sz w:val="28"/>
          <w:szCs w:val="28"/>
          <w:rtl w:val="true"/>
          <w:lang w:bidi="ar-SA"/>
        </w:rPr>
        <w:t>في غيبته، ثمّ يُظهره بقدرته في صورة شابًّ دون الأربعين سنةً، وذلك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الحسين الشهيد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مهدیّاً، أوّلهم أمير المؤمنين عليّ بن أبي طالب، وآخرهم التاسع من ولدي، وهو القائمّ بالحقّ، يحي الله به الأرض بعد موتها، ويظهر به دین الحقّ على الدين كلّه ولو كره المشركون، له غيبةٌ يرتدّ فيها أقوامٌ ويثبت فيها على الدين آخرون، فيؤذون ويقال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 الصابر في غيبته على الأذى والتكذيب بمنزلة المجاهد بالسيف بين يدي رسول الله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عليًّ السجاد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رسول الله، ووصيّه وسیّد الشهداء، وجعفرٌ الطيّار في الجنّة، وسبطا هذه الأمّة والمهدي الّذي يقتل الدجّال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محمّدٌ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يغيب </w:t>
      </w:r>
    </w:p>
    <w:p>
      <w:pPr>
        <w:pStyle w:val="BookText"/>
        <w:rPr/>
      </w:pPr>
      <w:r>
        <w:rPr>
          <w:rFonts w:ascii="Amiri" w:hAnsi="Amiri" w:eastAsia="Amiri" w:cs="Amiri"/>
          <w:color w:val="111111"/>
          <w:sz w:val="28"/>
          <w:sz w:val="28"/>
          <w:szCs w:val="28"/>
          <w:rtl w:val="true"/>
          <w:lang w:bidi="ar-SA"/>
        </w:rPr>
        <w:t>عنهم إمامهم، فيا طوبي للثابتين على أمرنا في ذلك الزمان، إنّ أدنى ما يكون لهم من الثواب أن يناديهم الباري جل جلاله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عبادي وإمائي، آمنتم بسرّي وصدقتم بغيبي، فابشروا بحسن الثواب منّي، فأنتم عبادي وإمائي حقاً، منكم أتقبّل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الحديث عن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فيملأها عدلاً كما ملئت جوراً وظلماً، وتصفر له الدنيا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موسى الكاظم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الّذي يطهّر الأرض من أعداء الله عزّ وجلّ، ويملؤها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w:t>
      </w:r>
    </w:p>
    <w:p>
      <w:pPr>
        <w:pStyle w:val="BookText"/>
        <w:rPr/>
      </w:pPr>
      <w:r>
        <w:rPr>
          <w:rFonts w:ascii="Amiri" w:hAnsi="Amiri" w:eastAsia="Amiri" w:cs="Amiri"/>
          <w:color w:val="111111"/>
          <w:sz w:val="28"/>
          <w:sz w:val="28"/>
          <w:szCs w:val="28"/>
          <w:rtl w:val="true"/>
          <w:lang w:bidi="ar-SA"/>
        </w:rPr>
        <w:t>يطهّر الله به الأرض من كلّ جوړٍ ويقدّسها من كلّ ظالمٍ، وهو الّذي يشكّ الناس في ولادته، وهو صاحب الغيبة قبل خروجه، فإذا خرج أشرقت الأرض بنور ربّها، ووضع الميزان بالعدل بين الناس،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تطوى له الأرض ولا يكون له ظلٌّ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الامام الجواد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هو المهدي الّذي يجب أن ينتظر في غيبته، ويطاع في ظهوره، هو الثالث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بالنبوّة وخصّنا بالإمامة، إنّه لو لم يبق في الدنيا إلا يومٌ واحدٌ لطول الله ذلك اليوم حتى يخرج فيه، فيملأ الأرض قسطاً وعدلاً بعدما ملئت جوراً وظلماً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الهادي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بعدي ابني الحسن فكيف بکم بالخلف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جعلنا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w:t>
      </w:r>
      <w:bookmarkStart w:id="25" w:name="pg7159_82618"/>
    </w:p>
    <w:p>
      <w:pPr>
        <w:pStyle w:val="BookText"/>
        <w:rPr/>
      </w:pPr>
      <w:bookmarkEnd w:id="25"/>
      <w:r>
        <w:rPr>
          <w:rFonts w:ascii="Amiri" w:hAnsi="Amiri" w:eastAsia="Amiri" w:cs="Amiri"/>
          <w:color w:val="111111"/>
          <w:sz w:val="28"/>
          <w:sz w:val="28"/>
          <w:szCs w:val="28"/>
          <w:rtl w:val="true"/>
          <w:lang w:bidi="ar-SA"/>
        </w:rPr>
        <w:t>ترون شخصه، ولا يحل لكم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جاء في الحديث الشريف عن الإمام الحسن العسكريّ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محمّدٌ هو الإمام والحجة بعدي، من مات ولم يعرفه مات میتةً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غيبةً يحار فيها الجاهلون، ويهلك فيه المبطلون، ويكذب فيها الوقاتون، ثمّ يخرج فكأنّي أنظر إلى الأعلام البيض تخفق فوق رأسه بنجف الكوفة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سيكون لي ولدٌ يملأ الأرض قسطاً وعدلاً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135229_372815092"/>
      <w:bookmarkStart w:id="27" w:name="_Toc10"/>
      <w:bookmarkEnd w:id="26"/>
      <w:r>
        <w:rPr>
          <w:rtl w:val="true"/>
        </w:rPr>
        <w:t>الأحاديث في التراث السنّيّ</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الإيمان بظهور الإمام المهديّ بوصفه المصلح العالميّ في آخر الزمان إيمانٌ أصيلٌ في الإسلام، حتّى أنّ بعض علماء الفرق الإسلاميّة من غير الشيعة يعدّونه ضرورةً من ضروریّات دین </w:t>
      </w:r>
    </w:p>
    <w:p>
      <w:pPr>
        <w:pStyle w:val="BookText"/>
        <w:rPr/>
      </w:pPr>
      <w:r>
        <w:rPr>
          <w:rFonts w:ascii="IRNazanin" w:hAnsi="IRNazanin" w:eastAsia="IRNazanin"/>
          <w:color w:val="111111"/>
          <w:sz w:val="28"/>
          <w:sz w:val="28"/>
          <w:szCs w:val="28"/>
          <w:rtl w:val="true"/>
          <w:lang w:bidi="fa-IR"/>
        </w:rPr>
        <w:t>الإسلام المبين، وإنّ منکره خارجٌ عن هذا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تصريح العلماء بأنّ الأحاديث المتعلّقة بالإمام المهديّ مشهورةٌ أو متواترةٌ، وهنا أذكر باختصارٍ بعض من قال بالتواتر،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القرطبيّ عن محمّد بن الحسين الآبريّ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تواترت الأخبار واستفاضت بكثرة رواتها عن المصطفى بمجيء المهدي، وأنّه من أهل بيته، وأنّه يملك سبع سنين، وأنّه يملأ الأرض عدلاً، وأنّه يخرج مع عیسی کلام فيساعده على قتل الدجال</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وأيّده بتصحيح ما أورده من أحاديث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والأحاديث عن النبيّ في التنصيص على خروج المهدي من عترته من ولد فاطمة، ثابتةٌ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القول بالتواتر عن غيره، وأيّده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صلاة عيسى خلف رجلٍ من هذه </w:t>
      </w:r>
    </w:p>
    <w:p>
      <w:pPr>
        <w:pStyle w:val="BookText"/>
        <w:rPr/>
      </w:pP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في آخر الزمان وقرب قيام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للصحیح</w:t>
      </w:r>
    </w:p>
    <w:p>
      <w:pPr>
        <w:pStyle w:val="BookText"/>
        <w:rPr/>
      </w:pPr>
      <w:r>
        <w:rPr>
          <w:rFonts w:ascii="Amiri" w:hAnsi="Amiri" w:eastAsia="Amiri" w:cs="Amiri"/>
          <w:color w:val="111111"/>
          <w:sz w:val="28"/>
          <w:sz w:val="28"/>
          <w:szCs w:val="28"/>
          <w:rtl w:val="true"/>
          <w:lang w:bidi="ar-SA"/>
        </w:rPr>
        <w:t>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صرّح بعضهم في معرض إجابته عن أحاديث المهديّ وحكم إنکار خروجه عند السنّة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منكري أحاديث المهديّ طوائف مختلفةٌ، وأسباب إنكارهم لها مختلفةٌ، وهم مخطئون في ذلك ولا شكّ، ولا شكّ أنّ من فرق المسلمين من ادّعوا عدم الاحتجاج بأخبار الآحاد مطلقاً، ومن هؤلاء المعتزلة قديماً، وبعض أدعياء العقلانيّة أو القرآنية حديثاً، وهؤلاء كلّهم سيردّون أحاديث المهدي لهذا البناء الفاسد الّذي لديهم، على أنّ من العلماء مَن وصف أحاديث المهديّ بالتواتر، لكنّ المهمّ أنّ أحاديث المهدي منها ما هو ثابتٌ، واعتقاد ظهوره ممّا أجمع عليه عامّة أهل السنّة والجماعة، والله أعلم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عضو هيئة التدريس في جامعة 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محمد علي دخيل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لكبار علماء السنّة،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منهم أفردوا کتباً مستقلةً حول الإمام المهدي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 منهم وضعوا في</w:t>
      </w:r>
    </w:p>
    <w:p>
      <w:pPr>
        <w:pStyle w:val="BookText"/>
        <w:rPr/>
      </w:pPr>
      <w:r>
        <w:rPr>
          <w:rFonts w:ascii="Amiri" w:hAnsi="Amiri" w:eastAsia="Amiri" w:cs="Amiri"/>
          <w:color w:val="111111"/>
          <w:sz w:val="28"/>
          <w:sz w:val="28"/>
          <w:szCs w:val="28"/>
          <w:rtl w:val="true"/>
          <w:lang w:bidi="ar-SA"/>
        </w:rPr>
        <w:t xml:space="preserve">كتبهم فصولاً حول الإمام المهدي، 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الباقين أوردوا في كتبهم رواياتٍ حول الإمام المهدي علم بنسبٍ متفاوتةٍ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عقد أبو داود في سننه كتاباً أفرد فيه روايات المهدي، وأورد فيه ثلاثة عشر حديثاً، صدّرها بحديث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يكون عليكم اثنا عشر خلیفة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تيمية في التعليق على الحديث الّذي رواه ابن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في آخر الزمان رجلٌ من ولدي اسمه كاسمي، وكنيته کنيتي، يملأ الأرض عدلاً كما ملئت جوراً، وذلك هو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تيمية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الأحاديث الّتي يحتجّ بها على خروج المهدي أحاديث صحيحةٌ، رواها أبو داود والترمذي وأحمد وغيرهم من حديث ابن مسعودٍ وغيره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صدّيق القنوجي البخاريّ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الأمور الّتي تعقبها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 الفاطميّ، وهو أوّلها والأحاديث الواردة فيه على اختلاف رواياتها كثيرةٌ جدّاً، تبلغ حد التواتر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أيضاً في معرض اعتراضه على ما قاله ابن خلدون في التشكيك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معنى للريب في أمر ذلك الفاطميّ الموعود المنتظر المدلول عليه بالأدلّة، بل إنكار ذلك جرأةٌ عظيمةٌ في مقابل النصوص المستفيضة المشهورة البالغة إلى حدّ التواتر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المرويّات عن طريق أهل السنّة والجماعة فهي كثيرةٌ، نقتصر۔</w:t>
      </w:r>
    </w:p>
    <w:p>
      <w:pPr>
        <w:pStyle w:val="BookText"/>
        <w:rPr/>
      </w:pPr>
      <w:r>
        <w:rPr>
          <w:rFonts w:ascii="Amiri" w:hAnsi="Amiri" w:eastAsia="Amiri" w:cs="Amiri"/>
          <w:color w:val="111111"/>
          <w:sz w:val="28"/>
          <w:sz w:val="28"/>
          <w:szCs w:val="28"/>
          <w:rtl w:val="true"/>
          <w:lang w:bidi="ar-SA"/>
        </w:rPr>
        <w:t>على حديثين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ما رواه البخاريّ في باب نزول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 أيضاً ما جاء على لسان رسول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عترتي، يخرج في اختلافٍ من الناس وزلزالٍ، فيملأ الأرض قسطاً وعدلاً كما ملئت ظلماً وجوراً، ويرضى عنه ساكن السماء وساكن الأرض، ويقسّم المال صحاحاً بالسويّة، ويملأ قلوب أمّة محمدٍ غنًى، ويسعهم عدله، حتى إنّه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إليّ؟ فما يأتيه أحدٌ إلاّ رجلٌ واحدٌ يأتيه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السادن حتّى يعطيك،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المهديّ إليك لتعطيني مالاً،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فيحثي ولا يستطيع أن يحمله، فيلقي حتّى يكون قدر ما يستطيع أن يحمله، فيخرج به فيندم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أجشع أمّة محمّدٍ نفساً، كلّهم دعي إلى هذا المال فتركه غيري، فيردّ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شيئاً أعطيناه، فيلبث في ذلك ستاً أو سبعاً أو ثمانياً أو تسع سنين ولا خير في الحياة بعده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فلا يبقى أدنى شكٌّ من أنّ عقيدة المصلح العالميّ وخروج الإمام المهديّ علیه السلام في آخر الزمان هي عقيدةٌ إسلاميّةٌ خالصةٌ، وهي </w:t>
      </w:r>
      <w:bookmarkStart w:id="28" w:name="pg7159_82624"/>
    </w:p>
    <w:p>
      <w:pPr>
        <w:pStyle w:val="BookText"/>
        <w:rPr/>
      </w:pPr>
      <w:bookmarkEnd w:id="28"/>
      <w:r>
        <w:rPr>
          <w:rFonts w:ascii="Amiri" w:hAnsi="Amiri" w:eastAsia="Amiri" w:cs="Amiri"/>
          <w:color w:val="111111"/>
          <w:sz w:val="28"/>
          <w:sz w:val="28"/>
          <w:szCs w:val="28"/>
          <w:rtl w:val="true"/>
          <w:lang w:bidi="ar-SA"/>
        </w:rPr>
        <w:t>مطابقةٌ لما يعتقد به أتباع مذهب الحقّ مذهب أهل بيت العصمة والطهارة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135231_372815092"/>
      <w:bookmarkStart w:id="30" w:name="_Toc11"/>
      <w:bookmarkEnd w:id="29"/>
      <w:r>
        <w:rPr>
          <w:rtl w:val="true"/>
        </w:rPr>
        <w:t>ثانياً</w:t>
      </w:r>
      <w:r>
        <w:rPr>
          <w:rtl w:val="true"/>
        </w:rPr>
        <w:t xml:space="preserve">: </w:t>
      </w:r>
      <w:r>
        <w:rPr>
          <w:rtl w:val="true"/>
        </w:rPr>
        <w:t>الموعود في اليهودية</w:t>
      </w:r>
      <w:bookmarkEnd w:id="30"/>
    </w:p>
    <w:p>
      <w:pPr>
        <w:pStyle w:val="BookText"/>
        <w:rPr/>
      </w:pPr>
      <w:r>
        <w:rPr>
          <w:rFonts w:ascii="IRNazanin" w:hAnsi="IRNazanin" w:eastAsia="IRNazanin"/>
          <w:color w:val="111111"/>
          <w:sz w:val="28"/>
          <w:sz w:val="28"/>
          <w:szCs w:val="28"/>
          <w:rtl w:val="true"/>
          <w:lang w:bidi="fa-IR"/>
        </w:rPr>
        <w:t xml:space="preserve">أتباع الديانة اليهوديّة هم أيضاً يعتقدون بأنّ مجيء المصلح العالميّ في آخر الزمان عقیدةٌ توراتيّةٌ صحيحةٌ، والمصلح الموعود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المسيح،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ومعناها الأساسي باللغة العبريّة يشير إلى من تمّ مسحه بالزيت دلالةً على جعله کاهناً أو ملکاً، وقد شاع استخدام هذا الاصطلاح في كتاب العهد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للتعبير عن مسح الكهنة،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القديم تعني الممسوح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بالدهن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مسح الأنبياء والملوك والأمراء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والمسيح المنتظر في آخر الزمان ينتظرونه لتحقيق حلمهم في إعادة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مملكتهم، وإقامة دولة إسرائيل الكبرى، ويتمسّكون ببعض نبوءات العهد القديم، والمسيح الّذي ينتظره اليهود سيكون قائداً سیاسيّاً عظيماً من نسل داود، وسيكون عليماً بالشريعة اليهوديّة </w:t>
      </w:r>
    </w:p>
    <w:p>
      <w:pPr>
        <w:pStyle w:val="BookText"/>
        <w:rPr/>
      </w:pPr>
      <w:r>
        <w:rPr>
          <w:rFonts w:ascii="Amiri" w:hAnsi="Amiri" w:eastAsia="Amiri" w:cs="Amiri"/>
          <w:color w:val="111111"/>
          <w:sz w:val="28"/>
          <w:sz w:val="28"/>
          <w:szCs w:val="28"/>
          <w:rtl w:val="true"/>
          <w:lang w:bidi="ar-SA"/>
        </w:rPr>
        <w:t>وممارساً لها؛ لذا اقترن انتظار المسيح عند اليهود بترقّب عموم الخير، حيث سينقلب حالهم إلى أحسن حالٍ عند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وسيحقّق لهم المسيح كلّ أمانيهم، وسيعيد بناء الهيكل ويقضي بالشريعة اليهوديّة، وممّا لا شكّ فيه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الحركة الصهيونيّة تدعو لإقامة وطنٍ قوميًّ لليهود في فلسطين؛ من أجل تمهيد الطريق أمام قدوم المسيح، ومن هنا تحوّل مفهوم الخلاص من مفهومٍ دينيًّ إلى مفهومٍ سياسيًّ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النبوءات عن مجيء المنجي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النبوءة المذكورة في سفر إشعيا النبيّ، فهناك نصوصٌ في هذا الكتاب تصور مشاهد الخلاص بألفاظٍ و مضامین قريبةٍ لما هو مذكور في السنّة الشريفة، فهو يتحدّث عن مقدّمات الظهور، وعلاماته، وعن حياة العالم فيما بعد الظهور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قَضِيبٌ مِنْ جِذْعِ يَسَّى</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الكتاب المقدّس،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وَيَنْبُتُ غُصْنٌ مِنْ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عَلَيْهِ رُوحُ الرَّبِّ، رُوحُ الْحِكْمَةِ وَالْفَهْمِ، رُوحُ الْمَشُورَةِ وَالْقُوَّةِ، رُوحُ الْمَعْرِفَةِ وَمَخَافَةِ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وَلَذَّتُهُ تَكُونُ فِي مَخَافَةِ الرَّبِّ، فَلاَ يَقْضِي بِحَسَبِ نَظَرِ عَيْنَيْهِ، وَلاَ يَحْكُمُ بِحَسَبِ سَمْعِ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يَقْضِي بِالْعَدْلِ لِلْمَسَاكِينِ، وَيَحْكُمُ بِالإِنْصَافِ لِبَائِسِي الأَرْضِ، وَيَضْرِبُ الأَرْضَ بِقَضِيبِ فَمِهِ، وَيُمِيتُ الْمُنَافِقَ بِنَفْخَةِ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الْبِرُّ مِنْطَقَةَ مَتْنَيْهِ، وَالأَمَانَةُ مِنْطَقَةَ حَقْوَيْهِ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وَيَرْبُضُ النَّمِرُ مَعَ الْجَدْيِ، وَالْعِجْلُ وَالشِّبْلُ وَالْمُسَمَّنُ مَعًا، وَصَبِيٌّ صَغِيرٌ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وَالْبَقَرَةُ وَالدُّبَّةُ تَرْعَيَانِ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تَرْبُضُ أَوْلاَدُهُمَا مَعًا، وَالأَسَدُ كَالْبَقَرِ يَأْكُلُ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وَيَلْعَبُ الرَّضِيعُ عَلَى سَرَبِ الصِّلِّ، وَيَمُدُّ الْفَطِيمُ يَدَهُ عَلَى جُحْرِ الأُفْعُوَانِ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يَسُوؤُونَ وَلاَ يُفْسِدُونَ فِي كُلِّ جَبَلِ قُدْسِي، لأَنَّ الأَرْضَ تَمْتَلِئُ مِنْ مَعْرِفَةِ الرَّبِّ كَمَا تُغَطِّي الْمِيَاهُ الْبَحْرَ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النصّ واضحٌ في ظهور المنجي، وتطلبه الأمم لبسط العدل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ذكر المصلح العالمي في المزامير المنسوبة للنبيّ داود في أسفار العهد القديم، حيث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أعطِ أَحْكَامَكَ لِلْمَلِكِ، وَبِرَّكَ لابْنِ الْمَلِكِ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أَحكَامَکَ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أعطه حكمةً ليقود شعبك ويحكم بالعدل،</w:t>
      </w:r>
    </w:p>
    <w:p>
      <w:pPr>
        <w:pStyle w:val="BookText"/>
        <w:rPr/>
      </w:pPr>
      <w:r>
        <w:rPr>
          <w:rFonts w:ascii="Amiri" w:hAnsi="Amiri" w:eastAsia="Amiri" w:cs="Amiri"/>
          <w:color w:val="111111"/>
          <w:sz w:val="28"/>
          <w:sz w:val="28"/>
          <w:szCs w:val="28"/>
          <w:rtl w:val="true"/>
          <w:lang w:bidi="ar-SA"/>
        </w:rPr>
        <w:t>ولكن يتم تأويله على المنجي في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الكتاب المقدس، العهد القديم، القس أنطونيوس فكري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شَعْبَكَ بِالْعَدْلِ، وَمَسَاكِينَكَ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الْجِبَالُ سَلاَمًا لِلشَّعْبِ، وَالآكَامُ بِالْبِرِّ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لِمَسَاكِينِ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بَنِي الْبَائِسِينَ، وَيَسْحَقُ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فِي أَيَّامِهِ الصِّدِّيقُ، وَكَثْرَةُ السَّلاَمِ إِلَى أَنْ يَضْمَحِلَّ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لَهُ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الأُمَمِ تَتَعَبَّدُ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يُنَجِّي الْفَقِيرَ الْمُسْتَغِيثَ، وَالْمِسْكِينَ إِذْ لاَ مُعِينَ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يُشْفِقُ عَلَى الْمِسْكِينِ وَالْبَائِسِ، وَيُخَلِّصُ أَنْفُسَ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وَالْخَطْفِ يَفْدِي أَنْفُسَهُمْ، وَيُكْرَمُ دَمُهُمْ فِي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 وَيُعْطِيهِ مِنْ ذَهَبِ 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لأَجْلِهِ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كُلَّهُ يُبَارِكُهُ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حُفْنَةُ بُرّ فِي الأَرْضِ فِي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تَتَمَايَلُ مِثْلَ</w:t>
      </w:r>
    </w:p>
    <w:p>
      <w:pPr>
        <w:pStyle w:val="BookText"/>
        <w:rPr/>
      </w:pPr>
      <w:r>
        <w:rPr>
          <w:rFonts w:ascii="Amiri" w:hAnsi="Amiri" w:eastAsia="Amiri" w:cs="Amiri"/>
          <w:color w:val="111111"/>
          <w:sz w:val="28"/>
          <w:sz w:val="28"/>
          <w:szCs w:val="28"/>
          <w:rtl w:val="true"/>
          <w:lang w:bidi="ar-SA"/>
        </w:rPr>
        <w:t xml:space="preserve">لُبْنَانَ ثَمَرَتُهَا، وَيُزْهِرُونَ مِنَ الْمَدِينَةِ مِثْلَ عُشْبِ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اسْمُهُ إِلَى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الشَّمْسِ يَمْتَدُّ اسْمُهُ، وَيَتَبَارَكُونَ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أُمَمِ الأَرْضِ يُطَوِّبُونَهُ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لَهُ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الأُمَمِ تَتَعَبَّدُ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يُنَجِّي الْفَقِيرَ الْمُسْتَغِيثَ، وَالْمِسْكِينَ إِذْ لاَ مُعِينَ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سیملك الأرض كلها، والشعوب جميعها ستتّبع شریعته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سفر المزامير المنسوب للنبي داود أيضاً إلى أنّ الأرض سيرثها العباد الصالحون،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الرَّبَّ يُحِبُّ الْحَقَّ، وَلاَ يَتَخَلَّى عَنْ أَتْقِيَائِهِ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الأَبَدِ يُحْفَظُونَ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نَسْلُ الأَشْرَارِ فَيَنْقَطِعُ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يَرِثُونَ الأَرْضَ وَيَسْكُنُونَهَا إِلَى الأَبَدِ</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الدعاء لداود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يَرِثُونَ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داود النبيّ أراد أن يُجيب على السؤال المحيّر في كلّ العصور، وهو لماذا ينجح الأشرار ويتألم الأبرار؟ هذا السؤال يُحيّر الكثيرين، وفيه </w:t>
      </w:r>
      <w:bookmarkStart w:id="31" w:name="pg7159_82629"/>
    </w:p>
    <w:p>
      <w:pPr>
        <w:pStyle w:val="BookText"/>
        <w:rPr/>
      </w:pPr>
      <w:bookmarkEnd w:id="31"/>
      <w:r>
        <w:rPr>
          <w:rFonts w:ascii="Amiri" w:hAnsi="Amiri" w:eastAsia="Amiri" w:cs="Amiri"/>
          <w:color w:val="111111"/>
          <w:sz w:val="28"/>
          <w:sz w:val="28"/>
          <w:szCs w:val="28"/>
          <w:rtl w:val="true"/>
          <w:lang w:bidi="ar-SA"/>
        </w:rPr>
        <w:t>بشارةٌ للأمجاد الأبديّة المعدّة للمتألّمين ظلماً في آخر الزمان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هذه النصوص وغيرها ترسّخت عقيدة المنتظر والمنجي عند علماء اليهود، وأقرّ بهذا واحدٌ من أكبر علمائهم وهو موسی بن میمونٍ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وضع ما يُعرَف بالأصول الثلاثة عشر لليهوديّة، وهي أهمّ محاولةٍ لتحديد عقائد الدين اليهوديّ، فيقول في الأصل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الأصول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أؤمن إيماناً كاملاً بمجيء الماشيح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ومهما تأخّر على اليهوديّ انتظاره كلّ يومٍ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4135233_372815092"/>
      <w:bookmarkStart w:id="33" w:name="_Toc12"/>
      <w:bookmarkEnd w:id="32"/>
      <w:r>
        <w:rPr>
          <w:rtl w:val="true"/>
        </w:rPr>
        <w:t>ثالثاً</w:t>
      </w:r>
      <w:r>
        <w:rPr>
          <w:rtl w:val="true"/>
        </w:rPr>
        <w:t xml:space="preserve">: </w:t>
      </w:r>
      <w:r>
        <w:rPr>
          <w:rtl w:val="true"/>
        </w:rPr>
        <w:t>الموعود في النصرانيّة</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الرجاء المبارك أو عقيدة المجيء الثاني في المسيحيّة قريبةٌ من عقيدة انتظار المصلح العالميّ في آخر الزمان في الإسلام واليهوديّة، وتعني ترقّب ظهور مصلحٍ عالميّ في آخر الزمان يقود الشعوب والأمم </w:t>
      </w:r>
    </w:p>
    <w:p>
      <w:pPr>
        <w:pStyle w:val="BookText"/>
        <w:rPr/>
      </w:pPr>
      <w:r>
        <w:rPr>
          <w:rFonts w:ascii="Amiri" w:hAnsi="Amiri" w:eastAsia="Amiri" w:cs="Amiri"/>
          <w:color w:val="111111"/>
          <w:sz w:val="28"/>
          <w:sz w:val="28"/>
          <w:szCs w:val="28"/>
          <w:rtl w:val="true"/>
          <w:lang w:bidi="ar-SA"/>
        </w:rPr>
        <w:t>نحو الإيمان والصلاح والعدل، ويطهّرها من براثن الشرك والظلم والعبثيّة والفساد، وينشر المحبّة والسلام في أرجاء المعمورة، فيصرّحون كما جاء في قاموس الكتاب المقدس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العالم سينتهي بمجيئه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مجدٍ وجلالٍ ليعلن قوّته وسلطانه فوق كل قوّات الظلمة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والمسيحيّون ينتظرون بشوقٍ كبيرٍ المجيء الثاني للمسیح، الّذي تناقلت أخبارَه أسفارُ العهد الجديد، وسيكون بعد مجيئه الحساب والقيامة، ويستدلّ النصاری بنصوصٍ كثيرةٍ من أسفار العهد الجديد، ولهم آراءٌ ونظرياتٌ وفقاً للتفاسير المختلفة بين علماء الكتاب المقدّس حول تلك النصوص، ولكنّهم متّفقون على حتميّة مجيئه، ومن تلك النصوص</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سفر أعمال الرسل عن كيفيّة صعود المسيح إلى السماء، وذكر البشارة بمجيئه ثانيةً في آخر الزمان، يقول كاتب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قَالَ هذَا ارْتَفَعَ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سَحَابَةٌ عَنْ </w:t>
      </w:r>
    </w:p>
    <w:p>
      <w:pPr>
        <w:pStyle w:val="BookText"/>
        <w:rPr/>
      </w:pPr>
      <w:r>
        <w:rPr>
          <w:rFonts w:ascii="Amiri" w:hAnsi="Amiri" w:eastAsia="Amiri" w:cs="Amiri"/>
          <w:color w:val="111111"/>
          <w:sz w:val="28"/>
          <w:sz w:val="28"/>
          <w:szCs w:val="28"/>
          <w:rtl w:val="true"/>
          <w:lang w:bidi="ar-SA"/>
        </w:rPr>
        <w:t xml:space="preserve">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كَانُوا يَشْخَصُونَ إِلَى السَّمَاءِ وَهُوَ مُنْطَلِقٌ، إِذَا رَجُلاَنِ قَدْ وَقَفَا بِهِمْ بِلِبَاسٍ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الرِّجَالُ الْجَلِيلِيُّونَ، مَا بَالُكُمْ وَاقِفِينَ تَنْظُرُونَ إِلَى السَّمَاءِ؟ إِنَّ يَسُوعَ هذَا الَّذِي ارْتَفَعَ عَنْكُمْ إِلَى السَّمَاءِ سَيَأْتِي هكَذَا كَمَا رَأَيْتُمُوهُ مُنْطَلِقًا إِلَى السَّمَاءِ</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بعض المفسّرين للكتاب المقدّس أنّ المسيح سيأتي بجسده الذي صعد 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ويتحدّث المسيح عن مجيئه أيضاً مع تلاميذه وحواريّيه في إنجيل متّى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هُوَ جَالِسٌ عَلَى جَبَلِ الزَّيْتُونِ، تَقَدَّمَ إِلَيْهِ التَّلاَمِيذُ عَلَى انْفِرَادٍ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لَنَا مَتَى يَكُونُ هذَا؟ وَمَا هِيَ عَلاَمَةُ مَجِيئِكَ وَانْقِضَاءِ الدَّهْرِ؟ فَأَجَابَ يَسُوعُ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كَثِيرِينَ سَيَأْتُونَ بِاسْمِي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وَيُضِلُّونَ </w:t>
      </w:r>
    </w:p>
    <w:p>
      <w:pPr>
        <w:pStyle w:val="BookText"/>
        <w:rPr/>
      </w:pPr>
      <w:r>
        <w:rPr>
          <w:rFonts w:ascii="Amiri" w:hAnsi="Amiri" w:eastAsia="Amiri" w:cs="Amiri"/>
          <w:color w:val="111111"/>
          <w:sz w:val="28"/>
          <w:sz w:val="28"/>
          <w:szCs w:val="28"/>
          <w:rtl w:val="true"/>
          <w:lang w:bidi="ar-SA"/>
        </w:rPr>
        <w:t>كَثِيرِينَ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تَظْهَرُ عَلاَمَةُ ابْنِ الإِنْسَانِ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تَنُوحُ جَمِيعُ قَبَائِلِ الأَرْضِ، وَيُبْصِرُونَ ابْنَ الإِنْسَانِ آتِيًا عَلَى سَحَاب السَّمَاءِ بِقُوَّةٍ وَمَجْدٍ كَثِيرٍ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فالظاهر من هذا النصّ أنّ تلاميذ المسيح وحواريّيه كانوا يعلمون أن المسيح سيُرفَع إلى السماء، وسيأتي ثانيةً قبل يوم القيامة، وأمّا كيفيّة مجيئه فيقول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سيرى البشر المسيح بأعينهم الجسديّة قادماً في شكلٍ جسديًّ في سحاب السماء، أي قادماً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يأتي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لا على سحابةٍ بل على سحابٍ كثيرٍ كأنّه مركبةٌ 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مرقس في إنجيله حول المجيء الثاني للمسيح في حواره مع تلاميذه، وهو قريبٌ ممّا نقله متّى في إنجيله، فيقول نقلاً عن </w:t>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فِي تِلْكَ الأَيَّامِ بَعْدَ ذلِكَ الضِّيقِ، فَالشَّمْسُ تُظْلِمُ، وَالْقَمَرُ لاَ يُعْطِي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وَنُجُومُ السَّمَاءِ تَتَسَاقَطُ، وَالْقُوَّاتُ الَّتِي فِي السَّمَاوَاتِ تَتَزَعْزَعُ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يُبْصِرُونَ ابْنَ الإِنْسَانِ آتِيًا فِي سَحَابٍ بِقُوَّةٍ كَثِيرَةٍ وَمَجْدٍ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في تفسير إنجيل مرقس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أعظم الضيق، عندما يزداد الشرّ ويصل إلى ذروته، يقترب المسيح من العالم، وتراه كل عينٍ، وكما ارتفع سابقاً من الأرض سيرجع مکشوفاً لكلّ أعين البشر، فهو سيرجع بذات الطريقة الشخصيّة الّتي فارقهم بها، أي أكثر من مجرّد رجوعٍ روحيًّ</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قريبٌ ممّا ورد في الروايات الإسلاميّة أيضاً حقيقة مجيء المسيح بعد ظهور الإمام المهدي، ومنها ماورد عن النبي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نزل ابن مريم فيكم وإمامكم </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وأيضاً يصف النبيّ نزول عیسی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فبينما هو كذلك، إذ هبط عیسی ابن مريم بشرقيّ دمشق، عند المنارة البيضاء، بين مهرودتين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غيمتين ملوّنتين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کَفَّیهِ؛ على أَجنِحَةِ ملكين، إذا طأطأ رأسه قطر، وإذا رفعه تحدّر منه جمالٌ كاللؤلؤ، فيطلب الدجال فيدركه بباب لِدّ فيقتله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أكّد عليها المسيح مراراً أنّ هذا الظهور والمجيء الثاني سيكون مفاجئاً وزمانه غير معلومٍ، فعندما سأله التلاميذ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تأريخ مجيئه، 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ذلِكَ الْيَوْمُ وَتِلْكَ السَّاعَةُ فَلاَ يَعْلَمُ بِهِمَا أَحَدٌ، وَلاَ الْمَلاَئِكَةُ الَّذِينَ فِي السَّمَاءِ، وَلاَ الابْنُ، إِلاَّ الآبُ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اِسْهَرُوا وَصَلُّوا، لأَنَّكُمْ لاَ تَعْلَمُونَ مَتَى يَكُونُ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إِنْسَانٌ مُسَافِرٌ تَرَكَ بَيْتَهُ، وَأَعْطَى عَبِيدَهُ السُّلْطَانَ، وَلِكُلِّ وَاحِدٍ عَمَلَهُ، وَأَوْصَى الْبَوَّابَ أَنْ يَسْهَرَ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اِسْهَرُوا إِذًا، لأَنَّكُمْ لاَ تَعْلَمُونَ مَتَى يَأْتِي رَبُّ الْبَيْتِ، أَمَسَاءً، أَمْ نِصْفَ اللَّيْلِ، أَمْ </w:t>
      </w:r>
    </w:p>
    <w:p>
      <w:pPr>
        <w:pStyle w:val="BookText"/>
        <w:rPr/>
      </w:pPr>
      <w:r>
        <w:rPr>
          <w:rFonts w:ascii="Amiri" w:hAnsi="Amiri" w:eastAsia="Amiri" w:cs="Amiri"/>
          <w:color w:val="111111"/>
          <w:sz w:val="28"/>
          <w:sz w:val="28"/>
          <w:szCs w:val="28"/>
          <w:rtl w:val="true"/>
          <w:lang w:bidi="ar-SA"/>
        </w:rPr>
        <w:t xml:space="preserve">صِيَاحَ الدِّيكِ، أَمْ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يَأْتِيَ بَغْتَةً فَيَجِدَكُمْ نِيَامًا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أَقُولُهُ لَكُمْ أَقُولُهُ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اسْهَرُوا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فالمسيح لم يعط لتلاميذه تاريخاً محدّداً لمجيئه، بل أمرهم أن يكونوا على استعدادٍ دائمٍ لهذا المجيء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تبقى من أهمّ العلامات الّتي يعتقد بها النصارى، والّتي تسبق المجيء الثاني للمسيح علیه السلام ؛ معركةٌ مهمةٌ ومصيريةٌ يطلق عليها في الكتاب المقدس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سفر رؤيا يوحنّا إلى هذه المعركة،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صَوْتًا عَظِيمًا مِنَ الْهَيْكَلِ قَائِلًا لِلسَّبْعَةِ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وَاسْكُبُوا جَامَاتِ غَضَبِ اللهِ عَلَى الأَرْضِ</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سَكَبَ الْمَلاَكُ السَّادِسُ جَامَهُ عَلَى النَّهْرِ الْكَبِيرِ الْفُرَاتِ، فَنَشِفَ مَاؤُهُ لِكَيْ يُعَدَّ طَرِيقُ الْمُلُوكِ الَّذِينَ مِنْ مَشْرِقِ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فَمِ التِّنِّينِ، وَمِنْ فَمِ الْوَحْشِ، وَمِنْ فَمِ النَّبِيِّ الْكَذَّابِ، ثَلاَثَةَ أَرْوَاحٍ نَجِسَةٍ شِبْهَ 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أَرْوَاحُ شَيَاطِينَ صَانِعَةٌ آيَاتٍ، تَخْرُجُ عَلَى مُلُوكِ الْعَالَمِ وَكُلِّ الْمَسْكُونَةِ، لِتَجْمَعَهُمْ لِقِتَالِ </w:t>
      </w:r>
    </w:p>
    <w:p>
      <w:pPr>
        <w:pStyle w:val="BookText"/>
        <w:rPr/>
      </w:pPr>
      <w:r>
        <w:rPr>
          <w:rFonts w:ascii="Amiri" w:hAnsi="Amiri" w:eastAsia="Amiri" w:cs="Amiri"/>
          <w:color w:val="111111"/>
          <w:sz w:val="28"/>
          <w:sz w:val="28"/>
          <w:szCs w:val="28"/>
          <w:rtl w:val="true"/>
          <w:lang w:bidi="ar-SA"/>
        </w:rPr>
        <w:t>ذلِكَ الْيَوْمِ الْعَظِيمِ، يَوْمِ اللهِ الْقَادِرِ عَلَى كُلِّ شَيْءٍ</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فَجَمَعَهُمْ إِلَى الْمَوْضِعِ الَّذِي يُدْعَى بِالْعِبْرَانِيَّةِ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هَرْمَجَدُّونَ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النصارى أنّ هذه المعركة المصيريّة تجري بين معسكر الخير ومعسكر الشرّ، وهذه المعركة تدور رحاها على أرض فلسطين وبالتحديد في هرمجدون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وهرمجدّون كلمةٌ عبريةٌ مكونةٌ من مقطعين أو 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تل أو جبل،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وادٍ أو سهلٍ صغيرٍ يقع شمال فلسطين</w:t>
      </w:r>
      <w:r>
        <w:rPr>
          <w:rStyle w:val="FootnoteAnchor"/>
          <w:rtl w:val="true"/>
        </w:rPr>
        <w:footnoteReference w:id="59"/>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هرمجدّون تلٌّ في فلسطين يشرف على وادي يزرعيل المشهور في التاريخ بموقعه الاستراتيجي الحربي، وقيل إنّ هرمجدّون تبعد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جنوب شرق حيفا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تأليف كتبٍ كثيرةٍ حول هذه المعركة العظيمة وأحداثها، </w:t>
      </w:r>
    </w:p>
    <w:p>
      <w:pPr>
        <w:pStyle w:val="BookText"/>
        <w:rPr/>
      </w:pPr>
      <w:r>
        <w:rPr>
          <w:rFonts w:ascii="Amiri" w:hAnsi="Amiri" w:eastAsia="Amiri" w:cs="Amiri"/>
          <w:color w:val="111111"/>
          <w:sz w:val="28"/>
          <w:sz w:val="28"/>
          <w:szCs w:val="28"/>
          <w:rtl w:val="true"/>
          <w:lang w:bidi="ar-SA"/>
        </w:rPr>
        <w:t>واتّفقت المصادر المسيحيّة على عنف هذه المعركة، وأنّها لا مثيل لها في التاريخ، ويطلق عليها سفر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وليمة الله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الكاتبة الأمريكيّة هاليسل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نحن المسيحيون نؤمن أنّ تاريخ الإنسانيّة سوف ينتهي بمعركةٍ تدعى هرمجدّون، وأنّ هذه المعركة سوف تتوّج بعودة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واقتناعاً منّا بأنّ هرمجدّون نوويّةٌ لا مفرّ منها، بموجب خطةٍ إلهيةٍ، فإنّ العديد من الإنجيليين المؤمنين بالتدبيريّة، ألزموا أنفسهم سلوك طريقٍ مع إسرائيل، يؤدي بصورةٍ مباشرةٍ إلى محرقةٍ أشدّ وحشيةً وأوسع انتشاراً من أيّة مجزرةٍ يمكن أن يتصورها عقل هتلر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مسلمٌ في صحيحه عن النبيّ ميد حول معركةٍ تقع قبل الظهور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 مثلها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وأيضاً يُنقل عن النبي، قوله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شهراً لا يكل لهم سلاحٌ ولا لكم، ويقذف الطير عليكم وعليهم، فإذا كان رأس الشهر،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أسل سيفي فأنتقم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أعدائي، وأنصر أوليائي، فيقتتلون مقتلةً ما رئي مثلها قط، متى ما تسير الخيل إلا على الخيل، وما يسير الرجل إلّا على الرجل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34" w:name="pg7159_82639"/>
    </w:p>
    <w:p>
      <w:pPr>
        <w:pStyle w:val="Heading2"/>
        <w:numPr>
          <w:ilvl w:val="1"/>
          <w:numId w:val="1"/>
        </w:numPr>
        <w:rPr/>
      </w:pPr>
      <w:bookmarkStart w:id="35" w:name="__RefHeading___Toc4135235_372815092"/>
      <w:bookmarkStart w:id="36" w:name="_Toc13"/>
      <w:bookmarkEnd w:id="34"/>
      <w:bookmarkEnd w:id="35"/>
      <w:r>
        <w:rPr>
          <w:rtl w:val="true"/>
        </w:rPr>
        <w:t>الخاتمة</w:t>
      </w:r>
      <w:bookmarkEnd w:id="36"/>
    </w:p>
    <w:p>
      <w:pPr>
        <w:pStyle w:val="BookText"/>
        <w:rPr/>
      </w:pPr>
      <w:r>
        <w:rPr>
          <w:rFonts w:ascii="Amiri" w:hAnsi="Amiri" w:eastAsia="Amiri" w:cs="Amiri"/>
          <w:color w:val="111111"/>
          <w:sz w:val="28"/>
          <w:sz w:val="28"/>
          <w:szCs w:val="28"/>
          <w:rtl w:val="true"/>
          <w:lang w:bidi="ar-SA"/>
        </w:rPr>
        <w:t>إنّ كلّ من يطالع هذه العقيدة بتفاصيلها في اليهوديّة والمسيحيّة، سيجد أنّها تتّفق في خطوطها العريضة مع الاعتقاد الإسلاميّ حول عقيدة المصلح والمنقذ العالميّ،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ظهور المنجي العالمي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المسيح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الأرض عدلاً وسلاماً بعد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الشرّ والظلم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معركةٍ عظيمةٍ قبل الظهور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الأمور التي تدل على أنّ عقيدة المنجي هي عقيدةٌ إنسانيةٌ فطريةٌ وإلهيةٌ سماويةٌ حتمية الوقوع، أكدت عليها كل الأديان السماويّة وإن اختلفت في جزئياتها، وهي من الأمور المشتركة بين الأديان السماويّة، حالها حال التوحيد والمعاد والنبوة مع الاختلاف في التفاصيل والعمق، فالأديان السماويّة قبل الإسلام مع ما وقع فيها من تحريفٍ وابتعادٍ عن تعاليم الأنبياء الصحيحة،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ما زال بين طيّاتها الكثير من التعاليم والعقائد السماويّة الصحيحة التّي من خلال البحث فيها نری أوجه التشابه، بل والتطابق في أصولها وحقيقتها، وهذا ما يؤكّد على أنّ العقيدة المهدويّة الّتي يقول بها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الفرقة الشيعيّة الإمامية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متطابقةٌ في أصولها مع كل تعاليم الأديان السماوية التي سبقتها بهذا الخصوص، مع الاختلاف كما أشرنا في تفاصيلها</w:t>
      </w:r>
      <w:r>
        <w:rPr>
          <w:rFonts w:eastAsia="IRNazanin" w:cs="IRNazanin"/>
          <w:color w:val="111111"/>
          <w:sz w:val="28"/>
          <w:szCs w:val="28"/>
          <w:rtl w:val="true"/>
          <w:lang w:bidi="fa-IR"/>
        </w:rPr>
        <w:t xml:space="preserve">. </w:t>
      </w:r>
      <w:bookmarkStart w:id="37" w:name="pg7159_82641"/>
    </w:p>
    <w:p>
      <w:pPr>
        <w:pStyle w:val="Heading2"/>
        <w:numPr>
          <w:ilvl w:val="1"/>
          <w:numId w:val="1"/>
        </w:numPr>
        <w:rPr/>
      </w:pPr>
      <w:bookmarkStart w:id="38" w:name="__RefHeading___Toc4135237_372815092"/>
      <w:bookmarkStart w:id="39" w:name="_Toc14"/>
      <w:bookmarkEnd w:id="37"/>
      <w:bookmarkEnd w:id="38"/>
      <w:r>
        <w:rPr>
          <w:rtl w:val="true"/>
        </w:rPr>
        <w:t>المصادر</w:t>
      </w:r>
      <w:bookmarkEnd w:id="3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الكتاب المقدّس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میمونٍ، مقدّمة ابن میمونٍ لكتاب السنهدرین، کتاب السراج، سوريا، مكتبة الثقافة الدينيّة،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السجستاني، أبو داود سليمان، سنن أبي داود، بیروت، دار الرسالة العالميّة،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محمد جمال، عمر أمّة الإسلام، المكتبة التوفيقيّة للنشر والتوزيع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محمد بن إسماعيل بن إبراهيم، صحيح البخاري، بیروت،دار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أيوب، عقيدة المسيح الدجال في الأديان، قم، دار البيان،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الرضي، محمد بن الحسن، نهج البلاغة، بیروت، دار الجيل،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الصافي، لطف الله، منتخب الأثر، بیروت، مؤسّسة الوفاء، الطبعة الثانية،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محمدباقر، بحث حول المهدي، بیروت، دارالتعارف للمطبوعات،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الحسين، كمال الدين، قم،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الطباطبائي، محمد حسين، الميزان في تفسيرالقرآن، قم، مؤسّسة إسماعلیان،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الفضل بن الحسن، إعلام الوری، مؤسسة الأعلمي،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الفضل بن الحسن، مجمع البيان في تفسير القرآن، قم، دار الثقافة،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محمد بن الحسن، الغيبة، بیروت، دار إحياء التراث العربي،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عبد السلام طويلة، المسيح المنتظر ونهاية العالم، دار السلام للطباعة والنشر،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العسقلاني، أحمد بن علي، فتح الباري بشرح صحيح البخاري، </w:t>
      </w:r>
    </w:p>
    <w:p>
      <w:pPr>
        <w:pStyle w:val="BookText"/>
        <w:rPr/>
      </w:pPr>
      <w:r>
        <w:rPr>
          <w:rFonts w:ascii="IRNazanin" w:hAnsi="IRNazanin" w:eastAsia="IRNazanin"/>
          <w:color w:val="111111"/>
          <w:sz w:val="28"/>
          <w:sz w:val="28"/>
          <w:szCs w:val="28"/>
          <w:rtl w:val="true"/>
          <w:lang w:bidi="fa-IR"/>
        </w:rPr>
        <w:t>بیروت، نشر دار الفكر،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محمد بن أحمد، التذكرة، الرياض، دار الكتاب،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 أنطونيوس فكري، تفسير الكتاب المقدس، العهد الجديد، سفر أعمال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http://st-takla.org/pub_Bible- .18</w:t>
      </w:r>
    </w:p>
    <w:p>
      <w:pPr>
        <w:pStyle w:val="BookText"/>
        <w:rPr/>
      </w:pPr>
      <w:r>
        <w:rPr>
          <w:rFonts w:eastAsia="Times New Roman" w:cs="Times New Roman" w:ascii="Times New Roman" w:hAnsi="Times New Roman"/>
          <w:color w:val="111111"/>
          <w:sz w:val="28"/>
          <w:szCs w:val="28"/>
          <w:lang w:val="en-US" w:bidi="en-US"/>
        </w:rPr>
        <w:t>Interpretations/Tafseer-Al-Keta-Al-Mokadas</w:t>
      </w:r>
    </w:p>
    <w:p>
      <w:pPr>
        <w:pStyle w:val="BookText"/>
        <w:rPr/>
      </w:pPr>
      <w:r>
        <w:rPr>
          <w:rFonts w:eastAsia="Times New Roman" w:cs="Times New Roman" w:ascii="Times New Roman" w:hAnsi="Times New Roman"/>
          <w:color w:val="111111"/>
          <w:sz w:val="28"/>
          <w:szCs w:val="28"/>
          <w:lang w:val="en-US" w:bidi="en-US"/>
        </w:rPr>
        <w:t>index-1-Father-Tadros-Yaacoub-Malaty.html</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القمص تادرس يعقوب ملطي، تفسير الكتاب المقدس، العهد الجديد، تفسير إنجيل 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http://st-takla.org/pub_Bible- .20</w:t>
      </w:r>
    </w:p>
    <w:p>
      <w:pPr>
        <w:pStyle w:val="BookText"/>
        <w:rPr/>
      </w:pPr>
      <w:r>
        <w:rPr>
          <w:rFonts w:eastAsia="Times New Roman" w:cs="Times New Roman" w:ascii="Times New Roman" w:hAnsi="Times New Roman"/>
          <w:color w:val="111111"/>
          <w:sz w:val="28"/>
          <w:szCs w:val="28"/>
          <w:lang w:val="en-US" w:bidi="en-US"/>
        </w:rPr>
        <w:t>Interpretations/Tafseer-Al-Keta-Al-Mokadas</w:t>
      </w:r>
    </w:p>
    <w:p>
      <w:pPr>
        <w:pStyle w:val="BookText"/>
        <w:rPr/>
      </w:pPr>
      <w:r>
        <w:rPr>
          <w:rFonts w:eastAsia="Times New Roman" w:cs="Times New Roman" w:ascii="Times New Roman" w:hAnsi="Times New Roman"/>
          <w:color w:val="111111"/>
          <w:sz w:val="28"/>
          <w:szCs w:val="28"/>
          <w:lang w:val="en-US" w:bidi="en-US"/>
        </w:rPr>
        <w:t>index-1-Father-Tadros-Yaacoub-Malaty.html</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القنوجي البخاري، صديق بن الحسن، الإذاعة لما كان وما يكون بين يدي الساعة، بیروت، دار ابن كثيرٍ،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المتّقي الهنديّ، علاء، کنز العمال، بیروت، مؤسسة الرسالة،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محمدباقر، بحار الأنوار، دار إحياء التراث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مطهري، مرتضی، نهضة المهدي في ضوء فلسفة التاريخ، بیروت، </w:t>
      </w:r>
    </w:p>
    <w:p>
      <w:pPr>
        <w:pStyle w:val="BookText"/>
        <w:rPr/>
      </w:pPr>
      <w:r>
        <w:rPr>
          <w:rFonts w:ascii="Amiri" w:hAnsi="Amiri" w:eastAsia="Amiri" w:cs="Amiri"/>
          <w:color w:val="111111"/>
          <w:sz w:val="28"/>
          <w:sz w:val="28"/>
          <w:szCs w:val="28"/>
          <w:rtl w:val="true"/>
          <w:lang w:bidi="ar-SA"/>
        </w:rPr>
        <w:t xml:space="preserve">دار التيّار الجديد،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الأمثل في تفسير كتاب الله المنزل، بیروت، مؤسسة البعثة للطباعة والنشر والتوزيع،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من المؤلّفين، قاموس الكتاب المقدّس، بیروت، دار الكتاب المقدّس،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النيسابوري، مسلم بن الحجّاج، صحیح مسلمٍ، تحقيق محمد فؤاد عبد الباقي، دار إحياء التراث العربي،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0" w:name="pg7159_82645"/>
    </w:p>
    <w:p>
      <w:pPr>
        <w:pStyle w:val="Heading2"/>
        <w:numPr>
          <w:ilvl w:val="1"/>
          <w:numId w:val="1"/>
        </w:numPr>
        <w:rPr/>
      </w:pPr>
      <w:bookmarkStart w:id="41" w:name="__RefHeading___Toc4135239_372815092"/>
      <w:bookmarkStart w:id="42" w:name="_Toc15"/>
      <w:bookmarkEnd w:id="40"/>
      <w:bookmarkEnd w:id="41"/>
      <w:r>
        <w:rPr>
          <w:rtl w:val="true"/>
        </w:rPr>
        <w:t>المحتویات</w:t>
      </w:r>
      <w:bookmarkEnd w:id="42"/>
    </w:p>
    <w:p>
      <w:pPr>
        <w:pStyle w:val="BookText"/>
        <w:rPr/>
      </w:pPr>
      <w:r>
        <w:rPr>
          <w:rFonts w:ascii="IRNazanin" w:hAnsi="IRNazanin" w:eastAsia="IRNazanin"/>
          <w:color w:val="111111"/>
          <w:sz w:val="28"/>
          <w:sz w:val="28"/>
          <w:szCs w:val="28"/>
          <w:rtl w:val="true"/>
          <w:lang w:bidi="fa-IR"/>
        </w:rPr>
        <w:t>كلمة المؤسسة تمهیدٌ</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في الإسلام</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Amiri" w:hAnsi="Amiri" w:eastAsia="Amiri" w:cs="Amiri"/>
          <w:color w:val="111111"/>
          <w:sz w:val="28"/>
          <w:sz w:val="28"/>
          <w:szCs w:val="28"/>
          <w:rtl w:val="true"/>
          <w:lang w:bidi="ar-SA"/>
        </w:rPr>
        <w:t>الأحاديث في التراث الإمامي</w:t>
      </w:r>
    </w:p>
    <w:p>
      <w:pPr>
        <w:pStyle w:val="BookText"/>
        <w:rPr/>
      </w:pPr>
      <w:r>
        <w:rPr>
          <w:rFonts w:ascii="Amiri" w:hAnsi="Amiri" w:eastAsia="Amiri" w:cs="Amiri"/>
          <w:color w:val="111111"/>
          <w:sz w:val="28"/>
          <w:sz w:val="28"/>
          <w:szCs w:val="28"/>
          <w:rtl w:val="true"/>
          <w:lang w:bidi="ar-SA"/>
        </w:rPr>
        <w:t>الأحاديث في التراث السنّيّ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في اليهوديّة</w:t>
      </w:r>
    </w:p>
    <w:p>
      <w:pPr>
        <w:pStyle w:val="BookText"/>
        <w:rPr/>
      </w:pPr>
      <w:r>
        <w:rPr>
          <w:rFonts w:ascii="Amiri" w:hAnsi="Amiri" w:eastAsia="Amiri" w:cs="Amiri"/>
          <w:color w:val="111111"/>
          <w:sz w:val="28"/>
          <w:sz w:val="28"/>
          <w:szCs w:val="28"/>
          <w:rtl w:val="true"/>
          <w:lang w:bidi="ar-SA"/>
        </w:rPr>
        <w:t>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في النصرانيّة</w:t>
      </w:r>
    </w:p>
    <w:p>
      <w:pPr>
        <w:pStyle w:val="BookText"/>
        <w:rPr/>
      </w:pPr>
      <w:r>
        <w:rPr>
          <w:rFonts w:ascii="Amiri" w:hAnsi="Amiri" w:eastAsia="Amiri" w:cs="Amiri"/>
          <w:color w:val="111111"/>
          <w:sz w:val="28"/>
          <w:sz w:val="28"/>
          <w:szCs w:val="28"/>
          <w:rtl w:val="true"/>
          <w:lang w:bidi="ar-SA"/>
        </w:rPr>
        <w:t>الخاتمة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بحث حول المهدي، المقدمة،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الشيرازي، الأمثل في تفسير كتاب الله المنزل،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الطبرسي،الفضل بن الحسن،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الشيرازي، الأمثل في تفسير كتاب الله المنزل،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الرضيّ، نهج البلاغة، الحكمة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مطهري، نهضة المهدي في ضوء فلسفة التاريخ،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بن الحسين،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بن الحسين،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منتخب الأثر،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الحسين،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الغيبة،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بن الحسين،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بن الحسين،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منتخب الأثر،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الغيبة،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بنعلي بن الحسين،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الغيبة،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التذكرة،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فتح الباري بشرح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لملتقى أهل الحديث، السؤال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إنکار خروج المهدي لضعف أحاديثه؟ المجيب الدكتور شريف بن حاتم بن عارف العونيّ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البخاري، الإذاعة،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المؤلفين، قاموس الكتاب المقدّس، تحت لفظة المسيح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يَسی هو والد داود النبي حسب ما هو مذكورٌ في التوراة، والقضيب سيكون من نسل ابن داود، وهو المنجي والمنقذ المرتقب الّذي سيأتي بالخلاص لشعب إسرائيل في آخر الأيام حسب تفسيرهم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الأفعي، وهو الحية الخبيثة السامة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سفر إشعيا النبيّ،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المزمور والدعاء هو للنبي سليمان، وسليمان هو الملك وهو ابن الملك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سفر المزامير،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سفر المزامير،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القمص تادرس يعقوب، تفسير الكتاب المقدس، العهد القديم، تفسير سفر المزامير، المزمور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میمونٍ، مقدّمة ابن میمونٍ لكتاب السنهدرین، کتاب السراج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قاموس الكتاب المقدّس،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سفر أعمال الرسل،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 أنطونيوس فكري، شرح الكتاب المقدس ، العهد الجديد، سفر اعمال الرسل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 العهد الجديد، إنجيل متّى،</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إنجيل متى،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القمص تادرس يعقوب ملطي، شرح الكتاب المقدّس، العهد الجديد، تفسير إنجيل متّى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إنجيل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القمص تادرس يعقوب ملطي، شرح الكتاب المقدس، العهد الجديد، تفسير إنجيل مرقس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صحیح مسلم، الحديث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إنجيل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سفر رؤيا يوحنّا اللاهوتي،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سفر رؤيا يوحتا اللاهوتي،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سفر رؤيا يوحنا اللاهوتي،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السلام طويلة، المسيح المنتظر ونهاية العالم،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أيوب، عقيدة المسيح الدجال في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محمد جمال، عمر إمة الإسلام،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النيسابوري، صحيح مسلم،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کنز العمال، الحديث </w:t>
      </w:r>
      <w:r>
        <w:rPr>
          <w:rFonts w:eastAsia="IRNazanin" w:cs="IRNazanin"/>
          <w:b w:val="false"/>
          <w:bCs w:val="false"/>
          <w:i w:val="false"/>
          <w:iCs w:val="false"/>
          <w:color w:val="333333"/>
          <w:sz w:val="20"/>
          <w:szCs w:val="20"/>
        </w:rPr>
        <w:t>39652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5858</Words>
  <Characters>27725</Characters>
  <CharactersWithSpaces>33310</CharactersWithSpaces>
  <Paragraphs>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2026-08-27T08:06:52Z</dcterms:created>
  <dc:creator>ghaemiyeh.com</dc:creator>
  <dc:description/>
  <dc:language>en-US</dc:language>
  <cp:lastModifiedBy/>
  <dcterms:modified xsi:type="dcterms:W3CDTF">2026-08-27T11:36:55Z</dcterms:modified>
  <cp:revision>1</cp:revision>
  <dc:subject/>
  <dc:title>المصلح العالمی فی الادیان السماویة</dc:title>
</cp:coreProperties>
</file>

<file path=docProps/custom.xml><?xml version="1.0" encoding="utf-8"?>
<Properties xmlns="http://schemas.openxmlformats.org/officeDocument/2006/custom-properties" xmlns:vt="http://schemas.openxmlformats.org/officeDocument/2006/docPropsVTypes"/>
</file>