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اصول الفقه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8447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38449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38451_2314609296">
            <w:r>
              <w:rPr>
                <w:webHidden/>
                <w:rStyle w:val="IndexLink"/>
                <w:rtl w:val="true"/>
              </w:rPr>
              <w:t>[</w:t>
            </w:r>
            <w:r>
              <w:rPr>
                <w:rStyle w:val="IndexLink"/>
                <w:rtl w:val="true"/>
              </w:rPr>
              <w:t>المقصد الثانی النواهی</w:t>
            </w:r>
            <w:r>
              <w:rPr>
                <w:rStyle w:val="IndexLink"/>
                <w:rtl w:val="true"/>
              </w:rPr>
              <w:tab/>
            </w:r>
            <w:r>
              <w:rPr>
                <w:rStyle w:val="IndexLink"/>
              </w:rPr>
              <w:t>7</w:t>
            </w:r>
          </w:hyperlink>
        </w:p>
        <w:p>
          <w:pPr>
            <w:pStyle w:val="Contents3"/>
            <w:tabs>
              <w:tab w:val="clear" w:pos="8459"/>
              <w:tab w:val="right" w:pos="9026" w:leader="dot"/>
            </w:tabs>
            <w:rPr/>
          </w:pPr>
          <w:hyperlink w:anchor="__RefHeading___Toc3538453_2314609296">
            <w:r>
              <w:rPr>
                <w:webHidden/>
                <w:rStyle w:val="IndexLink"/>
                <w:rtl w:val="true"/>
              </w:rPr>
              <w:t>[</w:t>
            </w:r>
            <w:r>
              <w:rPr>
                <w:rStyle w:val="IndexLink"/>
                <w:rtl w:val="true"/>
              </w:rPr>
              <w:t>مادة النهی</w:t>
            </w:r>
            <w:r>
              <w:rPr>
                <w:rStyle w:val="IndexLink"/>
                <w:rtl w:val="true"/>
              </w:rPr>
              <w:tab/>
            </w:r>
            <w:r>
              <w:rPr>
                <w:rStyle w:val="IndexLink"/>
              </w:rPr>
              <w:t>7</w:t>
            </w:r>
          </w:hyperlink>
        </w:p>
        <w:p>
          <w:pPr>
            <w:pStyle w:val="Contents4"/>
            <w:tabs>
              <w:tab w:val="clear" w:pos="8176"/>
              <w:tab w:val="right" w:pos="9026" w:leader="dot"/>
            </w:tabs>
            <w:rPr/>
          </w:pPr>
          <w:hyperlink w:anchor="__RefHeading___Toc3538455_2314609296">
            <w:r>
              <w:rPr>
                <w:webHidden/>
                <w:rStyle w:val="IndexLink"/>
                <w:rtl w:val="true"/>
              </w:rPr>
              <w:t>[</w:t>
            </w:r>
            <w:r>
              <w:rPr>
                <w:rStyle w:val="IndexLink"/>
                <w:rtl w:val="true"/>
              </w:rPr>
              <w:t>الفرق بین الأمر و النهی من حیث المعنی</w:t>
            </w:r>
            <w:r>
              <w:rPr>
                <w:rStyle w:val="IndexLink"/>
                <w:rtl w:val="true"/>
              </w:rPr>
              <w:tab/>
            </w:r>
            <w:r>
              <w:rPr>
                <w:rStyle w:val="IndexLink"/>
              </w:rPr>
              <w:t>7</w:t>
            </w:r>
          </w:hyperlink>
        </w:p>
        <w:p>
          <w:pPr>
            <w:pStyle w:val="Contents4"/>
            <w:tabs>
              <w:tab w:val="clear" w:pos="8176"/>
              <w:tab w:val="right" w:pos="9026" w:leader="dot"/>
            </w:tabs>
            <w:rPr/>
          </w:pPr>
          <w:hyperlink w:anchor="__RefHeading___Toc3538457_2314609296">
            <w:r>
              <w:rPr>
                <w:webHidden/>
                <w:rStyle w:val="IndexLink"/>
                <w:rtl w:val="true"/>
              </w:rPr>
              <w:t>[</w:t>
            </w:r>
            <w:r>
              <w:rPr>
                <w:rStyle w:val="IndexLink"/>
                <w:rtl w:val="true"/>
              </w:rPr>
              <w:t>أقسام النهی من حیث الانحلالیة و المجموعیة</w:t>
            </w:r>
            <w:r>
              <w:rPr>
                <w:rStyle w:val="IndexLink"/>
                <w:rtl w:val="true"/>
              </w:rPr>
              <w:t>]</w:t>
              <w:tab/>
            </w:r>
            <w:r>
              <w:rPr>
                <w:rStyle w:val="IndexLink"/>
              </w:rPr>
              <w:t>8</w:t>
            </w:r>
          </w:hyperlink>
        </w:p>
        <w:p>
          <w:pPr>
            <w:pStyle w:val="Contents4"/>
            <w:tabs>
              <w:tab w:val="clear" w:pos="8176"/>
              <w:tab w:val="right" w:pos="9026" w:leader="dot"/>
            </w:tabs>
            <w:rPr/>
          </w:pPr>
          <w:hyperlink w:anchor="__RefHeading___Toc3538459_2314609296">
            <w:r>
              <w:rPr>
                <w:webHidden/>
                <w:rStyle w:val="IndexLink"/>
                <w:rtl w:val="true"/>
              </w:rPr>
              <w:t>[</w:t>
            </w:r>
            <w:r>
              <w:rPr>
                <w:rStyle w:val="IndexLink"/>
                <w:rtl w:val="true"/>
              </w:rPr>
              <w:t>توجیه حمل النذر علی المجموعیة دون الانحلال</w:t>
            </w:r>
            <w:r>
              <w:rPr>
                <w:rStyle w:val="IndexLink"/>
                <w:rtl w:val="true"/>
              </w:rPr>
              <w:tab/>
            </w:r>
            <w:r>
              <w:rPr>
                <w:rStyle w:val="IndexLink"/>
              </w:rPr>
              <w:t>10</w:t>
            </w:r>
          </w:hyperlink>
        </w:p>
        <w:p>
          <w:pPr>
            <w:pStyle w:val="Contents3"/>
            <w:tabs>
              <w:tab w:val="clear" w:pos="8459"/>
              <w:tab w:val="right" w:pos="9026" w:leader="dot"/>
            </w:tabs>
            <w:rPr/>
          </w:pPr>
          <w:hyperlink w:anchor="__RefHeading___Toc3538461_2314609296">
            <w:r>
              <w:rPr>
                <w:webHidden/>
                <w:rStyle w:val="IndexLink"/>
                <w:rtl w:val="true"/>
              </w:rPr>
              <w:t>[</w:t>
            </w:r>
            <w:r>
              <w:rPr>
                <w:rStyle w:val="IndexLink"/>
                <w:rtl w:val="true"/>
              </w:rPr>
              <w:t>مبحث اجتماع الأمر و النهی</w:t>
            </w:r>
            <w:r>
              <w:rPr>
                <w:rStyle w:val="IndexLink"/>
                <w:rtl w:val="true"/>
              </w:rPr>
              <w:tab/>
            </w:r>
            <w:r>
              <w:rPr>
                <w:rStyle w:val="IndexLink"/>
              </w:rPr>
              <w:t>13</w:t>
            </w:r>
          </w:hyperlink>
        </w:p>
        <w:p>
          <w:pPr>
            <w:pStyle w:val="Contents4"/>
            <w:tabs>
              <w:tab w:val="clear" w:pos="8176"/>
              <w:tab w:val="right" w:pos="9026" w:leader="dot"/>
            </w:tabs>
            <w:rPr/>
          </w:pPr>
          <w:hyperlink w:anchor="__RefHeading___Toc3538463_2314609296">
            <w:r>
              <w:rPr>
                <w:webHidden/>
                <w:rStyle w:val="IndexLink"/>
                <w:rtl w:val="true"/>
              </w:rPr>
              <w:t>[</w:t>
            </w:r>
            <w:r>
              <w:rPr>
                <w:rStyle w:val="IndexLink"/>
                <w:rtl w:val="true"/>
              </w:rPr>
              <w:t>الإشکال فی عنوان البحث و تغییره بما یناسب</w:t>
            </w:r>
            <w:r>
              <w:rPr>
                <w:rStyle w:val="IndexLink"/>
                <w:rtl w:val="true"/>
              </w:rPr>
              <w:tab/>
            </w:r>
            <w:r>
              <w:rPr>
                <w:rStyle w:val="IndexLink"/>
              </w:rPr>
              <w:t>13</w:t>
            </w:r>
          </w:hyperlink>
        </w:p>
        <w:p>
          <w:pPr>
            <w:pStyle w:val="Contents4"/>
            <w:tabs>
              <w:tab w:val="clear" w:pos="8176"/>
              <w:tab w:val="right" w:pos="9026" w:leader="dot"/>
            </w:tabs>
            <w:rPr/>
          </w:pPr>
          <w:hyperlink w:anchor="__RefHeading___Toc3538465_2314609296">
            <w:r>
              <w:rPr>
                <w:webHidden/>
                <w:rStyle w:val="IndexLink"/>
                <w:rtl w:val="true"/>
              </w:rPr>
              <w:t>[</w:t>
            </w:r>
            <w:r>
              <w:rPr>
                <w:rStyle w:val="IndexLink"/>
                <w:rtl w:val="true"/>
              </w:rPr>
              <w:t>ملاک کون البحث کلامیا أو فقهیا أو أصولیا</w:t>
            </w:r>
            <w:r>
              <w:rPr>
                <w:rStyle w:val="IndexLink"/>
                <w:rtl w:val="true"/>
              </w:rPr>
              <w:t>]</w:t>
              <w:tab/>
            </w:r>
            <w:r>
              <w:rPr>
                <w:rStyle w:val="IndexLink"/>
              </w:rPr>
              <w:t>14</w:t>
            </w:r>
          </w:hyperlink>
        </w:p>
        <w:p>
          <w:pPr>
            <w:pStyle w:val="Contents4"/>
            <w:tabs>
              <w:tab w:val="clear" w:pos="8176"/>
              <w:tab w:val="right" w:pos="9026" w:leader="dot"/>
            </w:tabs>
            <w:rPr/>
          </w:pPr>
          <w:hyperlink w:anchor="__RefHeading___Toc3538467_2314609296">
            <w:r>
              <w:rPr>
                <w:webHidden/>
                <w:rStyle w:val="IndexLink"/>
                <w:rtl w:val="true"/>
              </w:rPr>
              <w:t>[</w:t>
            </w:r>
            <w:r>
              <w:rPr>
                <w:rStyle w:val="IndexLink"/>
                <w:rtl w:val="true"/>
              </w:rPr>
              <w:t>المناقشة فی تقسیم الموجودات إلی عینیة و اعتباریة و کلّ منهما إلی متأصّلة و انتزاعیة</w:t>
            </w:r>
            <w:r>
              <w:rPr>
                <w:rStyle w:val="IndexLink"/>
                <w:rtl w:val="true"/>
              </w:rPr>
              <w:t>]</w:t>
              <w:tab/>
            </w:r>
            <w:r>
              <w:rPr>
                <w:rStyle w:val="IndexLink"/>
              </w:rPr>
              <w:t>15</w:t>
            </w:r>
          </w:hyperlink>
        </w:p>
        <w:p>
          <w:pPr>
            <w:pStyle w:val="Contents4"/>
            <w:tabs>
              <w:tab w:val="clear" w:pos="8176"/>
              <w:tab w:val="right" w:pos="9026" w:leader="dot"/>
            </w:tabs>
            <w:rPr/>
          </w:pPr>
          <w:hyperlink w:anchor="__RefHeading___Toc3538469_2314609296">
            <w:r>
              <w:rPr>
                <w:webHidden/>
                <w:rStyle w:val="IndexLink"/>
                <w:rtl w:val="true"/>
              </w:rPr>
              <w:t>[</w:t>
            </w:r>
            <w:r>
              <w:rPr>
                <w:rStyle w:val="IndexLink"/>
                <w:rtl w:val="true"/>
              </w:rPr>
              <w:t>تحقیق رشیق حول ملاک النسب الأربع</w:t>
            </w:r>
            <w:r>
              <w:rPr>
                <w:rStyle w:val="IndexLink"/>
                <w:rtl w:val="true"/>
              </w:rPr>
              <w:tab/>
            </w:r>
            <w:r>
              <w:rPr>
                <w:rStyle w:val="IndexLink"/>
              </w:rPr>
              <w:t>16</w:t>
            </w:r>
          </w:hyperlink>
        </w:p>
        <w:p>
          <w:pPr>
            <w:pStyle w:val="Contents4"/>
            <w:tabs>
              <w:tab w:val="clear" w:pos="8176"/>
              <w:tab w:val="right" w:pos="9026" w:leader="dot"/>
            </w:tabs>
            <w:rPr/>
          </w:pPr>
          <w:hyperlink w:anchor="__RefHeading___Toc3538471_2314609296">
            <w:r>
              <w:rPr>
                <w:webHidden/>
                <w:rStyle w:val="IndexLink"/>
                <w:rtl w:val="true"/>
              </w:rPr>
              <w:t>[</w:t>
            </w:r>
            <w:r>
              <w:rPr>
                <w:rStyle w:val="IndexLink"/>
                <w:rtl w:val="true"/>
              </w:rPr>
              <w:t>أقسام التساوی الستّة و البحث عن جهة الصدق فیها</w:t>
            </w:r>
            <w:r>
              <w:rPr>
                <w:rStyle w:val="IndexLink"/>
                <w:rtl w:val="true"/>
              </w:rPr>
              <w:t>]</w:t>
              <w:tab/>
            </w:r>
            <w:r>
              <w:rPr>
                <w:rStyle w:val="IndexLink"/>
              </w:rPr>
              <w:t>17</w:t>
            </w:r>
          </w:hyperlink>
        </w:p>
        <w:p>
          <w:pPr>
            <w:pStyle w:val="Contents4"/>
            <w:tabs>
              <w:tab w:val="clear" w:pos="8176"/>
              <w:tab w:val="right" w:pos="9026" w:leader="dot"/>
            </w:tabs>
            <w:rPr/>
          </w:pPr>
          <w:hyperlink w:anchor="__RefHeading___Toc3538473_2314609296">
            <w:r>
              <w:rPr>
                <w:webHidden/>
                <w:rStyle w:val="IndexLink"/>
                <w:rtl w:val="true"/>
              </w:rPr>
              <w:t>[</w:t>
            </w:r>
            <w:r>
              <w:rPr>
                <w:rStyle w:val="IndexLink"/>
                <w:rtl w:val="true"/>
              </w:rPr>
              <w:t>التعریض بصاحب الکفایة فی النقض بصفات اللّه علی تعدّد المعنون بتعدّد العنوان</w:t>
            </w:r>
            <w:r>
              <w:rPr>
                <w:rStyle w:val="IndexLink"/>
                <w:rtl w:val="true"/>
              </w:rPr>
              <w:tab/>
            </w:r>
            <w:r>
              <w:rPr>
                <w:rStyle w:val="IndexLink"/>
              </w:rPr>
              <w:t>20</w:t>
            </w:r>
          </w:hyperlink>
        </w:p>
        <w:p>
          <w:pPr>
            <w:pStyle w:val="Contents4"/>
            <w:tabs>
              <w:tab w:val="clear" w:pos="8176"/>
              <w:tab w:val="right" w:pos="9026" w:leader="dot"/>
            </w:tabs>
            <w:rPr/>
          </w:pPr>
          <w:hyperlink w:anchor="__RefHeading___Toc3538475_2314609296">
            <w:r>
              <w:rPr>
                <w:webHidden/>
                <w:rStyle w:val="IndexLink"/>
                <w:rtl w:val="true"/>
              </w:rPr>
              <w:t>[</w:t>
            </w:r>
            <w:r>
              <w:rPr>
                <w:rStyle w:val="IndexLink"/>
                <w:rtl w:val="true"/>
              </w:rPr>
              <w:t>الکلام فی تصوّر النسب الأربع بین جوهرین أو عرضین أو جوهر و عرض</w:t>
            </w:r>
            <w:r>
              <w:rPr>
                <w:rStyle w:val="IndexLink"/>
                <w:rtl w:val="true"/>
              </w:rPr>
              <w:tab/>
            </w:r>
            <w:r>
              <w:rPr>
                <w:rStyle w:val="IndexLink"/>
              </w:rPr>
              <w:t>25</w:t>
            </w:r>
          </w:hyperlink>
        </w:p>
        <w:p>
          <w:pPr>
            <w:pStyle w:val="Contents4"/>
            <w:tabs>
              <w:tab w:val="clear" w:pos="8176"/>
              <w:tab w:val="right" w:pos="9026" w:leader="dot"/>
            </w:tabs>
            <w:rPr/>
          </w:pPr>
          <w:hyperlink w:anchor="__RefHeading___Toc3538477_2314609296">
            <w:r>
              <w:rPr>
                <w:webHidden/>
                <w:rStyle w:val="IndexLink"/>
                <w:rtl w:val="true"/>
              </w:rPr>
              <w:t>[</w:t>
            </w:r>
            <w:r>
              <w:rPr>
                <w:rStyle w:val="IndexLink"/>
                <w:rtl w:val="true"/>
              </w:rPr>
              <w:t>اختلاف مبادی المشتقّات من حیث أخذها بشرط لا و لا بشرط</w:t>
            </w:r>
            <w:r>
              <w:rPr>
                <w:rStyle w:val="IndexLink"/>
                <w:rtl w:val="true"/>
              </w:rPr>
              <w:t>]</w:t>
              <w:tab/>
            </w:r>
            <w:r>
              <w:rPr>
                <w:rStyle w:val="IndexLink"/>
              </w:rPr>
              <w:t>28</w:t>
            </w:r>
          </w:hyperlink>
        </w:p>
        <w:p>
          <w:pPr>
            <w:pStyle w:val="Contents4"/>
            <w:tabs>
              <w:tab w:val="clear" w:pos="8176"/>
              <w:tab w:val="right" w:pos="9026" w:leader="dot"/>
            </w:tabs>
            <w:rPr/>
          </w:pPr>
          <w:hyperlink w:anchor="__RefHeading___Toc3538479_2314609296">
            <w:r>
              <w:rPr>
                <w:webHidden/>
                <w:rStyle w:val="IndexLink"/>
                <w:rtl w:val="true"/>
              </w:rPr>
              <w:t>[</w:t>
            </w:r>
            <w:r>
              <w:rPr>
                <w:rStyle w:val="IndexLink"/>
                <w:rtl w:val="true"/>
              </w:rPr>
              <w:t>التأمّل فی ملاک الترکیب الانضمامی و الاتّحادی</w:t>
            </w:r>
            <w:r>
              <w:rPr>
                <w:rStyle w:val="IndexLink"/>
                <w:rtl w:val="true"/>
              </w:rPr>
              <w:tab/>
            </w:r>
            <w:r>
              <w:rPr>
                <w:rStyle w:val="IndexLink"/>
              </w:rPr>
              <w:t>30</w:t>
            </w:r>
          </w:hyperlink>
        </w:p>
        <w:p>
          <w:pPr>
            <w:pStyle w:val="Contents4"/>
            <w:tabs>
              <w:tab w:val="clear" w:pos="8176"/>
              <w:tab w:val="right" w:pos="9026" w:leader="dot"/>
            </w:tabs>
            <w:rPr/>
          </w:pPr>
          <w:hyperlink w:anchor="__RefHeading___Toc3538481_2314609296">
            <w:r>
              <w:rPr>
                <w:webHidden/>
                <w:rStyle w:val="IndexLink"/>
                <w:rtl w:val="true"/>
              </w:rPr>
              <w:t>[</w:t>
            </w:r>
            <w:r>
              <w:rPr>
                <w:rStyle w:val="IndexLink"/>
                <w:rtl w:val="true"/>
              </w:rPr>
              <w:t>التأمّل فی التفرقة بین مبادی المشتقّات و بین المادّة و الصورة</w:t>
            </w:r>
            <w:r>
              <w:rPr>
                <w:rStyle w:val="IndexLink"/>
                <w:rtl w:val="true"/>
              </w:rPr>
              <w:t>]</w:t>
              <w:tab/>
            </w:r>
            <w:r>
              <w:rPr>
                <w:rStyle w:val="IndexLink"/>
              </w:rPr>
              <w:t>33</w:t>
            </w:r>
          </w:hyperlink>
        </w:p>
        <w:p>
          <w:pPr>
            <w:pStyle w:val="Contents4"/>
            <w:tabs>
              <w:tab w:val="clear" w:pos="8176"/>
              <w:tab w:val="right" w:pos="9026" w:leader="dot"/>
            </w:tabs>
            <w:rPr/>
          </w:pPr>
          <w:hyperlink w:anchor="__RefHeading___Toc3538483_2314609296">
            <w:r>
              <w:rPr>
                <w:webHidden/>
                <w:rStyle w:val="IndexLink"/>
                <w:rtl w:val="true"/>
              </w:rPr>
              <w:t>[</w:t>
            </w:r>
            <w:r>
              <w:rPr>
                <w:rStyle w:val="IndexLink"/>
                <w:rtl w:val="true"/>
              </w:rPr>
              <w:t>الکلام فیما یدّعی من الترکّبات العقلیة</w:t>
            </w:r>
            <w:r>
              <w:rPr>
                <w:rStyle w:val="IndexLink"/>
                <w:rtl w:val="true"/>
              </w:rPr>
              <w:t>]</w:t>
              <w:tab/>
            </w:r>
            <w:r>
              <w:rPr>
                <w:rStyle w:val="IndexLink"/>
              </w:rPr>
              <w:t>33</w:t>
            </w:r>
          </w:hyperlink>
        </w:p>
        <w:p>
          <w:pPr>
            <w:pStyle w:val="Contents4"/>
            <w:tabs>
              <w:tab w:val="clear" w:pos="8176"/>
              <w:tab w:val="right" w:pos="9026" w:leader="dot"/>
            </w:tabs>
            <w:rPr/>
          </w:pPr>
          <w:hyperlink w:anchor="__RefHeading___Toc3538485_2314609296">
            <w:r>
              <w:rPr>
                <w:webHidden/>
                <w:rStyle w:val="IndexLink"/>
                <w:rtl w:val="true"/>
              </w:rPr>
              <w:t>[</w:t>
            </w:r>
            <w:r>
              <w:rPr>
                <w:rStyle w:val="IndexLink"/>
                <w:rtl w:val="true"/>
              </w:rPr>
              <w:t>إمکان القول بقیام العرض بعرض آخر</w:t>
            </w:r>
            <w:r>
              <w:rPr>
                <w:rStyle w:val="IndexLink"/>
                <w:rtl w:val="true"/>
              </w:rPr>
              <w:t>]</w:t>
              <w:tab/>
            </w:r>
            <w:r>
              <w:rPr>
                <w:rStyle w:val="IndexLink"/>
              </w:rPr>
              <w:t>34</w:t>
            </w:r>
          </w:hyperlink>
        </w:p>
        <w:p>
          <w:pPr>
            <w:pStyle w:val="Contents4"/>
            <w:tabs>
              <w:tab w:val="clear" w:pos="8176"/>
              <w:tab w:val="right" w:pos="9026" w:leader="dot"/>
            </w:tabs>
            <w:rPr/>
          </w:pPr>
          <w:hyperlink w:anchor="__RefHeading___Toc3538487_2314609296">
            <w:r>
              <w:rPr>
                <w:webHidden/>
                <w:rStyle w:val="IndexLink"/>
                <w:rtl w:val="true"/>
              </w:rPr>
              <w:t>[</w:t>
            </w:r>
            <w:r>
              <w:rPr>
                <w:rStyle w:val="IndexLink"/>
                <w:rtl w:val="true"/>
              </w:rPr>
              <w:t>مناقشات مع السیّد الخوئی قدّس سرّه فی ترکّب الصلاة مع الغصب</w:t>
            </w:r>
            <w:r>
              <w:rPr>
                <w:rStyle w:val="IndexLink"/>
                <w:rtl w:val="true"/>
              </w:rPr>
              <w:tab/>
            </w:r>
            <w:r>
              <w:rPr>
                <w:rStyle w:val="IndexLink"/>
              </w:rPr>
              <w:t>36</w:t>
            </w:r>
          </w:hyperlink>
        </w:p>
        <w:p>
          <w:pPr>
            <w:pStyle w:val="Contents4"/>
            <w:tabs>
              <w:tab w:val="clear" w:pos="8176"/>
              <w:tab w:val="right" w:pos="9026" w:leader="dot"/>
            </w:tabs>
            <w:rPr/>
          </w:pPr>
          <w:hyperlink w:anchor="__RefHeading___Toc3538489_2314609296">
            <w:r>
              <w:rPr>
                <w:webHidden/>
                <w:rStyle w:val="IndexLink"/>
                <w:rtl w:val="true"/>
              </w:rPr>
              <w:t>[</w:t>
            </w:r>
            <w:r>
              <w:rPr>
                <w:rStyle w:val="IndexLink"/>
                <w:rtl w:val="true"/>
              </w:rPr>
              <w:t>نقل ما حرّره المصنّف عن المحقّق النائینی قدّس سرّهما فی المقام</w:t>
            </w:r>
            <w:r>
              <w:rPr>
                <w:rStyle w:val="IndexLink"/>
                <w:rtl w:val="true"/>
              </w:rPr>
              <w:tab/>
            </w:r>
            <w:r>
              <w:rPr>
                <w:rStyle w:val="IndexLink"/>
              </w:rPr>
              <w:t>41</w:t>
            </w:r>
          </w:hyperlink>
        </w:p>
        <w:p>
          <w:pPr>
            <w:pStyle w:val="Contents4"/>
            <w:tabs>
              <w:tab w:val="clear" w:pos="8176"/>
              <w:tab w:val="right" w:pos="9026" w:leader="dot"/>
            </w:tabs>
            <w:rPr/>
          </w:pPr>
          <w:hyperlink w:anchor="__RefHeading___Toc3538491_2314609296">
            <w:r>
              <w:rPr>
                <w:webHidden/>
                <w:rStyle w:val="IndexLink"/>
                <w:rtl w:val="true"/>
              </w:rPr>
              <w:t>[</w:t>
            </w:r>
            <w:r>
              <w:rPr>
                <w:rStyle w:val="IndexLink"/>
                <w:rtl w:val="true"/>
              </w:rPr>
              <w:t>هل یخرج عن محلّ النزاع ما إذا کانت النسبة بین العنوانین عموما و خصوصا مطلقا</w:t>
            </w:r>
            <w:r>
              <w:rPr>
                <w:rStyle w:val="IndexLink"/>
                <w:rtl w:val="true"/>
              </w:rPr>
              <w:t>]</w:t>
              <w:tab/>
            </w:r>
            <w:r>
              <w:rPr>
                <w:rStyle w:val="IndexLink"/>
              </w:rPr>
              <w:t>43</w:t>
            </w:r>
          </w:hyperlink>
        </w:p>
        <w:p>
          <w:pPr>
            <w:pStyle w:val="Contents4"/>
            <w:tabs>
              <w:tab w:val="clear" w:pos="8176"/>
              <w:tab w:val="right" w:pos="9026" w:leader="dot"/>
            </w:tabs>
            <w:rPr/>
          </w:pPr>
          <w:hyperlink w:anchor="__RefHeading___Toc3538493_2314609296">
            <w:r>
              <w:rPr>
                <w:webHidden/>
                <w:rStyle w:val="IndexLink"/>
                <w:rtl w:val="true"/>
              </w:rPr>
              <w:t>[</w:t>
            </w:r>
            <w:r>
              <w:rPr>
                <w:rStyle w:val="IndexLink"/>
                <w:rtl w:val="true"/>
              </w:rPr>
              <w:t>خروج اجتماع مثل الشرب و الغصب عن محلّ الکلام و مناقشة السیّد الخوئی قدّس سرّه فی المقام</w:t>
            </w:r>
            <w:r>
              <w:rPr>
                <w:rStyle w:val="IndexLink"/>
                <w:rtl w:val="true"/>
              </w:rPr>
              <w:tab/>
            </w:r>
            <w:r>
              <w:rPr>
                <w:rStyle w:val="IndexLink"/>
              </w:rPr>
              <w:t>43</w:t>
            </w:r>
          </w:hyperlink>
        </w:p>
        <w:p>
          <w:pPr>
            <w:pStyle w:val="Contents4"/>
            <w:tabs>
              <w:tab w:val="clear" w:pos="8176"/>
              <w:tab w:val="right" w:pos="9026" w:leader="dot"/>
            </w:tabs>
            <w:rPr/>
          </w:pPr>
          <w:hyperlink w:anchor="__RefHeading___Toc3538495_2314609296">
            <w:r>
              <w:rPr>
                <w:webHidden/>
                <w:rStyle w:val="IndexLink"/>
                <w:rtl w:val="true"/>
              </w:rPr>
              <w:t>[</w:t>
            </w:r>
            <w:r>
              <w:rPr>
                <w:rStyle w:val="IndexLink"/>
                <w:rtl w:val="true"/>
              </w:rPr>
              <w:t>هل الوضوء أو الغسل بالمغصوب داخل فی النزاع؟</w:t>
            </w:r>
            <w:r>
              <w:rPr>
                <w:rStyle w:val="IndexLink"/>
                <w:rtl w:val="true"/>
              </w:rPr>
              <w:t>]</w:t>
              <w:tab/>
            </w:r>
            <w:r>
              <w:rPr>
                <w:rStyle w:val="IndexLink"/>
              </w:rPr>
              <w:t>45</w:t>
            </w:r>
          </w:hyperlink>
        </w:p>
        <w:p>
          <w:pPr>
            <w:pStyle w:val="Contents4"/>
            <w:tabs>
              <w:tab w:val="clear" w:pos="8176"/>
              <w:tab w:val="right" w:pos="9026" w:leader="dot"/>
            </w:tabs>
            <w:rPr/>
          </w:pPr>
          <w:hyperlink w:anchor="__RefHeading___Toc3538497_2314609296">
            <w:r>
              <w:rPr>
                <w:webHidden/>
                <w:rStyle w:val="IndexLink"/>
                <w:rtl w:val="true"/>
              </w:rPr>
              <w:t>[</w:t>
            </w:r>
            <w:r>
              <w:rPr>
                <w:rStyle w:val="IndexLink"/>
                <w:rtl w:val="true"/>
              </w:rPr>
              <w:t>توضیح إلحاق ما هو متمّم المقولة بما هو من قبیل المقولة المستقلّة</w:t>
            </w:r>
            <w:r>
              <w:rPr>
                <w:rStyle w:val="IndexLink"/>
                <w:rtl w:val="true"/>
              </w:rPr>
              <w:t>]</w:t>
              <w:tab/>
            </w:r>
            <w:r>
              <w:rPr>
                <w:rStyle w:val="IndexLink"/>
              </w:rPr>
              <w:t>48</w:t>
            </w:r>
          </w:hyperlink>
        </w:p>
        <w:p>
          <w:pPr>
            <w:pStyle w:val="Contents4"/>
            <w:tabs>
              <w:tab w:val="clear" w:pos="8176"/>
              <w:tab w:val="right" w:pos="9026" w:leader="dot"/>
            </w:tabs>
            <w:rPr/>
          </w:pPr>
          <w:hyperlink w:anchor="__RefHeading___Toc3538499_2314609296">
            <w:r>
              <w:rPr>
                <w:webHidden/>
                <w:rStyle w:val="IndexLink"/>
                <w:rtl w:val="true"/>
              </w:rPr>
              <w:t>[</w:t>
            </w:r>
            <w:r>
              <w:rPr>
                <w:rStyle w:val="IndexLink"/>
                <w:rtl w:val="true"/>
              </w:rPr>
              <w:t>خروج النهی المتعلّق بالعنوان الثانوی و الأمر بالعنوان الأوّلی عن محلّ النزاع</w:t>
            </w:r>
            <w:r>
              <w:rPr>
                <w:rStyle w:val="IndexLink"/>
                <w:rtl w:val="true"/>
              </w:rPr>
              <w:tab/>
            </w:r>
            <w:r>
              <w:rPr>
                <w:rStyle w:val="IndexLink"/>
              </w:rPr>
              <w:t>51</w:t>
            </w:r>
          </w:hyperlink>
        </w:p>
        <w:p>
          <w:pPr>
            <w:pStyle w:val="Contents4"/>
            <w:tabs>
              <w:tab w:val="clear" w:pos="8176"/>
              <w:tab w:val="right" w:pos="9026" w:leader="dot"/>
            </w:tabs>
            <w:rPr/>
          </w:pPr>
          <w:hyperlink w:anchor="__RefHeading___Toc3538501_2314609296">
            <w:r>
              <w:rPr>
                <w:webHidden/>
                <w:rStyle w:val="IndexLink"/>
                <w:rtl w:val="true"/>
              </w:rPr>
              <w:t>[</w:t>
            </w:r>
            <w:r>
              <w:rPr>
                <w:rStyle w:val="IndexLink"/>
                <w:rtl w:val="true"/>
              </w:rPr>
              <w:t>اجتماع الأمر و النهی فی الأسباب و المسبّبات</w:t>
            </w:r>
            <w:r>
              <w:rPr>
                <w:rStyle w:val="IndexLink"/>
                <w:rtl w:val="true"/>
              </w:rPr>
              <w:tab/>
            </w:r>
            <w:r>
              <w:rPr>
                <w:rStyle w:val="IndexLink"/>
              </w:rPr>
              <w:t>53</w:t>
            </w:r>
          </w:hyperlink>
        </w:p>
        <w:p>
          <w:pPr>
            <w:pStyle w:val="Contents4"/>
            <w:tabs>
              <w:tab w:val="clear" w:pos="8176"/>
              <w:tab w:val="right" w:pos="9026" w:leader="dot"/>
            </w:tabs>
            <w:rPr/>
          </w:pPr>
          <w:hyperlink w:anchor="__RefHeading___Toc3538503_2314609296">
            <w:r>
              <w:rPr>
                <w:webHidden/>
                <w:rStyle w:val="IndexLink"/>
                <w:rtl w:val="true"/>
              </w:rPr>
              <w:t>[</w:t>
            </w:r>
            <w:r>
              <w:rPr>
                <w:rStyle w:val="IndexLink"/>
                <w:rtl w:val="true"/>
              </w:rPr>
              <w:t>تحقیق الحال فی العبادات المکروهة</w:t>
            </w:r>
            <w:r>
              <w:rPr>
                <w:rStyle w:val="IndexLink"/>
                <w:rtl w:val="true"/>
              </w:rPr>
              <w:t>]</w:t>
              <w:tab/>
            </w:r>
            <w:r>
              <w:rPr>
                <w:rStyle w:val="IndexLink"/>
              </w:rPr>
              <w:t>57</w:t>
            </w:r>
          </w:hyperlink>
        </w:p>
        <w:p>
          <w:pPr>
            <w:pStyle w:val="Contents4"/>
            <w:tabs>
              <w:tab w:val="clear" w:pos="8176"/>
              <w:tab w:val="right" w:pos="9026" w:leader="dot"/>
            </w:tabs>
            <w:rPr/>
          </w:pPr>
          <w:hyperlink w:anchor="__RefHeading___Toc3538505_2314609296">
            <w:r>
              <w:rPr>
                <w:webHidden/>
                <w:rStyle w:val="IndexLink"/>
                <w:rtl w:val="true"/>
              </w:rPr>
              <w:t>[</w:t>
            </w:r>
            <w:r>
              <w:rPr>
                <w:rStyle w:val="IndexLink"/>
                <w:rtl w:val="true"/>
              </w:rPr>
              <w:t>توضیح ما ذهب إلیه المحقّق الثانی قدّس سرّه من صحّة الأمر بالطبیعة الجامعة بین الأفراد المقدورة و غیرها</w:t>
            </w:r>
            <w:r>
              <w:rPr>
                <w:rStyle w:val="IndexLink"/>
                <w:rtl w:val="true"/>
              </w:rPr>
              <w:t>]</w:t>
              <w:tab/>
            </w:r>
            <w:r>
              <w:rPr>
                <w:rStyle w:val="IndexLink"/>
              </w:rPr>
              <w:t>79</w:t>
            </w:r>
          </w:hyperlink>
        </w:p>
        <w:p>
          <w:pPr>
            <w:pStyle w:val="Contents4"/>
            <w:tabs>
              <w:tab w:val="clear" w:pos="8176"/>
              <w:tab w:val="right" w:pos="9026" w:leader="dot"/>
            </w:tabs>
            <w:rPr/>
          </w:pPr>
          <w:hyperlink w:anchor="__RefHeading___Toc3538507_2314609296">
            <w:r>
              <w:rPr>
                <w:webHidden/>
                <w:rStyle w:val="IndexLink"/>
                <w:rtl w:val="true"/>
              </w:rPr>
              <w:t>[</w:t>
            </w:r>
            <w:r>
              <w:rPr>
                <w:rStyle w:val="IndexLink"/>
                <w:rtl w:val="true"/>
              </w:rPr>
              <w:t>الکلام فی الاضطرار إلی الحرام لا بسوء الاختیار و أنحاء اعتبار القیود العدمیة فی الصلاة</w:t>
            </w:r>
            <w:r>
              <w:rPr>
                <w:rStyle w:val="IndexLink"/>
                <w:rtl w:val="true"/>
              </w:rPr>
              <w:t>]</w:t>
              <w:tab/>
            </w:r>
            <w:r>
              <w:rPr>
                <w:rStyle w:val="IndexLink"/>
              </w:rPr>
              <w:t>84</w:t>
            </w:r>
          </w:hyperlink>
        </w:p>
        <w:p>
          <w:pPr>
            <w:pStyle w:val="Contents4"/>
            <w:tabs>
              <w:tab w:val="clear" w:pos="8176"/>
              <w:tab w:val="right" w:pos="9026" w:leader="dot"/>
            </w:tabs>
            <w:rPr/>
          </w:pPr>
          <w:hyperlink w:anchor="__RefHeading___Toc3538509_2314609296">
            <w:r>
              <w:rPr>
                <w:webHidden/>
                <w:rStyle w:val="IndexLink"/>
                <w:rtl w:val="true"/>
              </w:rPr>
              <w:t>[</w:t>
            </w:r>
            <w:r>
              <w:rPr>
                <w:rStyle w:val="IndexLink"/>
                <w:rtl w:val="true"/>
              </w:rPr>
              <w:t>صورة مانعیة لبس الحریر فی الصلاة</w:t>
            </w:r>
            <w:r>
              <w:rPr>
                <w:rStyle w:val="IndexLink"/>
                <w:rtl w:val="true"/>
              </w:rPr>
              <w:t>]</w:t>
              <w:tab/>
            </w:r>
            <w:r>
              <w:rPr>
                <w:rStyle w:val="IndexLink"/>
              </w:rPr>
              <w:t>88</w:t>
            </w:r>
          </w:hyperlink>
        </w:p>
        <w:p>
          <w:pPr>
            <w:pStyle w:val="Contents4"/>
            <w:tabs>
              <w:tab w:val="clear" w:pos="8176"/>
              <w:tab w:val="right" w:pos="9026" w:leader="dot"/>
            </w:tabs>
            <w:rPr/>
          </w:pPr>
          <w:hyperlink w:anchor="__RefHeading___Toc3538511_2314609296">
            <w:r>
              <w:rPr>
                <w:webHidden/>
                <w:rStyle w:val="IndexLink"/>
                <w:rtl w:val="true"/>
              </w:rPr>
              <w:t>[</w:t>
            </w:r>
            <w:r>
              <w:rPr>
                <w:rStyle w:val="IndexLink"/>
                <w:rtl w:val="true"/>
              </w:rPr>
              <w:t>صور الاضطرار إلی لبس الحریر</w:t>
            </w:r>
            <w:r>
              <w:rPr>
                <w:rStyle w:val="IndexLink"/>
                <w:rtl w:val="true"/>
              </w:rPr>
              <w:t>]</w:t>
              <w:tab/>
            </w:r>
            <w:r>
              <w:rPr>
                <w:rStyle w:val="IndexLink"/>
              </w:rPr>
              <w:t>89</w:t>
            </w:r>
          </w:hyperlink>
        </w:p>
        <w:p>
          <w:pPr>
            <w:pStyle w:val="Contents4"/>
            <w:tabs>
              <w:tab w:val="clear" w:pos="8176"/>
              <w:tab w:val="right" w:pos="9026" w:leader="dot"/>
            </w:tabs>
            <w:rPr/>
          </w:pPr>
          <w:hyperlink w:anchor="__RefHeading___Toc3538513_2314609296">
            <w:r>
              <w:rPr>
                <w:webHidden/>
                <w:rStyle w:val="IndexLink"/>
                <w:rtl w:val="true"/>
              </w:rPr>
              <w:t>[</w:t>
            </w:r>
            <w:r>
              <w:rPr>
                <w:rStyle w:val="IndexLink"/>
                <w:rtl w:val="true"/>
              </w:rPr>
              <w:t>لمناقشة مع السیّد الخوئی قدّس سرّه فی التزامه بالجواز من الجهة الثانیة</w:t>
            </w:r>
            <w:r>
              <w:rPr>
                <w:rStyle w:val="IndexLink"/>
                <w:rtl w:val="true"/>
              </w:rPr>
              <w:t>]</w:t>
              <w:tab/>
            </w:r>
            <w:r>
              <w:rPr>
                <w:rStyle w:val="IndexLink"/>
              </w:rPr>
              <w:t>92</w:t>
            </w:r>
          </w:hyperlink>
        </w:p>
        <w:p>
          <w:pPr>
            <w:pStyle w:val="Contents4"/>
            <w:tabs>
              <w:tab w:val="clear" w:pos="8176"/>
              <w:tab w:val="right" w:pos="9026" w:leader="dot"/>
            </w:tabs>
            <w:rPr/>
          </w:pPr>
          <w:hyperlink w:anchor="__RefHeading___Toc3538515_2314609296">
            <w:r>
              <w:rPr>
                <w:webHidden/>
                <w:rStyle w:val="IndexLink"/>
                <w:rtl w:val="true"/>
              </w:rPr>
              <w:t>[</w:t>
            </w:r>
            <w:r>
              <w:rPr>
                <w:rStyle w:val="IndexLink"/>
                <w:rtl w:val="true"/>
              </w:rPr>
              <w:t>توجیه ما ذهب إلیه المحقّق النائینی قدّس سرّه من استحالة التقرّب بالمجمع لاتّحاد المأمور به و المنهی عنه فی مقام الایجاد و التأثیر</w:t>
            </w:r>
            <w:r>
              <w:rPr>
                <w:rStyle w:val="IndexLink"/>
                <w:rtl w:val="true"/>
              </w:rPr>
              <w:t>]</w:t>
              <w:tab/>
            </w:r>
            <w:r>
              <w:rPr>
                <w:rStyle w:val="IndexLink"/>
              </w:rPr>
              <w:t>94</w:t>
            </w:r>
          </w:hyperlink>
        </w:p>
        <w:p>
          <w:pPr>
            <w:pStyle w:val="Contents4"/>
            <w:tabs>
              <w:tab w:val="clear" w:pos="8176"/>
              <w:tab w:val="right" w:pos="9026" w:leader="dot"/>
            </w:tabs>
            <w:rPr/>
          </w:pPr>
          <w:hyperlink w:anchor="__RefHeading___Toc3538517_2314609296">
            <w:r>
              <w:rPr>
                <w:webHidden/>
                <w:rStyle w:val="IndexLink"/>
                <w:rtl w:val="true"/>
              </w:rPr>
              <w:t>[</w:t>
            </w:r>
            <w:r>
              <w:rPr>
                <w:rStyle w:val="IndexLink"/>
                <w:rtl w:val="true"/>
              </w:rPr>
              <w:t>تأمّل المحقّق الحائری قدّس سرّه فی بطلان الصلاة فی اللباس المغصوب</w:t>
            </w:r>
            <w:r>
              <w:rPr>
                <w:rStyle w:val="IndexLink"/>
                <w:rtl w:val="true"/>
              </w:rPr>
              <w:tab/>
            </w:r>
            <w:r>
              <w:rPr>
                <w:rStyle w:val="IndexLink"/>
              </w:rPr>
              <w:t>106</w:t>
            </w:r>
          </w:hyperlink>
        </w:p>
        <w:p>
          <w:pPr>
            <w:pStyle w:val="Contents4"/>
            <w:tabs>
              <w:tab w:val="clear" w:pos="8176"/>
              <w:tab w:val="right" w:pos="9026" w:leader="dot"/>
            </w:tabs>
            <w:rPr/>
          </w:pPr>
          <w:hyperlink w:anchor="__RefHeading___Toc3538519_2314609296">
            <w:r>
              <w:rPr>
                <w:webHidden/>
                <w:rStyle w:val="IndexLink"/>
                <w:rtl w:val="true"/>
              </w:rPr>
              <w:t>[</w:t>
            </w:r>
            <w:r>
              <w:rPr>
                <w:rStyle w:val="IndexLink"/>
                <w:rtl w:val="true"/>
              </w:rPr>
              <w:t>المناقشة فی التمثیل لمورد عدم المندوحة دائما فی مسألة الاجتماع عود لمسألة الاضطرار لا بسوء الاختیار</w:t>
            </w:r>
            <w:r>
              <w:rPr>
                <w:rStyle w:val="IndexLink"/>
                <w:rtl w:val="true"/>
              </w:rPr>
              <w:t>]</w:t>
              <w:tab/>
            </w:r>
            <w:r>
              <w:rPr>
                <w:rStyle w:val="IndexLink"/>
              </w:rPr>
              <w:t>111</w:t>
            </w:r>
          </w:hyperlink>
        </w:p>
        <w:p>
          <w:pPr>
            <w:pStyle w:val="Contents4"/>
            <w:tabs>
              <w:tab w:val="clear" w:pos="8176"/>
              <w:tab w:val="right" w:pos="9026" w:leader="dot"/>
            </w:tabs>
            <w:rPr/>
          </w:pPr>
          <w:hyperlink w:anchor="__RefHeading___Toc3538521_2314609296">
            <w:r>
              <w:rPr>
                <w:webHidden/>
                <w:rStyle w:val="IndexLink"/>
                <w:rtl w:val="true"/>
              </w:rPr>
              <w:t>[</w:t>
            </w:r>
            <w:r>
              <w:rPr>
                <w:rStyle w:val="IndexLink"/>
                <w:rtl w:val="true"/>
              </w:rPr>
              <w:t>الکلام حول موارد صدق التصرّف الزائد فی الغصب للمضطرّ إلیه و عدم صدقه</w:t>
            </w:r>
            <w:r>
              <w:rPr>
                <w:rStyle w:val="IndexLink"/>
                <w:rtl w:val="true"/>
              </w:rPr>
              <w:tab/>
            </w:r>
            <w:r>
              <w:rPr>
                <w:rStyle w:val="IndexLink"/>
              </w:rPr>
              <w:t>121</w:t>
            </w:r>
          </w:hyperlink>
        </w:p>
        <w:p>
          <w:pPr>
            <w:pStyle w:val="Contents4"/>
            <w:tabs>
              <w:tab w:val="clear" w:pos="8176"/>
              <w:tab w:val="right" w:pos="9026" w:leader="dot"/>
            </w:tabs>
            <w:rPr/>
          </w:pPr>
          <w:hyperlink w:anchor="__RefHeading___Toc3538523_2314609296">
            <w:r>
              <w:rPr>
                <w:webHidden/>
                <w:rStyle w:val="IndexLink"/>
                <w:rtl w:val="true"/>
              </w:rPr>
              <w:t>[</w:t>
            </w:r>
            <w:r>
              <w:rPr>
                <w:rStyle w:val="IndexLink"/>
                <w:rtl w:val="true"/>
              </w:rPr>
              <w:t>الأقوال فی حکم الخروج من الدار المغصوبة لمن توسّطها بسوء اختیاره</w:t>
            </w:r>
            <w:r>
              <w:rPr>
                <w:rStyle w:val="IndexLink"/>
                <w:rtl w:val="true"/>
              </w:rPr>
              <w:tab/>
            </w:r>
            <w:r>
              <w:rPr>
                <w:rStyle w:val="IndexLink"/>
              </w:rPr>
              <w:t>128</w:t>
            </w:r>
          </w:hyperlink>
        </w:p>
        <w:p>
          <w:pPr>
            <w:pStyle w:val="Contents4"/>
            <w:tabs>
              <w:tab w:val="clear" w:pos="8176"/>
              <w:tab w:val="right" w:pos="9026" w:leader="dot"/>
            </w:tabs>
            <w:rPr/>
          </w:pPr>
          <w:hyperlink w:anchor="__RefHeading___Toc3538525_2314609296">
            <w:r>
              <w:rPr>
                <w:webHidden/>
                <w:rStyle w:val="IndexLink"/>
                <w:rtl w:val="true"/>
              </w:rPr>
              <w:t>[</w:t>
            </w:r>
            <w:r>
              <w:rPr>
                <w:rStyle w:val="IndexLink"/>
                <w:rtl w:val="true"/>
              </w:rPr>
              <w:t>الإشکال فیما ذکر فی الفصول قدّس سرّه من کون الخروج واجبا فعلا و منهیا عنه بالنهی السابق الساقط بالاضطرار</w:t>
            </w:r>
            <w:r>
              <w:rPr>
                <w:rStyle w:val="IndexLink"/>
                <w:rtl w:val="true"/>
              </w:rPr>
              <w:t>]</w:t>
              <w:tab/>
            </w:r>
            <w:r>
              <w:rPr>
                <w:rStyle w:val="IndexLink"/>
              </w:rPr>
              <w:t>130</w:t>
            </w:r>
          </w:hyperlink>
        </w:p>
        <w:p>
          <w:pPr>
            <w:pStyle w:val="Contents4"/>
            <w:tabs>
              <w:tab w:val="clear" w:pos="8176"/>
              <w:tab w:val="right" w:pos="9026" w:leader="dot"/>
            </w:tabs>
            <w:rPr/>
          </w:pPr>
          <w:hyperlink w:anchor="__RefHeading___Toc3538527_2314609296">
            <w:r>
              <w:rPr>
                <w:webHidden/>
                <w:rStyle w:val="IndexLink"/>
                <w:rtl w:val="true"/>
              </w:rPr>
              <w:t>[</w:t>
            </w:r>
            <w:r>
              <w:rPr>
                <w:rStyle w:val="IndexLink"/>
                <w:rtl w:val="true"/>
              </w:rPr>
              <w:t>کلام مبسوط حول حقیقة مختار الآخوند قدّس سرّه فی حکم الخروج</w:t>
            </w:r>
            <w:r>
              <w:rPr>
                <w:rStyle w:val="IndexLink"/>
                <w:rtl w:val="true"/>
              </w:rPr>
              <w:tab/>
            </w:r>
            <w:r>
              <w:rPr>
                <w:rStyle w:val="IndexLink"/>
              </w:rPr>
              <w:t>131</w:t>
            </w:r>
          </w:hyperlink>
        </w:p>
        <w:p>
          <w:pPr>
            <w:pStyle w:val="Contents4"/>
            <w:tabs>
              <w:tab w:val="clear" w:pos="8176"/>
              <w:tab w:val="right" w:pos="9026" w:leader="dot"/>
            </w:tabs>
            <w:rPr/>
          </w:pPr>
          <w:hyperlink w:anchor="__RefHeading___Toc3538529_2314609296">
            <w:r>
              <w:rPr>
                <w:webHidden/>
                <w:rStyle w:val="IndexLink"/>
                <w:rtl w:val="true"/>
              </w:rPr>
              <w:t>[</w:t>
            </w:r>
            <w:r>
              <w:rPr>
                <w:rStyle w:val="IndexLink"/>
                <w:rtl w:val="true"/>
              </w:rPr>
              <w:t>التعلیق علی ما ذکره النائینی قدّس سرّه من عدم دخول المقام فی قاعدة الامتناع</w:t>
            </w:r>
            <w:r>
              <w:rPr>
                <w:rStyle w:val="IndexLink"/>
                <w:rtl w:val="true"/>
              </w:rPr>
              <w:tab/>
            </w:r>
            <w:r>
              <w:rPr>
                <w:rStyle w:val="IndexLink"/>
              </w:rPr>
              <w:t>133</w:t>
            </w:r>
          </w:hyperlink>
        </w:p>
        <w:p>
          <w:pPr>
            <w:pStyle w:val="Contents4"/>
            <w:tabs>
              <w:tab w:val="clear" w:pos="8176"/>
              <w:tab w:val="right" w:pos="9026" w:leader="dot"/>
            </w:tabs>
            <w:rPr/>
          </w:pPr>
          <w:hyperlink w:anchor="__RefHeading___Toc3538531_2314609296">
            <w:r>
              <w:rPr>
                <w:webHidden/>
                <w:rStyle w:val="IndexLink"/>
                <w:rtl w:val="true"/>
              </w:rPr>
              <w:t>[</w:t>
            </w:r>
            <w:r>
              <w:rPr>
                <w:rStyle w:val="IndexLink"/>
                <w:rtl w:val="true"/>
              </w:rPr>
              <w:t>تتمّة أو توضیح فی صحّة النهی عن الخروج علی نحو الاطلاق</w:t>
            </w:r>
            <w:r>
              <w:rPr>
                <w:rStyle w:val="IndexLink"/>
                <w:rtl w:val="true"/>
              </w:rPr>
              <w:tab/>
            </w:r>
            <w:r>
              <w:rPr>
                <w:rStyle w:val="IndexLink"/>
              </w:rPr>
              <w:t>147</w:t>
            </w:r>
          </w:hyperlink>
        </w:p>
        <w:p>
          <w:pPr>
            <w:pStyle w:val="Contents4"/>
            <w:tabs>
              <w:tab w:val="clear" w:pos="8176"/>
              <w:tab w:val="right" w:pos="9026" w:leader="dot"/>
            </w:tabs>
            <w:rPr/>
          </w:pPr>
          <w:hyperlink w:anchor="__RefHeading___Toc3538533_2314609296">
            <w:r>
              <w:rPr>
                <w:webHidden/>
                <w:rStyle w:val="IndexLink"/>
                <w:rtl w:val="true"/>
              </w:rPr>
              <w:t>[</w:t>
            </w:r>
            <w:r>
              <w:rPr>
                <w:rStyle w:val="IndexLink"/>
                <w:rtl w:val="true"/>
              </w:rPr>
              <w:t>التعلیق علی ما ذهب إلیه الماتن قدّس سرّه من دخول المقام فی قاعدة ردّ المال إلی صاحبه</w:t>
            </w:r>
            <w:r>
              <w:rPr>
                <w:rStyle w:val="IndexLink"/>
                <w:rtl w:val="true"/>
              </w:rPr>
              <w:tab/>
            </w:r>
            <w:r>
              <w:rPr>
                <w:rStyle w:val="IndexLink"/>
              </w:rPr>
              <w:t>154</w:t>
            </w:r>
          </w:hyperlink>
        </w:p>
        <w:p>
          <w:pPr>
            <w:pStyle w:val="Contents4"/>
            <w:tabs>
              <w:tab w:val="clear" w:pos="8176"/>
              <w:tab w:val="right" w:pos="9026" w:leader="dot"/>
            </w:tabs>
            <w:rPr/>
          </w:pPr>
          <w:hyperlink w:anchor="__RefHeading___Toc3538535_2314609296">
            <w:r>
              <w:rPr>
                <w:webHidden/>
                <w:rStyle w:val="IndexLink"/>
                <w:rtl w:val="true"/>
              </w:rPr>
              <w:t>[</w:t>
            </w:r>
            <w:r>
              <w:rPr>
                <w:rStyle w:val="IndexLink"/>
                <w:rtl w:val="true"/>
              </w:rPr>
              <w:t>تحقیق رشیق فی عدم دلیل علی وجوب ردّ مال الغیر سوی ما دلّ علی حرمة الغصب</w:t>
            </w:r>
            <w:r>
              <w:rPr>
                <w:rStyle w:val="IndexLink"/>
                <w:rtl w:val="true"/>
              </w:rPr>
              <w:tab/>
            </w:r>
            <w:r>
              <w:rPr>
                <w:rStyle w:val="IndexLink"/>
              </w:rPr>
              <w:t>156</w:t>
            </w:r>
          </w:hyperlink>
        </w:p>
        <w:p>
          <w:pPr>
            <w:pStyle w:val="Contents4"/>
            <w:tabs>
              <w:tab w:val="clear" w:pos="8176"/>
              <w:tab w:val="right" w:pos="9026" w:leader="dot"/>
            </w:tabs>
            <w:rPr/>
          </w:pPr>
          <w:hyperlink w:anchor="__RefHeading___Toc3538537_2314609296">
            <w:r>
              <w:rPr>
                <w:webHidden/>
                <w:rStyle w:val="IndexLink"/>
                <w:rtl w:val="true"/>
              </w:rPr>
              <w:t>[</w:t>
            </w:r>
            <w:r>
              <w:rPr>
                <w:rStyle w:val="IndexLink"/>
                <w:rtl w:val="true"/>
              </w:rPr>
              <w:t>مناقشات المصنّف مع السیّد الخوئی قدّس سرّهما فی المقام</w:t>
            </w:r>
            <w:r>
              <w:rPr>
                <w:rStyle w:val="IndexLink"/>
                <w:rtl w:val="true"/>
              </w:rPr>
              <w:tab/>
            </w:r>
            <w:r>
              <w:rPr>
                <w:rStyle w:val="IndexLink"/>
              </w:rPr>
              <w:t>161</w:t>
            </w:r>
          </w:hyperlink>
        </w:p>
        <w:p>
          <w:pPr>
            <w:pStyle w:val="Contents4"/>
            <w:tabs>
              <w:tab w:val="clear" w:pos="8176"/>
              <w:tab w:val="right" w:pos="9026" w:leader="dot"/>
            </w:tabs>
            <w:rPr/>
          </w:pPr>
          <w:hyperlink w:anchor="__RefHeading___Toc3538539_2314609296">
            <w:r>
              <w:rPr>
                <w:webHidden/>
                <w:rStyle w:val="IndexLink"/>
                <w:rtl w:val="true"/>
              </w:rPr>
              <w:t>[</w:t>
            </w:r>
            <w:r>
              <w:rPr>
                <w:rStyle w:val="IndexLink"/>
                <w:rtl w:val="true"/>
              </w:rPr>
              <w:t>تعالیق علی کلمات صاحب الکفایة قدّس سرّه فی المقام</w:t>
            </w:r>
            <w:r>
              <w:rPr>
                <w:rStyle w:val="IndexLink"/>
                <w:rtl w:val="true"/>
              </w:rPr>
              <w:tab/>
            </w:r>
            <w:r>
              <w:rPr>
                <w:rStyle w:val="IndexLink"/>
              </w:rPr>
              <w:t>164</w:t>
            </w:r>
          </w:hyperlink>
        </w:p>
        <w:p>
          <w:pPr>
            <w:pStyle w:val="Contents4"/>
            <w:tabs>
              <w:tab w:val="clear" w:pos="8176"/>
              <w:tab w:val="right" w:pos="9026" w:leader="dot"/>
            </w:tabs>
            <w:rPr/>
          </w:pPr>
          <w:hyperlink w:anchor="__RefHeading___Toc3538541_2314609296">
            <w:r>
              <w:rPr>
                <w:webHidden/>
                <w:rStyle w:val="IndexLink"/>
                <w:rtl w:val="true"/>
              </w:rPr>
              <w:t>[</w:t>
            </w:r>
            <w:r>
              <w:rPr>
                <w:rStyle w:val="IndexLink"/>
                <w:rtl w:val="true"/>
              </w:rPr>
              <w:t>التعلیق علی ما ذهب إلیه الماتن قدّس سرّه من عدم حرمة الخروج</w:t>
            </w:r>
            <w:r>
              <w:rPr>
                <w:rStyle w:val="IndexLink"/>
                <w:rtl w:val="true"/>
              </w:rPr>
              <w:tab/>
            </w:r>
            <w:r>
              <w:rPr>
                <w:rStyle w:val="IndexLink"/>
              </w:rPr>
              <w:t>169</w:t>
            </w:r>
          </w:hyperlink>
        </w:p>
        <w:p>
          <w:pPr>
            <w:pStyle w:val="Contents4"/>
            <w:tabs>
              <w:tab w:val="clear" w:pos="8176"/>
              <w:tab w:val="right" w:pos="9026" w:leader="dot"/>
            </w:tabs>
            <w:rPr/>
          </w:pPr>
          <w:hyperlink w:anchor="__RefHeading___Toc3538543_2314609296">
            <w:r>
              <w:rPr>
                <w:webHidden/>
                <w:rStyle w:val="IndexLink"/>
                <w:rtl w:val="true"/>
              </w:rPr>
              <w:t>[</w:t>
            </w:r>
            <w:r>
              <w:rPr>
                <w:rStyle w:val="IndexLink"/>
                <w:rtl w:val="true"/>
              </w:rPr>
              <w:t>حکم الصلاة حال الخروج من الغصب</w:t>
            </w:r>
            <w:r>
              <w:rPr>
                <w:rStyle w:val="IndexLink"/>
                <w:rtl w:val="true"/>
              </w:rPr>
              <w:tab/>
            </w:r>
            <w:r>
              <w:rPr>
                <w:rStyle w:val="IndexLink"/>
              </w:rPr>
              <w:t>175</w:t>
            </w:r>
          </w:hyperlink>
        </w:p>
        <w:p>
          <w:pPr>
            <w:pStyle w:val="Contents3"/>
            <w:tabs>
              <w:tab w:val="clear" w:pos="8459"/>
              <w:tab w:val="right" w:pos="9026" w:leader="dot"/>
            </w:tabs>
            <w:rPr/>
          </w:pPr>
          <w:hyperlink w:anchor="__RefHeading___Toc3538545_2314609296">
            <w:r>
              <w:rPr>
                <w:webHidden/>
                <w:rStyle w:val="IndexLink"/>
                <w:rtl w:val="true"/>
              </w:rPr>
              <w:t>[</w:t>
            </w:r>
            <w:r>
              <w:rPr>
                <w:rStyle w:val="IndexLink"/>
                <w:rtl w:val="true"/>
              </w:rPr>
              <w:t>دلالة النهی علی الفساد</w:t>
            </w:r>
            <w:r>
              <w:rPr>
                <w:rStyle w:val="IndexLink"/>
                <w:rtl w:val="true"/>
              </w:rPr>
              <w:t>]</w:t>
              <w:tab/>
            </w:r>
            <w:r>
              <w:rPr>
                <w:rStyle w:val="IndexLink"/>
              </w:rPr>
              <w:t>186</w:t>
            </w:r>
          </w:hyperlink>
        </w:p>
        <w:p>
          <w:pPr>
            <w:pStyle w:val="Contents4"/>
            <w:tabs>
              <w:tab w:val="clear" w:pos="8176"/>
              <w:tab w:val="right" w:pos="9026" w:leader="dot"/>
            </w:tabs>
            <w:rPr/>
          </w:pPr>
          <w:hyperlink w:anchor="__RefHeading___Toc3538547_2314609296">
            <w:r>
              <w:rPr>
                <w:webHidden/>
                <w:rStyle w:val="IndexLink"/>
                <w:rtl w:val="true"/>
              </w:rPr>
              <w:t>[</w:t>
            </w:r>
            <w:r>
              <w:rPr>
                <w:rStyle w:val="IndexLink"/>
                <w:rtl w:val="true"/>
              </w:rPr>
              <w:t>الکلام فی شمول النهی فی المقام للنهی التنزیهی</w:t>
            </w:r>
            <w:r>
              <w:rPr>
                <w:rStyle w:val="IndexLink"/>
                <w:rtl w:val="true"/>
              </w:rPr>
              <w:tab/>
            </w:r>
            <w:r>
              <w:rPr>
                <w:rStyle w:val="IndexLink"/>
              </w:rPr>
              <w:t>186</w:t>
            </w:r>
          </w:hyperlink>
        </w:p>
        <w:p>
          <w:pPr>
            <w:pStyle w:val="Contents4"/>
            <w:tabs>
              <w:tab w:val="clear" w:pos="8176"/>
              <w:tab w:val="right" w:pos="9026" w:leader="dot"/>
            </w:tabs>
            <w:rPr/>
          </w:pPr>
          <w:hyperlink w:anchor="__RefHeading___Toc3538549_2314609296">
            <w:r>
              <w:rPr>
                <w:webHidden/>
                <w:rStyle w:val="IndexLink"/>
                <w:rtl w:val="true"/>
              </w:rPr>
              <w:t>[</w:t>
            </w:r>
            <w:r>
              <w:rPr>
                <w:rStyle w:val="IndexLink"/>
                <w:rtl w:val="true"/>
              </w:rPr>
              <w:t>الکلام فی شمول النهی للنهی الغیری</w:t>
            </w:r>
            <w:r>
              <w:rPr>
                <w:rStyle w:val="IndexLink"/>
                <w:rtl w:val="true"/>
              </w:rPr>
              <w:tab/>
            </w:r>
            <w:r>
              <w:rPr>
                <w:rStyle w:val="IndexLink"/>
              </w:rPr>
              <w:t>196</w:t>
            </w:r>
          </w:hyperlink>
        </w:p>
        <w:p>
          <w:pPr>
            <w:pStyle w:val="Contents4"/>
            <w:tabs>
              <w:tab w:val="clear" w:pos="8176"/>
              <w:tab w:val="right" w:pos="9026" w:leader="dot"/>
            </w:tabs>
            <w:rPr/>
          </w:pPr>
          <w:hyperlink w:anchor="__RefHeading___Toc3538551_2314609296">
            <w:r>
              <w:rPr>
                <w:webHidden/>
                <w:rStyle w:val="IndexLink"/>
                <w:rtl w:val="true"/>
              </w:rPr>
              <w:t>[</w:t>
            </w:r>
            <w:r>
              <w:rPr>
                <w:rStyle w:val="IndexLink"/>
                <w:rtl w:val="true"/>
              </w:rPr>
              <w:t>مراحل فساد العبادة</w:t>
            </w:r>
            <w:r>
              <w:rPr>
                <w:rStyle w:val="IndexLink"/>
                <w:rtl w:val="true"/>
              </w:rPr>
              <w:t>]</w:t>
              <w:tab/>
            </w:r>
            <w:r>
              <w:rPr>
                <w:rStyle w:val="IndexLink"/>
              </w:rPr>
              <w:t>203</w:t>
            </w:r>
          </w:hyperlink>
        </w:p>
        <w:p>
          <w:pPr>
            <w:pStyle w:val="Contents4"/>
            <w:tabs>
              <w:tab w:val="clear" w:pos="8176"/>
              <w:tab w:val="right" w:pos="9026" w:leader="dot"/>
            </w:tabs>
            <w:rPr/>
          </w:pPr>
          <w:hyperlink w:anchor="__RefHeading___Toc3538553_2314609296">
            <w:r>
              <w:rPr>
                <w:webHidden/>
                <w:rStyle w:val="IndexLink"/>
                <w:rtl w:val="true"/>
              </w:rPr>
              <w:t>[</w:t>
            </w:r>
            <w:r>
              <w:rPr>
                <w:rStyle w:val="IndexLink"/>
                <w:rtl w:val="true"/>
              </w:rPr>
              <w:t>معنی العبادة فی المقام</w:t>
            </w:r>
            <w:r>
              <w:rPr>
                <w:rStyle w:val="IndexLink"/>
                <w:rtl w:val="true"/>
              </w:rPr>
              <w:tab/>
            </w:r>
            <w:r>
              <w:rPr>
                <w:rStyle w:val="IndexLink"/>
              </w:rPr>
              <w:t>216</w:t>
            </w:r>
          </w:hyperlink>
        </w:p>
        <w:p>
          <w:pPr>
            <w:pStyle w:val="Contents4"/>
            <w:tabs>
              <w:tab w:val="clear" w:pos="8176"/>
              <w:tab w:val="right" w:pos="9026" w:leader="dot"/>
            </w:tabs>
            <w:rPr/>
          </w:pPr>
          <w:hyperlink w:anchor="__RefHeading___Toc3538555_2314609296">
            <w:r>
              <w:rPr>
                <w:webHidden/>
                <w:rStyle w:val="IndexLink"/>
                <w:rtl w:val="true"/>
              </w:rPr>
              <w:t>[</w:t>
            </w:r>
            <w:r>
              <w:rPr>
                <w:rStyle w:val="IndexLink"/>
                <w:rtl w:val="true"/>
              </w:rPr>
              <w:t>معنی المعاملة فی المقام</w:t>
            </w:r>
            <w:r>
              <w:rPr>
                <w:rStyle w:val="IndexLink"/>
                <w:rtl w:val="true"/>
              </w:rPr>
              <w:tab/>
            </w:r>
            <w:r>
              <w:rPr>
                <w:rStyle w:val="IndexLink"/>
              </w:rPr>
              <w:t>218</w:t>
            </w:r>
          </w:hyperlink>
        </w:p>
        <w:p>
          <w:pPr>
            <w:pStyle w:val="Contents4"/>
            <w:tabs>
              <w:tab w:val="clear" w:pos="8176"/>
              <w:tab w:val="right" w:pos="9026" w:leader="dot"/>
            </w:tabs>
            <w:rPr/>
          </w:pPr>
          <w:hyperlink w:anchor="__RefHeading___Toc3538557_2314609296">
            <w:r>
              <w:rPr>
                <w:webHidden/>
                <w:rStyle w:val="IndexLink"/>
                <w:rtl w:val="true"/>
              </w:rPr>
              <w:t>[</w:t>
            </w:r>
            <w:r>
              <w:rPr>
                <w:rStyle w:val="IndexLink"/>
                <w:rtl w:val="true"/>
              </w:rPr>
              <w:t>بیان نوع التقابل بین الصحّة و الفساد</w:t>
            </w:r>
            <w:r>
              <w:rPr>
                <w:rStyle w:val="IndexLink"/>
                <w:rtl w:val="true"/>
              </w:rPr>
              <w:t>]</w:t>
              <w:tab/>
            </w:r>
            <w:r>
              <w:rPr>
                <w:rStyle w:val="IndexLink"/>
              </w:rPr>
              <w:t>230</w:t>
            </w:r>
          </w:hyperlink>
        </w:p>
        <w:p>
          <w:pPr>
            <w:pStyle w:val="Contents4"/>
            <w:tabs>
              <w:tab w:val="clear" w:pos="8176"/>
              <w:tab w:val="right" w:pos="9026" w:leader="dot"/>
            </w:tabs>
            <w:rPr/>
          </w:pPr>
          <w:hyperlink w:anchor="__RefHeading___Toc3538559_2314609296">
            <w:r>
              <w:rPr>
                <w:webHidden/>
                <w:rStyle w:val="IndexLink"/>
                <w:rtl w:val="true"/>
              </w:rPr>
              <w:t>[</w:t>
            </w:r>
            <w:r>
              <w:rPr>
                <w:rStyle w:val="IndexLink"/>
                <w:rtl w:val="true"/>
              </w:rPr>
              <w:t>الکلام فیما یقابل الصحّة من الفساد و العیب</w:t>
            </w:r>
            <w:r>
              <w:rPr>
                <w:rStyle w:val="IndexLink"/>
                <w:rtl w:val="true"/>
              </w:rPr>
              <w:tab/>
            </w:r>
            <w:r>
              <w:rPr>
                <w:rStyle w:val="IndexLink"/>
              </w:rPr>
              <w:t>235</w:t>
            </w:r>
          </w:hyperlink>
        </w:p>
        <w:p>
          <w:pPr>
            <w:pStyle w:val="Contents4"/>
            <w:tabs>
              <w:tab w:val="clear" w:pos="8176"/>
              <w:tab w:val="right" w:pos="9026" w:leader="dot"/>
            </w:tabs>
            <w:rPr/>
          </w:pPr>
          <w:hyperlink w:anchor="__RefHeading___Toc3538561_2314609296">
            <w:r>
              <w:rPr>
                <w:webHidden/>
                <w:rStyle w:val="IndexLink"/>
                <w:rtl w:val="true"/>
              </w:rPr>
              <w:t>[</w:t>
            </w:r>
            <w:r>
              <w:rPr>
                <w:rStyle w:val="IndexLink"/>
                <w:rtl w:val="true"/>
              </w:rPr>
              <w:t>مناقشة مع السیّد الخوئی قدّس سرّه فی اتّصاف المعاملات بالصحّة و الفساد</w:t>
            </w:r>
            <w:r>
              <w:rPr>
                <w:rStyle w:val="IndexLink"/>
                <w:rtl w:val="true"/>
              </w:rPr>
              <w:t>]</w:t>
              <w:tab/>
            </w:r>
            <w:r>
              <w:rPr>
                <w:rStyle w:val="IndexLink"/>
              </w:rPr>
              <w:t>238</w:t>
            </w:r>
          </w:hyperlink>
        </w:p>
        <w:p>
          <w:pPr>
            <w:pStyle w:val="Contents4"/>
            <w:tabs>
              <w:tab w:val="clear" w:pos="8176"/>
              <w:tab w:val="right" w:pos="9026" w:leader="dot"/>
            </w:tabs>
            <w:rPr/>
          </w:pPr>
          <w:hyperlink w:anchor="__RefHeading___Toc3538563_2314609296">
            <w:r>
              <w:rPr>
                <w:webHidden/>
                <w:rStyle w:val="IndexLink"/>
                <w:rtl w:val="true"/>
              </w:rPr>
              <w:t>[</w:t>
            </w:r>
            <w:r>
              <w:rPr>
                <w:rStyle w:val="IndexLink"/>
                <w:rtl w:val="true"/>
              </w:rPr>
              <w:t>تعالیق علی کلمات لصاحب الکفایة قدّس سرّه فی معنی الصحّة و الفساد</w:t>
            </w:r>
            <w:r>
              <w:rPr>
                <w:rStyle w:val="IndexLink"/>
                <w:rtl w:val="true"/>
              </w:rPr>
              <w:t>]</w:t>
              <w:tab/>
            </w:r>
            <w:r>
              <w:rPr>
                <w:rStyle w:val="IndexLink"/>
              </w:rPr>
              <w:t>240</w:t>
            </w:r>
          </w:hyperlink>
        </w:p>
        <w:p>
          <w:pPr>
            <w:pStyle w:val="Contents4"/>
            <w:tabs>
              <w:tab w:val="clear" w:pos="8176"/>
              <w:tab w:val="right" w:pos="9026" w:leader="dot"/>
            </w:tabs>
            <w:rPr/>
          </w:pPr>
          <w:hyperlink w:anchor="__RefHeading___Toc3538565_2314609296">
            <w:r>
              <w:rPr>
                <w:webHidden/>
                <w:rStyle w:val="IndexLink"/>
                <w:rtl w:val="true"/>
              </w:rPr>
              <w:t>[</w:t>
            </w:r>
            <w:r>
              <w:rPr>
                <w:rStyle w:val="IndexLink"/>
                <w:rtl w:val="true"/>
              </w:rPr>
              <w:t>هل الصحّة و الفساد مجعولان أو غیر مجعولین؟</w:t>
            </w:r>
            <w:r>
              <w:rPr>
                <w:rStyle w:val="IndexLink"/>
                <w:rtl w:val="true"/>
              </w:rPr>
              <w:t>]</w:t>
              <w:tab/>
            </w:r>
            <w:r>
              <w:rPr>
                <w:rStyle w:val="IndexLink"/>
              </w:rPr>
              <w:t>243</w:t>
            </w:r>
          </w:hyperlink>
        </w:p>
        <w:p>
          <w:pPr>
            <w:pStyle w:val="Contents4"/>
            <w:tabs>
              <w:tab w:val="clear" w:pos="8176"/>
              <w:tab w:val="right" w:pos="9026" w:leader="dot"/>
            </w:tabs>
            <w:rPr/>
          </w:pPr>
          <w:hyperlink w:anchor="__RefHeading___Toc3538567_2314609296">
            <w:r>
              <w:rPr>
                <w:webHidden/>
                <w:rStyle w:val="IndexLink"/>
                <w:rtl w:val="true"/>
              </w:rPr>
              <w:t>[</w:t>
            </w:r>
            <w:r>
              <w:rPr>
                <w:rStyle w:val="IndexLink"/>
                <w:rtl w:val="true"/>
              </w:rPr>
              <w:t>عموم النزاع لما إذا لم یکن دلیل علی صحّة المنهی عنه لو لا النهی</w:t>
            </w:r>
            <w:r>
              <w:rPr>
                <w:rStyle w:val="IndexLink"/>
                <w:rtl w:val="true"/>
              </w:rPr>
              <w:tab/>
            </w:r>
            <w:r>
              <w:rPr>
                <w:rStyle w:val="IndexLink"/>
              </w:rPr>
              <w:t>257</w:t>
            </w:r>
          </w:hyperlink>
        </w:p>
        <w:p>
          <w:pPr>
            <w:pStyle w:val="Contents4"/>
            <w:tabs>
              <w:tab w:val="clear" w:pos="8176"/>
              <w:tab w:val="right" w:pos="9026" w:leader="dot"/>
            </w:tabs>
            <w:rPr/>
          </w:pPr>
          <w:hyperlink w:anchor="__RefHeading___Toc3538569_2314609296">
            <w:r>
              <w:rPr>
                <w:webHidden/>
                <w:rStyle w:val="IndexLink"/>
                <w:rtl w:val="true"/>
              </w:rPr>
              <w:t>[</w:t>
            </w:r>
            <w:r>
              <w:rPr>
                <w:rStyle w:val="IndexLink"/>
                <w:rtl w:val="true"/>
              </w:rPr>
              <w:t>مقتضی الأصل العملی عند الشکّ فی صحّة العبادة و المعاملة</w:t>
            </w:r>
            <w:r>
              <w:rPr>
                <w:rStyle w:val="IndexLink"/>
                <w:rtl w:val="true"/>
              </w:rPr>
              <w:t>]</w:t>
              <w:tab/>
            </w:r>
            <w:r>
              <w:rPr>
                <w:rStyle w:val="IndexLink"/>
              </w:rPr>
              <w:t>260</w:t>
            </w:r>
          </w:hyperlink>
        </w:p>
        <w:p>
          <w:pPr>
            <w:pStyle w:val="Contents4"/>
            <w:tabs>
              <w:tab w:val="clear" w:pos="8176"/>
              <w:tab w:val="right" w:pos="9026" w:leader="dot"/>
            </w:tabs>
            <w:rPr/>
          </w:pPr>
          <w:hyperlink w:anchor="__RefHeading___Toc3538571_2314609296">
            <w:r>
              <w:rPr>
                <w:webHidden/>
                <w:rStyle w:val="IndexLink"/>
                <w:rtl w:val="true"/>
              </w:rPr>
              <w:t>[</w:t>
            </w:r>
            <w:r>
              <w:rPr>
                <w:rStyle w:val="IndexLink"/>
                <w:rtl w:val="true"/>
              </w:rPr>
              <w:t>شبهة عدم استناد فساد العبادة إلی النهی و الجواب عنها</w:t>
            </w:r>
            <w:r>
              <w:rPr>
                <w:rStyle w:val="IndexLink"/>
                <w:rtl w:val="true"/>
              </w:rPr>
              <w:t>]</w:t>
              <w:tab/>
            </w:r>
            <w:r>
              <w:rPr>
                <w:rStyle w:val="IndexLink"/>
              </w:rPr>
              <w:t>276</w:t>
            </w:r>
          </w:hyperlink>
        </w:p>
        <w:p>
          <w:pPr>
            <w:pStyle w:val="Contents4"/>
            <w:tabs>
              <w:tab w:val="clear" w:pos="8176"/>
              <w:tab w:val="right" w:pos="9026" w:leader="dot"/>
            </w:tabs>
            <w:rPr/>
          </w:pPr>
          <w:hyperlink w:anchor="__RefHeading___Toc3538573_2314609296">
            <w:r>
              <w:rPr>
                <w:webHidden/>
                <w:rStyle w:val="IndexLink"/>
                <w:rtl w:val="true"/>
              </w:rPr>
              <w:t>[</w:t>
            </w:r>
            <w:r>
              <w:rPr>
                <w:rStyle w:val="IndexLink"/>
                <w:rtl w:val="true"/>
              </w:rPr>
              <w:t>شبهة عدم وجود عبادة منهی عنها لذاتها و الجواب عنها</w:t>
            </w:r>
            <w:r>
              <w:rPr>
                <w:rStyle w:val="IndexLink"/>
                <w:rtl w:val="true"/>
              </w:rPr>
              <w:t>]</w:t>
              <w:tab/>
            </w:r>
            <w:r>
              <w:rPr>
                <w:rStyle w:val="IndexLink"/>
              </w:rPr>
              <w:t>281</w:t>
            </w:r>
          </w:hyperlink>
        </w:p>
        <w:p>
          <w:pPr>
            <w:pStyle w:val="Contents4"/>
            <w:tabs>
              <w:tab w:val="clear" w:pos="8176"/>
              <w:tab w:val="right" w:pos="9026" w:leader="dot"/>
            </w:tabs>
            <w:rPr/>
          </w:pPr>
          <w:hyperlink w:anchor="__RefHeading___Toc3538575_2314609296">
            <w:r>
              <w:rPr>
                <w:webHidden/>
                <w:rStyle w:val="IndexLink"/>
                <w:rtl w:val="true"/>
              </w:rPr>
              <w:t>[</w:t>
            </w:r>
            <w:r>
              <w:rPr>
                <w:rStyle w:val="IndexLink"/>
                <w:rtl w:val="true"/>
              </w:rPr>
              <w:t>الاستدلال علی اقتضاء النهی عن عبادة فسادها</w:t>
            </w:r>
            <w:r>
              <w:rPr>
                <w:rStyle w:val="IndexLink"/>
                <w:rtl w:val="true"/>
              </w:rPr>
              <w:t>]</w:t>
              <w:tab/>
            </w:r>
            <w:r>
              <w:rPr>
                <w:rStyle w:val="IndexLink"/>
              </w:rPr>
              <w:t>283</w:t>
            </w:r>
          </w:hyperlink>
        </w:p>
        <w:p>
          <w:pPr>
            <w:pStyle w:val="Contents4"/>
            <w:tabs>
              <w:tab w:val="clear" w:pos="8176"/>
              <w:tab w:val="right" w:pos="9026" w:leader="dot"/>
            </w:tabs>
            <w:rPr/>
          </w:pPr>
          <w:hyperlink w:anchor="__RefHeading___Toc3538577_2314609296">
            <w:r>
              <w:rPr>
                <w:webHidden/>
                <w:rStyle w:val="IndexLink"/>
                <w:rtl w:val="true"/>
              </w:rPr>
              <w:t>[</w:t>
            </w:r>
            <w:r>
              <w:rPr>
                <w:rStyle w:val="IndexLink"/>
                <w:rtl w:val="true"/>
              </w:rPr>
              <w:t>الاستدلال علی اقتضاء النهی عن جزء العبادة فسادها</w:t>
            </w:r>
            <w:r>
              <w:rPr>
                <w:rStyle w:val="IndexLink"/>
                <w:rtl w:val="true"/>
              </w:rPr>
              <w:t>]</w:t>
              <w:tab/>
            </w:r>
            <w:r>
              <w:rPr>
                <w:rStyle w:val="IndexLink"/>
              </w:rPr>
              <w:t>284</w:t>
            </w:r>
          </w:hyperlink>
        </w:p>
        <w:p>
          <w:pPr>
            <w:pStyle w:val="Contents4"/>
            <w:tabs>
              <w:tab w:val="clear" w:pos="8176"/>
              <w:tab w:val="right" w:pos="9026" w:leader="dot"/>
            </w:tabs>
            <w:rPr/>
          </w:pPr>
          <w:hyperlink w:anchor="__RefHeading___Toc3538579_2314609296">
            <w:r>
              <w:rPr>
                <w:webHidden/>
                <w:rStyle w:val="IndexLink"/>
                <w:rtl w:val="true"/>
              </w:rPr>
              <w:t>[</w:t>
            </w:r>
            <w:r>
              <w:rPr>
                <w:rStyle w:val="IndexLink"/>
                <w:rtl w:val="true"/>
              </w:rPr>
              <w:t>الاستدلال علی اقتضاء النهی عن وصف العبادة أو شرطها فسادها</w:t>
            </w:r>
            <w:r>
              <w:rPr>
                <w:rStyle w:val="IndexLink"/>
                <w:rtl w:val="true"/>
              </w:rPr>
              <w:t>]</w:t>
              <w:tab/>
            </w:r>
            <w:r>
              <w:rPr>
                <w:rStyle w:val="IndexLink"/>
              </w:rPr>
              <w:t>301</w:t>
            </w:r>
          </w:hyperlink>
        </w:p>
        <w:p>
          <w:pPr>
            <w:pStyle w:val="Contents4"/>
            <w:tabs>
              <w:tab w:val="clear" w:pos="8176"/>
              <w:tab w:val="right" w:pos="9026" w:leader="dot"/>
            </w:tabs>
            <w:rPr/>
          </w:pPr>
          <w:hyperlink w:anchor="__RefHeading___Toc3538581_2314609296">
            <w:r>
              <w:rPr>
                <w:webHidden/>
                <w:rStyle w:val="IndexLink"/>
                <w:rtl w:val="true"/>
              </w:rPr>
              <w:t>[</w:t>
            </w:r>
            <w:r>
              <w:rPr>
                <w:rStyle w:val="IndexLink"/>
                <w:rtl w:val="true"/>
              </w:rPr>
              <w:t>صور مانعیة شی‌ء عن صحّة العبادة و بحث مفصّل حول مانعیة لبس الحریر</w:t>
            </w:r>
            <w:r>
              <w:rPr>
                <w:rStyle w:val="IndexLink"/>
                <w:rtl w:val="true"/>
              </w:rPr>
              <w:t>]</w:t>
              <w:tab/>
            </w:r>
            <w:r>
              <w:rPr>
                <w:rStyle w:val="IndexLink"/>
              </w:rPr>
              <w:t>305</w:t>
            </w:r>
          </w:hyperlink>
        </w:p>
        <w:p>
          <w:pPr>
            <w:pStyle w:val="Contents4"/>
            <w:tabs>
              <w:tab w:val="clear" w:pos="8176"/>
              <w:tab w:val="right" w:pos="9026" w:leader="dot"/>
            </w:tabs>
            <w:rPr/>
          </w:pPr>
          <w:hyperlink w:anchor="__RefHeading___Toc3538583_2314609296">
            <w:r>
              <w:rPr>
                <w:webHidden/>
                <w:rStyle w:val="IndexLink"/>
                <w:rtl w:val="true"/>
              </w:rPr>
              <w:t>[</w:t>
            </w:r>
            <w:r>
              <w:rPr>
                <w:rStyle w:val="IndexLink"/>
                <w:rtl w:val="true"/>
              </w:rPr>
              <w:t>الکلام فی اقتضاء النهی عن معاملة فسادها</w:t>
            </w:r>
            <w:r>
              <w:rPr>
                <w:rStyle w:val="IndexLink"/>
                <w:rtl w:val="true"/>
              </w:rPr>
              <w:t>]</w:t>
              <w:tab/>
            </w:r>
            <w:r>
              <w:rPr>
                <w:rStyle w:val="IndexLink"/>
              </w:rPr>
              <w:t>329</w:t>
            </w:r>
          </w:hyperlink>
        </w:p>
        <w:p>
          <w:pPr>
            <w:pStyle w:val="Contents4"/>
            <w:tabs>
              <w:tab w:val="clear" w:pos="8176"/>
              <w:tab w:val="right" w:pos="9026" w:leader="dot"/>
            </w:tabs>
            <w:rPr/>
          </w:pPr>
          <w:hyperlink w:anchor="__RefHeading___Toc3538585_2314609296">
            <w:r>
              <w:rPr>
                <w:webHidden/>
                <w:rStyle w:val="IndexLink"/>
                <w:rtl w:val="true"/>
              </w:rPr>
              <w:t>[</w:t>
            </w:r>
            <w:r>
              <w:rPr>
                <w:rStyle w:val="IndexLink"/>
                <w:rtl w:val="true"/>
              </w:rPr>
              <w:t>الکلام فی أخذ الأجرة علی الواجب أو الحرام و حکم المعاملة أو العبادة المأمور بضدّها</w:t>
            </w:r>
            <w:r>
              <w:rPr>
                <w:rStyle w:val="IndexLink"/>
                <w:rtl w:val="true"/>
              </w:rPr>
              <w:t>]</w:t>
              <w:tab/>
            </w:r>
            <w:r>
              <w:rPr>
                <w:rStyle w:val="IndexLink"/>
              </w:rPr>
              <w:t>335</w:t>
            </w:r>
          </w:hyperlink>
        </w:p>
        <w:p>
          <w:pPr>
            <w:pStyle w:val="Contents4"/>
            <w:tabs>
              <w:tab w:val="clear" w:pos="8176"/>
              <w:tab w:val="right" w:pos="9026" w:leader="dot"/>
            </w:tabs>
            <w:rPr/>
          </w:pPr>
          <w:hyperlink w:anchor="__RefHeading___Toc3538587_2314609296">
            <w:r>
              <w:rPr>
                <w:webHidden/>
                <w:rStyle w:val="IndexLink"/>
                <w:rtl w:val="true"/>
              </w:rPr>
              <w:t>[</w:t>
            </w:r>
            <w:r>
              <w:rPr>
                <w:rStyle w:val="IndexLink"/>
                <w:rtl w:val="true"/>
              </w:rPr>
              <w:t>المناقشة فی تفسیر السبب بإیجاد المعاملة و المسبّب باسم المصدر</w:t>
            </w:r>
            <w:r>
              <w:rPr>
                <w:rStyle w:val="IndexLink"/>
                <w:rtl w:val="true"/>
              </w:rPr>
              <w:t>]</w:t>
              <w:tab/>
            </w:r>
            <w:r>
              <w:rPr>
                <w:rStyle w:val="IndexLink"/>
              </w:rPr>
              <w:t>340</w:t>
            </w:r>
          </w:hyperlink>
        </w:p>
        <w:p>
          <w:pPr>
            <w:pStyle w:val="Contents4"/>
            <w:tabs>
              <w:tab w:val="clear" w:pos="8176"/>
              <w:tab w:val="right" w:pos="9026" w:leader="dot"/>
            </w:tabs>
            <w:rPr/>
          </w:pPr>
          <w:hyperlink w:anchor="__RefHeading___Toc3538589_2314609296">
            <w:r>
              <w:rPr>
                <w:webHidden/>
                <w:rStyle w:val="IndexLink"/>
                <w:rtl w:val="true"/>
              </w:rPr>
              <w:t>[</w:t>
            </w:r>
            <w:r>
              <w:rPr>
                <w:rStyle w:val="IndexLink"/>
                <w:rtl w:val="true"/>
              </w:rPr>
              <w:t>مناقشات مع السیّد الخوئی قدّس سرّه فیما ذهب إلیه من أنّ المعاملات تتضمّن اعتبارا نفسیا و مبرزا خارجیا و أنّ النهی عنهما لا یقتضی الفساد</w:t>
            </w:r>
            <w:r>
              <w:rPr>
                <w:rStyle w:val="IndexLink"/>
                <w:rtl w:val="true"/>
              </w:rPr>
              <w:t>]</w:t>
              <w:tab/>
            </w:r>
            <w:r>
              <w:rPr>
                <w:rStyle w:val="IndexLink"/>
              </w:rPr>
              <w:t>341</w:t>
            </w:r>
          </w:hyperlink>
        </w:p>
        <w:p>
          <w:pPr>
            <w:pStyle w:val="Contents4"/>
            <w:tabs>
              <w:tab w:val="clear" w:pos="8176"/>
              <w:tab w:val="right" w:pos="9026" w:leader="dot"/>
            </w:tabs>
            <w:rPr/>
          </w:pPr>
          <w:hyperlink w:anchor="__RefHeading___Toc3538591_2314609296">
            <w:r>
              <w:rPr>
                <w:webHidden/>
                <w:rStyle w:val="IndexLink"/>
                <w:rtl w:val="true"/>
              </w:rPr>
              <w:t>[</w:t>
            </w:r>
            <w:r>
              <w:rPr>
                <w:rStyle w:val="IndexLink"/>
                <w:rtl w:val="true"/>
              </w:rPr>
              <w:t>عود إلی مسألة أخذ الأجرة علی الواجب أو الحرام و حکم المعاملة المأمور بضدّها أو بترکها</w:t>
            </w:r>
            <w:r>
              <w:rPr>
                <w:rStyle w:val="IndexLink"/>
                <w:rtl w:val="true"/>
              </w:rPr>
              <w:t>]</w:t>
              <w:tab/>
            </w:r>
            <w:r>
              <w:rPr>
                <w:rStyle w:val="IndexLink"/>
              </w:rPr>
              <w:t>347</w:t>
            </w:r>
          </w:hyperlink>
        </w:p>
        <w:p>
          <w:pPr>
            <w:pStyle w:val="Contents4"/>
            <w:tabs>
              <w:tab w:val="clear" w:pos="8176"/>
              <w:tab w:val="right" w:pos="9026" w:leader="dot"/>
            </w:tabs>
            <w:rPr/>
          </w:pPr>
          <w:hyperlink w:anchor="__RefHeading___Toc3538593_2314609296">
            <w:r>
              <w:rPr>
                <w:webHidden/>
                <w:rStyle w:val="IndexLink"/>
                <w:rtl w:val="true"/>
              </w:rPr>
              <w:t>[</w:t>
            </w:r>
            <w:r>
              <w:rPr>
                <w:rStyle w:val="IndexLink"/>
                <w:rtl w:val="true"/>
              </w:rPr>
              <w:t>مناقشات مع السیّد الخوئی قدّس سرّه فی مسألة نکاح العبد بدون إذن سیّده</w:t>
            </w:r>
            <w:r>
              <w:rPr>
                <w:rStyle w:val="IndexLink"/>
                <w:rtl w:val="true"/>
              </w:rPr>
              <w:tab/>
            </w:r>
            <w:r>
              <w:rPr>
                <w:rStyle w:val="IndexLink"/>
              </w:rPr>
              <w:t>352</w:t>
            </w:r>
          </w:hyperlink>
        </w:p>
        <w:p>
          <w:pPr>
            <w:pStyle w:val="Contents4"/>
            <w:tabs>
              <w:tab w:val="clear" w:pos="8176"/>
              <w:tab w:val="right" w:pos="9026" w:leader="dot"/>
            </w:tabs>
            <w:rPr/>
          </w:pPr>
          <w:hyperlink w:anchor="__RefHeading___Toc3538595_2314609296">
            <w:r>
              <w:rPr>
                <w:webHidden/>
                <w:rStyle w:val="IndexLink"/>
                <w:rtl w:val="true"/>
              </w:rPr>
              <w:t>[</w:t>
            </w:r>
            <w:r>
              <w:rPr>
                <w:rStyle w:val="IndexLink"/>
                <w:rtl w:val="true"/>
              </w:rPr>
              <w:t>ذکر الروایات الواردة فی نکاح العبد بدون إذن سیّده</w:t>
            </w:r>
            <w:r>
              <w:rPr>
                <w:rStyle w:val="IndexLink"/>
                <w:rtl w:val="true"/>
              </w:rPr>
              <w:tab/>
            </w:r>
            <w:r>
              <w:rPr>
                <w:rStyle w:val="IndexLink"/>
              </w:rPr>
              <w:t>355</w:t>
            </w:r>
          </w:hyperlink>
        </w:p>
        <w:p>
          <w:pPr>
            <w:pStyle w:val="Contents4"/>
            <w:tabs>
              <w:tab w:val="clear" w:pos="8176"/>
              <w:tab w:val="right" w:pos="9026" w:leader="dot"/>
            </w:tabs>
            <w:rPr/>
          </w:pPr>
          <w:hyperlink w:anchor="__RefHeading___Toc3538597_2314609296">
            <w:r>
              <w:rPr>
                <w:webHidden/>
                <w:rStyle w:val="IndexLink"/>
                <w:rtl w:val="true"/>
              </w:rPr>
              <w:t>[</w:t>
            </w:r>
            <w:r>
              <w:rPr>
                <w:rStyle w:val="IndexLink"/>
                <w:rtl w:val="true"/>
              </w:rPr>
              <w:t>هل تجری أصالة عدم المشروعیة عند الشکّ فی مشروعیة العبادة؟</w:t>
            </w:r>
            <w:r>
              <w:rPr>
                <w:rStyle w:val="IndexLink"/>
                <w:rtl w:val="true"/>
              </w:rPr>
              <w:t>]</w:t>
              <w:tab/>
            </w:r>
            <w:r>
              <w:rPr>
                <w:rStyle w:val="IndexLink"/>
              </w:rPr>
              <w:t>358</w:t>
            </w:r>
          </w:hyperlink>
        </w:p>
        <w:p>
          <w:pPr>
            <w:pStyle w:val="Contents4"/>
            <w:tabs>
              <w:tab w:val="clear" w:pos="8176"/>
              <w:tab w:val="right" w:pos="9026" w:leader="dot"/>
            </w:tabs>
            <w:rPr/>
          </w:pPr>
          <w:hyperlink w:anchor="__RefHeading___Toc3538599_2314609296">
            <w:r>
              <w:rPr>
                <w:webHidden/>
                <w:rStyle w:val="IndexLink"/>
                <w:rtl w:val="true"/>
              </w:rPr>
              <w:t>[</w:t>
            </w:r>
            <w:r>
              <w:rPr>
                <w:rStyle w:val="IndexLink"/>
                <w:rtl w:val="true"/>
              </w:rPr>
              <w:t>الجواب عن محذور لزوم التسلسل من القول بمولویة أوامر الاطاعة</w:t>
            </w:r>
            <w:r>
              <w:rPr>
                <w:rStyle w:val="IndexLink"/>
                <w:rtl w:val="true"/>
              </w:rPr>
              <w:t>]</w:t>
              <w:tab/>
            </w:r>
            <w:r>
              <w:rPr>
                <w:rStyle w:val="IndexLink"/>
              </w:rPr>
              <w:t>366</w:t>
            </w:r>
          </w:hyperlink>
        </w:p>
        <w:p>
          <w:pPr>
            <w:pStyle w:val="Contents4"/>
            <w:tabs>
              <w:tab w:val="clear" w:pos="8176"/>
              <w:tab w:val="right" w:pos="9026" w:leader="dot"/>
            </w:tabs>
            <w:rPr/>
          </w:pPr>
          <w:hyperlink w:anchor="__RefHeading___Toc3538601_2314609296">
            <w:r>
              <w:rPr>
                <w:webHidden/>
                <w:rStyle w:val="IndexLink"/>
                <w:rtl w:val="true"/>
              </w:rPr>
              <w:t>[</w:t>
            </w:r>
            <w:r>
              <w:rPr>
                <w:rStyle w:val="IndexLink"/>
                <w:rtl w:val="true"/>
              </w:rPr>
              <w:t>إشارة إلی بعض البراهین التی أقاموها علی عدم معقولیة عدم التناهی</w:t>
            </w:r>
            <w:r>
              <w:rPr>
                <w:rStyle w:val="IndexLink"/>
                <w:rtl w:val="true"/>
              </w:rPr>
              <w:tab/>
            </w:r>
            <w:r>
              <w:rPr>
                <w:rStyle w:val="IndexLink"/>
              </w:rPr>
              <w:t>372</w:t>
            </w:r>
          </w:hyperlink>
        </w:p>
        <w:p>
          <w:pPr>
            <w:pStyle w:val="Contents4"/>
            <w:tabs>
              <w:tab w:val="clear" w:pos="8176"/>
              <w:tab w:val="right" w:pos="9026" w:leader="dot"/>
            </w:tabs>
            <w:rPr/>
          </w:pPr>
          <w:hyperlink w:anchor="__RefHeading___Toc3538603_2314609296">
            <w:r>
              <w:rPr>
                <w:webHidden/>
                <w:rStyle w:val="IndexLink"/>
                <w:rtl w:val="true"/>
              </w:rPr>
              <w:t>[</w:t>
            </w:r>
            <w:r>
              <w:rPr>
                <w:rStyle w:val="IndexLink"/>
                <w:rtl w:val="true"/>
              </w:rPr>
              <w:t>ذکر أمور استطرد بها الماتن فی نهایة بحث اقتضاء النهی التشریعی للفساد</w:t>
            </w:r>
            <w:r>
              <w:rPr>
                <w:rStyle w:val="IndexLink"/>
                <w:rtl w:val="true"/>
              </w:rPr>
              <w:t>]</w:t>
              <w:tab/>
            </w:r>
            <w:r>
              <w:rPr>
                <w:rStyle w:val="IndexLink"/>
              </w:rPr>
              <w:t>373</w:t>
            </w:r>
          </w:hyperlink>
        </w:p>
        <w:p>
          <w:pPr>
            <w:pStyle w:val="Contents3"/>
            <w:tabs>
              <w:tab w:val="clear" w:pos="8459"/>
              <w:tab w:val="right" w:pos="9026" w:leader="dot"/>
            </w:tabs>
            <w:rPr/>
          </w:pPr>
          <w:hyperlink w:anchor="__RefHeading___Toc3538605_2314609296">
            <w:r>
              <w:rPr>
                <w:webHidden/>
                <w:rStyle w:val="IndexLink"/>
                <w:rtl w:val="true"/>
              </w:rPr>
              <w:t>[</w:t>
            </w:r>
            <w:r>
              <w:rPr>
                <w:rStyle w:val="IndexLink"/>
                <w:rtl w:val="true"/>
              </w:rPr>
              <w:t>مبحث المفاهیم</w:t>
            </w:r>
            <w:r>
              <w:rPr>
                <w:rStyle w:val="IndexLink"/>
                <w:rtl w:val="true"/>
              </w:rPr>
              <w:tab/>
            </w:r>
            <w:r>
              <w:rPr>
                <w:rStyle w:val="IndexLink"/>
              </w:rPr>
              <w:t>379</w:t>
            </w:r>
          </w:hyperlink>
        </w:p>
        <w:p>
          <w:pPr>
            <w:pStyle w:val="Contents4"/>
            <w:tabs>
              <w:tab w:val="clear" w:pos="8176"/>
              <w:tab w:val="right" w:pos="9026" w:leader="dot"/>
            </w:tabs>
            <w:rPr/>
          </w:pPr>
          <w:hyperlink w:anchor="__RefHeading___Toc3538607_2314609296">
            <w:r>
              <w:rPr>
                <w:webHidden/>
                <w:rStyle w:val="IndexLink"/>
                <w:rtl w:val="true"/>
              </w:rPr>
              <w:t>[</w:t>
            </w:r>
            <w:r>
              <w:rPr>
                <w:rStyle w:val="IndexLink"/>
                <w:rtl w:val="true"/>
              </w:rPr>
              <w:t>فی بیان المراد من المفهوم</w:t>
            </w:r>
            <w:r>
              <w:rPr>
                <w:rStyle w:val="IndexLink"/>
                <w:rtl w:val="true"/>
              </w:rPr>
              <w:tab/>
            </w:r>
            <w:r>
              <w:rPr>
                <w:rStyle w:val="IndexLink"/>
              </w:rPr>
              <w:t>379</w:t>
            </w:r>
          </w:hyperlink>
        </w:p>
        <w:p>
          <w:pPr>
            <w:pStyle w:val="Contents5"/>
            <w:tabs>
              <w:tab w:val="clear" w:pos="7892"/>
              <w:tab w:val="right" w:pos="9026" w:leader="dot"/>
            </w:tabs>
            <w:rPr/>
          </w:pPr>
          <w:hyperlink w:anchor="__RefHeading___Toc3538609_2314609296">
            <w:r>
              <w:rPr>
                <w:webHidden/>
                <w:rStyle w:val="IndexLink"/>
                <w:rtl w:val="true"/>
              </w:rPr>
              <w:t>[</w:t>
            </w:r>
            <w:r>
              <w:rPr>
                <w:rStyle w:val="IndexLink"/>
                <w:rtl w:val="true"/>
              </w:rPr>
              <w:t>التأمّل فی کون المفهوم مشترکا لفظیا</w:t>
            </w:r>
            <w:r>
              <w:rPr>
                <w:rStyle w:val="IndexLink"/>
                <w:rtl w:val="true"/>
              </w:rPr>
              <w:t>]</w:t>
              <w:tab/>
            </w:r>
            <w:r>
              <w:rPr>
                <w:rStyle w:val="IndexLink"/>
              </w:rPr>
              <w:t>379</w:t>
            </w:r>
          </w:hyperlink>
        </w:p>
        <w:p>
          <w:pPr>
            <w:pStyle w:val="Contents5"/>
            <w:tabs>
              <w:tab w:val="clear" w:pos="7892"/>
              <w:tab w:val="right" w:pos="9026" w:leader="dot"/>
            </w:tabs>
            <w:rPr/>
          </w:pPr>
          <w:hyperlink w:anchor="__RefHeading___Toc3538611_2314609296">
            <w:r>
              <w:rPr>
                <w:webHidden/>
                <w:rStyle w:val="IndexLink"/>
                <w:rtl w:val="true"/>
              </w:rPr>
              <w:t>[</w:t>
            </w:r>
            <w:r>
              <w:rPr>
                <w:rStyle w:val="IndexLink"/>
                <w:rtl w:val="true"/>
              </w:rPr>
              <w:t>دخول الدلالة التضمّنیة فی الدلالة الالتزامیة</w:t>
            </w:r>
            <w:r>
              <w:rPr>
                <w:rStyle w:val="IndexLink"/>
                <w:rtl w:val="true"/>
              </w:rPr>
              <w:t>]</w:t>
              <w:tab/>
            </w:r>
            <w:r>
              <w:rPr>
                <w:rStyle w:val="IndexLink"/>
              </w:rPr>
              <w:t>380</w:t>
            </w:r>
          </w:hyperlink>
        </w:p>
        <w:p>
          <w:pPr>
            <w:pStyle w:val="Contents5"/>
            <w:tabs>
              <w:tab w:val="clear" w:pos="7892"/>
              <w:tab w:val="right" w:pos="9026" w:leader="dot"/>
            </w:tabs>
            <w:rPr/>
          </w:pPr>
          <w:hyperlink w:anchor="__RefHeading___Toc3538613_2314609296">
            <w:r>
              <w:rPr>
                <w:webHidden/>
                <w:rStyle w:val="IndexLink"/>
                <w:rtl w:val="true"/>
              </w:rPr>
              <w:t>[</w:t>
            </w:r>
            <w:r>
              <w:rPr>
                <w:rStyle w:val="IndexLink"/>
                <w:rtl w:val="true"/>
              </w:rPr>
              <w:t>الفرق بین المفهوم و بین الدلالة الالتزامیة باصطلاح المنطقیین</w:t>
            </w:r>
            <w:r>
              <w:rPr>
                <w:rStyle w:val="IndexLink"/>
                <w:rtl w:val="true"/>
              </w:rPr>
              <w:tab/>
            </w:r>
            <w:r>
              <w:rPr>
                <w:rStyle w:val="IndexLink"/>
              </w:rPr>
              <w:t>381</w:t>
            </w:r>
          </w:hyperlink>
        </w:p>
        <w:p>
          <w:pPr>
            <w:pStyle w:val="Contents5"/>
            <w:tabs>
              <w:tab w:val="clear" w:pos="7892"/>
              <w:tab w:val="right" w:pos="9026" w:leader="dot"/>
            </w:tabs>
            <w:rPr/>
          </w:pPr>
          <w:hyperlink w:anchor="__RefHeading___Toc3538615_2314609296">
            <w:r>
              <w:rPr>
                <w:webHidden/>
                <w:rStyle w:val="IndexLink"/>
                <w:rtl w:val="true"/>
              </w:rPr>
              <w:t>[</w:t>
            </w:r>
            <w:r>
              <w:rPr>
                <w:rStyle w:val="IndexLink"/>
                <w:rtl w:val="true"/>
              </w:rPr>
              <w:t>الفرق بین اللزوم البیّن بالمعنی الأعمّ و الأخصّ</w:t>
            </w:r>
            <w:r>
              <w:rPr>
                <w:rStyle w:val="IndexLink"/>
                <w:rtl w:val="true"/>
              </w:rPr>
              <w:tab/>
            </w:r>
            <w:r>
              <w:rPr>
                <w:rStyle w:val="IndexLink"/>
              </w:rPr>
              <w:t>384</w:t>
            </w:r>
          </w:hyperlink>
        </w:p>
        <w:p>
          <w:pPr>
            <w:pStyle w:val="Contents5"/>
            <w:tabs>
              <w:tab w:val="clear" w:pos="7892"/>
              <w:tab w:val="right" w:pos="9026" w:leader="dot"/>
            </w:tabs>
            <w:rPr/>
          </w:pPr>
          <w:hyperlink w:anchor="__RefHeading___Toc3538617_2314609296">
            <w:r>
              <w:rPr>
                <w:webHidden/>
                <w:rStyle w:val="IndexLink"/>
                <w:rtl w:val="true"/>
              </w:rPr>
              <w:t>[</w:t>
            </w:r>
            <w:r>
              <w:rPr>
                <w:rStyle w:val="IndexLink"/>
                <w:rtl w:val="true"/>
              </w:rPr>
              <w:t>تنبیه</w:t>
            </w:r>
            <w:r>
              <w:rPr>
                <w:rStyle w:val="IndexLink"/>
                <w:rtl w:val="true"/>
              </w:rPr>
              <w:t xml:space="preserve">: </w:t>
            </w:r>
            <w:r>
              <w:rPr>
                <w:rStyle w:val="IndexLink"/>
                <w:rtl w:val="true"/>
              </w:rPr>
              <w:t>فی الجواب عن إشکال ربما یذکر علی کون مدرک الدلالة الالتزامیة هو اللزوم الذهنی البیّن بالمعنی الأخصّ</w:t>
            </w:r>
            <w:r>
              <w:rPr>
                <w:rStyle w:val="IndexLink"/>
                <w:rtl w:val="true"/>
              </w:rPr>
              <w:tab/>
            </w:r>
            <w:r>
              <w:rPr>
                <w:rStyle w:val="IndexLink"/>
              </w:rPr>
              <w:t>387</w:t>
            </w:r>
          </w:hyperlink>
        </w:p>
        <w:p>
          <w:pPr>
            <w:pStyle w:val="Contents5"/>
            <w:tabs>
              <w:tab w:val="clear" w:pos="7892"/>
              <w:tab w:val="right" w:pos="9026" w:leader="dot"/>
            </w:tabs>
            <w:rPr/>
          </w:pPr>
          <w:hyperlink w:anchor="__RefHeading___Toc3538619_2314609296">
            <w:r>
              <w:rPr>
                <w:webHidden/>
                <w:rStyle w:val="IndexLink"/>
                <w:rtl w:val="true"/>
              </w:rPr>
              <w:t>[</w:t>
            </w:r>
            <w:r>
              <w:rPr>
                <w:rStyle w:val="IndexLink"/>
                <w:rtl w:val="true"/>
              </w:rPr>
              <w:t>نقل کلام العراقی قدّس سرّه فی أقسام الملازمة و مراتبها</w:t>
            </w:r>
            <w:r>
              <w:rPr>
                <w:rStyle w:val="IndexLink"/>
                <w:rtl w:val="true"/>
              </w:rPr>
              <w:t>]</w:t>
              <w:tab/>
            </w:r>
            <w:r>
              <w:rPr>
                <w:rStyle w:val="IndexLink"/>
              </w:rPr>
              <w:t>389</w:t>
            </w:r>
          </w:hyperlink>
        </w:p>
        <w:p>
          <w:pPr>
            <w:pStyle w:val="Contents4"/>
            <w:tabs>
              <w:tab w:val="clear" w:pos="8176"/>
              <w:tab w:val="right" w:pos="9026" w:leader="dot"/>
            </w:tabs>
            <w:rPr/>
          </w:pPr>
          <w:hyperlink w:anchor="__RefHeading___Toc3538621_2314609296">
            <w:r>
              <w:rPr>
                <w:webHidden/>
                <w:rStyle w:val="IndexLink"/>
                <w:rtl w:val="true"/>
              </w:rPr>
              <w:t>[</w:t>
            </w:r>
            <w:r>
              <w:rPr>
                <w:rStyle w:val="IndexLink"/>
                <w:rtl w:val="true"/>
              </w:rPr>
              <w:t>الکلام فی مفهوم الشرط</w:t>
            </w:r>
            <w:r>
              <w:rPr>
                <w:rStyle w:val="IndexLink"/>
                <w:rtl w:val="true"/>
              </w:rPr>
              <w:t>]</w:t>
              <w:tab/>
            </w:r>
            <w:r>
              <w:rPr>
                <w:rStyle w:val="IndexLink"/>
              </w:rPr>
              <w:t>394</w:t>
            </w:r>
          </w:hyperlink>
        </w:p>
        <w:p>
          <w:pPr>
            <w:pStyle w:val="Contents5"/>
            <w:tabs>
              <w:tab w:val="clear" w:pos="7892"/>
              <w:tab w:val="right" w:pos="9026" w:leader="dot"/>
            </w:tabs>
            <w:rPr/>
          </w:pPr>
          <w:hyperlink w:anchor="__RefHeading___Toc3538623_2314609296">
            <w:r>
              <w:rPr>
                <w:webHidden/>
                <w:rStyle w:val="IndexLink"/>
                <w:rtl w:val="true"/>
              </w:rPr>
              <w:t>[</w:t>
            </w:r>
            <w:r>
              <w:rPr>
                <w:rStyle w:val="IndexLink"/>
                <w:rtl w:val="true"/>
              </w:rPr>
              <w:t>تحقیق رشیق حول ما یتوقّف علیه ثبوت المفهوم من علّیة الشرط و انحصارها</w:t>
            </w:r>
            <w:r>
              <w:rPr>
                <w:rStyle w:val="IndexLink"/>
                <w:rtl w:val="true"/>
              </w:rPr>
              <w:t>]</w:t>
              <w:tab/>
            </w:r>
            <w:r>
              <w:rPr>
                <w:rStyle w:val="IndexLink"/>
              </w:rPr>
              <w:t>394</w:t>
            </w:r>
          </w:hyperlink>
        </w:p>
        <w:p>
          <w:pPr>
            <w:pStyle w:val="Contents5"/>
            <w:tabs>
              <w:tab w:val="clear" w:pos="7892"/>
              <w:tab w:val="right" w:pos="9026" w:leader="dot"/>
            </w:tabs>
            <w:rPr/>
          </w:pPr>
          <w:hyperlink w:anchor="__RefHeading___Toc3538625_2314609296">
            <w:r>
              <w:rPr>
                <w:webHidden/>
                <w:rStyle w:val="IndexLink"/>
                <w:rtl w:val="true"/>
              </w:rPr>
              <w:t>[</w:t>
            </w:r>
            <w:r>
              <w:rPr>
                <w:rStyle w:val="IndexLink"/>
                <w:rtl w:val="true"/>
              </w:rPr>
              <w:t>خلاصة ما ذکره المحقّق العراقی قدّس سرّه فی المقام</w:t>
            </w:r>
            <w:r>
              <w:rPr>
                <w:rStyle w:val="IndexLink"/>
                <w:rtl w:val="true"/>
              </w:rPr>
              <w:tab/>
            </w:r>
            <w:r>
              <w:rPr>
                <w:rStyle w:val="IndexLink"/>
              </w:rPr>
              <w:t>420</w:t>
            </w:r>
          </w:hyperlink>
        </w:p>
        <w:p>
          <w:pPr>
            <w:pStyle w:val="Contents5"/>
            <w:tabs>
              <w:tab w:val="clear" w:pos="7892"/>
              <w:tab w:val="right" w:pos="9026" w:leader="dot"/>
            </w:tabs>
            <w:rPr/>
          </w:pPr>
          <w:hyperlink w:anchor="__RefHeading___Toc3538627_2314609296">
            <w:r>
              <w:rPr>
                <w:webHidden/>
                <w:rStyle w:val="IndexLink"/>
                <w:rtl w:val="true"/>
              </w:rPr>
              <w:t>[</w:t>
            </w:r>
            <w:r>
              <w:rPr>
                <w:rStyle w:val="IndexLink"/>
                <w:rtl w:val="true"/>
              </w:rPr>
              <w:t>فی جزئیة المفهوم و کلّیته مع کون الحکم فی التالی موجبة أو سالبة کلّیة و مناقشات مع السیّد الخوئی قدّس سرّه فی المقام</w:t>
            </w:r>
            <w:r>
              <w:rPr>
                <w:rStyle w:val="IndexLink"/>
                <w:rtl w:val="true"/>
              </w:rPr>
              <w:tab/>
            </w:r>
            <w:r>
              <w:rPr>
                <w:rStyle w:val="IndexLink"/>
              </w:rPr>
              <w:t>427</w:t>
            </w:r>
          </w:hyperlink>
        </w:p>
        <w:p>
          <w:pPr>
            <w:pStyle w:val="Contents5"/>
            <w:tabs>
              <w:tab w:val="clear" w:pos="7892"/>
              <w:tab w:val="right" w:pos="9026" w:leader="dot"/>
            </w:tabs>
            <w:rPr/>
          </w:pPr>
          <w:hyperlink w:anchor="__RefHeading___Toc3538629_2314609296">
            <w:r>
              <w:rPr>
                <w:webHidden/>
                <w:rStyle w:val="IndexLink"/>
                <w:rtl w:val="true"/>
              </w:rPr>
              <w:t>[</w:t>
            </w:r>
            <w:r>
              <w:rPr>
                <w:rStyle w:val="IndexLink"/>
                <w:rtl w:val="true"/>
              </w:rPr>
              <w:t>ما یمکن أن یستند إلیه فی کون المتنجّس منجّسا</w:t>
            </w:r>
            <w:r>
              <w:rPr>
                <w:rStyle w:val="IndexLink"/>
                <w:rtl w:val="true"/>
              </w:rPr>
              <w:t>]</w:t>
              <w:tab/>
            </w:r>
            <w:r>
              <w:rPr>
                <w:rStyle w:val="IndexLink"/>
              </w:rPr>
              <w:t>432</w:t>
            </w:r>
          </w:hyperlink>
        </w:p>
        <w:p>
          <w:pPr>
            <w:pStyle w:val="Contents2"/>
            <w:tabs>
              <w:tab w:val="clear" w:pos="8743"/>
              <w:tab w:val="right" w:pos="9026" w:leader="dot"/>
            </w:tabs>
            <w:rPr/>
          </w:pPr>
          <w:hyperlink w:anchor="__RefHeading___Toc3538631_2314609296">
            <w:r>
              <w:rPr>
                <w:webHidden/>
                <w:rStyle w:val="IndexLink"/>
                <w:rtl w:val="true"/>
              </w:rPr>
              <w:t>فهرس الموضوعات</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67_764954"/>
      <w:bookmarkStart w:id="1" w:name="pg19667_764954"/>
      <w:bookmarkEnd w:id="1"/>
    </w:p>
    <w:p>
      <w:pPr>
        <w:pStyle w:val="Heading2"/>
        <w:numPr>
          <w:ilvl w:val="1"/>
          <w:numId w:val="1"/>
        </w:numPr>
        <w:rPr/>
      </w:pPr>
      <w:bookmarkStart w:id="2" w:name="pg19667_764954"/>
      <w:bookmarkStart w:id="3" w:name="__RefHeading___Toc3538447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حسین</w:t>
      </w:r>
    </w:p>
    <w:p>
      <w:pPr>
        <w:pStyle w:val="BookText"/>
        <w:rPr/>
      </w:pPr>
      <w:r>
        <w:rPr>
          <w:rFonts w:eastAsia="Times New Roman" w:cs="Times New Roman" w:ascii="Times New Roman" w:hAnsi="Times New Roman"/>
          <w:color w:val="111111"/>
          <w:sz w:val="28"/>
          <w:szCs w:val="28"/>
          <w:lang w:val="en-US" w:bidi="en-US"/>
        </w:rPr>
        <w:t>Hilli, Husayn</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مکتبه‌الفقه والاصول‌المختصه،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6005213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 بر اساس جلد یازدهم،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۲۵۹۳۷۹۹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8449_2314609296"/>
      <w:bookmarkStart w:id="6" w:name="_Toc2"/>
      <w:bookmarkEnd w:id="5"/>
      <w:r>
        <w:rPr>
          <w:rtl w:val="true"/>
        </w:rPr>
        <w:t>اشارة</w:t>
      </w:r>
      <w:bookmarkStart w:id="7" w:name="pg19667_764956"/>
      <w:bookmarkEnd w:id="6"/>
    </w:p>
    <w:p>
      <w:pPr>
        <w:pStyle w:val="Heading2"/>
        <w:numPr>
          <w:ilvl w:val="1"/>
          <w:numId w:val="1"/>
        </w:numPr>
        <w:rPr/>
      </w:pPr>
      <w:bookmarkStart w:id="8" w:name="__RefHeading___Toc3538451_2314609296"/>
      <w:bookmarkStart w:id="9" w:name="_Toc3"/>
      <w:bookmarkEnd w:id="7"/>
      <w:bookmarkEnd w:id="8"/>
      <w:r>
        <w:rPr>
          <w:rtl w:val="true"/>
        </w:rPr>
        <w:t>[</w:t>
      </w:r>
      <w:r>
        <w:rPr>
          <w:rtl w:val="true"/>
        </w:rPr>
        <w:t>المقصد الثانی النواهی</w:t>
      </w:r>
      <w:bookmarkEnd w:id="9"/>
    </w:p>
    <w:p>
      <w:pPr>
        <w:pStyle w:val="Heading3"/>
        <w:numPr>
          <w:ilvl w:val="2"/>
          <w:numId w:val="1"/>
        </w:numPr>
        <w:rPr/>
      </w:pPr>
      <w:bookmarkStart w:id="10" w:name="__RefHeading___Toc3538453_2314609296"/>
      <w:bookmarkStart w:id="11" w:name="_Toc4"/>
      <w:bookmarkEnd w:id="10"/>
      <w:r>
        <w:rPr>
          <w:rtl w:val="true"/>
        </w:rPr>
        <w:t>[</w:t>
      </w:r>
      <w:r>
        <w:rPr>
          <w:rtl w:val="true"/>
        </w:rPr>
        <w:t>مادة النهی</w:t>
      </w:r>
      <w:bookmarkEnd w:id="11"/>
    </w:p>
    <w:p>
      <w:pPr>
        <w:pStyle w:val="Heading4"/>
        <w:numPr>
          <w:ilvl w:val="3"/>
          <w:numId w:val="1"/>
        </w:numPr>
        <w:rPr/>
      </w:pPr>
      <w:bookmarkStart w:id="12" w:name="__RefHeading___Toc3538455_2314609296"/>
      <w:bookmarkStart w:id="13" w:name="_Toc5"/>
      <w:bookmarkEnd w:id="12"/>
      <w:r>
        <w:rPr>
          <w:rtl w:val="true"/>
        </w:rPr>
        <w:t>[</w:t>
      </w:r>
      <w:r>
        <w:rPr>
          <w:rtl w:val="true"/>
        </w:rPr>
        <w:t>الفرق بین الأمر و النهی من حیث المعنی</w:t>
      </w:r>
      <w:bookmarkEnd w:id="1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 المطلوب فی النواهی هو نفس عدم الفعل دون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تقدّمت </w:t>
      </w:r>
      <w:r>
        <w:rPr>
          <w:rStyle w:val="FootnoteAnchor"/>
          <w:rtl w:val="true"/>
        </w:rPr>
        <w:footnoteReference w:id="3"/>
      </w:r>
      <w:r>
        <w:rPr>
          <w:rFonts w:ascii="IRNazanin" w:hAnsi="IRNazanin" w:eastAsia="IRNazanin"/>
          <w:color w:val="111111"/>
          <w:sz w:val="28"/>
          <w:sz w:val="28"/>
          <w:szCs w:val="28"/>
          <w:rtl w:val="true"/>
          <w:lang w:bidi="fa-IR"/>
        </w:rPr>
        <w:t>الإشارة فی مبحث دلالة الأمر علی النهی عن ضدّه العام بمعنی الترک إلی ما ربما یقال من الفرق بین الأمر و النهی بأنّ مفاد الأوّل طلب الفعل و مفاد الثانی الزجر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ناش عن صلاح فی الفعل و الثانی عن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تقدّمت </w:t>
      </w:r>
      <w:r>
        <w:rPr>
          <w:rStyle w:val="FootnoteAnchor"/>
          <w:rtl w:val="true"/>
        </w:rPr>
        <w:footnoteReference w:id="4"/>
      </w:r>
      <w:r>
        <w:rPr>
          <w:rFonts w:ascii="IRNazanin" w:hAnsi="IRNazanin" w:eastAsia="IRNazanin"/>
          <w:color w:val="111111"/>
          <w:sz w:val="28"/>
          <w:sz w:val="28"/>
          <w:szCs w:val="28"/>
          <w:rtl w:val="true"/>
          <w:lang w:bidi="fa-IR"/>
        </w:rPr>
        <w:t>الاشارة إلی أنّ مجرّد کون الأمر ناشئا عن صلاح فی متعلّقه و الثانی ناشئا عن فساد فیه لا یوجب کون النهی حقیقة و فی عالم التشریع من مقولة الردع و الزجر، بحیث یکون الحکم المشرّع واقعا هو مجرّد الردع و الزجر، بل إنّ ذلک جار فی الأمر أیضا فإنّ کونه ناشئا عن صلاح فی متعلّقه لا یوجب أن یکون الحکم الواقعی الذی هو موجود فی صفحة التشریع هو البعث و التحریک نحو المتعلّق، بل لیس الموجود فی عالم التشریع فی الأوامر إلّا طلب المتعلّق، کما أنّه لیس الموجود فی النواهی إلّا طلب الترک، نعم فی مقام إبراز ذلک الطلب یکون إبرازه فی الأوّل بآلة البعث و التحریک و فی الثانی بآلة الردع و الزجر، فنحن و إن قلنا إنّ الأحکام تابعة للمصالح و المفاسد، إلّا أنّ الحکم الناشئ عن المصلحة فی</w:t>
      </w:r>
      <w:bookmarkStart w:id="14" w:name="pg19667_764957"/>
    </w:p>
    <w:p>
      <w:pPr>
        <w:pStyle w:val="BookText"/>
        <w:rPr/>
      </w:pPr>
      <w:bookmarkEnd w:id="14"/>
      <w:r>
        <w:rPr>
          <w:rFonts w:ascii="IRNazanin" w:hAnsi="IRNazanin" w:eastAsia="IRNazanin"/>
          <w:color w:val="111111"/>
          <w:sz w:val="28"/>
          <w:sz w:val="28"/>
          <w:szCs w:val="28"/>
          <w:rtl w:val="true"/>
          <w:lang w:bidi="fa-IR"/>
        </w:rPr>
        <w:t>المتعلّق لا یلزم أن یکون هو نفس البعث و التحریک، کما أنّ الحکم الناشئ عن المفسدة فی المتعلّق لا یلزم أن یکون هو نفس الردع و الزجر، بل إنّ البعث و کذلک الزجر إنّما یکون فی مقام الابراز، 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مقام تحصیل ذلک الحکم الواقعی الذی هو الطلب یکون آلة ذلک هو البعث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هی آلة البعث و آلة الزجر الناشئین عن ذلک الطلب الذی هو المحبوبیة فی الأوامر و المبغوضیة فی النواهی، و تلک المحبوبیة هی الباعثة علی طلب ذلک الفعل المحبوب، و هاتیک المبغوضیة هی الباعثة علی طلب ترک ذلک الفعل المبغوض، فالحکم الحقیقی هو طلب الفعل و طلب الترک، و الصیغة الباعثة و الزاجرة آلات یکون إیجادها معربا عن ذلک الطلب المتعلّق بالفعل و الطلب المتعلّق بترک الفعل، و لیس البعث إلی الفعل الحاصل بصیغة الأمر إلّا کالدفع الخارجی لو حصل من الآمر بیده للمأمور نحو الفعل، و لیس الزجر عنه الحاصل بصیغة النهی إلّا کالدفع الخارجی لو حصل من الآمر بیده المأمور عن الفعل و تنحیته عنه تنحیة خارجیة، فکما أنّ ذلک الدفع الخارجی إلی الفعل و ذلک الدفع الخارجی عنه الحاصلین بالید لیسا من قبیل الأحکام الشرعیة بل لیسا إلّا ناشئین عنه، فکذلک ما یحصل بصیغة الأمر و ما یحصل بصیغة النهی لیس إلّا ناشئا عن الحکم الذی هو طلب الفعل و محبوبیته و النهی عنه و حرمته و مبغوضیته</w:t>
      </w:r>
      <w:r>
        <w:rPr>
          <w:rFonts w:eastAsia="IRNazanin" w:cs="IRNazanin"/>
          <w:color w:val="111111"/>
          <w:sz w:val="28"/>
          <w:szCs w:val="28"/>
          <w:rtl w:val="true"/>
          <w:lang w:bidi="fa-IR"/>
        </w:rPr>
        <w:t>.</w:t>
      </w:r>
    </w:p>
    <w:p>
      <w:pPr>
        <w:pStyle w:val="Heading4"/>
        <w:numPr>
          <w:ilvl w:val="3"/>
          <w:numId w:val="1"/>
        </w:numPr>
        <w:rPr/>
      </w:pPr>
      <w:bookmarkStart w:id="15" w:name="__RefHeading___Toc3538457_2314609296"/>
      <w:bookmarkStart w:id="16" w:name="_Toc6"/>
      <w:bookmarkEnd w:id="15"/>
      <w:r>
        <w:rPr>
          <w:rtl w:val="true"/>
        </w:rPr>
        <w:t>[</w:t>
      </w:r>
      <w:r>
        <w:rPr>
          <w:rtl w:val="true"/>
        </w:rPr>
        <w:t>أقسام النهی من حیث الانحلالیة و المجموعیة</w:t>
      </w:r>
      <w:r>
        <w:rPr>
          <w:rtl w:val="true"/>
        </w:rPr>
        <w:t>]</w:t>
      </w:r>
      <w:bookmarkEnd w:id="16"/>
    </w:p>
    <w:p>
      <w:pPr>
        <w:pStyle w:val="BookText"/>
        <w:rPr/>
      </w:pPr>
      <w:r>
        <w:rPr>
          <w:rFonts w:ascii="IRNazanin" w:hAnsi="IRNazanin" w:eastAsia="IRNazanin"/>
          <w:color w:val="111111"/>
          <w:sz w:val="28"/>
          <w:sz w:val="28"/>
          <w:szCs w:val="28"/>
          <w:rtl w:val="true"/>
          <w:lang w:bidi="fa-IR"/>
        </w:rPr>
        <w:t>و حیث کان الحکم الحقیقی الواقعی الذی هو موجود فی عالم التشریع لیس إلّا عبارة عن طلب الترک المتعلّق بصرف الطبیعة کان مقتضاه السلب الکلّی، بخلاف الطلب المتعلّق بوجود صرف الطبیعة فإنّه لا یکون إلّا إیجابا جزئیا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ذلک السلب الکلّی تارة یکون عبارة عن السلب الواحد الوارد علی</w:t>
      </w:r>
    </w:p>
    <w:p>
      <w:pPr>
        <w:pStyle w:val="BookText"/>
        <w:rPr/>
      </w:pPr>
      <w:r>
        <w:rPr>
          <w:rFonts w:ascii="IRNazanin" w:hAnsi="IRNazanin" w:eastAsia="IRNazanin"/>
          <w:color w:val="111111"/>
          <w:sz w:val="28"/>
          <w:sz w:val="28"/>
          <w:szCs w:val="28"/>
          <w:rtl w:val="true"/>
          <w:lang w:bidi="fa-IR"/>
        </w:rPr>
        <w:t>صرف الطبیعة فلا یکون إلّا مجموعیا، و أخری یکون عبارة عن آحاد السلوب الواردة علی الطبیعة باعتبار تعدّد وجودها فیکون انحلالیا، و ثالثة یکون ذلک السلب الواحد مأخوذا صفة للمکلّف و یکون من قبیل الموجبة المعدولة المحمول، و رابعة یکون علی نحو رفع الایجاب الکلّی مثل أن یقول لا تصدّق بکلّ خبر و لا تعمل بکلّ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الصور الأربع ذکرها شیخنا فی هذا المقام و فی باب العموم و الخصوص </w:t>
      </w:r>
      <w:r>
        <w:rPr>
          <w:rStyle w:val="FootnoteAnchor"/>
          <w:rtl w:val="true"/>
        </w:rPr>
        <w:footnoteReference w:id="5"/>
      </w:r>
      <w:r>
        <w:rPr>
          <w:rFonts w:ascii="IRNazanin" w:hAnsi="IRNazanin" w:eastAsia="IRNazanin"/>
          <w:color w:val="111111"/>
          <w:sz w:val="28"/>
          <w:sz w:val="28"/>
          <w:szCs w:val="28"/>
          <w:rtl w:val="true"/>
          <w:lang w:bidi="fa-IR"/>
        </w:rPr>
        <w:t xml:space="preserve">و فی مسألة اللباس المشکوک </w:t>
      </w:r>
      <w:r>
        <w:rPr>
          <w:rStyle w:val="FootnoteAnchor"/>
          <w:rtl w:val="true"/>
        </w:rPr>
        <w:footnoteReference w:id="6"/>
      </w:r>
      <w:r>
        <w:rPr>
          <w:rFonts w:ascii="IRNazanin" w:hAnsi="IRNazanin" w:eastAsia="IRNazanin"/>
          <w:color w:val="111111"/>
          <w:sz w:val="28"/>
          <w:sz w:val="28"/>
          <w:szCs w:val="28"/>
          <w:rtl w:val="true"/>
          <w:lang w:bidi="fa-IR"/>
        </w:rPr>
        <w:t>و لها آثار خاصّة من حیث الرجوع إلی البراءة و الاشتغال فی مقام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حرّر هذه الصور المرحوم الشیخ محمّد علی رحمه اللّه </w:t>
      </w:r>
      <w:r>
        <w:rPr>
          <w:rStyle w:val="FootnoteAnchor"/>
          <w:rtl w:val="true"/>
        </w:rPr>
        <w:footnoteReference w:id="7"/>
      </w:r>
      <w:r>
        <w:rPr>
          <w:rFonts w:ascii="IRNazanin" w:hAnsi="IRNazanin" w:eastAsia="IRNazanin"/>
          <w:color w:val="111111"/>
          <w:sz w:val="28"/>
          <w:sz w:val="28"/>
          <w:szCs w:val="28"/>
          <w:rtl w:val="true"/>
          <w:lang w:bidi="fa-IR"/>
        </w:rPr>
        <w:t>فی هذا المقام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الصورتان الأخیرتان لا محلّ لهما فیما نحن فیه من النواهی الشرعیة، و إنّما یکون التردید فی هذا المبحث بین الصورتین الأولیتین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النواهی الشرعیة هی الثانیة منهما، و تحریر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حقّق فی محلّه </w:t>
      </w:r>
      <w:r>
        <w:rPr>
          <w:rStyle w:val="FootnoteAnchor"/>
          <w:rtl w:val="true"/>
        </w:rPr>
        <w:footnoteReference w:id="8"/>
      </w:r>
      <w:r>
        <w:rPr>
          <w:rFonts w:ascii="IRNazanin" w:hAnsi="IRNazanin" w:eastAsia="IRNazanin"/>
          <w:color w:val="111111"/>
          <w:sz w:val="28"/>
          <w:sz w:val="28"/>
          <w:szCs w:val="28"/>
          <w:rtl w:val="true"/>
          <w:lang w:bidi="fa-IR"/>
        </w:rPr>
        <w:t>أنّ العموم فی مقام الثبوت و الایجاب کما لو قال أکرم کلّ عالم ظاهره الانحلال، و کون الافراد علی نحو المجموعیة و الارتباط محتاج إلی عنایة زائدة، لکن المطلب فی باب النواهی بحسب النظر البدوی علی العکس من ذلک، بمعنی أنّ مجرّد تعلّق الطلب بعدم الطبیعة یقتضی کونه عدما واحدا واردا علی الطبیعة و سدّا واحدا لباب وجودها، فیکون من قبیل العام المجموعی،</w:t>
      </w:r>
      <w:bookmarkStart w:id="17" w:name="pg19667_764959"/>
    </w:p>
    <w:p>
      <w:pPr>
        <w:pStyle w:val="BookText"/>
        <w:rPr/>
      </w:pPr>
      <w:bookmarkEnd w:id="17"/>
      <w:r>
        <w:rPr>
          <w:rFonts w:ascii="IRNazanin" w:hAnsi="IRNazanin" w:eastAsia="IRNazanin"/>
          <w:color w:val="111111"/>
          <w:sz w:val="28"/>
          <w:sz w:val="28"/>
          <w:szCs w:val="28"/>
          <w:rtl w:val="true"/>
          <w:lang w:bidi="fa-IR"/>
        </w:rPr>
        <w:t>و یعبّر عنه شیخنا بالسلب الکلّی، إلّا أنّه بعد ملاحظة کون المنشأ فی ذلک هو مبغوضیة ذلک الوجود یکون ذلک من قبیل القرینة العامّة علی أنّ کلّ واحد من تلک الافراد مطلوب عدمه علی ما أوضحه شیخنا و أوضحه المحرّرون عنه ذلک، فیکون موجبا لانقلاب ذلک إلی السلب الاستغراقی و یعبّر عنه شیخنا قدّس سرّه بالعموم الأصولی</w:t>
      </w:r>
      <w:r>
        <w:rPr>
          <w:rFonts w:eastAsia="IRNazanin" w:cs="IRNazanin"/>
          <w:color w:val="111111"/>
          <w:sz w:val="28"/>
          <w:szCs w:val="28"/>
          <w:rtl w:val="true"/>
          <w:lang w:bidi="fa-IR"/>
        </w:rPr>
        <w:t>.</w:t>
      </w:r>
    </w:p>
    <w:p>
      <w:pPr>
        <w:pStyle w:val="Heading4"/>
        <w:numPr>
          <w:ilvl w:val="3"/>
          <w:numId w:val="1"/>
        </w:numPr>
        <w:rPr/>
      </w:pPr>
      <w:bookmarkStart w:id="18" w:name="__RefHeading___Toc3538459_2314609296"/>
      <w:bookmarkStart w:id="19" w:name="_Toc7"/>
      <w:bookmarkEnd w:id="18"/>
      <w:r>
        <w:rPr>
          <w:rtl w:val="true"/>
        </w:rPr>
        <w:t>[</w:t>
      </w:r>
      <w:r>
        <w:rPr>
          <w:rtl w:val="true"/>
        </w:rPr>
        <w:t>توجیه حمل النذر علی المجموعیة دون الانحلال</w:t>
      </w:r>
      <w:bookmarkEnd w:id="19"/>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العموم حینئذ هو الانحلال فی باب الأوامر و النواهی، لکنّهم فی باب النذر لم یجروا علی ذلک و بنوا علی کونه من باب العموم المجموعی و حکموا بأنّه لو خالفه و لو مرّة واحدة سقط التکلیف، و لا بدّ من توجیه ذلک بأنّهم یفهمون من النذر أن قصد الناذر هو المداومة و المثابرة علی الفعل فیما لو کان المنذور هو الفعل فی کلّ یوم مثلا، و أن قصده هو الاستمرار علی العدم فیما لو نذر أن لا یشرب التنباک مثلا، فراجع ما حرّرناه عنه قدّس سرّه </w:t>
      </w:r>
      <w:r>
        <w:rPr>
          <w:rStyle w:val="FootnoteAnchor"/>
          <w:rtl w:val="true"/>
        </w:rPr>
        <w:footnoteReference w:id="9"/>
      </w:r>
      <w:r>
        <w:rPr>
          <w:rFonts w:ascii="IRNazanin" w:hAnsi="IRNazanin" w:eastAsia="IRNazanin"/>
          <w:color w:val="111111"/>
          <w:sz w:val="28"/>
          <w:sz w:val="28"/>
          <w:szCs w:val="28"/>
          <w:rtl w:val="true"/>
          <w:lang w:bidi="fa-IR"/>
        </w:rPr>
        <w:t>فی مباحث الأقل و الأکثر و فی مسألة اللباس المشکوک تجده صریحا فی توجیه مسلک المشهور بما حرّرناه، فإنّا قد أشبعنا النقل عنهم مثل شرح اللمعة</w:t>
      </w:r>
      <w:r>
        <w:rPr>
          <w:rStyle w:val="FootnoteAnchor"/>
          <w:rtl w:val="true"/>
        </w:rPr>
        <w:footnoteReference w:id="10"/>
      </w:r>
      <w:r>
        <w:rPr>
          <w:rFonts w:ascii="IRNazanin" w:hAnsi="IRNazanin" w:eastAsia="IRNazanin"/>
          <w:color w:val="111111"/>
          <w:sz w:val="28"/>
          <w:sz w:val="28"/>
          <w:szCs w:val="28"/>
          <w:rtl w:val="true"/>
          <w:lang w:bidi="fa-IR"/>
        </w:rPr>
        <w:t>و حواشیها</w:t>
      </w:r>
      <w:r>
        <w:rPr>
          <w:rStyle w:val="FootnoteAnchor"/>
          <w:rtl w:val="true"/>
        </w:rPr>
        <w:footnoteReference w:id="11"/>
      </w:r>
      <w:r>
        <w:rPr>
          <w:rFonts w:ascii="IRNazanin" w:hAnsi="IRNazanin" w:eastAsia="IRNazanin"/>
          <w:color w:val="111111"/>
          <w:sz w:val="28"/>
          <w:sz w:val="28"/>
          <w:szCs w:val="28"/>
          <w:rtl w:val="true"/>
          <w:lang w:bidi="fa-IR"/>
        </w:rPr>
        <w:t xml:space="preserve">و المحقّق القمی فی السؤال و الجواب </w:t>
      </w:r>
      <w:r>
        <w:rPr>
          <w:rStyle w:val="FootnoteAnchor"/>
          <w:rtl w:val="true"/>
        </w:rPr>
        <w:footnoteReference w:id="12"/>
      </w:r>
      <w:r>
        <w:rPr>
          <w:rFonts w:ascii="IRNazanin" w:hAnsi="IRNazanin" w:eastAsia="IRNazanin"/>
          <w:color w:val="111111"/>
          <w:sz w:val="28"/>
          <w:sz w:val="28"/>
          <w:szCs w:val="28"/>
          <w:rtl w:val="true"/>
          <w:lang w:bidi="fa-IR"/>
        </w:rPr>
        <w:t xml:space="preserve">و المفاتیح </w:t>
      </w:r>
      <w:r>
        <w:rPr>
          <w:rStyle w:val="FootnoteAnchor"/>
          <w:rtl w:val="true"/>
        </w:rPr>
        <w:footnoteReference w:id="13"/>
      </w:r>
      <w:r>
        <w:rPr>
          <w:rFonts w:ascii="IRNazanin" w:hAnsi="IRNazanin" w:eastAsia="IRNazanin"/>
          <w:color w:val="111111"/>
          <w:sz w:val="28"/>
          <w:sz w:val="28"/>
          <w:szCs w:val="28"/>
          <w:rtl w:val="true"/>
          <w:lang w:bidi="fa-IR"/>
        </w:rPr>
        <w:t>و شرحها و غیر ذلک من الکتب الفقهیة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أین ذلک ممّا حرّره فی هذا المقام عن شیخنا قدّس سرّه فی توجیه مسلک</w:t>
      </w:r>
    </w:p>
    <w:p>
      <w:pPr>
        <w:pStyle w:val="BookText"/>
        <w:rPr/>
      </w:pPr>
      <w:r>
        <w:rPr>
          <w:rFonts w:ascii="IRNazanin" w:hAnsi="IRNazanin" w:eastAsia="IRNazanin"/>
          <w:color w:val="111111"/>
          <w:sz w:val="28"/>
          <w:sz w:val="28"/>
          <w:szCs w:val="28"/>
          <w:rtl w:val="true"/>
          <w:lang w:bidi="fa-IR"/>
        </w:rPr>
        <w:t xml:space="preserve">المشهور حتّی أنّه وجّه علیه الإشکال بعدم ارتباط الإشکال و الجواب بمحلّ الکلام </w:t>
      </w:r>
      <w:r>
        <w:rPr>
          <w:rStyle w:val="FootnoteAnchor"/>
          <w:rtl w:val="true"/>
        </w:rPr>
        <w:footnoteReference w:id="14"/>
      </w:r>
      <w:r>
        <w:rPr>
          <w:rFonts w:ascii="IRNazanin" w:hAnsi="IRNazanin" w:eastAsia="IRNazanin"/>
          <w:color w:val="111111"/>
          <w:sz w:val="28"/>
          <w:sz w:val="28"/>
          <w:szCs w:val="28"/>
          <w:rtl w:val="true"/>
          <w:lang w:bidi="fa-IR"/>
        </w:rPr>
        <w:t xml:space="preserve">، و لعمری إنّ هذا الذی حرّره بهذه الصورة یستحقّ أن یوجّه علیه الإشکال المزبور من عدم الارتباط بأصل المطلب و عدم صحّة الجواب عنه بذلک، لکن قد عرفت أنّ الذی صدر عن شیخنا قدّس سرّه فی ذلک المقام لیس هو إلّا أنّ المشهور قد جروا فی باب النذر علی العموم المجموعی و هو خلاف ما جروا علیه فی باب النواهی الشرعیة من العموم الاستغراقی الانحلالی، و لیس جوابه إلّا دعوی استظهار المجموعیة من قصد الناذر، و لأجل ذلک قال بعضهم إنّ المتّبع فی ذلک قصد الناذر لکن الجماعة أرادوا أن یجعلوا تلک الجهة التی أشرنا إلیها قرینة عامّة علی أنّ قصد الناذر هو المجموعیة، فراجع ما نقلناه عن شیخنا قدّس سرّه و عنهم فیما حرّرناه فی بعض مباحث الأقل و الأکثر فیما علّقناه علی ما حرّره المرحوم الشیخ محمّد علی فی ذلک المقام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إنّک قد عرفت فیما حرّرناه عن شیخنا قدّس سرّه </w:t>
      </w:r>
      <w:r>
        <w:rPr>
          <w:rStyle w:val="FootnoteAnchor"/>
          <w:rtl w:val="true"/>
        </w:rPr>
        <w:footnoteReference w:id="16"/>
      </w:r>
      <w:r>
        <w:rPr>
          <w:rFonts w:ascii="IRNazanin" w:hAnsi="IRNazanin" w:eastAsia="IRNazanin"/>
          <w:color w:val="111111"/>
          <w:sz w:val="28"/>
          <w:sz w:val="28"/>
          <w:szCs w:val="28"/>
          <w:rtl w:val="true"/>
          <w:lang w:bidi="fa-IR"/>
        </w:rPr>
        <w:t>أنّ الثمرة تظهر بین المجموعیة و الانحلالیة بعد فرض شمول الطبیعة المنهی عنها للأفراد الطولیة فی التبعیض فی مقام الاطاعة و العصیان بالنسبة إلی الأفراد الطولیة، أمّا بالنسبة إلی الأفراد العرضیة فلا یمکن التبعیض فی مقام الاطاعة و العصیان، لأنّه بعصیانه بالاتیان بفعل واحد لا یکون الآخر الذی فی عرضه مقدورا له کی یکون ترکه له إطاعة لیتحقّق التبعّض، بل تظهر الثمرة بینهما فیما لو أتی بفردین دفعة واحدة کما لو ضرب یتیمین، فإنّه علی المجموعیة لا یکون الصادر إلّا عصیانا واحدا، و علی</w:t>
      </w:r>
    </w:p>
    <w:p>
      <w:pPr>
        <w:pStyle w:val="BookText"/>
        <w:rPr/>
      </w:pPr>
      <w:r>
        <w:rPr>
          <w:rFonts w:ascii="IRNazanin" w:hAnsi="IRNazanin" w:eastAsia="IRNazanin"/>
          <w:color w:val="111111"/>
          <w:sz w:val="28"/>
          <w:sz w:val="28"/>
          <w:szCs w:val="28"/>
          <w:rtl w:val="true"/>
          <w:lang w:bidi="fa-IR"/>
        </w:rPr>
        <w:t>الانحلالیة یکون الصادر عصیانین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صرف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أخّر الصرف عن کلّ من الوجود و الترک و قال إنّ المطلوب فی الأوامر هو وجود صرف الطبیعة و فی النواهی هو ترک صرف الطبیعة لاستراح من هذا الإشکال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تأمّلت جمیع ما حرّرناه یتّضح لک أنّ جمیع ما أورده فی هذه الحواشی ما بین غیر وارد علی ما حرّرناه عن شیخنا، أو هو بنفسه کان قد تعرّض له قدّس سرّه، فراجع جمیع التحاریر و تأمّل</w:t>
      </w:r>
      <w:r>
        <w:rPr>
          <w:rFonts w:eastAsia="IRNazanin" w:cs="IRNazanin"/>
          <w:color w:val="111111"/>
          <w:sz w:val="28"/>
          <w:szCs w:val="28"/>
          <w:rtl w:val="true"/>
          <w:lang w:bidi="fa-IR"/>
        </w:rPr>
        <w:t>.</w:t>
      </w:r>
      <w:bookmarkStart w:id="20" w:name="pg19667_764962"/>
    </w:p>
    <w:p>
      <w:pPr>
        <w:pStyle w:val="Heading3"/>
        <w:numPr>
          <w:ilvl w:val="2"/>
          <w:numId w:val="1"/>
        </w:numPr>
        <w:rPr/>
      </w:pPr>
      <w:bookmarkStart w:id="21" w:name="__RefHeading___Toc3538461_2314609296"/>
      <w:bookmarkStart w:id="22" w:name="_Toc8"/>
      <w:bookmarkEnd w:id="20"/>
      <w:bookmarkEnd w:id="21"/>
      <w:r>
        <w:rPr>
          <w:rtl w:val="true"/>
        </w:rPr>
        <w:t>[</w:t>
      </w:r>
      <w:r>
        <w:rPr>
          <w:rtl w:val="true"/>
        </w:rPr>
        <w:t>مبحث اجتماع الأمر و النهی</w:t>
      </w:r>
      <w:bookmarkEnd w:id="22"/>
    </w:p>
    <w:p>
      <w:pPr>
        <w:pStyle w:val="Heading4"/>
        <w:numPr>
          <w:ilvl w:val="3"/>
          <w:numId w:val="1"/>
        </w:numPr>
        <w:rPr/>
      </w:pPr>
      <w:bookmarkStart w:id="23" w:name="__RefHeading___Toc3538463_2314609296"/>
      <w:bookmarkStart w:id="24" w:name="_Toc9"/>
      <w:bookmarkEnd w:id="23"/>
      <w:r>
        <w:rPr>
          <w:rtl w:val="true"/>
        </w:rPr>
        <w:t>[</w:t>
      </w:r>
      <w:r>
        <w:rPr>
          <w:rtl w:val="true"/>
        </w:rPr>
        <w:t>الإشکال فی عنوان البحث و تغییره بما یناسب</w:t>
      </w:r>
      <w:bookmarkEnd w:id="2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بین الأصحاب عنوان البحث بجواز اجتماع الأمر و النهی و امتناعه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بشاعة هذا العنوان، لما هو واضح من أنّه لا یقول أحد بجوازه، و هکذا لو غیّر إلی أنّ تعدّد الجهة هل یکفی فی جواز الاجتماع، فإنّ ذلک أیضا غیر مستحسن، لأنّ اجتماع التکلیفین غیر جائز و لو کان فی البین ألف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هو تحریر المسألة بما أفاده شیخنا من أنّ تعلّق الأمر بشی‌ء و النهی بشی‌ء آخر لو اجتمعا فی شی‌ء واحد وجودا و إیجادا، هل یکون ذلک موجبا لوحدة المتعلّق فیمتنع، أو أنّه لا یوجب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الجهة هل یوجب تعدّد ما هو الموجود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 الجهة إذا کانت تعلیلیة و ورد کلّ واحد من الحکمین علی مورد الآخر فلا محالة یکونان متعارضین و إلّا فلا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سیتّضح ممّا یفیده قدّس سرّه فیما سیأتی </w:t>
      </w:r>
      <w:r>
        <w:rPr>
          <w:rStyle w:val="FootnoteAnchor"/>
          <w:rtl w:val="true"/>
        </w:rPr>
        <w:footnoteReference w:id="20"/>
      </w:r>
      <w:r>
        <w:rPr>
          <w:rFonts w:ascii="IRNazanin" w:hAnsi="IRNazanin" w:eastAsia="IRNazanin"/>
          <w:color w:val="111111"/>
          <w:sz w:val="28"/>
          <w:sz w:val="28"/>
          <w:szCs w:val="28"/>
          <w:rtl w:val="true"/>
          <w:lang w:bidi="fa-IR"/>
        </w:rPr>
        <w:t>أنّه لا بدّ فی الجواز من الجهة الأولی من کون الترکّب بین الجهتین التقییدیتین ترکّبا انضمامیا، إذ لو کان الترکّب اتّحادیا لم یکن للجواز مجال و إن کانت الجهات تقییدیة</w:t>
      </w:r>
      <w:r>
        <w:rPr>
          <w:rFonts w:eastAsia="IRNazanin" w:cs="IRNazanin"/>
          <w:color w:val="111111"/>
          <w:sz w:val="28"/>
          <w:szCs w:val="28"/>
          <w:rtl w:val="true"/>
          <w:lang w:bidi="fa-IR"/>
        </w:rPr>
        <w:t>.</w:t>
      </w:r>
      <w:bookmarkStart w:id="25" w:name="pg19667_764963"/>
    </w:p>
    <w:p>
      <w:pPr>
        <w:pStyle w:val="Heading4"/>
        <w:numPr>
          <w:ilvl w:val="3"/>
          <w:numId w:val="1"/>
        </w:numPr>
        <w:rPr/>
      </w:pPr>
      <w:bookmarkStart w:id="26" w:name="__RefHeading___Toc3538465_2314609296"/>
      <w:bookmarkStart w:id="27" w:name="_Toc10"/>
      <w:bookmarkEnd w:id="25"/>
      <w:bookmarkEnd w:id="26"/>
      <w:r>
        <w:rPr>
          <w:rtl w:val="true"/>
        </w:rPr>
        <w:t>[</w:t>
      </w:r>
      <w:r>
        <w:rPr>
          <w:rtl w:val="true"/>
        </w:rPr>
        <w:t>ملاک کون البحث کلامیا أو فقهیا أو أصولیا</w:t>
      </w:r>
      <w:r>
        <w:rPr>
          <w:rtl w:val="true"/>
        </w:rPr>
        <w:t>]</w:t>
      </w:r>
      <w:bookmarkEnd w:id="2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المسألة کلامیة باعتبار أنّه یبحث فیها عن استحالة اجتماع الحکمین فی مورد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جعل الملاک فی عدّه من المسائل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حرّرته عنه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کونها باحثة عن أنّ تعدّد جهة الشی‌ء موجب لتکثّره أو لا، 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باحثة عن کون الترکّب اتّحادیا أو انضمامیا، فلیس المیزان فی کونها کلامیة هو کونها عقلیة کی یتّجه علیه ما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عدّها فی المسائل الفقهیة فوجهه أنّها باحثة عن الصحّة و الفساد، لکن شیخنا قدّس سرّه لم یرتضه، لما سیأتی </w:t>
      </w:r>
      <w:r>
        <w:rPr>
          <w:rStyle w:val="FootnoteAnchor"/>
          <w:rtl w:val="true"/>
        </w:rPr>
        <w:footnoteReference w:id="22"/>
      </w:r>
      <w:r>
        <w:rPr>
          <w:rFonts w:ascii="IRNazanin" w:hAnsi="IRNazanin" w:eastAsia="IRNazanin"/>
          <w:color w:val="111111"/>
          <w:sz w:val="28"/>
          <w:sz w:val="28"/>
          <w:szCs w:val="28"/>
          <w:rtl w:val="true"/>
          <w:lang w:bidi="fa-IR"/>
        </w:rPr>
        <w:t>من التحقیق عنده و أنّها من المسائل الباحثة عن مبادئ المسائل الأصولیة باعتبار کونها محقّقة لصغری التعارض إن قلنا بالامتناع من الجهة الأولی، أو صغری التزاحم إن قلنا بالجواز من الجهة الأولی و الامتناع من الجهة الثانیة، و حینئذ تکون هذه المسألة محقّقة لموضوع مسألة التعارض أو موضوع مسألة التزاحم، فتکون من مبادئ المسألتین الأصولیتین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توجیه الحاشیة</w:t>
      </w:r>
      <w:r>
        <w:rPr>
          <w:rStyle w:val="FootnoteAnchor"/>
          <w:rtl w:val="true"/>
        </w:rPr>
        <w:footnoteReference w:id="23"/>
      </w:r>
      <w:r>
        <w:rPr>
          <w:rFonts w:ascii="IRNazanin" w:hAnsi="IRNazanin" w:eastAsia="IRNazanin"/>
          <w:color w:val="111111"/>
          <w:sz w:val="28"/>
          <w:sz w:val="28"/>
          <w:szCs w:val="28"/>
          <w:rtl w:val="true"/>
          <w:lang w:bidi="fa-IR"/>
        </w:rPr>
        <w:t>لعدّها من المسائل الأصولیة باعتبار أنّها یترتّب علی أحد القولین فیها و هو الجواز مسألة فرعیة أعنی صحّة العبادة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حینئذ غریب، لأنّها علی أحد القولین مسألة أصولیة و علی القول الآخر و هو الامتناع من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الجواز لا یترتّب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کان من الجهة الأولی دخل فی باب التزاحم، و إن کان من کلا الجهتین</w:t>
      </w:r>
      <w:bookmarkStart w:id="28" w:name="pg19667_764964"/>
    </w:p>
    <w:p>
      <w:pPr>
        <w:pStyle w:val="BookText"/>
        <w:rPr/>
      </w:pPr>
      <w:bookmarkEnd w:id="28"/>
      <w:r>
        <w:rPr>
          <w:rFonts w:ascii="Amiri" w:hAnsi="Amiri" w:eastAsia="Amiri" w:cs="Amiri"/>
          <w:color w:val="111111"/>
          <w:sz w:val="28"/>
          <w:sz w:val="28"/>
          <w:szCs w:val="28"/>
          <w:rtl w:val="true"/>
          <w:lang w:bidi="ar-SA"/>
        </w:rPr>
        <w:t xml:space="preserve">فقد حقّق فی محلّه </w:t>
      </w:r>
      <w:r>
        <w:rPr>
          <w:rStyle w:val="FootnoteAnchor"/>
          <w:rtl w:val="true"/>
        </w:rPr>
        <w:footnoteReference w:id="24"/>
      </w:r>
      <w:r>
        <w:rPr>
          <w:rFonts w:ascii="IRNazanin" w:hAnsi="IRNazanin" w:eastAsia="IRNazanin"/>
          <w:color w:val="111111"/>
          <w:sz w:val="28"/>
          <w:sz w:val="28"/>
          <w:szCs w:val="28"/>
          <w:rtl w:val="true"/>
          <w:lang w:bidi="fa-IR"/>
        </w:rPr>
        <w:t>أنّه لم یقل به أحد، إذ لم یقل أحد منّا بأنّ الصلاة فی الدار المغصوبة عمدا عن علم صحیحة، فتأمّل</w:t>
      </w:r>
      <w:r>
        <w:rPr>
          <w:rFonts w:eastAsia="IRNazanin" w:cs="IRNazanin"/>
          <w:color w:val="111111"/>
          <w:sz w:val="28"/>
          <w:szCs w:val="28"/>
          <w:rtl w:val="true"/>
          <w:lang w:bidi="fa-IR"/>
        </w:rPr>
        <w:t>.</w:t>
      </w:r>
    </w:p>
    <w:p>
      <w:pPr>
        <w:pStyle w:val="Heading4"/>
        <w:numPr>
          <w:ilvl w:val="3"/>
          <w:numId w:val="1"/>
        </w:numPr>
        <w:rPr/>
      </w:pPr>
      <w:bookmarkStart w:id="29" w:name="__RefHeading___Toc3538467_2314609296"/>
      <w:bookmarkStart w:id="30" w:name="_Toc11"/>
      <w:bookmarkEnd w:id="29"/>
      <w:r>
        <w:rPr>
          <w:rtl w:val="true"/>
        </w:rPr>
        <w:t>[</w:t>
      </w:r>
      <w:r>
        <w:rPr>
          <w:rtl w:val="true"/>
        </w:rPr>
        <w:t>المناقشة فی تقسیم الموجودات إلی عینیة و اعتباریة و کلّ منهما إلی متأصّلة و انتزاعیة</w:t>
      </w:r>
      <w:r>
        <w:rPr>
          <w:rtl w:val="true"/>
        </w:rPr>
        <w:t>]</w:t>
      </w:r>
      <w:bookmarkEnd w:id="3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الموجود إمّا أن یکون موجودا فی عالم العین أو فی عالم الاعتبار و علی کلّ منهما فإمّا أن یکون من الموجودات المتأصّلة أو من الموجودات الانتزاعیة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یعجبنی هذا التقسیم، لأنّا بعد أن فرضنا الشی‌ء موجودا فی عالم الأعیان مثلا، کیف یمکننا أن نجعل أحد قسمیه ما یکون انتزاعیا مع فرض کون الانتزاعی ما لیس بحذائه شی‌ء فی الخارج المفروض کونه هو عالم الأعیان، و هکذا الحال فی الموجود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قلب هذا التقسیم بأن نقول إنّ الأمر الواقعی إمّا أن یکون متأصّلا و إمّا أن یکون انتزاعیا، و المتأصّل إمّا أن یکون متأصّلا فی عالم الأعیان کالإنسان و إمّا أن یکون متأصّلا فی عالم الاعتبار کالملکیة، و الانتزاعی إمّا أن یکون منتزعا ممّا هو متأصّل فی عالم الأعیان کالفوقیة المنتزعة من الجسمین الموجود أحدهما فوق الآخر، و کالزوجیة المنتزعة من الدراهم الأربعة مثلا، و إمّا أن یکون منتزعا ممّا هو متأصّل فی عالم الاعتبار کالزوجیة المنتزعة من الملکیات الأربع أو المنتزعة من التکالیف الأربعة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التمثیل لذلک بسببیة العقد للملکیة فهو محلّ تأمّل، لأنّ السببیة منتزعة من نفس العقد باعتبار کونه مؤثّرا فی الملکیة، و العقد لیس من الأمور الاعتباریة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القول بأنّ السببیة منتزعة من الأمر الاعتباری بلحاظ نفس المسبّب</w:t>
      </w:r>
      <w:bookmarkStart w:id="31" w:name="pg19667_764965"/>
    </w:p>
    <w:p>
      <w:pPr>
        <w:pStyle w:val="BookText"/>
        <w:rPr/>
      </w:pPr>
      <w:bookmarkEnd w:id="31"/>
      <w:r>
        <w:rPr>
          <w:rFonts w:ascii="IRNazanin" w:hAnsi="IRNazanin" w:eastAsia="IRNazanin"/>
          <w:color w:val="111111"/>
          <w:sz w:val="28"/>
          <w:sz w:val="28"/>
          <w:szCs w:val="28"/>
          <w:rtl w:val="true"/>
          <w:lang w:bidi="fa-IR"/>
        </w:rPr>
        <w:t>الذی هو الملکیة، فإنّها من الأمور الاعتباریة و إن کان نفس السبب من الأمور غیر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Heading4"/>
        <w:numPr>
          <w:ilvl w:val="3"/>
          <w:numId w:val="1"/>
        </w:numPr>
        <w:rPr/>
      </w:pPr>
      <w:bookmarkStart w:id="32" w:name="__RefHeading___Toc3538469_2314609296"/>
      <w:bookmarkStart w:id="33" w:name="_Toc12"/>
      <w:bookmarkEnd w:id="32"/>
      <w:r>
        <w:rPr>
          <w:rtl w:val="true"/>
        </w:rPr>
        <w:t>[</w:t>
      </w:r>
      <w:r>
        <w:rPr>
          <w:rtl w:val="true"/>
        </w:rPr>
        <w:t>تحقیق رشیق حول ملاک النسب الأربع</w:t>
      </w:r>
      <w:bookmarkEnd w:id="3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کلّ مفهومین إمّا أن یکون صدقهما علی أفرادهما من جهة واحدة، فیکون جهة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الاتّحاد فی جهة الصدق إلّا میزانا فی الترادف، و إنّما میزان التساوی هو التلازم فی جهة الصدق، کما کنّا أشکلنا به علی شیخنا قدّس سرّه و أشکله المحشی أیضا، إلّا أنّ کلام شیخنا قدّس سرّه فی هذا المقام لیس إلّا علی نحو الاشارة و الاجمال، و محلّ تحقیق هذه المسألة فی أوائل مباحث الألفاظ و أنّ حقیقة الترادف ما هی، و هل یمکن الاتّحاد فی جهة الصدق أو لا یمکن، و قد تعرّض له شیخنا قدّس سرّه فی الأمر السادس </w:t>
      </w:r>
      <w:r>
        <w:rPr>
          <w:rStyle w:val="FootnoteAnchor"/>
          <w:rtl w:val="true"/>
        </w:rPr>
        <w:footnoteReference w:id="27"/>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و إن ذکروا أنّ المیزان فی النسب الأربع بین الکلّیات هو المصادیق و الأفراد، فإن کان الکلّیان متّحدین مصادیق بالتمام کانا متساویین، و إن تباینت المصادیق تماما کانا متباینین، و إن کانت مصادیق أحدهما أکثر من الآخر کان الأوّل عاما مطلقا و کان الثانی خاصّا مطلقا، و إن کان کلّ منهما أوسع من الآخر کان بینهما العموم من وجه، إلّا أنّ ذلک لا بدّ أن یکون لجهة تقتضی ذلک، و تلک الجهة هی العلّة فی صدق المفهوم الکلّی علی مصداقه، و لتسمّ تلک الجهة بالجهة التعلیلیة، فإنّا إذا قلنا إنّ زیدا إنسان مثلا کانت جهة الإنسانیة فی زید هی العلّة فی صدق عنوان الإنسان علیه و حمله علیه بالحمل الشائع الصناعی، و هکذا لو قلنا إنّ زیدا عالم یکون لنا مصداق و هو زید، و عنوان محمول علیه و هو</w:t>
      </w:r>
      <w:bookmarkStart w:id="34" w:name="pg19667_764966"/>
    </w:p>
    <w:p>
      <w:pPr>
        <w:pStyle w:val="BookText"/>
        <w:rPr/>
      </w:pPr>
      <w:bookmarkEnd w:id="34"/>
      <w:r>
        <w:rPr>
          <w:rFonts w:ascii="IRNazanin" w:hAnsi="IRNazanin" w:eastAsia="IRNazanin"/>
          <w:color w:val="111111"/>
          <w:sz w:val="28"/>
          <w:sz w:val="28"/>
          <w:szCs w:val="28"/>
          <w:rtl w:val="true"/>
          <w:lang w:bidi="fa-IR"/>
        </w:rPr>
        <w:t>العالم، و یکون علّة حمل العالم علیه هو ما فیه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لک أنّ الجهة التعلیلیة تارة تکون ذاتیة و أخری تکون من الأعراض الطارئة علیه، و لا بدّ فی هذه الثانیة من کونها هی مبدأ اشتقاق ذلک العنوان العرضی أعنی عنوان العالم</w:t>
      </w:r>
      <w:r>
        <w:rPr>
          <w:rFonts w:eastAsia="IRNazanin" w:cs="IRNazanin"/>
          <w:color w:val="111111"/>
          <w:sz w:val="28"/>
          <w:szCs w:val="28"/>
          <w:rtl w:val="true"/>
          <w:lang w:bidi="fa-IR"/>
        </w:rPr>
        <w:t>.</w:t>
      </w:r>
    </w:p>
    <w:p>
      <w:pPr>
        <w:pStyle w:val="Heading4"/>
        <w:numPr>
          <w:ilvl w:val="3"/>
          <w:numId w:val="1"/>
        </w:numPr>
        <w:rPr/>
      </w:pPr>
      <w:bookmarkStart w:id="35" w:name="__RefHeading___Toc3538471_2314609296"/>
      <w:bookmarkStart w:id="36" w:name="_Toc13"/>
      <w:bookmarkEnd w:id="35"/>
      <w:r>
        <w:rPr>
          <w:rtl w:val="true"/>
        </w:rPr>
        <w:t>[</w:t>
      </w:r>
      <w:r>
        <w:rPr>
          <w:rtl w:val="true"/>
        </w:rPr>
        <w:t>أقسام التساوی الستّة و البحث عن جهة الصدق فیها</w:t>
      </w:r>
      <w:r>
        <w:rPr>
          <w:rtl w:val="true"/>
        </w:rPr>
        <w:t>]</w:t>
      </w:r>
      <w:bookmarkEnd w:id="36"/>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أقسام التساوی منحصرة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العنوانان من قبیل الاسمین لماهیة واحدة و نوع واحد، مثل البشر و الإنسان و اللیث و الغضنفر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من قبیل النوع و فصله مثل الإنسان و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من قبیل النوع و الخاصّة مثل الإنسان و قابل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من الفصل و الخاصّة مثل الناطق و قابل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من قبیل الخاصّتین لنوع واحد مثل قابل العلم و قابل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قبیل المتلازمین مثل مستقبل المشرق و مستدبر المغرب، أمّا مثل الضاحک و المتکلّم فإن کان المراد هو الفعلیة لم یکن بینهما تساو بل کان بینهما عموم من وجه، و إن کان المراد من له شأنیة الضحک و شأنیة التکلّم کانا من قبیل الخاصتین للنوع الواحد الذی هو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معرفتک هذه الأقسام من التساوی یکون اللازم هو النظر فی کلّ واحد من هذه الأقسام، و هل تکون الجهة التعلیلیة فی الصدق فی أمثال ذلک واحدة أم تکون مختلفة، فنقول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و هما المترادفان مثل الإنسان و البشر، فقد أنکره بعضهم و زعم امتناع الترادف و الاتّحاد فی جهة الصدق، و أنّ جهة الصدق فی مثل الإنسان</w:t>
      </w:r>
    </w:p>
    <w:p>
      <w:pPr>
        <w:pStyle w:val="BookText"/>
        <w:rPr/>
      </w:pPr>
      <w:r>
        <w:rPr>
          <w:rFonts w:ascii="IRNazanin" w:hAnsi="IRNazanin" w:eastAsia="IRNazanin"/>
          <w:color w:val="111111"/>
          <w:sz w:val="28"/>
          <w:sz w:val="28"/>
          <w:szCs w:val="28"/>
          <w:rtl w:val="true"/>
          <w:lang w:bidi="fa-IR"/>
        </w:rPr>
        <w:t>و البشر مختلفة، بدعوی کون الأوّل ملحوظا جهة غیر الجهة الملحوظة فی وضع الآخر و لو مثل کون الأوّل مأخوذا من الانس و الثانی مأخوذا من ظهور البشرة و بدوّها خالصة من شعر و وبر، و بناء علی ذلک یدخل الترادف فی مختلف الجهة و یکون ملحقا بالمتلازمین أو بالخاصتین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صحّح الترادف و قال إنّه بناء علی أنّه لا بدّ من المناسبة بین اللفظ و المعنی لا بدّ من الالتزام بأنّ لفظ الإنسان قد وضع لهذا النوع عند طائفة من أهل اللغة، لأنّهم یرون بمقتضی طبعهم أنّ هذا اللفظ مناسب لذلک النوع، و عند طائفة أخری قد وضع له لفظ البشر لأنّهم یرون بحسب طبعهم أنّ هذا اللفظ مناسب له، و أنّ هذا الصوت الخاصّ یکون إیجاده إیجادا لذلک المعنی بنحو شرحناه مفصّلا فی رسالة حرّرناها فی أصل اللغات و تشعّبها، ثمّ بعد جمع الألفاظ اللغویة و اختلاطها و تکوین لغة خاصّة للعرب و تدوینها یکون الحاصل من الألفاظ لهذا النوع لفظین لفظ الإنسان و لفظ البشر فجعلوهما مترادفین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الأخیر تکون جهة الصدق فی کلّ من هذین العنوانین المتساویین متّحدة کما أفاده شیخنا قدّس سرّه بمعنی أنّ العلّة فی صدق کلّ من هذین العنوانین علی المصداق الواحد واحدة و هی الإنسانیة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باقی الأقسام فلا ینبغی الریب فی أنّ جهة الصدق فیها مختلفة غیر متّحدة حتّی فی مثل القسم الثانی الذی هو من قبیل النوع و الفصل مثل الإنسان و الناطق، فإنّ کلا منهما و إن کان ذاتیا للمصداق إلّا أنّ جهة الصدق فی الأوّل هی تمام حقیقته، و جهة الصدق فی الثانی هی جزء حقیقته، و لیسا متّحدین کما هو واضح، و باقی الأقسام أوضح منه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 الجمیع القسم الأخیر و هما المتلازمان مثل مستقبل المشرق</w:t>
      </w:r>
    </w:p>
    <w:p>
      <w:pPr>
        <w:pStyle w:val="BookText"/>
        <w:rPr/>
      </w:pPr>
      <w:r>
        <w:rPr>
          <w:rFonts w:ascii="IRNazanin" w:hAnsi="IRNazanin" w:eastAsia="IRNazanin"/>
          <w:color w:val="111111"/>
          <w:sz w:val="28"/>
          <w:sz w:val="28"/>
          <w:szCs w:val="28"/>
          <w:rtl w:val="true"/>
          <w:lang w:bidi="fa-IR"/>
        </w:rPr>
        <w:t>و مستدبر المغرب، فإنّ علّة الصدق فی الأوّل هی الاستقبال و فی الثانی هی الاستدبار و هما مختلفان، غایته أنّ التلازم بین الجهتین و عدم انفکاک إحداهما عن الأخری أوجب التلازم بین معلولیهما الذی هو العنوان المنتزع منهما، أعنی عنوان المستقبل و عنوان المستدبر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التلازم بین الجهتین لا بدّ أن یکون ناشئا عن کونهما معلولین لعلّة ثالثة أو کون إحداهما معلولة للأخری، و حیث إنّ العلّة الثالثة هی الذات نفسها أو ما هو معلول لها، کما أنّ ما یکون منهما علّة للأخری یکون العلّة فیه هی الذات إمّا بلا واسطة أو بواسطة، فبالأخرة ینتهی الأمر فی هاتین الجهتین إلی کونهما معلولتین للذات، فتکون الجهة التعلیلیة هی الذات فتکون متّحدة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الحال فی الخاصتین لنوع واحد فإنّ العلّة فی جهتیهما هی الذات أیضا، و هکذا الحال فی الفصل و الخاصّة، بل و هکذا الحال فی النوع و الفصل، فإنّ العلّة فی جمیع هذه العناوین تکون بالأخرة هی الذات نفسها، و حینئذ یتمّ ما أفاده شیخنا قدّس سرّه من أنّ الجهة التعلیلیة فی جمیع أقسام التساوی هی واحدة و هی الذات التی هی العلّة الأخیرة فی هذه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علی الظاهر لا یخلو عن خروج عن الاصطلاح، لما عرفت فیما أشرنا إلیه من أنّ المراد من الجهة التعلیلیة فی خصوص العناوین العرضیة إنّما هی مبدأ اشتقاقه، و إن کانت العلّة فی ذلک المبدأ و اتّصاف الذات به هو الذات، سیما بملاحظة أنّ هذه العناوین العرضیة مثل الضاحک و العالم و القاعد و القائم إنّما هی منتزعة عن الذات باعتبار اتّصافها بالمبدإ الکذائی، فیکون لذلک المبدأ مدخلیة فی صحّة انتزاعها عن الذات و حمله علیها، فیکون هو الجهة التعلیلیة فی ذلک الانتزاع و الحمل،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الذات هی التی یحمل علیها العنوان، فتکون من الجهات التقییدیة فلا یمکن أن</w:t>
      </w:r>
      <w:bookmarkStart w:id="37" w:name="pg19667_764969"/>
    </w:p>
    <w:p>
      <w:pPr>
        <w:pStyle w:val="BookText"/>
        <w:rPr/>
      </w:pPr>
      <w:bookmarkEnd w:id="37"/>
      <w:r>
        <w:rPr>
          <w:rFonts w:ascii="IRNazanin" w:hAnsi="IRNazanin" w:eastAsia="IRNazanin"/>
          <w:color w:val="111111"/>
          <w:sz w:val="28"/>
          <w:sz w:val="28"/>
          <w:szCs w:val="28"/>
          <w:rtl w:val="true"/>
          <w:lang w:bidi="fa-IR"/>
        </w:rPr>
        <w:t>تکون جهة تعلیلیة،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التساوی بین العنوانین یکون ناشئا تارة عن تلازم الجهتین مع تغایرهما، و أخری عن اتّحاد الجهتین، و الأوّل هو الغالب و الثانی یکون من قبیل الترادف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جهة الصدق فی أحد العنوانین إن کانت عین جهة الصدق فی الآخر کان أحد العنوانین عین الآخر، و إن کانت جهة الصدق فی أحدهما مغایرة لجهة الصدق فی الآخر کان العنوانان متغایرین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التغایر علی نحو التعاند و التنافر کان العنوانان متباینین، و إن لم یکن بین الجهتین تعاند و تنافر کما أنّه لم یکن بینهما اتّحاد و عینیة بل کانا من قبیل المختلفین، فإن کان بینهما تلازم فإن کان التلازم من الطرفین کان العنوانان متساویین من حیث الصدق علی الافراد، و إن کان التلازم من طرف واحد بحیث إنّه ینفک أحدهما عن الآخر لکن الآخر لا ینفک عنه کان بین العنوانین عموم مطلق، و إن لم یکن بین الجهتین تلازم بل صحّ اجتماعهما و انفراد کلّ منهما عن الآخر کان بین العنوانین عموم من وجه</w:t>
      </w:r>
      <w:r>
        <w:rPr>
          <w:rFonts w:eastAsia="IRNazanin" w:cs="IRNazanin"/>
          <w:color w:val="111111"/>
          <w:sz w:val="28"/>
          <w:szCs w:val="28"/>
          <w:rtl w:val="true"/>
          <w:lang w:bidi="fa-IR"/>
        </w:rPr>
        <w:t>.</w:t>
      </w:r>
    </w:p>
    <w:p>
      <w:pPr>
        <w:pStyle w:val="Heading4"/>
        <w:numPr>
          <w:ilvl w:val="3"/>
          <w:numId w:val="1"/>
        </w:numPr>
        <w:rPr/>
      </w:pPr>
      <w:bookmarkStart w:id="38" w:name="__RefHeading___Toc3538473_2314609296"/>
      <w:bookmarkStart w:id="39" w:name="_Toc14"/>
      <w:bookmarkEnd w:id="38"/>
      <w:r>
        <w:rPr>
          <w:rtl w:val="true"/>
        </w:rPr>
        <w:t>[</w:t>
      </w:r>
      <w:r>
        <w:rPr>
          <w:rtl w:val="true"/>
        </w:rPr>
        <w:t>التعریض بصاحب الکفایة فی النقض بصفات اللّه علی تعدّد المعنون بتعدّد العنوان</w:t>
      </w:r>
      <w:bookmarkEnd w:id="39"/>
    </w:p>
    <w:p>
      <w:pPr>
        <w:pStyle w:val="BookText"/>
        <w:rPr/>
      </w:pPr>
      <w:r>
        <w:rPr>
          <w:rFonts w:ascii="IRNazanin" w:hAnsi="IRNazanin" w:eastAsia="IRNazanin"/>
          <w:color w:val="111111"/>
          <w:sz w:val="28"/>
          <w:sz w:val="28"/>
          <w:szCs w:val="28"/>
          <w:rtl w:val="true"/>
          <w:lang w:bidi="fa-IR"/>
        </w:rPr>
        <w:t>ثمّ لا یخفی أنّ الغرض من التعرّض للجواب عن النقض بصفاته تعالی حسبما حرّرته عنه هو التعریض بما فی الکفایة فی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ثالثتها، إلی استشهاده بالبیت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عباراتنا شتّی و حسنک واحد الخ </w:t>
      </w:r>
      <w:r>
        <w:rPr>
          <w:rStyle w:val="FootnoteAnchor"/>
          <w:rtl w:val="true"/>
        </w:rPr>
        <w:footnoteReference w:id="28"/>
      </w:r>
      <w:r>
        <w:rPr>
          <w:rFonts w:ascii="Amiri" w:hAnsi="Amiri" w:eastAsia="Amiri" w:cs="Amiri"/>
          <w:color w:val="111111"/>
          <w:sz w:val="28"/>
          <w:sz w:val="28"/>
          <w:szCs w:val="28"/>
          <w:rtl w:val="true"/>
          <w:lang w:bidi="ar-SA"/>
        </w:rPr>
        <w:t>و هاک نصّ ما حرّرته عنه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العنوانین إن اتّحدت جهة صدقهما بحیث کانت جهة صدق أحدهما علی مصداقه هی عین جهة صدق العنوان الآخر علیه، کان أحد العنوانین عین العنوان الآخر، و کانا متّحدین و امتنع أن یکونا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النقض علی هذه القاعدة بالعناوین المتصادقة علی الواجب تعالی و تقدّس، بدعوی أنّ جهة صدقها علیه تبارک و تعالی متّحدة مع کون تلک العناوین فی حدّ نفسها مختلفة، فإنّ کلامنا إنّما هو فی العناوین الصادقة علی الممکن دون الصادقة علی الواجب المقدّس، فإنّ عقولنا لا تدرکها و لا تحیط بکیفیة صدقها، و ما للتراب و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أقصی ما یمکننا أن نقول إنّ تلک العناوین من المقول بالتشکیک و أقصی مراتبه هو ما یکون بالنسبة إلیه تعالی، و جمیع تلک العناوین فیه تبارک و تعالی راجعة إلی عنوانین و هما العلم و القدرة، أو ثلاثة و هی الاثنان المذکوران 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أقصی ما یمکننا من الإیضاح فی ذلک هو النظر إلی ما توجده مخیّلتنا من الصور الخیالیة، فإنّ علمنا بها عین قدرتنا علیها، و ذلک العلم هو أقصی مراتب العلم کما أنّ تلک القدرة هی أقصی مراتبها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فإنّ صفاته تعالی أجنبیة بالمرّة عمّا یراد فی هذا المقام، فلا یمکن التمسّک بها علی أنّ اختلاف المفاهیم و تغایرها لا یوجب اختلافا و تغایرا فی جهة الصدق فیها کی یقال کما فی الکفایة إنّ اختلاف العناوین و تعدّدها لا یوجب تعدّدا فی ناحیة المعنون </w:t>
      </w:r>
      <w:r>
        <w:rPr>
          <w:rStyle w:val="FootnoteAnchor"/>
          <w:rtl w:val="true"/>
        </w:rPr>
        <w:footnoteReference w:id="29"/>
      </w:r>
      <w:r>
        <w:rPr>
          <w:rFonts w:ascii="IRNazanin" w:hAnsi="IRNazanin" w:eastAsia="IRNazanin"/>
          <w:color w:val="111111"/>
          <w:sz w:val="28"/>
          <w:sz w:val="28"/>
          <w:szCs w:val="28"/>
          <w:rtl w:val="true"/>
          <w:lang w:bidi="fa-IR"/>
        </w:rPr>
        <w:t>، و ذلک لما هو واضح من أنّ اختلاف العناوین و تغایرها موجب لمغایرة جهة الصدق فی أحدهما لجهة الصدق فی الآخر، و یکون ذلک التغایر فی جهة الصدق هو المنشأ فی اختلاف العناوین بالعموم من وجه أو العموم المطلق أو التباین، انتهی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مسلّم لا تأمّل لأحد فیه علی الظاهر، فإنّ اختلاف العناوین فی السعة و الضیق کاشف قطعی عن عدم اتّحاد جهة الصدق فیها، و لکن یمکن التأمّل فی توجّه الإیراد بذلک علی صاحب الکفایة، فإنّا بعد أن أخذنا جهات</w:t>
      </w:r>
    </w:p>
    <w:p>
      <w:pPr>
        <w:pStyle w:val="BookText"/>
        <w:rPr/>
      </w:pPr>
      <w:r>
        <w:rPr>
          <w:rFonts w:ascii="IRNazanin" w:hAnsi="IRNazanin" w:eastAsia="IRNazanin"/>
          <w:color w:val="111111"/>
          <w:sz w:val="28"/>
          <w:sz w:val="28"/>
          <w:szCs w:val="28"/>
          <w:rtl w:val="true"/>
          <w:lang w:bidi="fa-IR"/>
        </w:rPr>
        <w:t>الصدق جهات تعلیلیة لا بدّ لنا من الالتزام بأنّ تکثّر العناوین لا یوجب تکثّرا فی المعنون، أعنی به ذلک المصداق الذی تحمل علیه تلک العناوین المتعدّدة، فإنّ انطباق العالم و العادل و نحوهما علی زید و إن کان کاشفا عن تعدّد فی الجهة التی هی العلّة فی انطباق عنوان العالم و عنوان العادل، إلّا أنّ ذلک لا یوجب تعدّدا فی المعنون، و هو ذلک الفرد الإنسانی أعنی به زیدا المذکور، بل یبقی علی ما هو علیه من الوحدة قبل أن تنطبق علیه هذه العناوین و قبل أن تطرأ علیه جهاتها التعلیلیة التی کان اتّصافها بها علّة فی انتزاع تلک العناوین منه و تطبیقها و حملها علیه، و 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الترکّب فی مثل ذلک اتّحادی لا انضمامی، بل قد عرفت فیما مضی </w:t>
      </w:r>
      <w:r>
        <w:rPr>
          <w:rStyle w:val="FootnoteAnchor"/>
          <w:rtl w:val="true"/>
        </w:rPr>
        <w:footnoteReference w:id="30"/>
      </w:r>
      <w:r>
        <w:rPr>
          <w:rFonts w:ascii="IRNazanin" w:hAnsi="IRNazanin" w:eastAsia="IRNazanin"/>
          <w:color w:val="111111"/>
          <w:sz w:val="28"/>
          <w:sz w:val="28"/>
          <w:szCs w:val="28"/>
          <w:rtl w:val="true"/>
          <w:lang w:bidi="fa-IR"/>
        </w:rPr>
        <w:t>أنّه لا معنی للترکّب فی أمثال ذلک حتّی الاتّحادی منه، لما شرحناه هنا من وحدة المصداق وحدة حقیقیة و إن کانت جهة الصدق أعنی علّته متعدّدة فتأمّل، فإنّ تعدّد تلک الجهة التعلیلیة لا یوجب تعدّدا فی ذلک المصداق کی یقال إنّه ترکّب ترکّبا اتّحادیا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إنّما یتصوّر الترکّب الاتّحادی فی مثل ترکّب الجنس و الفصل و نحو ذلک، دون ما نحن فیه من العناوین العرضیة المنتزعة من الذات باعتبار اتّصافها بعرض من عوارضها هذا، و لکن سیأتی منه قدّس سرّه </w:t>
      </w:r>
      <w:r>
        <w:rPr>
          <w:rStyle w:val="FootnoteAnchor"/>
          <w:rtl w:val="true"/>
        </w:rPr>
        <w:footnoteReference w:id="31"/>
      </w:r>
      <w:r>
        <w:rPr>
          <w:rFonts w:ascii="IRNazanin" w:hAnsi="IRNazanin" w:eastAsia="IRNazanin"/>
          <w:color w:val="111111"/>
          <w:sz w:val="28"/>
          <w:sz w:val="28"/>
          <w:szCs w:val="28"/>
          <w:rtl w:val="true"/>
          <w:lang w:bidi="fa-IR"/>
        </w:rPr>
        <w:t>عند التعرّض لکلمات صاحب الکفایة أنّ الحجر الأساسی فی المسألة هو کون هذه الجهات هل هی من الجهات التعلیلیة أو من الجهات التقییدیة، و أنّه علی الأوّل لا بدّ من الالتزام بکون الترکّب اتّحادیا و علی الثانی لا بدّ من کونه انضمامیا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الکفایة إن أراد من أنّ تعدّد العنوان لا یوجب</w:t>
      </w:r>
    </w:p>
    <w:p>
      <w:pPr>
        <w:pStyle w:val="BookText"/>
        <w:rPr/>
      </w:pPr>
      <w:r>
        <w:rPr>
          <w:rFonts w:ascii="IRNazanin" w:hAnsi="IRNazanin" w:eastAsia="IRNazanin"/>
          <w:color w:val="111111"/>
          <w:sz w:val="28"/>
          <w:sz w:val="28"/>
          <w:szCs w:val="28"/>
          <w:rtl w:val="true"/>
          <w:lang w:bidi="fa-IR"/>
        </w:rPr>
        <w:t>التعدّد فی المعنون أنّه لا یوجب التعدّد أصلا حتّی بالنسبة إلی الجهة التعلیلیة، فذلک ممّا یشهد الوجدان بخلافه ضرورة تعدّد الجهة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ذلک أعنی إثبات التعدّد فی ناحیة الجهة التعلیلیة لا یضرّ بما قصده صاحب الکفایة من عدم إمکان الاجتماع، لأنّ الجهة التعلیلیة لیست هی مرکب الحکمین، و إنّما مرکبهما هو المعنون و المفروض أنّه واحد لا تعدّد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صاحب الکفایة إنکار تعدّد المعنون نفسه و إن تعدّدت الجهات التعلیلیة کما ربما یظهر ممّا رسمه علی الهامش فی الأمر الرابع </w:t>
      </w:r>
      <w:r>
        <w:rPr>
          <w:rStyle w:val="FootnoteAnchor"/>
          <w:rtl w:val="true"/>
        </w:rPr>
        <w:footnoteReference w:id="32"/>
      </w:r>
      <w:r>
        <w:rPr>
          <w:rFonts w:ascii="IRNazanin" w:hAnsi="IRNazanin" w:eastAsia="IRNazanin"/>
          <w:color w:val="111111"/>
          <w:sz w:val="28"/>
          <w:sz w:val="28"/>
          <w:szCs w:val="28"/>
          <w:rtl w:val="true"/>
          <w:lang w:bidi="fa-IR"/>
        </w:rPr>
        <w:t>فذلک أمر لا بدّ منه بناء علی ما قدّمناه من کون الجهة تعلیلیة، و لا یرد علیه ما أفاده شیخنا قدّس سرّه من أنّ اختلاف العناوین و افتراق أحدها فی الصدق عن الآخر کاشف قطعی عن اختلاف الجهة و تعدّدها، فإنّک قد عرفت أنّه أعنی تعدّد الجهة قطعی لا ریب فیه، و المفروض أنّ صاحب الکفایة لا ینکره و إنّما ینکر تعدّد المعنون، و هو أعنی عدم تعدّد المعنون بناء علی کون الجهة تعلیلیة أمر لا بدّ منه و لا محیص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تقولون إنّ عدم تعدّد المعنون أمر لا ریب فیه فی مثل العالم و العادل مع أنّ کلا من هذین العنوانین کلّی طبیعی و یکون وجوده بوجود فرده، بل قد تقدّم </w:t>
      </w:r>
      <w:r>
        <w:rPr>
          <w:rStyle w:val="FootnoteAnchor"/>
          <w:rtl w:val="true"/>
        </w:rPr>
        <w:footnoteReference w:id="33"/>
      </w:r>
      <w:r>
        <w:rPr>
          <w:rFonts w:ascii="IRNazanin" w:hAnsi="IRNazanin" w:eastAsia="IRNazanin"/>
          <w:color w:val="111111"/>
          <w:sz w:val="28"/>
          <w:sz w:val="28"/>
          <w:szCs w:val="28"/>
          <w:rtl w:val="true"/>
          <w:lang w:bidi="fa-IR"/>
        </w:rPr>
        <w:t>أنّ الفرد عین وجود کلّیه الطبیعی، و حینئذ لا بدّ أن یکون فی البین فردان أحدهما مصداق العالم و الآخر مصداق العادل، و یکون اجتماعهما فی الخارج فی وجود واحد من قبیل الترکّب الاتّحادی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أمثال هذه العناوین إلّا من العناوین الانتزاعیة التی لیس لها</w:t>
      </w:r>
    </w:p>
    <w:p>
      <w:pPr>
        <w:pStyle w:val="BookText"/>
        <w:rPr/>
      </w:pPr>
      <w:r>
        <w:rPr>
          <w:rFonts w:ascii="IRNazanin" w:hAnsi="IRNazanin" w:eastAsia="IRNazanin"/>
          <w:color w:val="111111"/>
          <w:sz w:val="28"/>
          <w:sz w:val="28"/>
          <w:szCs w:val="28"/>
          <w:rtl w:val="true"/>
          <w:lang w:bidi="fa-IR"/>
        </w:rPr>
        <w:t>فی الخارج ما بحذائها، بل لا یکون فیه إلّا ما هو منشأ انتزاعها و هو الذات بلحاظ تلبّسها بالحدث، و حینئذ لا یکون فی الخارج إلّا ذات واحدة قد انتزع منها عنوان العالم بلحاظ عروض العلم لها، کما قد انتزع منها عنوان العادل بلحاظ حصول العدالة لها، فلا محصّل للقول حینئذ بأنّ ذلک من قبیل الترکّب الاتّحادی، لما عرفت من أنّه لیس فی البین إلّا تلک الذات الواحدة التی لم یطرأ لها التعدّد أصلا کی یقال إنّها ترکّبت مع الذات الأخری ترکّبا اتّحادیا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ما فی الکفایة أنّ قیاس العناوین الصادقة علی الممکن بالعناوین الصادقة علی الواجب تعالی قیاس فی غیر محلّه، سواء کان المراد هو نفی تعدّد المعنون فقط أو کان المراد هو نفی تعدّد الجهة التعلیلیة، و ذلک لأنّ انتفاء التعدّد فی الواجب إنّما هو من جهة ما ثبت بالدلیل العقلی أنّ صفاته تعالی هی عین ذاته المقدّسة الذی یکون لازمه اتّحاد تلک الصفات، و هو عبارة عن اتّحاد تلک الجهات فیه تبارک و تعالی، و لا بدّ من توجیه ذلک و تحقیق کیفیة صدق تلک العناوین علیه تعالی بما أفاده شیخنا قدّس سرّه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أین ذلک من الممکن الذی تکون صفاته زائدة علی ذاته، و تکون الجهات فیه متباینة ذاتا و إن اجتمعت فیه اجتماعا انضمامیا کما سیأتی </w:t>
      </w:r>
      <w:r>
        <w:rPr>
          <w:rStyle w:val="FootnoteAnchor"/>
          <w:rtl w:val="true"/>
        </w:rPr>
        <w:footnoteReference w:id="34"/>
      </w:r>
      <w:r>
        <w:rPr>
          <w:rFonts w:ascii="IRNazanin" w:hAnsi="IRNazanin" w:eastAsia="IRNazanin"/>
          <w:color w:val="111111"/>
          <w:sz w:val="28"/>
          <w:sz w:val="28"/>
          <w:szCs w:val="28"/>
          <w:rtl w:val="true"/>
          <w:lang w:bidi="fa-IR"/>
        </w:rPr>
        <w:t>إن شاء اللّه تعالی بیانه، و أنّ اجتماع نفس العوارض أعنی العلم و العدالة لا یکون إلّا من قبیل الترکّب الانضمامی، بل التعبیر بالترکّب و لو انضمامیا لا یخلو من تسامح و تساهل، إذ لیس فی البین إلّا اجتماع العوارض لا ترکّب بعضها مع بعض، و ذلک فیما إذا کانا من مقولتین، لوضوح کمال المباینة حینئذ بین العرضین أنفسهما</w:t>
      </w:r>
      <w:r>
        <w:rPr>
          <w:rFonts w:eastAsia="IRNazanin" w:cs="IRNazanin"/>
          <w:color w:val="111111"/>
          <w:sz w:val="28"/>
          <w:szCs w:val="28"/>
          <w:rtl w:val="true"/>
          <w:lang w:bidi="fa-IR"/>
        </w:rPr>
        <w:t>.</w:t>
      </w:r>
      <w:bookmarkStart w:id="40" w:name="pg19667_764974"/>
    </w:p>
    <w:p>
      <w:pPr>
        <w:pStyle w:val="Heading4"/>
        <w:numPr>
          <w:ilvl w:val="3"/>
          <w:numId w:val="1"/>
        </w:numPr>
        <w:rPr/>
      </w:pPr>
      <w:bookmarkStart w:id="41" w:name="__RefHeading___Toc3538475_2314609296"/>
      <w:bookmarkStart w:id="42" w:name="_Toc15"/>
      <w:bookmarkEnd w:id="40"/>
      <w:bookmarkEnd w:id="41"/>
      <w:r>
        <w:rPr>
          <w:rtl w:val="true"/>
        </w:rPr>
        <w:t>[</w:t>
      </w:r>
      <w:r>
        <w:rPr>
          <w:rtl w:val="true"/>
        </w:rPr>
        <w:t>الکلام فی تصوّر النسب الأربع بین جوهرین أو عرضین أو جوهر و عرض</w:t>
      </w:r>
      <w:bookmarkEnd w:id="4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 نسبة العموم من وجه لا یمکن أن یکون بین الجوهرین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إنّما تکون فی جوهر و عرض کالحیوان و الأبیض أو بین عرضیین کالأبیض و الحلو</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فی ذلک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الجوهرین لا یتصوّر فیهما العموم من وجه و یتصوّر فیهما باقی النسب من التساوی و العموم المطلق و التباین، لکن لا یکون الترکیب فیهما إلّا اتّحادیا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العرضان إذا کانا من مقولتین فلا یتصوّر فیهما شی‌ء من النسب الأربع إلّا التباین، و لا یکون اجتماعهما إلّا من قبیل الترکّب الانضمامی، و هکذا الحال فی الجوهر 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کانا من مقولة واحدة فیتصوّر فیهما العموم المطلق کما فی الحرکة و القیام، بل ربما تصوّر فیهما العموم من وجه کما فی التستّر بالثوب المغصوب، فیجتمع التستّر و التصرّف فی المغصوب، و ینفرد الأوّل عن الثانی فی التستّر بالمملوک، و ینفرد الثانی عن الأوّل بالتعمّم بالمغصوب، بل لعلّه یمکن تصوّر التساوی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لک التأمّل فیما تضمّنته الحاشیة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الجوهر و العرضی مثل الإنسان و الضاحک أو مثل الإنسان و الماشی، و کذلک العرضیان مثل الکاتب و الضاحک فیتصوّر فیها جمیع النسب، و یکون ترکّبها ترکّبا اتّحادیا، بل قد عرفت أنّ التعبیر بالترکّب لا یصحّ إلّا من باب المسامحة و التساهل و إلّا فإنّه لیس فی البین إلّا الذات التی لا تعدّد فیها، و إنّما یقع التعدّد فی الجهة التعلیلیة التی هی نفس العرض الذی قد عرفت أنّ النسبة فیه هی</w:t>
      </w:r>
    </w:p>
    <w:p>
      <w:pPr>
        <w:pStyle w:val="BookText"/>
        <w:rPr/>
      </w:pPr>
      <w:r>
        <w:rPr>
          <w:rFonts w:ascii="IRNazanin" w:hAnsi="IRNazanin" w:eastAsia="IRNazanin"/>
          <w:color w:val="111111"/>
          <w:sz w:val="28"/>
          <w:sz w:val="28"/>
          <w:szCs w:val="28"/>
          <w:rtl w:val="true"/>
          <w:lang w:bidi="fa-IR"/>
        </w:rPr>
        <w:t>التباین و أنّ الاجتماع فیه لا یکون إلّا انضمامیا، أمّا العرض مع العرضی مثل الضحک و الضاحک فلیس ذلک إلّا من قبیل العرض الذی هو الضحک و الجوهر، أعنی الذات الخارجیة المحکیة بعنوان الضاحک، و قد عرفت أنّهما لا یکونان إلّا متباینین و أنّ اجتماعهما لا یکون إلّا انضمامیا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امتناع کون الشی‌ء الواحد متفصّلا بفصلین عرضیین حتّی یکون صدق أحد الجوهرین من جهة و صدق الآخر 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برهان علی استحالة تحقّق العموم من وجه بین العنوانین الجوهریین، لکن العبارة لا تخلو من إجمال، و المرحوم الشیخ محمّد علی ذکر فی بیان هذا البرهان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جهة صدق العنوان الجوهری علی شی‌ء إنّما یکون باعتبار ما له من الصورة النوعیة التی بها یکون الشی‌ء شیئا، و قد عرفت أنّ الصور النوعیة متباینة بالتباین الکلّی لا یمکن أن یجتمعا الخ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العبارة و إن کانت أوضح ممّا هو المذکور هنا إلّا أنّها لا تخلو أیضا عن إجمال، و لعلّ مراد شیخنا قدّس سرّه هو أنّ تحقّق العموم من وجه بین العنوانین الجوهریین لما کان یتوقّف علی اجتماعهما فی شی‌ء و انفراد کلّ منهما عن صاحبه فی شی‌ء آخر، کان لازمه هو کون هذا العنوان الجوهری مشترکا بین هذا الشی‌ء الذی هو مجمعهما و بین الشی‌ء الآخر الذی ینفرد به فیکون جنسا لهما، و هکذا الحال فی العنوان الآخر، و حینئذ یکون ذلک المجمع مشتملا علی</w:t>
      </w:r>
    </w:p>
    <w:p>
      <w:pPr>
        <w:pStyle w:val="BookText"/>
        <w:rPr/>
      </w:pPr>
      <w:r>
        <w:rPr>
          <w:rFonts w:ascii="IRNazanin" w:hAnsi="IRNazanin" w:eastAsia="IRNazanin"/>
          <w:color w:val="111111"/>
          <w:sz w:val="28"/>
          <w:sz w:val="28"/>
          <w:szCs w:val="28"/>
          <w:rtl w:val="true"/>
          <w:lang w:bidi="fa-IR"/>
        </w:rPr>
        <w:t>الجنسین العرضیین، فإن لم یکن له إلّا فصل واحد کان ذلک مستلزما لترکّبه من جنسین عرضیین و فصل واحد و هو محال، حیث إنّ کلّ جنس للماهیة لا بدّ أن یکون له فصل، و إن کان له فصلان کان عبارة عن نوعین کلّ منهما فی عرض الآخر، و قد عرفت التباین الکلّی بین النوعین العرضیین، فکیف یعقل أن یکون الشی‌ء الواحد عبارة عن نوعین عرضیین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تحریرات بعض أجلّة تلامیذه </w:t>
      </w:r>
      <w:r>
        <w:rPr>
          <w:rStyle w:val="FootnoteAnchor"/>
          <w:rtl w:val="true"/>
        </w:rPr>
        <w:footnoteReference w:id="39"/>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بین الجوهرین فلا یعقل لأنّهما ینحصران بالنوعین کالإنسان و البقر، أو بالجنس و الفصل کالحیوان و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 لا یمکن الاجتماع لأنّهما متعاندان فی الوجود، کما أنّ فی الثانی لا یمکن الافتراق من طرف الفصل لأنّه لا ینفک عن الجنس، ففرض مادتی الافتراق لنوعین من الطرفین لا یمکن فی الثانی کما أنّه لا یمکن مادّة الاجتماع فی الأوّل، للتباین الکلّی بین النوعین کما لا یخفی، انتهی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لیس ببرهان عقلی بل هو استدلال بالاستقراء، و کان علیه أن یذکر الجنسین أو الجنس و النوع، و یدفعه بأنّه لا بدّ أن یکون أحدهما أعمّ مطلقا من الآخر، فهما نظیر الجنس و الفصل لا یمکن الافتراق فی ناحیة الأخصّ منهما، و حینئذ لا بدّ أن یکونا من قبیل الجنسین العرضیین، و قد دلّ الاستقراء علی ترتّب الأجناس من سافل إلی عال و من خاصّ إلی أعمّ منه و أنّ الجنسین العرضیین لا وجود لهما، و حینئذ نحتاج إلی إقامة البرهان علی امتناعه، و هو ما ذکرناه و احتملنا کون البرهان المذکور فی هذا التحریر و فی تحریر المرحوم الشیخ محمّد علی راجعا إلیه، فتأمّل</w:t>
      </w:r>
      <w:r>
        <w:rPr>
          <w:rFonts w:eastAsia="IRNazanin" w:cs="IRNazanin"/>
          <w:color w:val="111111"/>
          <w:sz w:val="28"/>
          <w:szCs w:val="28"/>
          <w:rtl w:val="true"/>
          <w:lang w:bidi="fa-IR"/>
        </w:rPr>
        <w:t>.</w:t>
      </w:r>
      <w:bookmarkStart w:id="43" w:name="pg19667_764977"/>
    </w:p>
    <w:p>
      <w:pPr>
        <w:pStyle w:val="Heading4"/>
        <w:numPr>
          <w:ilvl w:val="3"/>
          <w:numId w:val="1"/>
        </w:numPr>
        <w:rPr/>
      </w:pPr>
      <w:bookmarkStart w:id="44" w:name="__RefHeading___Toc3538477_2314609296"/>
      <w:bookmarkStart w:id="45" w:name="_Toc16"/>
      <w:bookmarkEnd w:id="43"/>
      <w:bookmarkEnd w:id="44"/>
      <w:r>
        <w:rPr>
          <w:rtl w:val="true"/>
        </w:rPr>
        <w:t>[</w:t>
      </w:r>
      <w:r>
        <w:rPr>
          <w:rtl w:val="true"/>
        </w:rPr>
        <w:t>اختلاف مبادی المشتقّات من حیث أخذها بشرط لا و لا بشرط</w:t>
      </w:r>
      <w:r>
        <w:rPr>
          <w:rtl w:val="true"/>
        </w:rPr>
        <w:t>]</w:t>
      </w:r>
      <w:bookmarkEnd w:id="4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مبحث المشتق أنّ مبادئ الاشتقاق مأخوذة بشرط لا، بعضها بالاضافة إلی بعض و الکل بالاضافة إلی الذوات المعروضة لها، فلذا لا یصحّ الحمل بینها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41"/>
      </w:r>
      <w:r>
        <w:rPr>
          <w:rFonts w:ascii="IRNazanin" w:hAnsi="IRNazanin" w:eastAsia="IRNazanin"/>
          <w:color w:val="111111"/>
          <w:sz w:val="28"/>
          <w:sz w:val="28"/>
          <w:szCs w:val="28"/>
          <w:rtl w:val="true"/>
          <w:lang w:bidi="fa-IR"/>
        </w:rPr>
        <w:t>فی باب المشتق أنّ مبدأ الاشتقاق هو المادّة الساریة فی جمیع المشتقّات حتّی المصدر بل حتّی اسم المصدر، و هی أعنی تلک المادّة ملحوظة لا بشرط بالاضافة إلی تلک الطوارئ التی تطرأ علیها و یتولّد منها سائر المشتقّات، مثل الفعل الماضی و اسم الفاعل و نحوهما من النسب الفعلیة أو الوصفیة التی هی مصحّحة لحملها علی الذات، أمّا المصدر نفسه فقد عرفت أنّه ملحوظ بشرط النسبة کسائر المشتقّات، نعم اسم المصدر لوحظ فیه الحدث مجرّدا عن النسبة و نحوها من أخذه وصفا للذات و عنوانا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هذه الناحیة مأخوذ بشرط لا و لکن بالنسبة إلی النواحی الأخر و الطوارئ الطارئة علی نفس ذلک الحدث، فهو ملحوظ لا بشرط، و لذلک یصحّ وصفه بصفات عدیدة مثل الشدّة و السرعة و نحوهما، فیقال الضرب شدید و المشی سریع، هذا بالقیاس إلی ما یلحقه من الصفات و الطوارئ و العوارض</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بالنسبة إلی عرض آخر مثله فإن کان ذلک العرض الآخر من مقولة أخری کان مباینا له و لا یصحّ حمله علیه، و کان بالنسبة إلیه مأخوذا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التعبیر فی حقّ هذا العرض بالنسبة إلی عرض آخر من مقولة أخری بأنّه</w:t>
      </w:r>
    </w:p>
    <w:p>
      <w:pPr>
        <w:pStyle w:val="BookText"/>
        <w:rPr/>
      </w:pPr>
      <w:r>
        <w:rPr>
          <w:rFonts w:ascii="IRNazanin" w:hAnsi="IRNazanin" w:eastAsia="IRNazanin"/>
          <w:color w:val="111111"/>
          <w:sz w:val="28"/>
          <w:sz w:val="28"/>
          <w:szCs w:val="28"/>
          <w:rtl w:val="true"/>
          <w:lang w:bidi="fa-IR"/>
        </w:rPr>
        <w:t>بالقیاس إلی ذلک العرض مأخوذ بشرط لا، لا محصّل له لما عرفت من کمال المباینة بینها، و ذلک أعنی التباین مغن عن أخذه بالقیاس إلی مباینة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عرض آخر من مقولته فربما کان مباینا له کما فی الضرب و القیام، و ربما کان متّحدا معه اتّحاد العموم المطلق کما فی مثل الحرکة و القیام و الفعل بمعناه اللغوی و الضرب و نحو ذلک، بل ربما کان بینها العموم من وجه کما فی التستّر فإنّه یجتمع مع التصرّف بملک الغیر کما لو تستّر بالمغصوب، و ینفرد التصرّف فی المغصوب عن التستّر کما لو تعمّم بالثوب المغصوب، و ینفرد التستّر عن التصرّف بالمغصوب کما لو تستّر بثوب غیر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ترکّبهما من قبیل الترکّب الاتّحادی لا الانضمامی، و لعلّه یأتی له مزید بحث و بیان إن شاء اللّه تعالی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الغرض هنا مجرّد بیان أنّ مبادئ الاشتقاق أعنی أسماء المصادر لا یلزمها أن تکون مأخوذة بشرط لا بالقیاس إلی بعضها الآخر، علی وجه یمتنع حمل بعضها علی بعض، کما یمتنع حمل کلّ منها علی نفس الذات، بل إنّها فی ذلک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ینحصر النسبة بینها بالتباین بل یتأتّی فیها العموم المطلق، خصوصا فی مثل العناوین الأوّلیة و الثانویة مثل الالقاء و الإحراق و القیام و التعظیم بل العموم من وجه، بل ربما یتأتّی فیها التساوی أیضا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اسم المصدر بشرط لا بالقیاس إلی الطوارئ التی یتکوّن عنها باقی المشتقّات و منها الصفات لا یوجب إلّا عدم صحّة حمله علی الذات الموصوفة، أمّا حمله علی أسماء الأحداث الأخر فلیس هو براجع إلی</w:t>
      </w:r>
      <w:bookmarkStart w:id="46" w:name="pg19667_764979"/>
    </w:p>
    <w:p>
      <w:pPr>
        <w:pStyle w:val="BookText"/>
        <w:rPr/>
      </w:pPr>
      <w:bookmarkEnd w:id="46"/>
      <w:r>
        <w:rPr>
          <w:rFonts w:ascii="IRNazanin" w:hAnsi="IRNazanin" w:eastAsia="IRNazanin"/>
          <w:color w:val="111111"/>
          <w:sz w:val="28"/>
          <w:sz w:val="28"/>
          <w:szCs w:val="28"/>
          <w:rtl w:val="true"/>
          <w:lang w:bidi="fa-IR"/>
        </w:rPr>
        <w:t>أخذه بشرط لا أو أخذه لا بشرط، بل هو راجع إلی أنّ هذا الحدث هل هو مباین لذلک الحدث الآخر و لو لکونهما من مقولتین، أو أنّه غیر مباین له لأجل أنّهما من مقولة واحدة و أنّ أحدهما أعمّ مطلقا من الآخر، أو کونه عنوانا تولیدیا له، أو کون أحدهما أعمّ من وجه من الآخر أو مساویا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الحدثان متباینین لم یصحّ حمل أحدهما علی الآخر، و لم یکن اجتماعهما إلّا من قبیل الاجتماع الانضمامی، و إلّا صحّ حمل أحدهما علی الآخر و کان اجتماعهما من قبیل الترکّب الاتّحادی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أخذ الحدث بشرط لا، لا یکون مانعا من حمله علی الحدث الآخر إذا لم یکن مباینا له، کما أنّه لا یوجب أن یکون ترکّبه معه ترکّبا انضمامیا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یتّضح لک التأمّل فیما أفید فی المقدّمة الرابعة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 فی ذلک الخ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3538479_2314609296"/>
      <w:bookmarkStart w:id="48" w:name="_Toc17"/>
      <w:bookmarkEnd w:id="47"/>
      <w:r>
        <w:rPr>
          <w:rtl w:val="true"/>
        </w:rPr>
        <w:t>[</w:t>
      </w:r>
      <w:r>
        <w:rPr>
          <w:rtl w:val="true"/>
        </w:rPr>
        <w:t>التأمّل فی ملاک الترکیب الانضمامی و الاتّحادی</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یتّضح لک منه التأمّل فیما أفاده قدّس سرّه من تقسیم الافتراق علی قسمین و أنّ القسم الأوّل منه هو ما یکون الافتراق فیه بتبدّل حقیقة المصداق، کما فی انفراد العالم عن مورد الاجتماع مع عنوان الفاسق فی العالم غیر الفاسق، فإنّ المصداق الذی ینفرد فیه العالم مباین فی الهویة و الحقیقة للمصداق الذی یجتمع فیه مع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القسم الثانی منه هو ما یکون الافتراق فیه بمجرّد انفکاک أحد العنوانین عن الآخر و انفصاله عنه من دون تبدّل فی هویة المصداق، کما فی انفراد عنوان العلم عن عنوان الفسق، فإنّ العلم المجرّد عن الفسق لا تختلف هویته عن العلم المقرون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قدّس سرّه هذا الفرق بین هذین القسمین هو الحجر الأساسی فی کون الترکّب فی القسم الأوّل اتّحادیا و فی القسم الثانی</w:t>
      </w:r>
    </w:p>
    <w:p>
      <w:pPr>
        <w:pStyle w:val="BookText"/>
        <w:rPr/>
      </w:pPr>
      <w:r>
        <w:rPr>
          <w:rFonts w:ascii="IRNazanin" w:hAnsi="IRNazanin" w:eastAsia="IRNazanin"/>
          <w:color w:val="111111"/>
          <w:sz w:val="28"/>
          <w:sz w:val="28"/>
          <w:szCs w:val="28"/>
          <w:rtl w:val="true"/>
          <w:lang w:bidi="fa-IR"/>
        </w:rPr>
        <w:t xml:space="preserve">انضمامیا، فراجع ما حرّرناه عنه </w:t>
      </w:r>
      <w:r>
        <w:rPr>
          <w:rStyle w:val="FootnoteAnchor"/>
          <w:rtl w:val="true"/>
        </w:rPr>
        <w:footnoteReference w:id="44"/>
      </w:r>
      <w:r>
        <w:rPr>
          <w:rFonts w:ascii="IRNazanin" w:hAnsi="IRNazanin" w:eastAsia="IRNazanin"/>
          <w:color w:val="111111"/>
          <w:sz w:val="28"/>
          <w:sz w:val="28"/>
          <w:szCs w:val="28"/>
          <w:rtl w:val="true"/>
          <w:lang w:bidi="fa-IR"/>
        </w:rPr>
        <w:t xml:space="preserve">و ما حرّره عنه المرحوم الشیخ محمّد علی </w:t>
      </w:r>
      <w:r>
        <w:rPr>
          <w:rStyle w:val="FootnoteAnchor"/>
          <w:rtl w:val="true"/>
        </w:rPr>
        <w:footnoteReference w:id="45"/>
      </w:r>
      <w:r>
        <w:rPr>
          <w:rFonts w:ascii="IRNazanin" w:hAnsi="IRNazanin" w:eastAsia="IRNazanin"/>
          <w:color w:val="111111"/>
          <w:sz w:val="28"/>
          <w:sz w:val="28"/>
          <w:szCs w:val="28"/>
          <w:rtl w:val="true"/>
          <w:lang w:bidi="fa-IR"/>
        </w:rPr>
        <w:t>فی هذا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التأمّل أنّه أیضا مبنی علی المباینة بین الحدثین، و إلّا فلو لم یکونا متباینین بل کان بینهما العموم من وجه کما مثّلنا به فی التستّر بالثوب المغصوب الذی هو مجمع لعنوان التستّر و عنوان التصرّف فی المغصوب، و التستّر الذی یکون بالثوب المملوک و التصرّف الذی یکون بالثوب المغصوب بغیر التستّر بل بالتعمّم به مثلا، فإنّ عنوان التستّر عند انفراده عن عنوان التصرّف فی المغصوب یکون لمصداقه هویة هی غیر هویته عند اتّحاده مع التصرّف فی المغصوب، و هکذا الحال فی انفراد عنوان التصرّف بالثوب المغصوب عن عنوان التستّر به، فإنّه حینئذ یکون فی مصداق مباین فی الهویة مع المصداق الذی اجتمعا فیه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أورده علیه فی الحاشیة</w:t>
      </w:r>
      <w:r>
        <w:rPr>
          <w:rStyle w:val="FootnoteAnchor"/>
          <w:rtl w:val="true"/>
        </w:rPr>
        <w:footnoteReference w:id="46"/>
      </w:r>
      <w:r>
        <w:rPr>
          <w:rFonts w:ascii="IRNazanin" w:hAnsi="IRNazanin" w:eastAsia="IRNazanin"/>
          <w:color w:val="111111"/>
          <w:sz w:val="28"/>
          <w:sz w:val="28"/>
          <w:szCs w:val="28"/>
          <w:rtl w:val="true"/>
          <w:lang w:bidi="fa-IR"/>
        </w:rPr>
        <w:t>من أنّ ذلک إنّما یسلم فی المصادر المتأصّلة دون الانتزاعیة کالغصب، فإنّ الموجود منه فی غیر الصلاة کلبس ثوب الغیر أو أکل خبزه مغایر لما هو موجود مع الصلاة الذی هو من مقولة الأین، فإنّه یمکن الجواب عن ذلک بأنّ الغصب المقابل لما هو موجود مع الصلاة هو الغصب الأینی أیضا، إلّا أنّه فی غیر الصلاة بل فی فعل آخر غیرها مثل القیام و المشی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هو ما أشرنا إلیه من أنّ الغصب هل هو مباین للصلاة بالذات فیکون اجتماعهما انضمامیا أو أنّه عینه فی الخارج فیکون اتّحادیا، و لازمه هو مغایرة الغصب الموجود فی غیر الصلاة مع الغصب الموجود فیها،</w:t>
      </w:r>
    </w:p>
    <w:p>
      <w:pPr>
        <w:pStyle w:val="BookText"/>
        <w:rPr/>
      </w:pPr>
      <w:r>
        <w:rPr>
          <w:rFonts w:ascii="IRNazanin" w:hAnsi="IRNazanin" w:eastAsia="IRNazanin"/>
          <w:color w:val="111111"/>
          <w:sz w:val="28"/>
          <w:sz w:val="28"/>
          <w:szCs w:val="28"/>
          <w:rtl w:val="true"/>
          <w:lang w:bidi="fa-IR"/>
        </w:rPr>
        <w:t>و أنّ مجرّد أخذه بشرط لا لا یترتّب علیه الأثر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فالحجر الأساسی لجمیع هذه الأمور و لکون الترکّب انضمامیا هو ما عرفت من التباین بین الحدثین و عدم المباینة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یظهر منه قدّس سرّه فی جمیع التحاریر هو أنّ الحجر الأساسی فی التباین بین المبادئ و عدم حمل بعضها علی بعض و کون اجتماع بعضها مع بعض فی ذات واحدة من باب الترکّب الانضمامی هو کونها مأخوذة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التأمّل فی ذلک و أنّه لا أثر لأخذها بشرط لا إلّا عدم صحّة حملها علی الذات، و کونها مباینة للذات التی تعرض لها، أمّا بالنسبة إلی بعضها مع البعض الآخر منها فذلک تابع للتباین بین الحدثین و عدم التباین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یمکن أن لا یکون بین الحدثین تباین بل یکون بینهما العموم المطلق و العموم من وجه بل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مستلزم لترکّب الحدث و عدم بساطته، و سیأتی إن شاء اللّه تعالی </w:t>
      </w:r>
      <w:r>
        <w:rPr>
          <w:rStyle w:val="FootnoteAnchor"/>
          <w:rtl w:val="true"/>
        </w:rPr>
        <w:footnoteReference w:id="47"/>
      </w:r>
      <w:r>
        <w:rPr>
          <w:rFonts w:ascii="IRNazanin" w:hAnsi="IRNazanin" w:eastAsia="IRNazanin"/>
          <w:color w:val="111111"/>
          <w:sz w:val="28"/>
          <w:sz w:val="28"/>
          <w:szCs w:val="28"/>
          <w:rtl w:val="true"/>
          <w:lang w:bidi="fa-IR"/>
        </w:rPr>
        <w:t>التعرّض لذلک و أنّه لا یعقل فیه الترکیب، و أنّ ما به الامتیاز فی الاعراض عین ما به الاشتراک، فلا تکون الأعراض إلّا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لو تمّ یکون أساسا آخر للتباین غیر مجرّد کونه ملحوظا بشرط لا، فتأمّل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أساس الترکّب الانضمامی هو تباین العرضین لا مجرّد کون کلّ منهما ملحوظا بشرط لا، بل یمکن أن یقال إنّ ما تعرّضت له المقدّمة الخامسة</w:t>
      </w:r>
      <w:r>
        <w:rPr>
          <w:rStyle w:val="FootnoteAnchor"/>
          <w:rtl w:val="true"/>
        </w:rPr>
        <w:footnoteReference w:id="48"/>
      </w:r>
      <w:r>
        <w:rPr>
          <w:rFonts w:ascii="IRNazanin" w:hAnsi="IRNazanin" w:eastAsia="IRNazanin"/>
          <w:color w:val="111111"/>
          <w:sz w:val="28"/>
          <w:sz w:val="28"/>
          <w:szCs w:val="28"/>
          <w:rtl w:val="true"/>
          <w:lang w:bidi="fa-IR"/>
        </w:rPr>
        <w:t>من کون جهة الصدق فی المشتقّات تعلیلیة و فی مبدأ الاشتقاق تقییدیة لا یکون بنفسه منتجا للترکّب الانضمامی، إذ أقصی ما فی البین</w:t>
      </w:r>
      <w:bookmarkStart w:id="49" w:name="pg19667_764982"/>
    </w:p>
    <w:p>
      <w:pPr>
        <w:pStyle w:val="BookText"/>
        <w:rPr/>
      </w:pPr>
      <w:bookmarkEnd w:id="49"/>
      <w:r>
        <w:rPr>
          <w:rFonts w:ascii="IRNazanin" w:hAnsi="IRNazanin" w:eastAsia="IRNazanin"/>
          <w:color w:val="111111"/>
          <w:sz w:val="28"/>
          <w:sz w:val="28"/>
          <w:szCs w:val="28"/>
          <w:rtl w:val="true"/>
          <w:lang w:bidi="fa-IR"/>
        </w:rPr>
        <w:t>هو اجتماع الجهتین التقییدیتین، و هذا لا یمنع من صدق إحدی الجهتین علی الأخری فیکون الترکّب بینهما اتّحادیا، إلّا بعد الفراغ عن التباین بین الجهتین علی وجه لا تصدق إحداهما علی الأخری و بسبب ذلک التباین یکون الترکّب انضمامیا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سیأتی إن شاء اللّه تعالی </w:t>
      </w:r>
      <w:r>
        <w:rPr>
          <w:rStyle w:val="FootnoteAnchor"/>
          <w:rtl w:val="true"/>
        </w:rPr>
        <w:footnoteReference w:id="49"/>
      </w:r>
      <w:r>
        <w:rPr>
          <w:rFonts w:ascii="IRNazanin" w:hAnsi="IRNazanin" w:eastAsia="IRNazanin"/>
          <w:color w:val="111111"/>
          <w:sz w:val="28"/>
          <w:sz w:val="28"/>
          <w:szCs w:val="28"/>
          <w:rtl w:val="true"/>
          <w:lang w:bidi="fa-IR"/>
        </w:rPr>
        <w:t>الإشکال فی کیفیة الجامع بین هاتین الجهتین عند اجتماعهما، و ذلک الجامع بین الصلاة و الغصب و هو الحرکة ما حقیقته، و هل یکون مصداقا لکلّ منهما فتکون الحرکة الواحدة متّصفة بهما، أو أنّ لکلّ منهما مصداقا مستقلا</w:t>
      </w:r>
      <w:r>
        <w:rPr>
          <w:rFonts w:eastAsia="IRNazanin" w:cs="IRNazanin"/>
          <w:color w:val="111111"/>
          <w:sz w:val="28"/>
          <w:szCs w:val="28"/>
          <w:rtl w:val="true"/>
          <w:lang w:bidi="fa-IR"/>
        </w:rPr>
        <w:t>.</w:t>
      </w:r>
    </w:p>
    <w:p>
      <w:pPr>
        <w:pStyle w:val="Heading4"/>
        <w:numPr>
          <w:ilvl w:val="3"/>
          <w:numId w:val="1"/>
        </w:numPr>
        <w:rPr/>
      </w:pPr>
      <w:bookmarkStart w:id="50" w:name="__RefHeading___Toc3538481_2314609296"/>
      <w:bookmarkStart w:id="51" w:name="_Toc18"/>
      <w:bookmarkEnd w:id="50"/>
      <w:r>
        <w:rPr>
          <w:rtl w:val="true"/>
        </w:rPr>
        <w:t>[</w:t>
      </w:r>
      <w:r>
        <w:rPr>
          <w:rtl w:val="true"/>
        </w:rPr>
        <w:t>التأمّل فی التفرقة بین مبادی المشتقّات و بین المادّة و الصورة</w:t>
      </w:r>
      <w:r>
        <w:rPr>
          <w:rtl w:val="true"/>
        </w:rPr>
        <w:t>]</w:t>
      </w:r>
      <w:bookmarkEnd w:id="5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بین المبادئ للاشتقاق و بین الهیولی و الصورة فرق من جهة، و هی أنّ مبادئ الاشتقاق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التأمّل فیه فإنّ مبدأ الاشتقاق لو أخذ لا بشرط لم یعبّر عنه بعبارة تستعصی عن الحمل، بل یعبّر عنه بعنوان المشتق فیحمل علی الذات و علی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المادّة و الصورة فإنّها عند أخذها لا بشرط یعبّر عنها بالجنس أعنی الحیوان و الفصل أعنی الناطق، و حینئذ یصحّ حمل أحدهما علی الآخر و حمل کلّ منهما علی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مبدأ الاشتقاق و بین المادّة فی هذا الحال أعنی حال الأخذ لا بشرط، کما أنّه لا فرق بینهما فی ذلک الحال أعنی حال الأخذ بشرط لا، فلاحظ و تأمّل</w:t>
      </w:r>
      <w:r>
        <w:rPr>
          <w:rFonts w:eastAsia="IRNazanin" w:cs="IRNazanin"/>
          <w:color w:val="111111"/>
          <w:sz w:val="28"/>
          <w:szCs w:val="28"/>
          <w:rtl w:val="true"/>
          <w:lang w:bidi="fa-IR"/>
        </w:rPr>
        <w:t>.</w:t>
      </w:r>
    </w:p>
    <w:p>
      <w:pPr>
        <w:pStyle w:val="Heading4"/>
        <w:numPr>
          <w:ilvl w:val="3"/>
          <w:numId w:val="1"/>
        </w:numPr>
        <w:rPr/>
      </w:pPr>
      <w:bookmarkStart w:id="52" w:name="__RefHeading___Toc3538483_2314609296"/>
      <w:bookmarkStart w:id="53" w:name="_Toc19"/>
      <w:bookmarkEnd w:id="52"/>
      <w:r>
        <w:rPr>
          <w:rtl w:val="true"/>
        </w:rPr>
        <w:t>[</w:t>
      </w:r>
      <w:r>
        <w:rPr>
          <w:rtl w:val="true"/>
        </w:rPr>
        <w:t>الکلام فیما یدّعی من الترکّبات العقلیة</w:t>
      </w:r>
      <w:r>
        <w:rPr>
          <w:rtl w:val="true"/>
        </w:rPr>
        <w:t>]</w:t>
      </w:r>
      <w:bookmarkEnd w:id="5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 إنسانا تجاسر و أنکر هذه الترکّبات العقلیة أعنی ترکّب الأنواع من</w:t>
      </w:r>
      <w:bookmarkStart w:id="54" w:name="pg19667_764983"/>
    </w:p>
    <w:p>
      <w:pPr>
        <w:pStyle w:val="BookText"/>
        <w:rPr/>
      </w:pPr>
      <w:bookmarkEnd w:id="54"/>
      <w:r>
        <w:rPr>
          <w:rFonts w:ascii="IRNazanin" w:hAnsi="IRNazanin" w:eastAsia="IRNazanin"/>
          <w:color w:val="111111"/>
          <w:sz w:val="28"/>
          <w:sz w:val="28"/>
          <w:szCs w:val="28"/>
          <w:rtl w:val="true"/>
          <w:lang w:bidi="fa-IR"/>
        </w:rPr>
        <w:t>هیولی و صورة أو من جنس و فصل، و زعم أنّ الممکن منحصر فی الأعراض و الجواهر، و أنّ الجواهر تنقسم إلی مادّیات و مجرّدات کالعقل و النفس، و زعم أنّ ما یسمّی جنسا کالحیوان و فصلا کالناطق لیس إلّا من العوارض، إذ الحیوان من الحیاة و الناطق من النطق بمعنی التکلّم، و کذلک الحال فی الإدراک و نحوه من عوارض الإنسان، و کما أنّ هذه الأعراض و أمثالها قائمة بالجواهر فتکون من قیام العرض بالجوهر فلم لا یمکن أن یکون للعرض نفسه عرض یقوم به، و حینئذ تشترک الجواهر و الأعراض فی قابلیة قیام العرض، فکما أنّ البیاض قائم بالجسم فلم لا تکون شدّته قائمة به و هما معا قائمان بالجسم، فیکون الجسم متّصفا بالبیاض الشدید،</w:t>
      </w:r>
    </w:p>
    <w:p>
      <w:pPr>
        <w:pStyle w:val="Heading4"/>
        <w:numPr>
          <w:ilvl w:val="3"/>
          <w:numId w:val="1"/>
        </w:numPr>
        <w:rPr/>
      </w:pPr>
      <w:bookmarkStart w:id="55" w:name="__RefHeading___Toc3538485_2314609296"/>
      <w:bookmarkStart w:id="56" w:name="_Toc20"/>
      <w:bookmarkEnd w:id="55"/>
      <w:r>
        <w:rPr>
          <w:rtl w:val="true"/>
        </w:rPr>
        <w:t>[</w:t>
      </w:r>
      <w:r>
        <w:rPr>
          <w:rtl w:val="true"/>
        </w:rPr>
        <w:t>إمکان القول بقیام العرض بعرض آخر</w:t>
      </w:r>
      <w:r>
        <w:rPr>
          <w:rtl w:val="true"/>
        </w:rPr>
        <w:t>]</w:t>
      </w:r>
      <w:bookmarkEnd w:id="5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فکما للجوهر عرض عام یشترک بینه و بین غیره من الجواهر و عرض خاصّ یمیّزه عن غیره من الجواهر، فلم لا یکون للعرض عرض یشترک بینه و بین غیره کالحرکة المشترکة بین الصلاة و للغصب، و لکلّ منهما جهة خاصّة تمیّزه عن الآخر و توجب کون الصلاة مباینة للغصب، علی وجه لا یتّحد أحدهما بالآخر عند اجتماعهما و إن انطبق علیهما عنوان الحرکة و اتّحدت مع کلّ منهما، لا أنّها حرکة واحدة تتّصف بالغصبیة و الصلاتیة، بل إنّ الحرکة الموجودة فی الغصب غیر الحرکة الموجودة فی الصلاة، نظیر الحیوان الموجود فی الإنسان عند اجتماعه مع الفرس غیر الحیوان الموجود فی الفرس، بمعنی أنّ هناک شخصین من الحیوان، فشخص هو الإنسان و شخص هو الفرس، و من الواضح أنّ أحدهما مباین للآخر، فکذلک الحال فی الحرکة الموجودة فی الغصب عند اجتماعه مع الصلاة هی شخص من الحرکة غیر الشخص الموجود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فبدّل عنوان الحرکة بالفعل الصادر من الفاعل فرارا من دعوی أنّ الغصب لیس من الحرکة أو أنّ الصلاة لیست منها بل هی من الوضع، فإن غرضنا هو ما عرفت من إمکان اشتراک العرضین فی عنوان یشملهما، و اختصاص کلّ منهما بخصوصیة توجب امتیازه عن صاحبه، و أنّه عند اجتماعه لا یکون ذلک الاجتماع إلّا من قبیل اجتماع المتباینین، نظیر اجتماع الفرس 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فسمّ ذلک الجامع بینهما جنسا و ذلک الممیّز لکلّ منهما عن الآخر فصلا، و إن شئت فسمّ الأوّل عرضا عاما و الآخر عرضا خاصّا، سواء ذلک الجواهر و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کون ما به الاشتراک عین ما به الامتیاز فی البسائط فذلک أمر آخر مرجعه إلی أنّ الامتیاز بالذات و أنّه لا اشتراک بینهما، فلاحظ و تأمّل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تعرف أنّ ما أفاده فی المقدّمة الخامسة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تقیید العناوین الکلّیة فإنّه یوجب تضییقها المانع من صدقها علی فاقد القید الخ </w:t>
      </w:r>
      <w:r>
        <w:rPr>
          <w:rStyle w:val="FootnoteAnchor"/>
          <w:rtl w:val="true"/>
        </w:rPr>
        <w:footnoteReference w:id="51"/>
      </w:r>
      <w:r>
        <w:rPr>
          <w:rFonts w:ascii="IRNazanin" w:hAnsi="IRNazanin" w:eastAsia="IRNazanin"/>
          <w:color w:val="111111"/>
          <w:sz w:val="28"/>
          <w:sz w:val="28"/>
          <w:szCs w:val="28"/>
          <w:rtl w:val="true"/>
          <w:lang w:bidi="fa-IR"/>
        </w:rPr>
        <w:t>لا یختصّ بالعناوین الاشتقاقیة و نحوها، بل هو جار فی مبادئ الاشتقاق، فیکون الحاصل أنّ القید إن کان فی عالم المصداق کان موجبا لتکثّره و تعدّده کما فی مصداق الغصب و الصلاة، و إن کان فی عالم المفهوم کان موجبا لتضییق دائرته کما لو قیّدت مفهوم الغصب بأنّه الغصب الصلاتی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أنّ الجهة التقییدیة فی الأوّل تکون عبارة عن نفس مصداق الغصب و نفس مصداق الصلاة، و عند اجتماعهما یکون لنا مصداق للصلاة و مصداق آخر للغصب، و لا یکون أحدهما عین الآخر بل یکون مغایرا له، و یکون ترکّبهما انضمامیا لا اتّحادیا، کلّ ذلک من</w:t>
      </w:r>
      <w:bookmarkStart w:id="57" w:name="pg19667_764985"/>
    </w:p>
    <w:p>
      <w:pPr>
        <w:pStyle w:val="BookText"/>
        <w:rPr/>
      </w:pPr>
      <w:bookmarkEnd w:id="57"/>
      <w:r>
        <w:rPr>
          <w:rFonts w:ascii="IRNazanin" w:hAnsi="IRNazanin" w:eastAsia="IRNazanin"/>
          <w:color w:val="111111"/>
          <w:sz w:val="28"/>
          <w:sz w:val="28"/>
          <w:szCs w:val="28"/>
          <w:rtl w:val="true"/>
          <w:lang w:bidi="fa-IR"/>
        </w:rPr>
        <w:t>جهة التباین بین حقیقة الغصب و حقیقة الصلاة، و لا معنی للقول بأنّ بینهما عموما من وجه إلّا أنّهما یجتمعان فی الوجود من دون اتّحاد و ینفرد کلّ منهما عن الآخر، بخلاف ما لو اتّحدا عند الاجتماع کما فی التصرّف فی المغصوب و التستّر مثلا، فإنّه عند الاجتماع یکون أحدهما عین الآخر و یکون ترکّبهما اتّحادیا لا انضمامیا، فیکون من قبیل النهی عن العبادة لو کان التستّر المأمور به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الحال فی مثل قراءة القرآن و الغناء عند اجتماعهما، فإنّ أحدهما حینئذ متّحد مع الآخر فیکون من قبیل النهی عن العبادة، إلّا بنحو ارجاعهما إلی التباین بما سیأتی فی المقدّمة التاسعة من صرف النهی إلی متمّم المقولة، و سیأتی إن شاء اللّه تعالی </w:t>
      </w:r>
      <w:r>
        <w:rPr>
          <w:rStyle w:val="FootnoteAnchor"/>
          <w:rtl w:val="true"/>
        </w:rPr>
        <w:footnoteReference w:id="52"/>
      </w:r>
      <w:r>
        <w:rPr>
          <w:rFonts w:ascii="IRNazanin" w:hAnsi="IRNazanin" w:eastAsia="IRNazanin"/>
          <w:color w:val="111111"/>
          <w:sz w:val="28"/>
          <w:sz w:val="28"/>
          <w:szCs w:val="28"/>
          <w:rtl w:val="true"/>
          <w:lang w:bidi="fa-IR"/>
        </w:rPr>
        <w:t>شرحه، فلاحظ و تأمّل</w:t>
      </w:r>
      <w:r>
        <w:rPr>
          <w:rFonts w:eastAsia="IRNazanin" w:cs="IRNazanin"/>
          <w:color w:val="111111"/>
          <w:sz w:val="28"/>
          <w:szCs w:val="28"/>
          <w:rtl w:val="true"/>
          <w:lang w:bidi="fa-IR"/>
        </w:rPr>
        <w:t>.</w:t>
      </w:r>
    </w:p>
    <w:p>
      <w:pPr>
        <w:pStyle w:val="Heading4"/>
        <w:numPr>
          <w:ilvl w:val="3"/>
          <w:numId w:val="1"/>
        </w:numPr>
        <w:rPr/>
      </w:pPr>
      <w:bookmarkStart w:id="58" w:name="__RefHeading___Toc3538487_2314609296"/>
      <w:bookmarkStart w:id="59" w:name="_Toc21"/>
      <w:bookmarkEnd w:id="58"/>
      <w:r>
        <w:rPr>
          <w:rtl w:val="true"/>
        </w:rPr>
        <w:t>[</w:t>
      </w:r>
      <w:r>
        <w:rPr>
          <w:rtl w:val="true"/>
        </w:rPr>
        <w:t>مناقشات مع السیّد الخوئی قدّس سرّه فی ترکّب الصلاة مع الغصب</w:t>
      </w:r>
      <w:bookmarkEnd w:id="5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الحرکة الخارجیة من جهة وجود هویة الصلاة فیها فردا من الصلاة و من جهة وجود هویة الغصب فیها فردا من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الغصب لیس من الماهیات المتأصّلة لیستحیل اتّحاده مع الصلاة خارجا، و أنّه من المفاهیم الانتزاعیة قابلة الانطباق علی ماهیات متعدّدة الخ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فی المقام منطبق علی الأین، و هو کما فسّره به الکون فی الدار، و هو سواء کان منسوبا إلی المصلّی أو کان منسوبا إلی الصلاة نفسها یکون مباینا للصلاة من أی مقولة کانت، إذ لا شبهة فی عدم کونها من مقولة الأین، و حینئذ</w:t>
      </w:r>
    </w:p>
    <w:p>
      <w:pPr>
        <w:pStyle w:val="BookText"/>
        <w:rPr/>
      </w:pPr>
      <w:r>
        <w:rPr>
          <w:rFonts w:ascii="IRNazanin" w:hAnsi="IRNazanin" w:eastAsia="IRNazanin"/>
          <w:color w:val="111111"/>
          <w:sz w:val="28"/>
          <w:sz w:val="28"/>
          <w:szCs w:val="28"/>
          <w:rtl w:val="true"/>
          <w:lang w:bidi="fa-IR"/>
        </w:rPr>
        <w:t>یکون استحالة اتّحاده مع الصلاة من الواضحات، فلا محصّل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انطباقه علی الصلاة و لو باعتبار بعض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أی جزء نفرضه من الصلاة لا بدّ له من أین یقع فیه، و قد قلنا إنّ الأین مباین لما یضاف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هذه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کالأذکار، ضرورة أنّ التکلّم فی الدار المغصوبة لا یصدق علیه التصرّف فی الدار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یکفی فی کونه تصرّفا أنّه محتاج إلی تحریک الشفة، و هو تصرّف فی فضاء الدار فیکون ذلک أعنی تحریک الشفة من مقولة الفعل، و کونه فی ذلک الفضاء من مقولة الأین، و قد عرفت المباینة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هذه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أنّها من مقولة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کونها من مقولة الوضع لا ینفی کونها مضافة إلی الأین، و حینئذ تدخل فیما نریده من اجتماع المقولتین أعنی الوضع و الأین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أنّها من مقولة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 ذلک شیخنا قدّس سرّه فیما حرّرناه عنه و بیّن أنّ أفعال الصلاة من مقولة الوضع، فراجع ما حرّره عنه المرحوم الشیخ محمّد علی فیما طبع من تحریراته </w:t>
      </w:r>
      <w:r>
        <w:rPr>
          <w:rStyle w:val="FootnoteAnchor"/>
          <w:rtl w:val="true"/>
        </w:rPr>
        <w:footnoteReference w:id="58"/>
      </w:r>
      <w:r>
        <w:rPr>
          <w:rFonts w:ascii="IRNazanin" w:hAnsi="IRNazanin" w:eastAsia="IRNazanin"/>
          <w:color w:val="111111"/>
          <w:sz w:val="28"/>
          <w:sz w:val="28"/>
          <w:szCs w:val="28"/>
          <w:rtl w:val="true"/>
          <w:lang w:bidi="fa-IR"/>
        </w:rPr>
        <w:t xml:space="preserve">، بل إنّ هذا المحشی ذکره أیضا فی هذا التحریر فراجع </w:t>
      </w:r>
      <w:r>
        <w:rPr>
          <w:rStyle w:val="FootnoteAnchor"/>
          <w:rtl w:val="true"/>
        </w:rPr>
        <w:footnoteReference w:id="59"/>
      </w:r>
      <w:r>
        <w:rPr>
          <w:rFonts w:ascii="IRNazanin" w:hAnsi="IRNazanin" w:eastAsia="IRNazanin"/>
          <w:color w:val="111111"/>
          <w:sz w:val="28"/>
          <w:sz w:val="28"/>
          <w:szCs w:val="28"/>
          <w:rtl w:val="true"/>
          <w:lang w:bidi="fa-IR"/>
        </w:rPr>
        <w:t>و حینئذ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الخ، متوجّه إلی أی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هذه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قلنا بأنّهما من أجزاء الصلاة کان المأمور به متّحدا مع المنهی عنه وجودا، فلا مناص عن القول بعدم جواز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ترکّب النهوض مثلا مع الغصب لا یکون اتّحادیا، بل هو انضمامی لکونه من قبیل الفعل و الأین، فإنّه و إن صدق علی النهوض أنّه تصرّف إلّا أنّه باعتبار أینه لا باعتبار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الحال فیما ذکره فی السجود من احتیاجه إلی الاعتماد و هو تصرّف فی الأرض، فإنّ ذلک لا یخرجه عن کونه من مقولة الأین، و لو سلم أنّه لیس من مقولة الأین فلا أقل من کونه من قبیل متمّم المقولة، نظیر لبس المغصوب فی کون الحرمة المتعلّقة به لا باعتبار نفس اللبس، بل باعتبار تعلّقه بثوب الغیر الذی أفاد شیخنا قدّس سرّه </w:t>
      </w:r>
      <w:r>
        <w:rPr>
          <w:rStyle w:val="FootnoteAnchor"/>
          <w:rtl w:val="true"/>
        </w:rPr>
        <w:footnoteReference w:id="61"/>
      </w:r>
      <w:r>
        <w:rPr>
          <w:rFonts w:ascii="IRNazanin" w:hAnsi="IRNazanin" w:eastAsia="IRNazanin"/>
          <w:color w:val="111111"/>
          <w:sz w:val="28"/>
          <w:sz w:val="28"/>
          <w:szCs w:val="28"/>
          <w:rtl w:val="true"/>
          <w:lang w:bidi="fa-IR"/>
        </w:rPr>
        <w:t xml:space="preserve">کونه من قبیل متمّم المقولة الذی یعبّر عنه النحویون بالظرف اللغو، و هو مباین لنفس المقولة فلا یکون ترکّبه معها إلّا من قبیل الترکّب الانضمامی، فراجع ما حرّرناه عنه و ما حرّره عنه المرحوم الشیخ محمّد علی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لک الإشکال فیما ذکره فی الحاشیة</w:t>
      </w:r>
      <w:r>
        <w:rPr>
          <w:rStyle w:val="FootnoteAnchor"/>
          <w:rtl w:val="true"/>
        </w:rPr>
        <w:footnoteReference w:id="63"/>
      </w:r>
      <w:r>
        <w:rPr>
          <w:rFonts w:ascii="IRNazanin" w:hAnsi="IRNazanin" w:eastAsia="IRNazanin"/>
          <w:color w:val="111111"/>
          <w:sz w:val="28"/>
          <w:sz w:val="28"/>
          <w:szCs w:val="28"/>
          <w:rtl w:val="true"/>
          <w:lang w:bidi="fa-IR"/>
        </w:rPr>
        <w:t>فی بیان انطباق التصرّف الحرام علی نفس الحرکة و اتّحاده معها، و مراد شیخنا قدّس سرّه من صدور حرکتین من المصلّی هو ما شرحه من الحرکة فی الأین الذی یرجع إلیه الغصب و الحرکة فی الوضع أو الفعل الذی یرجع إلیه الصلاة، فلا یتّجه علیه ما فی الحاشیة المذکورة</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 وضوح بطلانه فی نفسه لبداهة عدم صدور حرکتین من المصلّی فی آن واحد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المحشّی تخیّل أنّ المراد بالحرکة هی الحرکة الخارجیة الفعلیة العرفیة فأورد علیه هذه الایرادات، و مراد شیخنا من الحرکة هو الحرکة باصطلاح أهل المعقول و هی الخروج من القوّة إلی الفعل، و هی تکون فی الوضع و الأین و نحوهما، فراجع ما حرّرناه عنه و ما حرّره الباقون، فراجع ما حرّره عنه المرحوم الشیخ محمّد علی </w:t>
      </w:r>
      <w:r>
        <w:rPr>
          <w:rStyle w:val="FootnoteAnchor"/>
          <w:rtl w:val="true"/>
        </w:rPr>
        <w:footnoteReference w:id="64"/>
      </w:r>
      <w:r>
        <w:rPr>
          <w:rFonts w:ascii="IRNazanin" w:hAnsi="IRNazanin" w:eastAsia="IRNazanin"/>
          <w:color w:val="111111"/>
          <w:sz w:val="28"/>
          <w:sz w:val="28"/>
          <w:szCs w:val="28"/>
          <w:rtl w:val="true"/>
          <w:lang w:bidi="fa-IR"/>
        </w:rPr>
        <w:t>، بل إنّ ما حرّره المحشّی عنه قدّس سرّه فی هذا المقام کاف فی بیان مراده قدّس سرّه من أنّ المقصود هو الحرکة فی الأین و الحرکة فی الصلاة،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أنّ الحرکة نسبتها إلی المقولات التی تجری فیها نسبة الهیولی إلی الصور الخ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یظهر من هذه الحاشیة أنّ جمیع أفعال الصلاة لا ربط لها بالغصب، لأنّ الذکر لیس بتصرّف و الحرکات الانتقالیة لیست بأجزاء و القیام و الرکوع و السجود من مقولة الوضع، فلم یبق بید المحشّی سوی الاعتماد فی السجود فجعله متّحدا مع الغصب الذی هو التصرّف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الاعتماد لیس بمنحصر فی السجود بل جار فی القیام و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یدّعی أنّ نفس هذا الشرط الذی هو الاعتماد لا دلیل علی عبادیته علی وجه لو جاء به محرّما لکان موجبا لبطلانه، بل هو شرط عقلی لتحقّق مفهوم السجود و الرکوع و القیام، لا أنّه شرط شرعی فی ذلک علی وجه یکون النهی عنه أو اتّحاده مع المنهی عنه موجبا لبطلان أصل العبادة، و سیأتی إن</w:t>
      </w:r>
    </w:p>
    <w:p>
      <w:pPr>
        <w:pStyle w:val="BookText"/>
        <w:rPr/>
      </w:pPr>
      <w:r>
        <w:rPr>
          <w:rFonts w:ascii="IRNazanin" w:hAnsi="IRNazanin" w:eastAsia="IRNazanin"/>
          <w:color w:val="111111"/>
          <w:sz w:val="28"/>
          <w:sz w:val="28"/>
          <w:szCs w:val="28"/>
          <w:rtl w:val="true"/>
          <w:lang w:bidi="fa-IR"/>
        </w:rPr>
        <w:t xml:space="preserve">شاء اللّه تعالی </w:t>
      </w:r>
      <w:r>
        <w:rPr>
          <w:rStyle w:val="FootnoteAnchor"/>
          <w:rtl w:val="true"/>
        </w:rPr>
        <w:footnoteReference w:id="66"/>
      </w:r>
      <w:r>
        <w:rPr>
          <w:rFonts w:ascii="IRNazanin" w:hAnsi="IRNazanin" w:eastAsia="IRNazanin"/>
          <w:color w:val="111111"/>
          <w:sz w:val="28"/>
          <w:sz w:val="28"/>
          <w:szCs w:val="28"/>
          <w:rtl w:val="true"/>
          <w:lang w:bidi="fa-IR"/>
        </w:rPr>
        <w:t>تحریر ذلک فی بحث النهی عن شرط العبادة مثل التستّر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یمکن أن تکون الصلاة فی المکان المغصوب مع عدم کون الاعتماد علی الأرض المغصوبة، بأن کانت واقعة علی جسر منصوب علی الأرض المغصوبة لکن کان اعتماد طرفیه علی مملوک أو کانت الأرض مملوکة له لکن کان الفضاء مغصوبا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الفروض و أمثالها تمنع من أن یکون فتوی القوم ببطلان الصلاة فی المغصوب مستندة إلی مجرّد کون السجود مشروطا بالاعتماد و هو متّحد مع التصرّف الغصبی هذا، مضافا إلی ما عرفت من کون الاعتماد علی الأرض لیس بمتّحد مع الغصب، لکون الغصب فی ذلک من قبیل متمّم المقولة، علی حذو ما حرّرناه فی اللباس المغصوب و الساتر، بل الوضوء من الآنیة المغصوبة أو الفضّة و الذهب علی ما حرّره شیخنا قدّس سرّه </w:t>
      </w:r>
      <w:r>
        <w:rPr>
          <w:rStyle w:val="FootnoteAnchor"/>
          <w:rtl w:val="true"/>
        </w:rPr>
        <w:footnoteReference w:id="6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هناک فرق بین المبادئ و العناوین الاشتقاقیة أصلا فی کون الجهة تعلیلیة لا تقییدیة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الإشکال کأنّه مأخوذ من الکفایة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فالحرکة فی الدار من أی مقولة الخ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الخارجی الذی هو مصداق و مجمع هو نفس الحرکة، و له جهتان الصلاة و الغصب، و هما بالنسبة إلی العنوان الصادق علیه منهما</w:t>
      </w:r>
      <w:bookmarkStart w:id="60" w:name="pg19667_764990"/>
    </w:p>
    <w:p>
      <w:pPr>
        <w:pStyle w:val="BookText"/>
        <w:rPr/>
      </w:pPr>
      <w:bookmarkEnd w:id="60"/>
      <w:r>
        <w:rPr>
          <w:rFonts w:ascii="IRNazanin" w:hAnsi="IRNazanin" w:eastAsia="IRNazanin"/>
          <w:color w:val="111111"/>
          <w:sz w:val="28"/>
          <w:sz w:val="28"/>
          <w:szCs w:val="28"/>
          <w:rtl w:val="true"/>
          <w:lang w:bidi="fa-IR"/>
        </w:rPr>
        <w:t>تعلیلیتان، بمعنی أنّ اتّصاف تلک الحرکة بکونه صلاة یکون علّة لانطباق أحد العنوانین علی تلک الحرکة، و اتّصافها بالغصب یکون علّة فی انطباق العنوان الآخر علی تلک الحرکة، و حینئذ یکون کلّ من الصلاة و الغصب أجنبیا عن کلّ من العنوان و المعنون، کما قلنا إنّ العلم و العدالة یکون أجنبیا عن عنوان العالم و العادل و عن المعنون بهما و هو تلک الذات الخارجیة، غایته أنّه یکون علّة فی انطباق عنوان العالم علی تلک الذات و انطباق العادل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لو قلنا إنّ الصلاة و الغصب من الجهات التعلیلیة یکون محصّله هو أنّهما أجنبیان عن تلک الحرکة کما أنّهما أجنبیان عن العنوان المنطبق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العنوان الذی کانا علّة فی انطباقه علی الحرکة ما هو، هل هو عنوان الصلاة و الغصب بما لهما من المعنی الواقعی، و حینئذ تکون الجهة المذکورة تقییدیة لأنّ العنوان حینئذ بما له من المعنی الواقعی الذی هو ذات الصلاة منطبق علی تلک الحرکة، فکانت ذات الصلاة محکیة بذلک العنوان فکانت جهة تقییدیة، أو أنّ العنوان هو لفظ الصلاة مجرّدة عن معناها أو بمعنی آخر لتکون الصلاة أجنبیة عنه، و تکون علّة فی انطباقه علی تلک الحرکة، و حینئذ یکون متعلّق الأمر هو الحرکة لا ذات الصلاة، و المنهی عنه هو نفس الحرکة لا ذات الغصب، و هذا لا یخلو من طرافة</w:t>
      </w:r>
      <w:r>
        <w:rPr>
          <w:rFonts w:eastAsia="IRNazanin" w:cs="IRNazanin"/>
          <w:color w:val="111111"/>
          <w:sz w:val="28"/>
          <w:szCs w:val="28"/>
          <w:rtl w:val="true"/>
          <w:lang w:bidi="fa-IR"/>
        </w:rPr>
        <w:t>.</w:t>
      </w:r>
    </w:p>
    <w:p>
      <w:pPr>
        <w:pStyle w:val="Heading4"/>
        <w:numPr>
          <w:ilvl w:val="3"/>
          <w:numId w:val="1"/>
        </w:numPr>
        <w:rPr/>
      </w:pPr>
      <w:bookmarkStart w:id="61" w:name="__RefHeading___Toc3538489_2314609296"/>
      <w:bookmarkStart w:id="62" w:name="_Toc22"/>
      <w:bookmarkEnd w:id="61"/>
      <w:r>
        <w:rPr>
          <w:rtl w:val="true"/>
        </w:rPr>
        <w:t>[</w:t>
      </w:r>
      <w:r>
        <w:rPr>
          <w:rtl w:val="true"/>
        </w:rPr>
        <w:t>نقل ما حرّره المصنّف عن المحقّق النائینی قدّس سرّهما فی المقام</w:t>
      </w:r>
      <w:bookmarkEnd w:id="6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نسبة کلّ منهما إلی الآخر نسبة التشخّص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أنّ کلّ کلّی إذا وجد فلا بدّ أن تلحقه مشخّصات من الحالات و المقارنات و الزمان و المکان و غیر ذلک، سواء کان لحوقها له قهریا أم کان اختیاریا من الفاعل، و کلّ خصوصیة من تلک</w:t>
      </w:r>
    </w:p>
    <w:p>
      <w:pPr>
        <w:pStyle w:val="BookText"/>
        <w:rPr/>
      </w:pPr>
      <w:r>
        <w:rPr>
          <w:rFonts w:ascii="IRNazanin" w:hAnsi="IRNazanin" w:eastAsia="IRNazanin"/>
          <w:color w:val="111111"/>
          <w:sz w:val="28"/>
          <w:sz w:val="28"/>
          <w:szCs w:val="28"/>
          <w:rtl w:val="true"/>
          <w:lang w:bidi="fa-IR"/>
        </w:rPr>
        <w:t>الخصوصیات لا بدّ أن تکون مصداقا لکلّی آخر،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الغصب کلّی من الکلّیات التی ما لم تتشخّص لم توجد، و له مشخّصات کثیرة اختیاریة و غیر اختیاریة فاتّفق أن وقع بعض مشخّصاته الاختیاریة مصداقا لکلّی آخر مأمور به أعنی الصلاة، و هکذا الحال بالنسبة إلی الصلاة حرفا بحرف، فیکون کلّ من هذین الفعلین من مشخّصات الفعل الآخر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 أنّهم أرجعوا الأعراض إلی المقولات التسع و قسّموا المقولات المذکورة إلی قسمین متأصّلة و اضافیة، و المراد بالقسم الأوّل ما کان معقولا بنفسه کالکمّ و الکیف، و المراد بالثانی ما یکون معقولا بالاضافة إلی حقیقة أخری کالأین و هو الکون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الحقیقة التی یکون الأین معقولا بالاضافة إلیها إمّا أن تکون من قبیل الجواهر مثل زید فی الدار و یعبّر حینئذ عن الأین المستفاد من لفظ فی بالظرف المستقرّ، و إمّا أن تکون من قبیل الأعراض مثل ضرب فی الدار و یعبّر عنه بالظرف 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حقیقة یکون الأین معقولا بالاضافة إلیها تکون من مشخّصات ذلک الأین، کما أنّ کلّ أین یکون معقولا بواسطة الاضافة إلی الحقیقة یکون من مشخّصات تلک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یتّضح لک الحال فی الصلاة التی هی حقیقة من الحقائق و کونها فی المکان المغصوب الذی هو من مقولة الأین، فإنّ کلّ واحد من الأین المذکور و الحقیقة المزبورة یکون مشخّصا للآخر، و حینئذ یکون الترکیب الانضمامی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یکون من قبیل القوّة و الفعل کالهیولی و الصورة، و الثانی منهما ما یکون من قبیل ضمّ أحد العرضین إلی الآخر و صیرورة کلّ منهما من مشخّصات الآخر، و الأوّل یختصّ بالجواهر و الثانی یختصّ بالاعراض انتهی</w:t>
      </w:r>
      <w:r>
        <w:rPr>
          <w:rFonts w:eastAsia="IRNazanin" w:cs="IRNazanin"/>
          <w:color w:val="111111"/>
          <w:sz w:val="28"/>
          <w:szCs w:val="28"/>
          <w:rtl w:val="true"/>
          <w:lang w:bidi="fa-IR"/>
        </w:rPr>
        <w:t>.</w:t>
      </w:r>
      <w:bookmarkStart w:id="63" w:name="pg19667_764992"/>
    </w:p>
    <w:p>
      <w:pPr>
        <w:pStyle w:val="Heading4"/>
        <w:numPr>
          <w:ilvl w:val="3"/>
          <w:numId w:val="1"/>
        </w:numPr>
        <w:rPr/>
      </w:pPr>
      <w:bookmarkStart w:id="64" w:name="__RefHeading___Toc3538491_2314609296"/>
      <w:bookmarkStart w:id="65" w:name="_Toc23"/>
      <w:bookmarkEnd w:id="63"/>
      <w:bookmarkEnd w:id="64"/>
      <w:r>
        <w:rPr>
          <w:rtl w:val="true"/>
        </w:rPr>
        <w:t>[</w:t>
      </w:r>
      <w:r>
        <w:rPr>
          <w:rtl w:val="true"/>
        </w:rPr>
        <w:t>هل یخرج عن محلّ النزاع ما إذا کانت النسبة بین العنوانین عموما و خصوصا مطلقا</w:t>
      </w:r>
      <w:r>
        <w:rPr>
          <w:rtl w:val="true"/>
        </w:rPr>
        <w:t>]</w:t>
      </w:r>
      <w:bookmarkEnd w:id="6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عن محلّ الکلام ما إذا کان النسبة بینهما عموما مطلقا کصلّ و لا تصلّ فی الدار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المنهی عنه هو عین عنوان العام و زیادة کما فی المثال کان خارجا عمّا نحن فیه، لکون الترکّب فیه اتّحادیا، لکن یمکن أن یکون المنهی هو الأین الصلاتی، کأن یقول لا تغصب فی صلاتک أو لا تکن فی صلاتک فی الدار المغصوبة و نحو ذلک ممّا کان المنهی عنه هو نفس أین الصلاة، و یکون اجتماعها معه علی نحو اجتماعهما فیما لو کان بینهما عموم من وجه، بأن یکون من قبیل انضمام أحد الفردین إلی الآخر من دون أن یکون بینهما اتّحاد و تصادق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صوّرنا العموم من وجه مع فرض عدم التصادق فی مورد الاجتماع فلنتصوّر العموم المطلق کذلک، بأن یکون العام مجتمعا مع الخاص علی نحو اجتماع الفردین من دون تصادق من العام علی الخاصّ، و یکون المأمور به هو مطلق الصلاة و یکون المنهی عنه هو أینها لا الأین المطلق، و حینئذ یکون ذلک داخلا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التزاحم هنا لمّا کان دائمیا کان موجبا لدخول المسألة فی باب التعارض، و خروج مورد المزاحمة عن حیّز الأمر خروجا واقعیا فتأمّل</w:t>
      </w:r>
      <w:r>
        <w:rPr>
          <w:rFonts w:eastAsia="IRNazanin" w:cs="IRNazanin"/>
          <w:color w:val="111111"/>
          <w:sz w:val="28"/>
          <w:szCs w:val="28"/>
          <w:rtl w:val="true"/>
          <w:lang w:bidi="fa-IR"/>
        </w:rPr>
        <w:t>.</w:t>
      </w:r>
    </w:p>
    <w:p>
      <w:pPr>
        <w:pStyle w:val="Heading4"/>
        <w:numPr>
          <w:ilvl w:val="3"/>
          <w:numId w:val="1"/>
        </w:numPr>
        <w:rPr/>
      </w:pPr>
      <w:bookmarkStart w:id="66" w:name="__RefHeading___Toc3538493_2314609296"/>
      <w:bookmarkStart w:id="67" w:name="_Toc24"/>
      <w:bookmarkEnd w:id="66"/>
      <w:r>
        <w:rPr>
          <w:rtl w:val="true"/>
        </w:rPr>
        <w:t>[</w:t>
      </w:r>
      <w:r>
        <w:rPr>
          <w:rtl w:val="true"/>
        </w:rPr>
        <w:t>خروج اجتماع مثل الشرب و الغصب عن محلّ الکلام و مناقشة السیّد الخوئی قدّس سرّه فی المقام</w:t>
      </w:r>
      <w:bookmarkEnd w:id="6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خروج مثل اشرب الماء و لا تغصب عن محلّ الکلام أیضا فیما إذا کان الماء مغصوبا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هناک جهة أخری انضمامیة یتعلّق الأمر بها، بل الغصب و الشرب یتّحدان فی الخارج و الترکیب بینهما اتّحادی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الحاشیة بأنّه مناقض لما تقدّم منه قدّس سرّه من استحالة اتّحاد</w:t>
      </w:r>
    </w:p>
    <w:p>
      <w:pPr>
        <w:pStyle w:val="BookText"/>
        <w:rPr/>
      </w:pPr>
      <w:r>
        <w:rPr>
          <w:rFonts w:ascii="IRNazanin" w:hAnsi="IRNazanin" w:eastAsia="IRNazanin"/>
          <w:color w:val="111111"/>
          <w:sz w:val="28"/>
          <w:sz w:val="28"/>
          <w:szCs w:val="28"/>
          <w:rtl w:val="true"/>
          <w:lang w:bidi="fa-IR"/>
        </w:rPr>
        <w:t>المبادئ بعضها مع بعض، بدعوی أنّه یستلزم اتّحاد مقولتین متباینتین، ضرورة أنه لا فرق بین الصلاة و الشرب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ما فی هذه المقایسة فإنّ الصلاة مقولة و أینها مقولة أخری، بخلاف شرب الماء المغصوب فإنّ نفس الشرب المأمور به هو بعینه منهی عنه، لکونه مصداقا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أَمْوالَکُمْ </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هو بنفسه أیضا مصداق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یحلّ مال امرئ </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فإنّ الغصب و إن لم یکن لنا فیه عموم أو إطلاق و کذلک التصرّف فی مال الغیر، إلّا أنّه لا ریب فی أنّ نفس أکل المغصوب و شربه مصداق للنواهی المذکورة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سائر التصرّفات المتعلّقة بمال الغیر نحتاج إلی ادخالها فی تلک النواهی، باعتبار کونها استیفاء منفعة المال مثلا کالجلوس فی الدار المغصوبة أو القیام أو الرکوع فیها و نحو ذلک فتکون محرّمة من هذه الجهة، و حینئذ یکون الجلوس فی الدار منهیا عنه باعتبار کونه استیفاء لمنفعتها و کونها کذلک باعتبار أینها، إذ لیس القیام بما أنّه من مقولة الوضع مثلا منفعة للدار، و إنّما یکون کذلک باعتبار أینه و محلّه الواقع فیه، و حینئذ یکون النهی متوجّها إلی الأین المذکور، أمّا ما یکون هو مصداقا للأکل بل هو هو بعینه فلا یکون محتاجا إلی الارجاع إلی الأین، بل یکون بنفسه و بذاته محرّما، فلو کان مع ذلک مأمورا به کان من مورد الاجتماع مع وحدة المتعلّق، و هذا معنی قولنا فی ذلک إنّه من قبیل الترکّب الاتّحادی، و إلّا ففی الحقیقة لا تعدّد فی متعلّق الأمر و النهی فی ذلک کی یکون ترکّبهما اتّحادیا، بل لم یتعلّق الأمر إلّا بنفس العنوان الذی تعلّق به النهی، غایة</w:t>
      </w:r>
      <w:bookmarkStart w:id="68" w:name="pg19667_764994"/>
    </w:p>
    <w:p>
      <w:pPr>
        <w:pStyle w:val="BookText"/>
        <w:rPr/>
      </w:pPr>
      <w:bookmarkEnd w:id="68"/>
      <w:r>
        <w:rPr>
          <w:rFonts w:ascii="IRNazanin" w:hAnsi="IRNazanin" w:eastAsia="IRNazanin"/>
          <w:color w:val="111111"/>
          <w:sz w:val="28"/>
          <w:sz w:val="28"/>
          <w:szCs w:val="28"/>
          <w:rtl w:val="true"/>
          <w:lang w:bidi="fa-IR"/>
        </w:rPr>
        <w:t>الأمر لأجل تنقیح کونهما من باب العموم من وجه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تعلّق بالشرب سواء کان مصداقا لأکل مال الناس أو لا، و النهی تعلّق بأکل مال الناس سواء کان بالشرب أو کان بالأکل أو کان بالتملّک و التصرّف و استیفاء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المثال أعنی وجوب شرب الماء سواء کان مباحا أو کان مال الغیر مع حرمة أکل مال الغیر سواء کان ماء أو کان غیر ماء، هو عین ما تقدّم من وجوب اکرام العالم الشامل للفاسق و العادل و حرمة اکرام الفاسق الشامل للعالم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یعلم الحال فی الشرب أو الوضوء من الاناء المغصوب أو آنیة الذهب، فإنّ المنهی عنه لیس هو نفس الشرب أو الوضوء، بل هو جهة تعلّقه بذلک الاناء، و قد عبّر شیخنا قدّس سرّه عن ذلک التعلّق بکونه متمّما للمقولة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یکون المنهی عنه غیر نفس المأمور به، و یکون ترکّبهما انضمامیا کما سیأتی إن شاء اللّه تعالی توضیحه فی المقدّمة التاسعة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3538495_2314609296"/>
      <w:bookmarkStart w:id="70" w:name="_Toc25"/>
      <w:bookmarkEnd w:id="69"/>
      <w:r>
        <w:rPr>
          <w:rtl w:val="true"/>
        </w:rPr>
        <w:t>[</w:t>
      </w:r>
      <w:r>
        <w:rPr>
          <w:rtl w:val="true"/>
        </w:rPr>
        <w:t>هل الوضوء أو الغسل بالمغصوب داخل فی النزاع؟</w:t>
      </w:r>
      <w:r>
        <w:rPr>
          <w:rtl w:val="true"/>
        </w:rPr>
        <w:t>]</w:t>
      </w:r>
      <w:bookmarkEnd w:id="70"/>
    </w:p>
    <w:p>
      <w:pPr>
        <w:pStyle w:val="BookText"/>
        <w:rPr/>
      </w:pPr>
      <w:r>
        <w:rPr>
          <w:rFonts w:ascii="IRNazanin" w:hAnsi="IRNazanin" w:eastAsia="IRNazanin"/>
          <w:color w:val="111111"/>
          <w:sz w:val="28"/>
          <w:sz w:val="28"/>
          <w:szCs w:val="28"/>
          <w:rtl w:val="true"/>
          <w:lang w:bidi="fa-IR"/>
        </w:rPr>
        <w:t>نعم، یبقی الإشکال فی الوضوء أو الغسل فی الماء المغصوب و هل هو من قبیل مسألة الاجتماع لکون الترکّب فیه انضمامیا، أو هو خارج عن ذلک لکون الترکّب فیه اتّحادیا؟ لا یبعد القول بأنّ حقیقة الوضوء و الغسل هی مجرّد امرار الماء علی البشرة، فلیست هی بنفسها إعداما للماء کما فی مثل الشرب و إن کان ربما توقّفت علی ذلک، لکنّه أعنی إعدام الماء لیس بداخل فی حقیقتها، فلم یبق إلّا کون ذلک الوضوء تصرّفا فی الماء المغصوب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قد عرفت أنّ الوضوء لیس هو بنفسه إلّا إمرار الماء علی البشرة، 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عبارة عن غسل البشرة و هذه الجهة هی المأمور بها، و کونه</w:t>
      </w:r>
    </w:p>
    <w:p>
      <w:pPr>
        <w:pStyle w:val="BookText"/>
        <w:rPr/>
      </w:pPr>
      <w:r>
        <w:rPr>
          <w:rFonts w:ascii="IRNazanin" w:hAnsi="IRNazanin" w:eastAsia="IRNazanin"/>
          <w:color w:val="111111"/>
          <w:sz w:val="28"/>
          <w:sz w:val="28"/>
          <w:szCs w:val="28"/>
          <w:rtl w:val="true"/>
          <w:lang w:bidi="fa-IR"/>
        </w:rPr>
        <w:t>متعلّقا بذلک الماء المغصوب من قبیل متمّم المقولة، فیکون حاله حال التستّر بالمغصوب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یخلو عن إشکال، بل الظاهر أنّ نفس الوضوء بالماء المغصوب هو استعمال لذلک الماء بل هو إعدام له، و حینئذ یتّحد متعلّق الأمر مع متعلّق النهی و تدخل المسألة فی باب النهی عن العبادة، و سیأتی فی محلّه </w:t>
      </w:r>
      <w:r>
        <w:rPr>
          <w:rStyle w:val="FootnoteAnchor"/>
          <w:rtl w:val="true"/>
        </w:rPr>
        <w:footnoteReference w:id="76"/>
      </w:r>
      <w:r>
        <w:rPr>
          <w:rFonts w:ascii="IRNazanin" w:hAnsi="IRNazanin" w:eastAsia="IRNazanin"/>
          <w:color w:val="111111"/>
          <w:sz w:val="28"/>
          <w:sz w:val="28"/>
          <w:szCs w:val="28"/>
          <w:rtl w:val="true"/>
          <w:lang w:bidi="fa-IR"/>
        </w:rPr>
        <w:t>إن شاء اللّه تعالی التعرّض للوجه فی الحکم بفساده عند الجهل بالحرمة موضوعیا أو حکمیا عند التعرّض لما عن بعض المحقّقین فی کون المانعیة منتزعة من 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فی مسألة الوضوء من الآنیة المغصوبة و آنیة الذهب و الفضّة من کونه من قبیل متمّم المقولة هو الذی أفاده شیخنا قدّس سرّه فیما سیأتی فی الأمر الثانی من المقدّمة التاسعة</w:t>
      </w:r>
      <w:r>
        <w:rPr>
          <w:rStyle w:val="FootnoteAnchor"/>
          <w:rtl w:val="true"/>
        </w:rPr>
        <w:footnoteReference w:id="77"/>
      </w:r>
      <w:r>
        <w:rPr>
          <w:rFonts w:ascii="IRNazanin" w:hAnsi="IRNazanin" w:eastAsia="IRNazanin"/>
          <w:color w:val="111111"/>
          <w:sz w:val="28"/>
          <w:sz w:val="28"/>
          <w:szCs w:val="28"/>
          <w:rtl w:val="true"/>
          <w:lang w:bidi="fa-IR"/>
        </w:rPr>
        <w:t>من کونه داخلا فی محلّ النزاع فلا یتّجه علیه ما فی الحاشیة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یقال إنّه مناف لما أفاده فی باب الترتّب </w:t>
      </w:r>
      <w:r>
        <w:rPr>
          <w:rStyle w:val="FootnoteAnchor"/>
          <w:rtl w:val="true"/>
        </w:rPr>
        <w:footnoteReference w:id="79"/>
      </w:r>
      <w:r>
        <w:rPr>
          <w:rFonts w:ascii="IRNazanin" w:hAnsi="IRNazanin" w:eastAsia="IRNazanin"/>
          <w:color w:val="111111"/>
          <w:sz w:val="28"/>
          <w:sz w:val="28"/>
          <w:szCs w:val="28"/>
          <w:rtl w:val="true"/>
          <w:lang w:bidi="fa-IR"/>
        </w:rPr>
        <w:t>، و ما أفاده فی حواشی العروة</w:t>
      </w:r>
      <w:r>
        <w:rPr>
          <w:rStyle w:val="FootnoteAnchor"/>
          <w:rtl w:val="true"/>
        </w:rPr>
        <w:footnoteReference w:id="80"/>
      </w:r>
      <w:r>
        <w:rPr>
          <w:rFonts w:ascii="IRNazanin" w:hAnsi="IRNazanin" w:eastAsia="IRNazanin"/>
          <w:color w:val="111111"/>
          <w:sz w:val="28"/>
          <w:sz w:val="28"/>
          <w:szCs w:val="28"/>
          <w:rtl w:val="true"/>
          <w:lang w:bidi="fa-IR"/>
        </w:rPr>
        <w:t xml:space="preserve">من الحکم بصحّة الوضوء فیما لم یکن الماء منحصرا بما فی الآنیة المذکورة، و قد تقدّمت </w:t>
      </w:r>
      <w:r>
        <w:rPr>
          <w:rStyle w:val="FootnoteAnchor"/>
          <w:rtl w:val="true"/>
        </w:rPr>
        <w:footnoteReference w:id="81"/>
      </w:r>
      <w:r>
        <w:rPr>
          <w:rFonts w:ascii="IRNazanin" w:hAnsi="IRNazanin" w:eastAsia="IRNazanin"/>
          <w:color w:val="111111"/>
          <w:sz w:val="28"/>
          <w:sz w:val="28"/>
          <w:szCs w:val="28"/>
          <w:rtl w:val="true"/>
          <w:lang w:bidi="fa-IR"/>
        </w:rPr>
        <w:t>الاشارة إلیه فی مسألة الترتّب و أنّه إنّما حکم بالصحّة لأنّ الوضوء غیر الاغتراف الذی هو محرّم، و قد تقدّم منّا احتمال کون ما أفاده هنا من کونه من مسألة الاجتماع إنّما هو فی صورة الوضوء الارتماسی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الأخیر هو المتعیّن فإنّه قدّس سرّه صرّح به فی حواشی العروة و فی الوسیلة، قال فی حاشیة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مع عدم الانحصار أقوی، و کذا مع الانحصار أیضا لو أخذ فی الغرفة الأولی بمقدار الکفایة کما فی المغصوب، نعم لو ارتمس فی الآنیة من أحدهما أو المغصوب اتّجه البطلان مطلقا</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بنحو ذلک صرّح فی الوسیلة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یبقی إشکال أشرنا إلیه فیما تقدّم و حاصله التأمّل فی الصحّة حتّی فی مورد الاغتراف التدریجی، لأنّ هذا الفرد من الافراد العرضیة للوضوء مزاحم بحرمة الاغتراف، کما أنّ هذا الفرد من الأفراد الطولیة للصلاة مزاحم بوجوب الازالة، و قد قلنا إنّ الطهارة المائیة ینعدم ملاکها فی صورة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یفرّق بینهما بأنّ طبیعة الوضوء غیر مزاحمة بالحرمة و إن کان هذا الفرد مزاحما بها، لکن هل یرجع ذلک إلی ما أفاده المحقّق الثانی </w:t>
      </w:r>
      <w:r>
        <w:rPr>
          <w:rStyle w:val="FootnoteAnchor"/>
          <w:rtl w:val="true"/>
        </w:rPr>
        <w:footnoteReference w:id="84"/>
      </w:r>
      <w:r>
        <w:rPr>
          <w:rFonts w:ascii="IRNazanin" w:hAnsi="IRNazanin" w:eastAsia="IRNazanin"/>
          <w:color w:val="111111"/>
          <w:sz w:val="28"/>
          <w:sz w:val="28"/>
          <w:szCs w:val="28"/>
          <w:rtl w:val="true"/>
          <w:lang w:bidi="fa-IR"/>
        </w:rPr>
        <w:t>أو لا؟ ینبغی التأمّل فی ذلک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قدّس سرّه فیما سیأتی </w:t>
      </w:r>
      <w:r>
        <w:rPr>
          <w:rStyle w:val="FootnoteAnchor"/>
          <w:rtl w:val="true"/>
        </w:rPr>
        <w:footnoteReference w:id="85"/>
      </w:r>
      <w:r>
        <w:rPr>
          <w:rFonts w:ascii="IRNazanin" w:hAnsi="IRNazanin" w:eastAsia="IRNazanin"/>
          <w:color w:val="111111"/>
          <w:sz w:val="28"/>
          <w:sz w:val="28"/>
          <w:szCs w:val="28"/>
          <w:rtl w:val="true"/>
          <w:lang w:bidi="fa-IR"/>
        </w:rPr>
        <w:t>أنّ التکلیف المزاحم للمأمور به یکون سالبا للقدرة علی المأمور به و انحصاره فیما عدا ذلک الفرد المبتلی بالمزاحم، من دون فرق بین الأفراد الطولیة و العرضیة، و لأجل ذلک نقول إنّ هذا الفرد من الصلاة فی الدار المغصوبة لا یکون مقدورا شرعا للمکلّف لکونه مبتلی بالنهی عن الغصب، و یکون النهی عن الغصب موجبا لانحصار الأمر بالصلاة فیما عدا ذلک الفرد من بقیة الأفراد العرضیة، فکذلک الحال فیما نحن فیه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الفرد من الوضوء</w:t>
      </w:r>
      <w:bookmarkStart w:id="71" w:name="pg19667_764997"/>
    </w:p>
    <w:p>
      <w:pPr>
        <w:pStyle w:val="BookText"/>
        <w:rPr/>
      </w:pPr>
      <w:bookmarkEnd w:id="71"/>
      <w:r>
        <w:rPr>
          <w:rFonts w:ascii="IRNazanin" w:hAnsi="IRNazanin" w:eastAsia="IRNazanin"/>
          <w:color w:val="111111"/>
          <w:sz w:val="28"/>
          <w:sz w:val="28"/>
          <w:szCs w:val="28"/>
          <w:rtl w:val="true"/>
          <w:lang w:bidi="fa-IR"/>
        </w:rPr>
        <w:t>لکونه مزاحما بحرمة الاغتراف یکون غیر مقدور شرعا فینبغی الحکم ببطلانه، اللهمّ إلّا أن یقال إنّ عدم القدرة شرعا إنّما یوجب بطلان الوضوء إذا کان موجبا للانتقال إلی التیمّم، لکونه حینئذ داخلا تحت من لم یجد الماء، و المفروض فیما نحن فیه أنّ عدم وجدان ذلک الماء الخاصّ لا یوجب الانتقال إلی التیمّم لکونه واجدا لطبیعة الماء، فتأمّل</w:t>
      </w:r>
      <w:r>
        <w:rPr>
          <w:rFonts w:eastAsia="IRNazanin" w:cs="IRNazanin"/>
          <w:color w:val="111111"/>
          <w:sz w:val="28"/>
          <w:szCs w:val="28"/>
          <w:rtl w:val="true"/>
          <w:lang w:bidi="fa-IR"/>
        </w:rPr>
        <w:t>.</w:t>
      </w:r>
    </w:p>
    <w:p>
      <w:pPr>
        <w:pStyle w:val="Heading4"/>
        <w:numPr>
          <w:ilvl w:val="3"/>
          <w:numId w:val="1"/>
        </w:numPr>
        <w:rPr/>
      </w:pPr>
      <w:bookmarkStart w:id="72" w:name="__RefHeading___Toc3538497_2314609296"/>
      <w:bookmarkStart w:id="73" w:name="_Toc26"/>
      <w:bookmarkEnd w:id="72"/>
      <w:r>
        <w:rPr>
          <w:rtl w:val="true"/>
        </w:rPr>
        <w:t>[</w:t>
      </w:r>
      <w:r>
        <w:rPr>
          <w:rtl w:val="true"/>
        </w:rPr>
        <w:t>توضیح إلحاق ما هو متمّم المقولة بما هو من قبیل المقولة المستقلّة</w:t>
      </w:r>
      <w:r>
        <w:rPr>
          <w:rtl w:val="true"/>
        </w:rPr>
        <w:t>]</w:t>
      </w:r>
      <w:bookmarkEnd w:id="73"/>
    </w:p>
    <w:p>
      <w:pPr>
        <w:pStyle w:val="BookText"/>
        <w:rPr/>
      </w:pPr>
      <w:r>
        <w:rPr>
          <w:rFonts w:ascii="IRNazanin" w:hAnsi="IRNazanin" w:eastAsia="IRNazanin"/>
          <w:color w:val="111111"/>
          <w:sz w:val="28"/>
          <w:sz w:val="28"/>
          <w:szCs w:val="28"/>
          <w:rtl w:val="true"/>
          <w:lang w:bidi="fa-IR"/>
        </w:rPr>
        <w:t>فلنعد إلی توضیح ما کنّا فیه من إلحاق ما هو متمّم المقولة بما هو من قبیل المقولة المستقلّة فنقول بعونه تعالی فی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إذا قلت سرت من البصرة، کان هناک عرض متأصّل و هو السیر، و کان هناک أیضا جوهر و هو البصرة، و هناک أمر ثالث هو إضافة بینهما، و تلک الاضافة هی المعبّر عنها فی مقام لحاظها استقلالیا بالابتداء و فی مقام إیجادها بینهما فی عالم الحکایة بلفظ من، و هذه الاضافة و إن لم یکن لها تأصّل و لیس لها ما بحذاء فی الخارج کما حقّقه قدّس سرّه فی مبحث المعنی الحرفی </w:t>
      </w:r>
      <w:r>
        <w:rPr>
          <w:rStyle w:val="FootnoteAnchor"/>
          <w:rtl w:val="true"/>
        </w:rPr>
        <w:footnoteReference w:id="86"/>
      </w:r>
      <w:r>
        <w:rPr>
          <w:rFonts w:ascii="IRNazanin" w:hAnsi="IRNazanin" w:eastAsia="IRNazanin"/>
          <w:color w:val="111111"/>
          <w:sz w:val="28"/>
          <w:sz w:val="28"/>
          <w:szCs w:val="28"/>
          <w:rtl w:val="true"/>
          <w:lang w:bidi="fa-IR"/>
        </w:rPr>
        <w:t>من أنّه فی مثل سرت من البصرة لا یکون الموجود فی الخارج إلّا السیر و البصرة، و أنّ الابتداء لیس له ما بحذاء فی الخارج إلّا أنّها من الأمور الانتزاعیة التی تنتزع من نحو وجود السیر مربوطا و متعلّقا بالبصرة، أو یقال إنّها متأصّلة لکنّها من الأعراض الاضافیة بأن تکون من مقولة الاضافة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سواء کانت متأصّلة أو کانت انتزاعیة فهی علی کلّ حال هی عرض من الأعراض قائم بما بین السیر و البصرة، علی وجه یصحّ جعلها موردا للأمر بأن یقول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بسیرک من البصرة، کما یصحّ جعلها موردا للنهی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تبتدئ بسیرک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النحو من العرض کما لا ریب فی أنّ ترکّبه مع</w:t>
      </w:r>
    </w:p>
    <w:p>
      <w:pPr>
        <w:pStyle w:val="BookText"/>
        <w:rPr/>
      </w:pPr>
      <w:r>
        <w:rPr>
          <w:rFonts w:ascii="IRNazanin" w:hAnsi="IRNazanin" w:eastAsia="IRNazanin"/>
          <w:color w:val="111111"/>
          <w:sz w:val="28"/>
          <w:sz w:val="28"/>
          <w:szCs w:val="28"/>
          <w:rtl w:val="true"/>
          <w:lang w:bidi="fa-IR"/>
        </w:rPr>
        <w:t>البصرة لا یکون علی نحو الترکّب الاتّحادی بل یکون ترکّبهما انضمامیا، فکذلک لا ینبغی الریب فی أنّ ترکّبه مع السیر لا یکون ترکّبا اتّحادیا، بل هو ترکّب انضمامی، و ذلک لما عرفت من أنّه و إن لم یکن مقولة مستقلّة فی عرض سائر المقولات المتأصّلة إلّا أنّه عرض من الأعراض، و الأشبه أن نقول إنّه من مقولة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حقیقته هو تلک الاضافة بینهما، و نسبته إلیهما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ترکّبه مع الجوهر الذی هو البصرة یکون ترکّبا انضمامیا و یستحیل کونه ترکّبا اتّحادیا، فکذلک ترکّبه مع الطرف الآخر من طرفیه الذی هو السیر نفسه، و قد عرفت أنّه بنفسه قابل لتعلّق الأمر به و النهی عنه، و حینئذ یمکن أن یکون أصل السیر مأمورا به و یکون الابتداء به من البصرة منهیا، و یکون ذلک داخلا فیما نحن فیه، و یکون حاله حال الأمر بالصلاة و النهی عن الکون فی الدار المغصوبة فیما لو أوقع الصلاة فیها، و لا فرق بینهما إلّا فی أنّ کون الصلاة فی الدار المغصوبة من مقولة الأین و ابتداء السیر من البصرة من مقولة الاضافة، بل هو فی الترکّب الانضمامی أوضح من الصلاة فی الدار المغصوبة، لامکان أن یقال إنّ الصلاة بنفسها تصرّف فی الدار المغصوبة، بخلاف السیر و الابتداء فإنّه لا یعقل أن یکون أحدهما عین الآخر، فهما فی ذلک نظیر الصلاة و استقبال القبلة فی کون الاستقبال واسطة بین الصلاة و القبلة فی قوله صلّ إلی القبلة، فإنّه مثل سر من البصرة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اصطلح شیخنا قدّس سرّه </w:t>
      </w:r>
      <w:r>
        <w:rPr>
          <w:rStyle w:val="FootnoteAnchor"/>
          <w:rtl w:val="true"/>
        </w:rPr>
        <w:footnoteReference w:id="87"/>
      </w:r>
      <w:r>
        <w:rPr>
          <w:rFonts w:ascii="IRNazanin" w:hAnsi="IRNazanin" w:eastAsia="IRNazanin"/>
          <w:color w:val="111111"/>
          <w:sz w:val="28"/>
          <w:sz w:val="28"/>
          <w:szCs w:val="28"/>
          <w:rtl w:val="true"/>
          <w:lang w:bidi="fa-IR"/>
        </w:rPr>
        <w:t>علی هذا النحو من العوارض المأخوذة من تعلّق الجار و المجرور بالفعل بأنّه من قبیل متمّم المقولة، و هذا المعنی الذی شرحناه</w:t>
      </w:r>
    </w:p>
    <w:p>
      <w:pPr>
        <w:pStyle w:val="BookText"/>
        <w:rPr/>
      </w:pPr>
      <w:r>
        <w:rPr>
          <w:rFonts w:ascii="IRNazanin" w:hAnsi="IRNazanin" w:eastAsia="IRNazanin"/>
          <w:color w:val="111111"/>
          <w:sz w:val="28"/>
          <w:sz w:val="28"/>
          <w:szCs w:val="28"/>
          <w:rtl w:val="true"/>
          <w:lang w:bidi="fa-IR"/>
        </w:rPr>
        <w:t>فی مثل السیر و الابتداء و البصرة جار فی کلّ فعل له جار و مجرور 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یظهر لک أنّ مسألة الصلاة فی الدار المغصوبة یمکن تنزیلها علی المقولة و هی الصلاة و متمّمها و هو کونها فی المکان المغصوب الذی هو الأین، لکن باعتبار کونه أینا للصلاة لا أینا لذات المصلّی، علی وجه لا تکون الصلاة مربوطة به، لیکون حال الصلاة فی حال کون ذات المصلّی فی المکان المغصوب حال أعماله الفکریة التی تعرضه أو یفعلها و هو فی ذلک المکان، و إلّا لخرجت المسألة عن مسألة الاجتماع بالمرّة، بل لا بدّ من ربط الصلاة بذلک الأین لیکون أصلها مأمورا به و یکون متمّمها و أینها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المأمور به هو ذات الصلاة و یکون المنهی عنه هو ربطها بذلک المکان، فیکون حالها حال السیر المبتدأ به من البصرة فی کونه فی حدّ نفسه مأمورا به، و یکون النهی متعلّقا بربطه بالبصرة ربط ابتداء نعبّر عنه بمتمّمه، فلا یکون مسألة الاجتماع من قبیل الترکّب من المقولتین، بل یکون من قبیل الترکّب من المقولة و متمّمها فلاحظ و تدبّر، و علی أی حال لا یکون الترکّب إلّا انضمامیا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ینحل لک ما أفاده قدّس سرّه </w:t>
      </w:r>
      <w:r>
        <w:rPr>
          <w:rStyle w:val="FootnoteAnchor"/>
          <w:rtl w:val="true"/>
        </w:rPr>
        <w:footnoteReference w:id="88"/>
      </w:r>
      <w:r>
        <w:rPr>
          <w:rFonts w:ascii="IRNazanin" w:hAnsi="IRNazanin" w:eastAsia="IRNazanin"/>
          <w:color w:val="111111"/>
          <w:sz w:val="28"/>
          <w:sz w:val="28"/>
          <w:szCs w:val="28"/>
          <w:rtl w:val="true"/>
          <w:lang w:bidi="fa-IR"/>
        </w:rPr>
        <w:t>فی مثل قولنا توضأ و لا تتصرّف فی الآنیة المغصوبة، عند ما یتوضّأ المکلّف من الآنیة المغصوبة من أنّه من قبیل الترکّب الانضمامی، و أنّ کون الوضوء من الآنیة المغصوبة متمّم لمقولة الوضوء و إن لم یکن بنفسه من المقولات المتأصّلة، و هکذا الحال فی الوضوء من آنیة الذهب أو الفضّة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الوضوء من الماء المغصوب فکونه من هذا القبیل موقوف علی النظر</w:t>
      </w:r>
      <w:bookmarkStart w:id="74" w:name="pg19667_765000"/>
    </w:p>
    <w:p>
      <w:pPr>
        <w:pStyle w:val="BookText"/>
        <w:rPr/>
      </w:pPr>
      <w:bookmarkEnd w:id="74"/>
      <w:r>
        <w:rPr>
          <w:rFonts w:ascii="IRNazanin" w:hAnsi="IRNazanin" w:eastAsia="IRNazanin"/>
          <w:color w:val="111111"/>
          <w:sz w:val="28"/>
          <w:sz w:val="28"/>
          <w:szCs w:val="28"/>
          <w:rtl w:val="true"/>
          <w:lang w:bidi="fa-IR"/>
        </w:rPr>
        <w:t>فی حقیقة الوضوء، و هل حقیقته و تمام کیانه لیس إلّا نفس غسل الأعضاء، و کون ذلک الغسل بالماء یکون أمرا زائدا علی حقیقته، لیکون حاله حال کون السیر مبتدأ به من البصرة، لیکون ترکّب الوضوء مع کونه بالماء من قبیل الترکّب الانضمامی، لیکون الوضوء بالماء المغصوب داخلا فیما نحن فیه، أو أنّ حقیقته و تمام کیانه هو غسل الأعضاء بالماء لیکون کونه بالماء داخلا فی حقیقته و هویته، فیکون ترکّب الغسل مع کونه بالماء من قبیل الترکّب الاتّحادی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الأوّل یکون الوضوء بالماء المغصوب داخلا فیما نحن فیه، بخلافه علی الثانی فإنّه بناء علیه یکون الوضوء المذکور داخلا فی باب النهی عن العبادة، و تکون مانعیته منتزعة من ذلک النهی النفسی المتعلّق بالعبادة المذکورة، فیکون داخلا فیما تعرّض له شیخنا قدّس سرّه فی ذلک المبحث من أنّ سقوط مثل هذا النهی النفسی لأجل الجهل بالموضوع أو الحکم لا یوجب سقوط تلک المانعیة خلافا للمشهور فی ذلک، فراجع ما أفاده قدّس سرّه فی ذلک البحث </w:t>
      </w:r>
      <w:r>
        <w:rPr>
          <w:rStyle w:val="FootnoteAnchor"/>
          <w:rtl w:val="true"/>
        </w:rPr>
        <w:footnoteReference w:id="89"/>
      </w:r>
      <w:r>
        <w:rPr>
          <w:rFonts w:ascii="Amiri" w:hAnsi="Amiri" w:eastAsia="Amiri" w:cs="Amiri"/>
          <w:color w:val="111111"/>
          <w:sz w:val="28"/>
          <w:sz w:val="28"/>
          <w:szCs w:val="28"/>
          <w:rtl w:val="true"/>
          <w:lang w:bidi="ar-SA"/>
        </w:rPr>
        <w:t>و تأمّل</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3538499_2314609296"/>
      <w:bookmarkStart w:id="76" w:name="_Toc27"/>
      <w:bookmarkEnd w:id="75"/>
      <w:r>
        <w:rPr>
          <w:rtl w:val="true"/>
        </w:rPr>
        <w:t>[</w:t>
      </w:r>
      <w:r>
        <w:rPr>
          <w:rtl w:val="true"/>
        </w:rPr>
        <w:t>خروج النهی المتعلّق بالعنوان الثانوی و الأمر بالعنوان الأوّلی عن محلّ النزاع</w:t>
      </w:r>
      <w:bookmarkEnd w:id="7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یخرج عن محلّ الکلام ما إذا کان العموم من وجه بین فعلین تولیدیین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بالخروج ما لو کان النهی متعلّقا بالعنوان الثانوی و کان الأمر متعلّقا بالعنوان الأوّلی، کما لو أمر بتحریک الید و لکن نهی عن تحریک المفتاح و جعل حرکة یده تحریکا للمفتاح، و کما لو أمر بالقیام و نهی عن تعظیم الفاسق فجعل قیامه تعظیما 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خرج من ذلک ما لو کان المنهی عنه هو العنوان الثانوی و کان صدق العنوان الثانوی علی الفعل بعنوانه الأوّلی صدقا ذاتیا لا باعتبار</w:t>
      </w:r>
    </w:p>
    <w:p>
      <w:pPr>
        <w:pStyle w:val="BookText"/>
        <w:rPr/>
      </w:pPr>
      <w:r>
        <w:rPr>
          <w:rFonts w:ascii="IRNazanin" w:hAnsi="IRNazanin" w:eastAsia="IRNazanin"/>
          <w:color w:val="111111"/>
          <w:sz w:val="28"/>
          <w:sz w:val="28"/>
          <w:szCs w:val="28"/>
          <w:rtl w:val="true"/>
          <w:lang w:bidi="fa-IR"/>
        </w:rPr>
        <w:t>أینه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کان مصبّ ماء الوضوء مغصوبا و کان إراقة الماء علی یده مثلا بنفسها تصرّفا فی ذلک المصب، بحیث إنّ اراقته الماء علی یده یکون اراقة له فی ذلک المصب، فإنّ نفس الاراقة عنوان أوّلی للفعل و کونه تصرّفا فی المغصوب عنوان ثانوی، و لکن صدق ذلک العنوان الثانوی علی نفس الاراقة لیس إلّا من جهة کونه أینا لتلک الاراقة، فیکون المأمور به نفس الغسل و الاراقة و المنهی عنه کونه فی المکان المغصوب، و حینئذ یندرج فی مسألتنا، بخلاف ما لو کان الماء ینزل من أعضائه إلی الأرض المباحة ثمّ یسیل علیها حتّی یصل إلی الأرض المغصوبة، فإنّه یدخل فی المقدّمة المحرّمة إذا کانت علّة تامّة للحرام علی وجه لا یمکنه الحیلولة دون ذلک الحرام، فإنّ المقدّمة تکون محرّمة حینئذ بنفسها و بذاتها، فیدخل الفرض فی باب النهی عن العبادة، فیکون أولی بالفساد من الصورة الأولی و هی الراجعة إلی باب اجتماع الأمر و النهی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قال فی النجاة فی عداد شرائط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إباحة المکان الذی هو بمعنی الفضاء الذی یقع فیه الغسل و المسح، أمّا غیره کالمصب و الأوانی فمع انحصار الاستعمال فیه یبطل الوضوء و مع عدمه یقوی الصحّة، و الأحوط التجنّب الخ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الشیرازی قدّس سرّه فی الحاشیة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التجنّب الخ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الأقوی إذا کانت الطهارة تصرّفا فی المصب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نظره قدّس سرّه فی ذلک إلی صورة کون التصرّف فی المغصوب عنوانا ثانویا لصبّ الماء علی أعضاء الوضوء، لا إلی صورة ما إذا کان التصرّف فی المغصوب معلولا للصبّ کما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العلّامة الآخوند قدّس سرّه حمل</w:t>
      </w:r>
      <w:bookmarkStart w:id="77" w:name="pg19667_765002"/>
    </w:p>
    <w:p>
      <w:pPr>
        <w:pStyle w:val="BookText"/>
        <w:rPr/>
      </w:pPr>
      <w:bookmarkEnd w:id="77"/>
      <w:r>
        <w:rPr>
          <w:rFonts w:ascii="IRNazanin" w:hAnsi="IRNazanin" w:eastAsia="IRNazanin"/>
          <w:color w:val="111111"/>
          <w:sz w:val="28"/>
          <w:sz w:val="28"/>
          <w:szCs w:val="28"/>
          <w:rtl w:val="true"/>
          <w:lang w:bidi="fa-IR"/>
        </w:rPr>
        <w:t>هذه الحاشیة علی الصورة الثانیة، و لأجل ذلک کتب علی هذه الحاشیة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بنحو السببیة و العلّیة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شیخنا فی حاشیة العروة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إجراء الماء علی أعضاء الوضوء هو بعینه الصب فی المغصوب اتّجه البطلان مطلقا، و مع تغایرهما العرفی و استلزام الوضوء لانصباب مائه فیه فإن عدّ ذلک تصرّفا فی المغصوب عرفا یبطل وضوءه عند الانحصار بل مطلقا علی الأحوط، و إلّا فالصحّة مطلقا هی الأقوی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 لا تخلو من الغلق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منها عبارته فی الوسیلة</w:t>
      </w:r>
      <w:r>
        <w:rPr>
          <w:rStyle w:val="FootnoteAnchor"/>
          <w:rtl w:val="true"/>
        </w:rPr>
        <w:footnoteReference w:id="95"/>
      </w:r>
      <w:r>
        <w:rPr>
          <w:rFonts w:ascii="IRNazanin" w:hAnsi="IRNazanin" w:eastAsia="IRNazanin"/>
          <w:color w:val="111111"/>
          <w:sz w:val="28"/>
          <w:sz w:val="28"/>
          <w:szCs w:val="28"/>
          <w:rtl w:val="true"/>
          <w:lang w:bidi="fa-IR"/>
        </w:rPr>
        <w:t>فراجعها، فإنّها بمنزلة الشرح لهذه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ظهر لک من ذلک أنّ ما أفاده شیخنا قدّس سرّه من التوقّف فی بطلان الصورة الثانیة لا یخلو عن تأمّل، لما عرفت من کونها موجبة للنهی عن نفس الغسل و أنّ النهی یکون فیها من قبیل النهی عن العبادة، فینبغی أن تکون أولی بالبطلان من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أفید فی نفس النجاة من التوقّف فی البطلان فی صورة کون الآنیة مغصوبة أو المصب مع أنّه قائل بامتناع الاجتماع ممّا لم یتّضح وجهه، و کذلک تخصیص البطلان فی حاشیة السیّد بصورة المصب و عدم التعرّض لصورة کون الآنیة مغصوبة لم یتّضح وجهه، فراجع و تأمّل</w:t>
      </w:r>
      <w:r>
        <w:rPr>
          <w:rFonts w:eastAsia="IRNazanin" w:cs="IRNazanin"/>
          <w:color w:val="111111"/>
          <w:sz w:val="28"/>
          <w:szCs w:val="28"/>
          <w:rtl w:val="true"/>
          <w:lang w:bidi="fa-IR"/>
        </w:rPr>
        <w:t>.</w:t>
      </w:r>
    </w:p>
    <w:p>
      <w:pPr>
        <w:pStyle w:val="Heading4"/>
        <w:numPr>
          <w:ilvl w:val="3"/>
          <w:numId w:val="1"/>
        </w:numPr>
        <w:rPr/>
      </w:pPr>
      <w:bookmarkStart w:id="78" w:name="__RefHeading___Toc3538501_2314609296"/>
      <w:bookmarkStart w:id="79" w:name="_Toc28"/>
      <w:bookmarkEnd w:id="78"/>
      <w:r>
        <w:rPr>
          <w:rtl w:val="true"/>
        </w:rPr>
        <w:t>[</w:t>
      </w:r>
      <w:r>
        <w:rPr>
          <w:rtl w:val="true"/>
        </w:rPr>
        <w:t>اجتماع الأمر و النهی فی الأسباب و المسبّبات</w:t>
      </w:r>
      <w:bookmarkEnd w:id="7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القسم الثانی و هو ما إذا کانت السببیة من جهة إضافة أخری وجودیة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العنوان الأوّلی یکون سببا و علّة للعنوان الثانوی، و لأجل ذلک</w:t>
      </w:r>
    </w:p>
    <w:p>
      <w:pPr>
        <w:pStyle w:val="BookText"/>
        <w:rPr/>
      </w:pPr>
      <w:r>
        <w:rPr>
          <w:rFonts w:ascii="Amiri" w:hAnsi="Amiri" w:eastAsia="Amiri" w:cs="Amiri"/>
          <w:color w:val="111111"/>
          <w:sz w:val="28"/>
          <w:sz w:val="28"/>
          <w:szCs w:val="28"/>
          <w:rtl w:val="true"/>
          <w:lang w:bidi="ar-SA"/>
        </w:rPr>
        <w:t>یصحّ توسّط الفاء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تارة یکون العلّة هو نفس العنوان الأوّلی من دون جهة تلحقه و هذا یستحیل فیه انفکاک أحدهما عن الآخر کما أفاده قدّس سرّه، و إلّا لزم منه وجود العلّة بلا معلول أو وجود المعلول بلا علّة کما فی الضرب و الایلام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کون انفکاک الثانی عن الأوّل من قبیل وجود المعلول بلا علّة إشکال، لامکان أن یکون معلولا لأمر آخر غیر الضرب غایة الأمر یکون العلّة فی الحقیقة هو القدر الجامع بینهما، نعم لا ریب فی کون انفکاک الأوّل عن الثانی من قبیل وجود العلّة بلا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لا تکون العلّة هی نفس العنوان الأوّلی، بل یکون العلّة هو لحوق بعض الجهات أو الحالات المقارنة لذلک الفعل توجب تأثیره فی ذلک المعلول، فإن تجرّد الفعل عن تلک الجهة أو الحالة لم یکن مؤثّرا ذلک الأثر، فإن کانت تلک الجهة الموجبة لتأثیر ذلک الفعل فی ذلک المعلول هی القصد کما فی قصد التعظیم بالقیام و التأدیب بالضرب کانت تلک الجهة من قبیل الجهة التعلیلیة فی صدق ذلک العنوان الثانوی علی ذلک الفعل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تلک الجهة غیر القصد کما فی الالقاء و الإحراق و الصوم و الضرر مثلا، فإنّ تلک الجهة الموجبة لکون الالقاء علّة للإحراق و الصوم علّة للضرر هی کون الالقاء فی النار و کون الصوم فی حال المرض، فعلی الظاهر أنّ الجهة المذکورة أیضا جهة تعلیلیة کالقصد، ضرورة صدق العنوان الثانوی علی الفعل الموجّه بتلک الجهة لا علی نفس تلک الجهة کما أفاده قدّس سرّه کی تکون جهة تقییدیة، و حینئذ ففی مثل ذلک لو کان النهی متعلّقا بالعنوان الثانوی و الأمر متعلّقا بالعنوان الأوّلی لم یکن ذلک من باب الاجتماع، لکون ما تعلّق به الأمر هو عین ما تعلّق به النهی و هو نفس ذلک الفعل الخارجی، بل یکون من قبیل حکومة ذی</w:t>
      </w:r>
    </w:p>
    <w:p>
      <w:pPr>
        <w:pStyle w:val="BookText"/>
        <w:rPr/>
      </w:pPr>
      <w:r>
        <w:rPr>
          <w:rFonts w:ascii="IRNazanin" w:hAnsi="IRNazanin" w:eastAsia="IRNazanin"/>
          <w:color w:val="111111"/>
          <w:sz w:val="28"/>
          <w:sz w:val="28"/>
          <w:szCs w:val="28"/>
          <w:rtl w:val="true"/>
          <w:lang w:bidi="fa-IR"/>
        </w:rPr>
        <w:t>العنوان الثانوی علی ذی العنوان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تقدّم من مثال الصب فی الأرض المغصوبة فی باب الوضوء فلیس هو من قبیل العنوان الأوّلی و الثانوی، لعدم کون التصرّف فی الأرض المغصوبة فی طول عنوان الصب بل هو فی عرضه، و یکون المجمع مؤلّفا منهما، و یکون العنوان الأوّلی أعنی الصب عبارة عن اراقة الماء من الاناء و تفریغه، و الثانوی هو کون ذلک فی الأرض المغصوبة، فیکون المجمع مؤلّفا من المقولة و متمّمها، نظیر تألّف الصلاة فی المکان المغصوب من هاتین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التصرّف فی الأرض المغصوبة معلول لأین الاراقة لا لنفس الاراقة، و لو کان الغصب أو التصرّف فی المکان المغصوب عنوانا ثانویا لنفس الصب و الاراقة لکان الغصب و التصرّف فی المغصوب عنوانا ثانویا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الغصب أو التصرّف فی المغصوب عنوان منتزع من أین الصلاة الذی هو کونها فی المکان المغصوب لا أنّه عنوان ثانوی منطبق علیها، فکذلک الحال فی الصب فی المکان المغصوب یکون الغصب أو التصرّف فی المغصوب منتزعا من کون الاراقة فی المکان المغصوب فتأمّل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مبدأ الالقاء و الاحراق هو اللقاء و الحرقة و هما متباینان، فلو ترکّب الموضوع منهما یکون ترکّبه انضمامیا، مضافا إلی کونهما من مقولتین، فإنّ اللقاء من مقولة الفعل و الحرقة من مقولة الانفعال، و إذا کان اللقاء و الحرقة کذلک کان الالقاء و الاحراق أیضا کذلک، لأنّ الالقاء بالنسبة إلی اللقاء من قبیل الایجاد و الوجود، و لا ریب فی وحدتهما حقیقة و إن اختلفا اعتبارا، و حینئذ فالالقاء و الاحراق یکون الترکّب منهما انضمامیا و یجوز اجتماع الأمر و النهی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اللقاء لیس مباینا للحرقة بل إنّها بالنسبة إلیه من قبیل العناوین التولیدیة، لأنّ اللقاء سبب للحرقة، فیصحّ أن یقال إنّ اللقاء حرقة بهذا الاعتبار، أعنی باعتبار کون الثانی من العناوین التولیدیة بالنسبة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الالقاء لیس بمأخوذ من مادّة اللقاء، لأنّ لقی متعدّ فیقال لقی الحطب النار، و إذا زیدت علیه الهمزة فقیل ألقیت الحطب فی النار ینبغی أن یقال ألقیت الحطب النار، بل الظاهر الالقاء مأخوذ من مادّة أخری لا وجود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الالقاء هو اخلاء الید من الشی‌ء و طرحه فی المحل، لا مجرّد جعل أحدهما ملاقیا للآخر، فإنّ ذلک لا یتمّ فی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أَلْقَیْنا بَیْنَهُمُ الْعَداوَةَ وَ الْبَغْضاءَ</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الالقاء مأخوذ من اللقاء فلا یلزم منه أن یکون عینه حقیقة، إذ لیس ذلک من قبیل الایجاد و الوجود، فإنّه إنّما یکونان من هذا القبیل لو کانا من قبیل المصدر و اسم المصدر، و المفروض أنّ الالقاء و اللقاء کلّ منهما مصدر علی حدة، غایته أنّ الأوّل مصدر من باب الافعال و الثانی من باب الفعل، فلا یلزم أن یکون أحدهما عین الآخر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ما صدر عن الفاعل من قولنا أعلمت زیدا عین ما صدر عن الفاعل من قولنا علم زید، و هکذا الحال فی مثل أقعدته و أقمته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شاهد علی عدم المباینة بین الالقاء و الاحراق، ضرورة صحّة حمل الثانی علی الأوّل فیقال الالقاء إحراق، و لو کان ترکّبهما انضمامیا لما صحّ الحمل المذکور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جمیع هذه المضایقات لا نعبّر بالالقاء، بل نعبّر بالطرح و اخلاء الید أو الوضع أو ما أشبه ذلک ممّا هو خارج عن هذه الشبهة</w:t>
      </w:r>
      <w:r>
        <w:rPr>
          <w:rFonts w:eastAsia="IRNazanin" w:cs="IRNazanin"/>
          <w:color w:val="111111"/>
          <w:sz w:val="28"/>
          <w:szCs w:val="28"/>
          <w:rtl w:val="true"/>
          <w:lang w:bidi="fa-IR"/>
        </w:rPr>
        <w:t>.</w:t>
      </w:r>
      <w:bookmarkStart w:id="80" w:name="pg19667_765006"/>
    </w:p>
    <w:p>
      <w:pPr>
        <w:pStyle w:val="Heading4"/>
        <w:numPr>
          <w:ilvl w:val="3"/>
          <w:numId w:val="1"/>
        </w:numPr>
        <w:rPr/>
      </w:pPr>
      <w:bookmarkStart w:id="81" w:name="__RefHeading___Toc3538503_2314609296"/>
      <w:bookmarkStart w:id="82" w:name="_Toc29"/>
      <w:bookmarkEnd w:id="80"/>
      <w:bookmarkEnd w:id="81"/>
      <w:r>
        <w:rPr>
          <w:rtl w:val="true"/>
        </w:rPr>
        <w:t>[</w:t>
      </w:r>
      <w:r>
        <w:rPr>
          <w:rtl w:val="true"/>
        </w:rPr>
        <w:t>تحقیق الحال فی العبادات المکروهة</w:t>
      </w:r>
      <w:r>
        <w:rPr>
          <w:rtl w:val="true"/>
        </w:rPr>
        <w:t>]</w:t>
      </w:r>
      <w:bookmarkEnd w:id="8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متعلّق الأمر لیس نفس هذا الفرد بخصوصه بل صرف وجود الطبیعة، غایة الأمر ترخیص المکلّف فی تطبیقه علی 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لم یکن کذلک و کان منهیا عنه تنزیها، فإنّه لا ینافی بقاء الرخصة علی حالها و إن کان التطبیق علی هذا الفرد مرجوحا فی نظر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الأمر هو صرف الطبیعة و متعلّق النهی هو الخصوصیة الفردیة، و لا منافاة بینهما لعدم وحدة المتعلّق، و لأنّ النهی لو کان تحریمیا لکان موجبا لسدّ باب الامتثال فی ذلک الفرد، بخلاف ما إذا کان تنزیهیا فإنّه لا یوجب سدّ باب الامتثال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التأمّل فی ذلک، فإنّ ترکّب الخصوصیة الفردیة مع صرف الطبیعة المتحقّقة فی ذلک الفرد إن کان علی نحو الترکّب الاتّحادی أوجب امتناع اجتماع الأمر مع النهی المذکور بعد الاعتراف بتضادّهما مع فرض اتّحاد متعلّقیهما، و إن کان الترکّب المذکور انضمامیا کان اللازم هو القول بجواز اجتماعهما حتّی لو کان النهی تحریمیا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أنّه یکون الفرق بین التحریمی و التنزیهی أنّ الأوّل یکون سادّا لباب الامتثال، و هو راجع إلی الجهة الثانیة من جهتی بحث الاجتماع، فیکون العمل باطلا من هذه الجهة أعنی الجهة الثانیة بعد الفراغ عن جواز الاجتماع من الجهة الأولی، بخلاف الثانی أعنی النهی التنزیهی فإنّه کما لا یکون مانعا من الاجتماع من الجهة الأولی لا یکون مانعا منه من الجهة الثانیة، و حینئذ یکون</w:t>
      </w:r>
    </w:p>
    <w:p>
      <w:pPr>
        <w:pStyle w:val="BookText"/>
        <w:rPr/>
      </w:pPr>
      <w:r>
        <w:rPr>
          <w:rFonts w:ascii="IRNazanin" w:hAnsi="IRNazanin" w:eastAsia="IRNazanin"/>
          <w:color w:val="111111"/>
          <w:sz w:val="28"/>
          <w:sz w:val="28"/>
          <w:szCs w:val="28"/>
          <w:rtl w:val="true"/>
          <w:lang w:bidi="fa-IR"/>
        </w:rPr>
        <w:t>تصحیح العبادة المکروهة فی هذین القسمین أعنی العموم من وجه و العموم المطلق مختصّا بذلک القول، أعنی الجواز من الجهة الأولی الذی یکون مبناه الترکّب الانضمامی، و لا یتأتّی تصحیحها علی القول بالامتناع من الجهة الأولی الذی یکون مبناه الترکّب الاتّحادی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لو قلنا بالامتناع من هذه الجهة بأن منعنا الترکّب الانضمامی و قلنا فی أصل مسألة الاجتماع إنّ الترکّب اتّحادی، أو قلنا بأنّ الترکّب فی خصوص ما نحن فیه من العبادات المکروهة من قبیل الترکّب الاتّحادی، لم یکن لنا بدّ من حمل النهی علی الارشاد إلی جهات طبیعیة، مثل البرص فی الوضوء بماء اسخن بالشمس، أو الارشاد إلی أکثریة ثواب غیر تلک العبادة، أو غیر هذا الفرد من باقی أفراد الطبیعة و نحو ذلک ممّا سیأتی </w:t>
      </w:r>
      <w:r>
        <w:rPr>
          <w:rStyle w:val="FootnoteAnchor"/>
          <w:rtl w:val="true"/>
        </w:rPr>
        <w:footnoteReference w:id="99"/>
      </w:r>
      <w:r>
        <w:rPr>
          <w:rFonts w:ascii="IRNazanin" w:hAnsi="IRNazanin" w:eastAsia="IRNazanin"/>
          <w:color w:val="111111"/>
          <w:sz w:val="28"/>
          <w:sz w:val="28"/>
          <w:szCs w:val="28"/>
          <w:rtl w:val="true"/>
          <w:lang w:bidi="fa-IR"/>
        </w:rPr>
        <w:t>شرحه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التزم جماعة تبعا للعلّامة المحقّق الأنصاری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 فیما حرّرته عنه بعد أن ذکر أنّ القسم الثالث لا یتأتّی فیه ما أفاده من الجواب فی القسمین الأوّلین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بذکر ما أفاده شیخنا أستاذ الأساتیذ قدّس سرّه فی التقریرات </w:t>
      </w:r>
      <w:r>
        <w:rPr>
          <w:rStyle w:val="FootnoteAnchor"/>
          <w:rtl w:val="true"/>
        </w:rPr>
        <w:footnoteReference w:id="101"/>
      </w:r>
      <w:r>
        <w:rPr>
          <w:rFonts w:ascii="IRNazanin" w:hAnsi="IRNazanin" w:eastAsia="IRNazanin"/>
          <w:color w:val="111111"/>
          <w:sz w:val="28"/>
          <w:sz w:val="28"/>
          <w:szCs w:val="28"/>
          <w:rtl w:val="true"/>
          <w:lang w:bidi="fa-IR"/>
        </w:rPr>
        <w:t>و تبعه علیه فی الکفایة،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نفس الترک ذا مصلحة مقتضیة لطلبه إمّا بأن یکون بنفسه ذا مصلحة، و إمّا أن یکون ملازما لعنوان ذی مصلحة، و علی أی حال یکون کلّ من الفعل و الترک مطلوبا لکون کلّ منهما ذا مصلحة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إصلاحه بأنّ الغرض من العنوان الملازم للترک هو العنوان</w:t>
      </w:r>
    </w:p>
    <w:p>
      <w:pPr>
        <w:pStyle w:val="BookText"/>
        <w:rPr/>
      </w:pPr>
      <w:r>
        <w:rPr>
          <w:rFonts w:ascii="IRNazanin" w:hAnsi="IRNazanin" w:eastAsia="IRNazanin"/>
          <w:color w:val="111111"/>
          <w:sz w:val="28"/>
          <w:sz w:val="28"/>
          <w:szCs w:val="28"/>
          <w:rtl w:val="true"/>
          <w:lang w:bidi="fa-IR"/>
        </w:rPr>
        <w:t>التولیدی المنطبق علی الترک، و إلّا فإنّ مجرّد ملازمة الترک لذلک العنوان لا توجب کونه مطلوبا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ذلک لا بدّ من الکسر و الانکسار و تقدیم ما هو الأقوی ملاکا فی نظر الشارع، فیکون ما یجعله الشارع مطابقا له، حیث إنّ التزاحم المذکور إنّما یکون من قبیل التزاحم فی مقام الجعل و التشریع الموجب للکسر و الانکسار، فإنّ هذا من أوضح موارده لکونه بین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استحباب الضدّین اللذین لا ثالث لهما، بل فی استحباب أحد المتلازمین فی الوجود و کراهة الآخر، کما فی استقبال المشرق و استدبار المغرب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ذکرناه من لزوم الکسر و الانکسار فی أمثال ذلک لا بدّ أن یکون دلیل الکراهة الذی مفاده استحباب الترک معارضا لدلیل استحباب الفعل حتّی علی القول بجواز الاجتماع، فلا بدّ حینئذ من الجواب عن هذا القسم بجواب آخر، انتهی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أغلب المستحبّات تکون متزاحمة فی مقام الجعل و التشریع، لعدم قابلیة الوقت لجمیع المستحبّات الواردة فیه بالخصوص فضلا عمّا یدخل فیه بطریق العموم، و من الواضح أنّهم لم یجروا فیها قاعدة الکسر و الانکسار، فلیکن استحباب العبادة فیما نحن فیه و کراهتها بمعنی استحباب ترکها من هذا القبیل، کما هو مقتضی توجیه الشیخ قدّس سرّه، إذ لیس تنافی الفعلین أو الأفعال التی لا یسع الزمان إلّا بعضها إلّا کتنافی الفعل و الترک فی استحباب کلّ منهما، غایة الأمر أنّ التنافی فیما نحن فیه یکون من قبیل تنافی المتناقضین، و فی مثل المستحبّات المتعدّدة فی زمان واحد یکون من قبیل تنافی التضادّ، و هذا المقدار من الفرق لا یوجب التفرقة بینها فی جریان قاعدة الکسر و الانکسار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الکسر و الانکسار و التزاحم فی مقام الجعل و التشریع إن کان هو عدم القدرة و کون ذلک علی نحو الدوام فهو متحقّق فی کلّ من البابین، و کذلک الحال لو کان مناطه هو التدافع بین إرادة الفعل و إرادة ترکه، فإنّه أیضا متحقّق فی إرادة أحد النقیضین و إرادة نقیضه الآخر</w:t>
      </w:r>
      <w:r>
        <w:rPr>
          <w:rStyle w:val="FootnoteAnchor"/>
          <w:rtl w:val="true"/>
        </w:rPr>
        <w:footnoteReference w:id="102"/>
      </w:r>
      <w:r>
        <w:rPr>
          <w:rFonts w:ascii="IRNazanin" w:hAnsi="IRNazanin" w:eastAsia="IRNazanin"/>
          <w:color w:val="111111"/>
          <w:sz w:val="28"/>
          <w:sz w:val="28"/>
          <w:szCs w:val="28"/>
          <w:rtl w:val="true"/>
          <w:lang w:bidi="fa-IR"/>
        </w:rPr>
        <w:t>فی زمان واحد، لتدافع الارادتین الناشئ عن تدافع متعلّقیهما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قدّس سرّه حینما عرضت ذلک بخدمته بما حاصله حسبما حرّرته عنه قدّس سرّه بأنّ التزاحم الواقع فیما نحن فیه فی مقام الجعل و التشریع کان بین الفعل و الترک، و فی سائر المستحبّات کان بین الأفعال المتضادّة، و حیث إنّ استحباب أحد الفعلین لا یمنع من ترکه و الاشتغال بضدّه الذی هو مستحبّ آخر لم یکن بین الاستحبابین تناف، بخلاف ما لو کان أحدهما وجوبیا فإنّه بعد فرض أنّ الزمان لا یسع إلّا أحدهما و کان وجوب أحدهما مانعا من الاشتغال بالآخر کان موجبا لسدّ باب امتثاله، سواء کان الآخر واجبا أو کان مستحبّا،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ما فهمته منه قدّس سرّه حسبما ما حرّرته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شرح ذلک هو أنّ الفعل و الترک و إن کان کلّ واحد منهما مشتملا علی المصلحة إلّا أنّ مجرّد المصلحة لا یکفی فی جعل الحکم علی طبقها ما لم تکن موجبة لرجحان ذیها علی عدمه، حیث إنّ الارادة الشرعیة کالتکوینیة لا یعقل أن تتعلّق بشی‌ء ما لم یکن وجوده أرجح من عدمه فی نظر المرید، و لأجل ذلک ذکروا أنّ الممکن ما دام متساوی الطرفین لا یوجد إلّا إذا کان وجوده أرجح من عدمه،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 من الفعل و الترک إذا کان ذا مصلحة فإن کان مصلحة فعله أرجح من مصلحة عدمه تعلّق الأمر به، و لا یمکن فی هذه الصورة</w:t>
      </w:r>
    </w:p>
    <w:p>
      <w:pPr>
        <w:pStyle w:val="BookText"/>
        <w:rPr/>
      </w:pPr>
      <w:r>
        <w:rPr>
          <w:rFonts w:ascii="IRNazanin" w:hAnsi="IRNazanin" w:eastAsia="IRNazanin"/>
          <w:color w:val="111111"/>
          <w:sz w:val="28"/>
          <w:sz w:val="28"/>
          <w:szCs w:val="28"/>
          <w:rtl w:val="true"/>
          <w:lang w:bidi="fa-IR"/>
        </w:rPr>
        <w:t>طلب ترکه لأنّه لیس الترک بأرجح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الحال فی صورة العکس، فإنّه إن کان مصلحة ترکه أرجح من مصلحة فعله نهی عنه و تعلّق الطلب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تساوی المصلحتان لم یمکن أن یؤمر به و أن ینهی عنه بحیث یکون کلّ من فعله و ترکه مطلوبا علی نحو التعیین، لما عرفت من تناقض الارادتین، مضافا إلی محالیة کلّ منهما فی حدّ نفسها لعدم رجحان متعلّقها علی عدمه، فلم یبق إلّا التخییر الشرعی بین الفعل و الترک، و هو أیضا محال لکونه لغوا صرفا لعدم خلو المکلّف عن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الضدّان اللذان لا ثالث لهما فإن کان کلّ منهما ذا مصلحة و کان مصلحة أحدهما أقوی حکم باستحبابه لکون فعله أرجح من ترکه، إلّا أنّه لا یکون الحکم باستحبابه منافیا للحکم باستحباب الآخر، لأنّه أیضا یکون فعله أرجح من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متساویین لم یمکن الحکم باستحباب کلّ منهما تخییرا، لکونه لغوا لعدم خلو المکلّف عن أحدهما،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قدّس سرّه أفاد حسبما فهمته و حرّرته عنه فیما تقدّم نقله عنه قدّس سرّه أنّ الکسر و الانکسار جار فی استحباب الضدّین اللذین لا ثالث لهما، و فی کراهة أحد المتلازمین فی الوجود و استحباب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نظره قدّس سرّه فی ذلک إلی قبح تشریع استحباب ما یکون وجوده ملازما للمرجوح، و کلاهما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 فواضح، و أمّا الأوّل فلأنّ فعل أحد الضدّین اللذین لا ثالث لهما ملازم لترک الآخر الذی هو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لو تمّ لکان الأمر کذلک فی الضدّین اللذین لهما ثالث، لأنّ فعل کلّ واحد من الأضداد ملازم للمرجوح الذی هو ترک الآخر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لو علّلنا الکسر و الانکسار فی ذلک بما مرّ من عدم إمکان تعلّق الارادة بالضدّین اللذین لا ثالث لهما، أو تعلّق الارادة بالفعل الذی یکون</w:t>
      </w:r>
    </w:p>
    <w:p>
      <w:pPr>
        <w:pStyle w:val="BookText"/>
        <w:rPr/>
      </w:pPr>
      <w:r>
        <w:rPr>
          <w:rFonts w:ascii="IRNazanin" w:hAnsi="IRNazanin" w:eastAsia="IRNazanin"/>
          <w:color w:val="111111"/>
          <w:sz w:val="28"/>
          <w:sz w:val="28"/>
          <w:szCs w:val="28"/>
          <w:rtl w:val="true"/>
          <w:lang w:bidi="fa-IR"/>
        </w:rPr>
        <w:t>ملازما لما یکون ترکه مراده، إذ لا یعقل أن یصدر من الحکیم إرادة أحد المتلازمین مع إرادة عدم الآخر، فإنّ هذه الجهة جاریة بعینها فی الضدّین اللذین لهما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الضدّین اللذین لا ثالث لهما و فی ترک أحد المتلازمین مع فعل الآخر لا یتأتّی التخییر الشرعی، فیتعیّن فیهما الکسر و الانکسار کما بین الفعل 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الضدّان اللذان لهما ثالث لو کان کلّ منهما ذا صلاح فإنّ الحکم فیهما یکون بالتخییر، غایته أنّه بین المتساویین إن کان صلاح أحدهما مساویا لصلاح الآخر، و إن کان أحدهما أقوی کان أفضل الافراد المستحبّة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 أنّه فی تزاحم المستحبّات فی مقام التشریع إن کانا من قبیل الفعل و الترک، أو کانا من قبیل الضدّین اللذین لا ثالث لهما، أو کانا من قبیل فعل أحد المتلازمین مع ترک الملازم الآخر لا بدّ من الکسر و الانکسار إن کان فی البین ما هو الأقوی، و إن تساویا لم یعقل تعلّق الأمر الاستحبابی بهما و لو علی نحو التخییر الشرعی بینهما، بل کان الحکم هو الاباحة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کانا من قبیل الضدّین اللذین لهما ثالث لم یجر الکسر و الانکسار بینهما فی الحکم الاستحبابی، بل کان الجمیع مستحبّا غایته أنّه علی نحو الاستحباب التخییری، سواء کان أحدهما أرجح أو کانا متساویین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لک ما فی الکفایة أعنی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حینئذ یکونان من</w:t>
      </w:r>
    </w:p>
    <w:p>
      <w:pPr>
        <w:pStyle w:val="BookText"/>
        <w:rPr/>
      </w:pPr>
      <w:r>
        <w:rPr>
          <w:rFonts w:ascii="IRNazanin" w:hAnsi="IRNazanin" w:eastAsia="IRNazanin"/>
          <w:color w:val="111111"/>
          <w:sz w:val="28"/>
          <w:sz w:val="28"/>
          <w:szCs w:val="28"/>
          <w:rtl w:val="true"/>
          <w:lang w:bidi="fa-IR"/>
        </w:rPr>
        <w:t xml:space="preserve">قبیل المستحبّین المتزاحمین فیحکم بالتخییر بینهما لو لم یکن أهمّ فی البین، و إلّا فیتعیّن الأهمّ الخ </w:t>
      </w:r>
      <w:r>
        <w:rPr>
          <w:rStyle w:val="FootnoteAnchor"/>
          <w:rtl w:val="true"/>
        </w:rPr>
        <w:footnoteReference w:id="104"/>
      </w:r>
      <w:r>
        <w:rPr>
          <w:rFonts w:ascii="IRNazanin" w:hAnsi="IRNazanin" w:eastAsia="IRNazanin"/>
          <w:color w:val="111111"/>
          <w:sz w:val="28"/>
          <w:sz w:val="28"/>
          <w:szCs w:val="28"/>
          <w:rtl w:val="true"/>
          <w:lang w:bidi="fa-IR"/>
        </w:rPr>
        <w:t>، فإنّه قد ظهر أنّه فی تزاحم المستحبّات فی مقام الجعل و التشریع لا بدّ من الکسر و الانکسار، و أنّه لا یتصوّر فیه التخییر إلّا فی القسم الأخیر، و هو لا ینحصر بصورة التساوی بل یتأتّی فی صورة رجحان أحدهما،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ذلک فیما إذا کانت المصلحة مترتّبة علی مطلق وجود الفعل و الترک، و أمّا فیما إذا کانت مترتّبة علی حصّة خاصّة من الفعل کما هو الحال فی موارد العبادات المکروهة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أنّه بعد فرض مسلّمیة امتناع اجتماع تعلّق الارادة بالفعل مع تعلّقها بترک ذلک الفعل لا وجه للفرض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الکلام کان مع دعوی الکفایة</w:t>
      </w:r>
      <w:r>
        <w:rPr>
          <w:rStyle w:val="FootnoteAnchor"/>
          <w:rtl w:val="true"/>
        </w:rPr>
        <w:footnoteReference w:id="106"/>
      </w:r>
      <w:r>
        <w:rPr>
          <w:rFonts w:ascii="IRNazanin" w:hAnsi="IRNazanin" w:eastAsia="IRNazanin"/>
          <w:color w:val="111111"/>
          <w:sz w:val="28"/>
          <w:sz w:val="28"/>
          <w:szCs w:val="28"/>
          <w:rtl w:val="true"/>
          <w:lang w:bidi="fa-IR"/>
        </w:rPr>
        <w:t>صلاح کلّ من الفعل و الترک و لزوم استحباب کلّ منهما، بحیث یکون الترک المستحبّ هو ترک نفس ذلک الفعل المستحبّ، ففرض تعلّق الاستحباب بحصّة خاصّة من الفعل و تعلّق استحباب الترک بمطلق ذلک الفعل، بحیث یکون الفعل المستحبّ هو الفعل المقیّد بقید العبادة و الترک المستحبّ هو ترک مطلق ذلک الفعل، یکون مغایرا لما أسّسه فی الکفایة من امکان تعلّق الأمر الاستحبابی بکلّ من الفعل و ترکه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العبادی کالصوم فی یوم عاشوراء إنّما نتصوّر عبادیته بتعلّق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متعلّق بذات الفعل، و الآخر بالاتیان به بداعی الأمر الأوّل،</w:t>
      </w:r>
    </w:p>
    <w:p>
      <w:pPr>
        <w:pStyle w:val="BookText"/>
        <w:rPr/>
      </w:pPr>
      <w:r>
        <w:rPr>
          <w:rFonts w:ascii="IRNazanin" w:hAnsi="IRNazanin" w:eastAsia="IRNazanin"/>
          <w:color w:val="111111"/>
          <w:sz w:val="28"/>
          <w:sz w:val="28"/>
          <w:szCs w:val="28"/>
          <w:rtl w:val="true"/>
          <w:lang w:bidi="fa-IR"/>
        </w:rPr>
        <w:t>و حینئذ یقع نفس الفعل مأمورا به بالأمر الأوّل و قد کان الطلب متعلّقا بترکه فعاد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الأمر الاستحبابی یتعلّق بالفعل العبادی لکن هذا الأمر المتعلّق بهذه الحصّة و هذا القسم من الفعل مناقض للأمر المتعلّق بترک مطلق الفعل کما هو المفروض، ضرورة مناقضة الموجبة الجزئیة للسلب الکلّی، فإنّ مفاد طلب خصوص الامساک العبادی فی یوم عاشوراء یکون بمنزلة الایجاب الجزئی، کما أنّ مفاد طلب ترک مطلق الامساک فی ذلک الیوم یکون بمنزلة السلب الکلّی و هما متناقضان، فیکون من هذه الجهة کما لو تعلّق الطلب بنفس الفعل و تعلّق الطلب الآخر بترک نفس ذلک الفعل فی تحقّق المناقضة بین الطلبین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المکلّف غیر قادر علی الجمع بین هذین المتعلّقین ممّا یؤکّد المناقضة بینهما، و کونه قادرا علی ترکهما لا یرفع التدافع و التنافی بین الطلبین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ذلک یصحّح الاستحباب علی نحو التخییر الشرعی، فیستحبّ له أن یصوم عبادة أو یترک مطلق الامساک و لو لا عن عبادة، علی تأمّل فی امکان الاستحباب التخییری بین فعل الخاص و ترک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کان فی توجیه کراهة الصوم العبادی فی یوم عاشوراء و کراهة النافلة المبتدأة فی الأوقات الخاصّة، بمعنی أنّ الکلام کان فی توجیه طلب فعل تلک العبادة و طلب ترکها، فحمل النهی فی ذلک علی طلب ترک مطلق الامساک خلاف مفروض الإشکال، لأنّ الإشکال کان فی صحّة اجتماع طلب ترک العبادة مع طلب فعلها، لا فی صحّة اجتماع طلب فعل تلک العبادة مع طلب ترک مطلق الامساک الذی هو الأعمّ من الصوم العبادی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تلک النواهی هو المنع من تلک العبادة فی ذلک</w:t>
      </w:r>
    </w:p>
    <w:p>
      <w:pPr>
        <w:pStyle w:val="BookText"/>
        <w:rPr/>
      </w:pPr>
      <w:r>
        <w:rPr>
          <w:rFonts w:ascii="IRNazanin" w:hAnsi="IRNazanin" w:eastAsia="IRNazanin"/>
          <w:color w:val="111111"/>
          <w:sz w:val="28"/>
          <w:sz w:val="28"/>
          <w:szCs w:val="28"/>
          <w:rtl w:val="true"/>
          <w:lang w:bidi="fa-IR"/>
        </w:rPr>
        <w:t>الوقت لأنّها عبادة بنی أمیّة و عبادة المجوس، فیکون المطلوب هو ترک العبادة، لا ترک مطلق الفعل و إن لم یکن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حمل النهی فی ذلک علی الارشاد خلاف الفرض أیضا، لأنّ الکلام فی توجیه النهی المولوی لا الارشادی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ربما یورد علی ما أفاداه فی التقریرات </w:t>
      </w:r>
      <w:r>
        <w:rPr>
          <w:rStyle w:val="FootnoteAnchor"/>
          <w:rtl w:val="true"/>
        </w:rPr>
        <w:footnoteReference w:id="107"/>
      </w:r>
      <w:r>
        <w:rPr>
          <w:rFonts w:ascii="IRNazanin" w:hAnsi="IRNazanin" w:eastAsia="IRNazanin"/>
          <w:color w:val="111111"/>
          <w:sz w:val="28"/>
          <w:sz w:val="28"/>
          <w:szCs w:val="28"/>
          <w:rtl w:val="true"/>
          <w:lang w:bidi="fa-IR"/>
        </w:rPr>
        <w:t>و الکفایة</w:t>
      </w:r>
      <w:r>
        <w:rPr>
          <w:rStyle w:val="FootnoteAnchor"/>
          <w:rtl w:val="true"/>
        </w:rPr>
        <w:footnoteReference w:id="108"/>
      </w:r>
      <w:r>
        <w:rPr>
          <w:rFonts w:ascii="IRNazanin" w:hAnsi="IRNazanin" w:eastAsia="IRNazanin"/>
          <w:color w:val="111111"/>
          <w:sz w:val="28"/>
          <w:sz w:val="28"/>
          <w:szCs w:val="28"/>
          <w:rtl w:val="true"/>
          <w:lang w:bidi="fa-IR"/>
        </w:rPr>
        <w:t>من کون الفعل بنفسه مطلوبا مستقلا کما أنّ الترک أیضا مطلوب مستقلّ بأنّ الأمر الاستحبابی بالفعل یقتضی المنع عن ضدّه العام أعنی الترک و لو استحبابا، فیکون الترک منهیا عنه من جهة الأمر بضدّه الذی هو الفعل و مأمورا به من جهة أنّه بنفسه مطلوب، فیجتمع الأمر و النهی فی ذلک الترک، و هکذا الحال فی الفعل نفسه فإنّه مأمور به بنفسه و منهی عنه من جهة کونه ضدّا عاما للترک المفروض کونه مطلوبا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بما حقّق فی محلّه من عدم اقتضاء الأمر بالشی‌ء للنهی عن ضدّه العام و لو بمعنی النقیض،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شیخنا قدّس سرّه علی ما نقله بعض المحرّرین عنه فی الدورات السابقة کان یشکل علی ما فی التقریرات و الکفایة باشکالات أخر، مضافا إلی الإشکال السابق الذی محصّله عدم معقولیة تعلّق الارادة بکلّ من الفعل و الترک و عدم معقولیة کون الفعل أرجح من الترک و الترک أرجح من الفعل، إذ لا یعقل أن یکون مجرّد المصلحة فی الفعل موجبة لتعلّق الطلب به ما لم تکن تلک المصلحة موجبة لرجحانه علی الترک، و هکذا الحال فی الترک نفسه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تلک الإشکالات أنّ ما أفاداه هو خلاف ظاهر الأدلّة، فإنّ ظاهرها أنّ</w:t>
      </w:r>
    </w:p>
    <w:p>
      <w:pPr>
        <w:pStyle w:val="BookText"/>
        <w:rPr/>
      </w:pPr>
      <w:r>
        <w:rPr>
          <w:rFonts w:ascii="IRNazanin" w:hAnsi="IRNazanin" w:eastAsia="IRNazanin"/>
          <w:color w:val="111111"/>
          <w:sz w:val="28"/>
          <w:sz w:val="28"/>
          <w:szCs w:val="28"/>
          <w:rtl w:val="true"/>
          <w:lang w:bidi="fa-IR"/>
        </w:rPr>
        <w:t>نفس الفعل مکروه لا أنّ ترکه یکون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الترک علّة لترتّب أمر ذی مصلحة علیه ممنوع، نعم إنّ العدم یمکن أن یکون شرطا لتأثیر المقتضی، بأن یکون وجوده مانعا و أمّا کونه مؤثّرا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قدّس سرّه أعرض فی هذه الدورة الأخیرة عن هذین الإشکالین، و لعلّ وجه الاعراض هو وضوح الجواب عنهما، أمّا عن الأوّل فلوضوح أنّ هذا التوجیه و إن کان خلاف ظاهر الأدلّة إلّا أنّه بعد فرض کون الظاهر غیر معقول یتعیّن الخروج عنه بذلک أو نحوه، و أمّا الثانی فلإمکان أن تکون المصلحة مترتّبة علی مباینة بنی أمیّة و المجوس و الظهور بخلاف مظاهرهم، و هذا العنوان یترتّب علی ترک العبادة فی ذلک الوقت فیکون ذلک الترک مطلوبا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حکیناه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من قوله قدّس سرّه بعد حکایته عن الشیخ قدّس سرّه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بعد إصلاحه الخ إشارة إلی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المتعلّق للنهی التنزیهی فلیس هو ذات العبادة لعدم مفسدة فیها و لا مصلحة فی ترکها، بل المتعلّق له هو التعبّد بهذه العبادة لما فیه من المشابهة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11"/>
      </w:r>
      <w:r>
        <w:rPr>
          <w:rFonts w:ascii="IRNazanin" w:hAnsi="IRNazanin" w:eastAsia="IRNazanin"/>
          <w:color w:val="111111"/>
          <w:sz w:val="28"/>
          <w:sz w:val="28"/>
          <w:szCs w:val="28"/>
          <w:rtl w:val="true"/>
          <w:lang w:bidi="fa-IR"/>
        </w:rPr>
        <w:t>أنّه لا بدّ من الکسر و الانکسار فی المتلازمین فی الوجود فیما لو کان أحدهما راجحا و الآخر مرجوحا، و من الواضح أنّ الأمر التعبّدی بصوم یوم عاشوراء مثلا من هذا القبیل، لکون الفعل ملازما لجهة التعبّد، إذ لا ینفکّ الصوم</w:t>
      </w:r>
    </w:p>
    <w:p>
      <w:pPr>
        <w:pStyle w:val="BookText"/>
        <w:rPr/>
      </w:pPr>
      <w:r>
        <w:rPr>
          <w:rFonts w:ascii="IRNazanin" w:hAnsi="IRNazanin" w:eastAsia="IRNazanin"/>
          <w:color w:val="111111"/>
          <w:sz w:val="28"/>
          <w:sz w:val="28"/>
          <w:szCs w:val="28"/>
          <w:rtl w:val="true"/>
          <w:lang w:bidi="fa-IR"/>
        </w:rPr>
        <w:t>المأمور به فی یوم عاشوراء عن جهة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لتشریع الأمر بما یکون وجوده فی الخارج علی جهة المأموریة ملازما لما هو 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الإشکال إشکال آخر و هو أنّ نفس التعبّد و الامتثال یکون مأمورا به و لو بمتمّم الجعل فلا یمکن أن یکون مکروها، لما أفاده قدّس سرّه من التنافی بین الحکمین لوحدة متعلّقهما و إن لم یکن شی‌ء منهما إلزامیا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الأخیر ذکره فی الحاشیة</w:t>
      </w:r>
      <w:r>
        <w:rPr>
          <w:rStyle w:val="FootnoteAnchor"/>
          <w:rtl w:val="true"/>
        </w:rPr>
        <w:footnoteReference w:id="112"/>
      </w:r>
      <w:r>
        <w:rPr>
          <w:rFonts w:ascii="IRNazanin" w:hAnsi="IRNazanin" w:eastAsia="IRNazanin"/>
          <w:color w:val="111111"/>
          <w:sz w:val="28"/>
          <w:sz w:val="28"/>
          <w:szCs w:val="28"/>
          <w:rtl w:val="true"/>
          <w:lang w:bidi="fa-IR"/>
        </w:rPr>
        <w:t>و الظاهر أنّه متوجّه بناء علی ظاهره من تعلّق الأمر بذات الصوم و تعلّق النهی بالاتیان به بداعی الأمر الذی هو عبارة أخری عن التعبّد الذی یکون معتبرا فی العبادة و لو بنحو متمّم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لعلّ المراد هو تعلّق الأمر بذات الصوم علی ما هو علیه من اعتبار کونه بداعی الأمر، و لکن هذه العبادة فی هذا الیوم تشتمل علی التشبّه و هو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یرد علیه أنّ التشبّه إن کان فعلا تولیدیا لتلک العبادة کان متّحدا معها خارجا، و إن کان ملازما لها خارجا مع التزام المباینة بینهما کان حاله حال استحباب استقبال القبلة و کراهة ملازمه الذی هو استدبار الجدی، فیخرج عمّا نحن فیه کما شرحناه فیما تقدّم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لا محیص من الالتزام بالحاق القسم الثالث بالقسم الثانی، و ذلک بارجاع النهی إلی تشخیص المأمور به بالایجاد فی الزمان الخاص، فإن کان تحریمیا کان موجبا للتخصیص، و إن کان تنزیهیا لم یکن منافیا للامتثال و صحّة المأمور به فی ذلک الزمان، کما التزمنا بصحّته و عدم منافاته للأمر، إذ کان النهی التنزیهی متوجّها إلی تشخّصه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الموردین إلّا بکون العموم</w:t>
      </w:r>
    </w:p>
    <w:p>
      <w:pPr>
        <w:pStyle w:val="BookText"/>
        <w:rPr/>
      </w:pPr>
      <w:r>
        <w:rPr>
          <w:rFonts w:ascii="IRNazanin" w:hAnsi="IRNazanin" w:eastAsia="IRNazanin"/>
          <w:color w:val="111111"/>
          <w:sz w:val="28"/>
          <w:sz w:val="28"/>
          <w:szCs w:val="28"/>
          <w:rtl w:val="true"/>
          <w:lang w:bidi="fa-IR"/>
        </w:rPr>
        <w:t>فی القسم الثانی بدلیا و فی هذا القسم شمولیا، نعم الظاهر أنّه لو کان الأمر وجوبیا لم یتأت فیه التوجیه المزبور، بخلاف ما لو کان بدلیا فإنّه یمکن اجتماعه مع الکراهة الشخصیة، و لعلّ السرّ فی ذلک هو اشتمال العموم البدلی علی الترخیص فی الجملة بخلاف عموم الأمر الشمولی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ذلک لا یخلو عن الإشکال، إذ لا یجتمع الأمر الشمولی و لو ندبیا مع النهی و لو کان تنزیها، إذ مرجعه إلی تعلّق الارادة بذلک الشخص و بترکه، و هو عین الإشکال الذی أردنا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تنزیل الکراهة فی جمیع هذه الأقسام علی الترکّب الانضمامی و القول بالجواز؟ أمّا القسم الأوّل و هو الکون فی مواضع التهمة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و هو مثل الصلاة فی الحمّام فبدعوی عدم توجّه النهی إلی نفس الصلاة، بل إنّه إنّما یتوجّه إلی أینها الخاص، غایته أنّ هذا الأین یکون أخصّ من متعلّق الأمر، و من الممکن تحقّق العموم المطلق فی الترکّب الانضمامی، إذ لیس المراد منه هو صدق أحد العنوانین علی الآخر و إلّا لکان الترکّب اتّحادیا حتّی فی العامین من وجه، بل المراد منه هو الاجتماع فی الوجود مع الآخر و الانضمام إلیه، فإن کان العنوانان ممّا ینضمّ أحدهما إلی الآخر فی الوجود و ینفرد کلّ منهما عن مقارنة الآخر و الانضمام إلیه کان بینهما العموم من وجه، و إن کان الانفراد من أحدهما فقط کان بینهما العموم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یکون أحد العنوانین مجتمعا مع الآخر و منفکّا عنه و لکن الآخر لا یوجد إلّا مقارنا له و مجتمعا معه فی الوجود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النهی المتعلّق بذلک الأخصّ تحریمیا لکان موجبا لتخصیص الأمر، فإنّه بناء علی الجواز تکون المسألة من التزاحم، و حیث إنّه دائمی یکون</w:t>
      </w:r>
    </w:p>
    <w:p>
      <w:pPr>
        <w:pStyle w:val="BookText"/>
        <w:rPr/>
      </w:pPr>
      <w:r>
        <w:rPr>
          <w:rFonts w:ascii="IRNazanin" w:hAnsi="IRNazanin" w:eastAsia="IRNazanin"/>
          <w:color w:val="111111"/>
          <w:sz w:val="28"/>
          <w:sz w:val="28"/>
          <w:szCs w:val="28"/>
          <w:rtl w:val="true"/>
          <w:lang w:bidi="fa-IR"/>
        </w:rPr>
        <w:t>من التزاحم الآمری فیجمع بینهما فی مقام الاثبات بتقدیم الخاص علی العام، سواء کان الأمر وجوبیا أو کان استحبابیا، و سواء کان عمومه بدلیا أو کان شمولیا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و هو النافلة المبتدأة فی الأوقات المکروهة فبعین ما تقدّم، غیر أنّ السابق کان متعلّق النهی هو أین الفعل و فی هذا القسم یکون المنهی عنه هو زمانه المعبّر عنه بمقولة متی، و غایة الفرق بینهما أنّ العموم هناک بدلی و هنا شمولی، فلو کان النهی تحریمیا لزم تخصیص الأمر بما عدا مورد النهی لما شرحناه فیما تقدّم، و إن کان النهی تنزیهیا لم یکن مزاحما للأمر لعدم کونه مانعا لزومیا من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یتأتّی ذلک فیما لو کان الأمر وجوبیا، لکونه مانعا لزومیا عن امتثال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أمکننی تقریبه فیما تخیّلته من ابتناء مسألة الکراهة فی العبادة علی الترکّب الانضمامی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فإنّ النهی لم یکن متعلّقا بنفس مقولة الأین أو متی بالنسبة إلی الشخص، بمعنی أنّ وجود نفس شخص المکلّف فی ذلک المکان أو الزمان کان مکروها، بل إنّما المکروه هو وجود الفعل أعنی تلک العبادة فی ذلک المکان، بمعنی أنّ المکروه هو إیجاد المکلف تلک العبادة فی المکان أو الزمان المذکورین، فیکون المنهی عنه هو العبادة الموجودة فی ذلک الظرف لا نفس الکون فیه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 إن أمکن الجواب عنه بأنّ المنهی عنه لیس هو نفس العبادة بل إنّ المنهی عنه هو نفس الأین المتعلّق بها، إلّا أنّ فیه إشکالا آخر و هو مختصّ بالقسم الثالث، أعنی ما یکون عموم الأمر فیه شمولیا مثل النوافل المبتدأة و مثل قراءة الجنب، فإنّ الخصوصیة الزمانیة تکون فیه عین الفرد أو من لوازمه الدائمة، و لا</w:t>
      </w:r>
    </w:p>
    <w:p>
      <w:pPr>
        <w:pStyle w:val="BookText"/>
        <w:rPr/>
      </w:pPr>
      <w:r>
        <w:rPr>
          <w:rFonts w:ascii="IRNazanin" w:hAnsi="IRNazanin" w:eastAsia="IRNazanin"/>
          <w:color w:val="111111"/>
          <w:sz w:val="28"/>
          <w:sz w:val="28"/>
          <w:szCs w:val="28"/>
          <w:rtl w:val="true"/>
          <w:lang w:bidi="fa-IR"/>
        </w:rPr>
        <w:t xml:space="preserve">یمکن تعلّق الطلب بفعل الشی‌ء مع تعلّق الطلب بلازمه </w:t>
      </w:r>
      <w:r>
        <w:rPr>
          <w:rStyle w:val="FootnoteAnchor"/>
          <w:rtl w:val="true"/>
        </w:rPr>
        <w:footnoteReference w:id="114"/>
      </w:r>
      <w:r>
        <w:rPr>
          <w:rFonts w:ascii="IRNazanin" w:hAnsi="IRNazanin" w:eastAsia="IRNazanin"/>
          <w:color w:val="111111"/>
          <w:sz w:val="28"/>
          <w:sz w:val="28"/>
          <w:szCs w:val="28"/>
          <w:rtl w:val="true"/>
          <w:lang w:bidi="fa-IR"/>
        </w:rPr>
        <w:t>، فلا بدّ فیه من الالتزام بالکسر و الانکسار فی مقام الجعل 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عمدة الإشکال فی العبادات المکروهة إنّما هو هذا القسم الأخیر، أمّا غیره فالأمر فیه سهل حیث إنّ الکثیر من العبادات المکروهة یکون من باب الاجتماع کالصلاة فی مواضع التهمة، فإنّ الکون فی مواضع التهمة مکروه و إن لم یکن فی حال الصلاة، و تصحّ الصلاة علی القول بالجواز من جهة أنّ ما اجتمع معها من الکون المذکور الذی قد ترکّب معها ترکّبا انضمامیا لم یکن ترکه الزامیا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یکون أخصّ من الصلاة مثل الصلاة فی الحمّام فإن صحّ لنا إلحاقه بما یکون أعمّ من وجه فی دخوله فی محلّ النزاع، و قلنا بالجواز ارتفع الإشکال فیه أیضا، و إلّا کان المتعیّن فیه حمل النهی فیه علی الارشاد إلی ما هو خال من هذه المنقصة ممّا یکون أکثر ثوابا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الصلاة فی معابد الیهود و النصاری و فی مواضع النیران فیمکن إلحاقه بالأوّل إن قلنا بکراهة مطلق الکون فی هذه الأمکنة، و إن کان المنهی عنه هو خصوص الصلاة فیها کانت من قبیل القسم الثانی الذی یکون متعلّق الأمر فیه أعمّ مطلقا من متعلّق النهی مع کون الترکّب انضمامیا، و إن لم یکن الترکّب فیه انضمامیا بل کان اتّحادیا تعیّن حمل النهی فیه علی الارشاد إمّا إلی مسألة طبّیة، کما فی مثل الوضوء بماء أسخن بالشمس کما علّله علیه السّلام بأنّه یورث البرص </w:t>
      </w:r>
      <w:r>
        <w:rPr>
          <w:rStyle w:val="FootnoteAnchor"/>
          <w:rtl w:val="true"/>
        </w:rPr>
        <w:footnoteReference w:id="115"/>
      </w:r>
      <w:r>
        <w:rPr>
          <w:rFonts w:ascii="Amiri" w:hAnsi="Amiri" w:eastAsia="Amiri" w:cs="Amiri"/>
          <w:color w:val="111111"/>
          <w:sz w:val="28"/>
          <w:sz w:val="28"/>
          <w:szCs w:val="28"/>
          <w:rtl w:val="true"/>
          <w:lang w:bidi="ar-SA"/>
        </w:rPr>
        <w:t>، و إمّا</w:t>
      </w:r>
    </w:p>
    <w:p>
      <w:pPr>
        <w:pStyle w:val="BookText"/>
        <w:rPr/>
      </w:pPr>
      <w:r>
        <w:rPr>
          <w:rFonts w:ascii="IRNazanin" w:hAnsi="IRNazanin" w:eastAsia="IRNazanin"/>
          <w:color w:val="111111"/>
          <w:sz w:val="28"/>
          <w:sz w:val="28"/>
          <w:szCs w:val="28"/>
          <w:rtl w:val="true"/>
          <w:lang w:bidi="fa-IR"/>
        </w:rPr>
        <w:t>أن یکون إرشادا إلی دفع احتمال الخوف مثل الصلاة فی مواطن الخوف و مواقع السیل مضافا إلی ما فیها من تشویش البال عند الالتفات إلی ذلک الاحتمال، و إمّا إلی ما یکون أفضل منه و أکثر ثوابا مثل تغسیل المیت بماء أسخن بالنار، و إمّا أن یکون إرشادا إلی مستحبّ آخر اتّفق مزاحمته له و کان ذلک أفضل و أکثر ثوابا، مثل إرضاء الضیف لصاحب المنزل فی ترک صومه بدون رضاه، فالصوم و إن کان راجحا فی حدّ نفسه و کان عبادة مأمورا بها استحبابا و یترتّب الثواب علیها، لکن لما اتّفق مزاحمتها بما هو أرجح منها و هو إرضاء صاحب المنزل تعلّق النهی الارشادی بها ارشادا إلی ما هو الأکثر ثوابا و أولی بالرعایة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جار حتّی فی الواجبات کما لو زوحمت الصلاة الواجبة بانقاذ الغریق، بل لو زوحم إنقاذ غریق بما هو أهمّ منه مثل غریق آخر أو إطفاء حریق یکون مؤدّیا إلی تلف کثیر من النفوس</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اجتماع تشریع هذین الأمرین هو عدم التدافع الدائمی بین متعلّقیهما، فیکون التزاحم بینهما مأموریا لا آمریا، و هذا بخلاف النافلة المبتدأة فی الأوقات المکروهة فإنّه و إن زوحم بما هو أهمّ إلّا أنّ ذلک التزاحم دائمی فیکون آمریا، و لأجل ذلک وقع الإشکال فیه دون ما نحن فیه ممّا یتّفق له المزاحمة بارضاء صاحب المنزل أو الزوج أو الوالد ممّا قد عدّ الصوم فی مورده مکروها، فإنّه یحمل النهی فیه علی الارشاد إلی ما هو الأقوی ملاکا عند اتّفاق المزاحمة، کما یدلّ علیه قوله علیه السّلام فی روایة علی بن 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افطر فإنّه أفضل</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قوله صلّی اللّه علیه و آله فی خبر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لافطارک فی منزل أخیک أفضل من الصیام سبعین</w:t>
      </w:r>
    </w:p>
    <w:p>
      <w:pPr>
        <w:pStyle w:val="BookText"/>
        <w:rPr/>
      </w:pPr>
      <w:r>
        <w:rPr>
          <w:rFonts w:ascii="IRNazanin" w:hAnsi="IRNazanin" w:eastAsia="IRNazanin"/>
          <w:color w:val="111111"/>
          <w:sz w:val="28"/>
          <w:sz w:val="28"/>
          <w:szCs w:val="28"/>
          <w:rtl w:val="true"/>
          <w:lang w:bidi="fa-IR"/>
        </w:rPr>
        <w:t>صیفا أو تسعین</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ما یکون إرشادا إلی أفضل الأفراد، کالنهی عن الصلاة فی موضع العابرین و المارّة و إلی باب مفتوح و إلی إنسان مواجه، فإنه إرشاد إلی الصلاة الخالیة ممّا یوجب انشغال بال المصلّی، و لعلّ منه ما تقدّمت الاشارة إلیه من الصلاة فی مواطن الخوف، و من ذلک الصلاة فی المقابر فإنّه کاشف عن کونها فی غیرها أکثر ثوابا، فیکون النهی عنها ارشادا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سهل فیما یکون بین المتعلّقین عموم من وجه، أو کان بینهما عموم مطلق و کان الترکّب انضمامیا بعد البناء علی جواز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الترکّب اتّحادیا فالأمر فیه سهل أیضا، بحمل النهی فیه علی الارشاد علی نحو ما عرفت التفصیل فی ذلک الارشاد من کونه ارشادا إلی جهة طبّیة أو عقلیة، أو إلی مزاحم اتّفاقی یکون بالرعایة أولی، أو إلی ما یکون من أفراد الطبیعة أکثر ثوابا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الکلام فیما لا بدل له و لم یکن کراهته لأجل اتّفاق طرو ما هو الأرجح لکی یلحق بالتزاحم المأموری، و الظاهر انحصاره فی المستحبّات دون الواجبات، و ذلک مثل قراءة الجنب ما زاد علی سبع آیات مثلا، و مثل النافلة المبتدأة فی الأوقات الخاصّة و الصوم المستحبّ فی السفر، فإنّه لا بدّ فیه من الالتزام بکون الترک بذاته ذا مصلحة أرجح من مصلحة الفعل، أو أنّه ینطبق علیه عنوان کذلک أو أنّه یلازمه العنوان المذکور، فیکون المطلوب فی الحقیقة هو 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التزاحم فی ذلک لا یکون إلّا آمریا لکون التدافع دائمیا و لم یتمّ الالتزام بما فی الکفایة</w:t>
      </w:r>
      <w:r>
        <w:rPr>
          <w:rStyle w:val="FootnoteAnchor"/>
          <w:rtl w:val="true"/>
        </w:rPr>
        <w:footnoteReference w:id="118"/>
      </w:r>
      <w:r>
        <w:rPr>
          <w:rFonts w:ascii="IRNazanin" w:hAnsi="IRNazanin" w:eastAsia="IRNazanin"/>
          <w:color w:val="111111"/>
          <w:sz w:val="28"/>
          <w:sz w:val="28"/>
          <w:szCs w:val="28"/>
          <w:rtl w:val="true"/>
          <w:lang w:bidi="fa-IR"/>
        </w:rPr>
        <w:t xml:space="preserve">من مطلوبیة کلّ من الفعل و الترک، کما أنّ ما أفاده </w:t>
      </w:r>
      <w:r>
        <w:rPr>
          <w:rStyle w:val="FootnoteAnchor"/>
          <w:rtl w:val="true"/>
        </w:rPr>
        <w:footnoteReference w:id="119"/>
      </w:r>
      <w:r>
        <w:rPr>
          <w:rFonts w:ascii="Amiri" w:hAnsi="Amiri" w:eastAsia="Amiri" w:cs="Amiri"/>
          <w:color w:val="111111"/>
          <w:sz w:val="28"/>
          <w:sz w:val="28"/>
          <w:szCs w:val="28"/>
          <w:rtl w:val="true"/>
          <w:lang w:bidi="ar-SA"/>
        </w:rPr>
        <w:t xml:space="preserve">شیخنا قدّس سرّه </w:t>
      </w:r>
      <w:r>
        <w:rPr>
          <w:rStyle w:val="FootnoteAnchor"/>
          <w:rtl w:val="true"/>
        </w:rPr>
        <w:footnoteReference w:id="120"/>
      </w:r>
      <w:r>
        <w:rPr>
          <w:rFonts w:ascii="IRNazanin" w:hAnsi="IRNazanin" w:eastAsia="IRNazanin"/>
          <w:color w:val="111111"/>
          <w:sz w:val="28"/>
          <w:sz w:val="28"/>
          <w:szCs w:val="28"/>
          <w:rtl w:val="true"/>
          <w:lang w:bidi="fa-IR"/>
        </w:rPr>
        <w:t>من کون متعلّق الأمر هو ذات الفعل و متعلّق النهی هو عنوان التعبّد، لم یکن لنا بدّ من الالتزام بمطلوبیة الترک أو ذلک العنوان، و عدم معقولیة تشریع الأمر المتعلّق بالفعل، و حینئذ لا بدّ لنا من الالتزام بما عرفت من مشروعیة الأمر بالترک فقط و لازمه عدم صحّة الفعل عبادة، فلو دلّ دلیل قطعی علی صحّة الفعل عبادة فی مثل ذلک لم یکن أیضا بدّ من الالتزام بصحّته من جهة الاکتفاء بالملاک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الترتّب فلا یتأتّی فی أمثال ذلک من موارد التزاحم الآمری، فضلا عمّا أفاده شیخنا قدّس سرّه </w:t>
      </w:r>
      <w:r>
        <w:rPr>
          <w:rStyle w:val="FootnoteAnchor"/>
          <w:rtl w:val="true"/>
        </w:rPr>
        <w:footnoteReference w:id="121"/>
      </w:r>
      <w:r>
        <w:rPr>
          <w:rFonts w:ascii="IRNazanin" w:hAnsi="IRNazanin" w:eastAsia="IRNazanin"/>
          <w:color w:val="111111"/>
          <w:sz w:val="28"/>
          <w:sz w:val="28"/>
          <w:szCs w:val="28"/>
          <w:rtl w:val="true"/>
          <w:lang w:bidi="fa-IR"/>
        </w:rPr>
        <w:t>من عدم معقولیة الترتّب بین النقیضین أو الضدّین اللذین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القول بإنکار صحّته عبادة فی هذه الموارد، و أقصی ما فی البین هو أنّه لو قرأ الجنب ما زاد علی السبع لم یکن حراما، أمّا أنّه فعل ما هو عبادة فلا، و کذلک الحال فی النوافل المبتدأة و الصوم المستحبّ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بحرمة ذلک تشریعا إذا قصد الاتیان بها بداعی الأمر فتأمّل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اجراء هذه الطریقة فی الصوم المستحبّ من الضیف بدون إذن صاحب المنزل، بل یمکن إجراؤها فی جمیع ما تقدّم ممّا له البدل سواء کان من قبیل القسم الأوّل أو کان من قبیل القسم الثانی، غایته أن یلتزم فیما یکون منه واجبا کصلاة الظهر فی الحمّام مثلا ممّا دلّ الدلیل القطعی علی صحّته و کفایته عن</w:t>
      </w:r>
    </w:p>
    <w:p>
      <w:pPr>
        <w:pStyle w:val="BookText"/>
        <w:rPr/>
      </w:pPr>
      <w:r>
        <w:rPr>
          <w:rFonts w:ascii="IRNazanin" w:hAnsi="IRNazanin" w:eastAsia="IRNazanin"/>
          <w:color w:val="111111"/>
          <w:sz w:val="28"/>
          <w:sz w:val="28"/>
          <w:szCs w:val="28"/>
          <w:rtl w:val="true"/>
          <w:lang w:bidi="fa-IR"/>
        </w:rPr>
        <w:t>الاعادة بأنّ صحّته من ناحیة الملاک لا من ناحیة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المستحبّ الراتب و نحوه ممّا تدخله الاعادة و القضاء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التمثیل للقسم الثالث بصوم یوم عاشوراء فلم یثبت، لأنّ الظاهر من الأخبار</w:t>
      </w:r>
      <w:r>
        <w:rPr>
          <w:rStyle w:val="FootnoteAnchor"/>
          <w:rtl w:val="true"/>
        </w:rPr>
        <w:footnoteReference w:id="122"/>
      </w:r>
      <w:r>
        <w:rPr>
          <w:rFonts w:ascii="IRNazanin" w:hAnsi="IRNazanin" w:eastAsia="IRNazanin"/>
          <w:color w:val="111111"/>
          <w:sz w:val="28"/>
          <w:sz w:val="28"/>
          <w:szCs w:val="28"/>
          <w:rtl w:val="true"/>
          <w:lang w:bidi="fa-IR"/>
        </w:rPr>
        <w:t xml:space="preserve">هو حرمة صومه بعنوان التبرّک و الشکر، و أنّه یصحّ صومه بعنوان الحزن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الأخبار</w:t>
      </w:r>
      <w:r>
        <w:rPr>
          <w:rStyle w:val="FootnoteAnchor"/>
          <w:rtl w:val="true"/>
        </w:rPr>
        <w:footnoteReference w:id="124"/>
      </w:r>
      <w:r>
        <w:rPr>
          <w:rFonts w:ascii="IRNazanin" w:hAnsi="IRNazanin" w:eastAsia="IRNazanin"/>
          <w:color w:val="111111"/>
          <w:sz w:val="28"/>
          <w:sz w:val="28"/>
          <w:szCs w:val="28"/>
          <w:rtl w:val="true"/>
          <w:lang w:bidi="fa-IR"/>
        </w:rPr>
        <w:t>ما یدلّ علی عدم مشروعیة الصوم فیه بتاتا، و فی بعضها</w:t>
      </w:r>
      <w:r>
        <w:rPr>
          <w:rStyle w:val="FootnoteAnchor"/>
          <w:rtl w:val="true"/>
        </w:rPr>
        <w:footnoteReference w:id="125"/>
      </w:r>
      <w:r>
        <w:rPr>
          <w:rFonts w:ascii="IRNazanin" w:hAnsi="IRNazanin" w:eastAsia="IRNazanin"/>
          <w:color w:val="111111"/>
          <w:sz w:val="28"/>
          <w:sz w:val="28"/>
          <w:szCs w:val="28"/>
          <w:rtl w:val="true"/>
          <w:lang w:bidi="fa-IR"/>
        </w:rPr>
        <w:t>ما یدلّ علی استحباب الامساک فیه إلی ما بعد الزوال، فکونه من قبیل النوافل المبتدأة غیر معلوم، فینبغی التأمّل و التتبّع لأقوال الفقهاء و لأخبار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لو ثبت أنّه من هذا القبیل جری فیه ما تقدّم فی مثل النوافل المبتدأة و قراءة الجنب ما زاد علی سبع آیات و نحو ذلک، هذا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علی من راجع کتب الأخبار و الفقه فی هاتین المسألتین أعنی کراهة الصوم فی یوم عاشوراء و کراهة النافلة المبتدأة فی الأوقات الخاصّة ما فی ذلک من التعارض و الإجمال فی بعضها، و الخلاف بین الفقهاء فی الکراهة أو الحرمة و فی الصحّة و الفساد إلی غیر ذلک، و حینئذ فیمکن القول بأنّ المسألة من باب الکسر و الانکسار و تقدیم جانب النهی و سقوط الأمر و عدم صحّة العبادة، إذ لا أثر یترتّب علی صحّتها و فسادها، إذ لا بدل لها کی یکون فسادها فاتحا لباب الاعادة و صحّتها موجبة لعدم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یظهر فی النذر کما لو نذر صوم یوم عاشوراء، فلا یصحّ النذر علی الثانی بخلاف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حتّی علی الأوّل بناء علی اعتبار الرجحان فی متعلّق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الأوّل أعنی تقدیم جانب لا یمکنه بها بداعی الأمر إلّا تشریعا، بخلافه علی الثانی أعنی تقدیم النهی، لکن ذلک أعنی صحّة الاتیان بها بداعی الأمر قابل للمنع، إذ لا إجماع علی الجمع بین الکراهة و بین صحّة الاتیان بها بداعی الأمر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تکون الخلاصة فی کراهة العبادات هو تنزیل القسم الأوّل و الثانی منها علی اجتماع الأمر و النهی و القول بالجواز، و امتناع ذلک علی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فهو و إن أمکن تخریجه علی مسألة الاجتماع، بأن نقول إنّ نفس الحصّة من الصوم الموجود فی یوم عاشوراء مثلا هو مستحبّ، و کونه فی الیوم المذکور مکروه، و لا مانع من ذلک لأنّ النهی التنزیهی لا یسدّ باب الامتثال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فی المقام مانعا آخر و هو عدم القدرة علی امتثال التکلیفین و لو لم یکونا إلزامیین، و قد حقّق أنّ عدم القدرة لو کان دائمیا تدخل المسألة فی التزاحم الآمری و فی باب التعارض و تخرج عمّا نحن فیه، و هذا هو السبب فی عدم إمکان استحباب کلّ من النقیضین و کلّ من الضدّین اللذین لا ثالث لهما، و فی استحباب أحد المتلازمین و کراهة الآخر، و تخریج استحباب کلّ من الضدّین اللذین لهما ثالث علی التخییر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وجّهنا به </w:t>
      </w:r>
      <w:r>
        <w:rPr>
          <w:rStyle w:val="FootnoteAnchor"/>
          <w:rtl w:val="true"/>
        </w:rPr>
        <w:footnoteReference w:id="127"/>
      </w:r>
      <w:r>
        <w:rPr>
          <w:rFonts w:ascii="IRNazanin" w:hAnsi="IRNazanin" w:eastAsia="IRNazanin"/>
          <w:color w:val="111111"/>
          <w:sz w:val="28"/>
          <w:sz w:val="28"/>
          <w:szCs w:val="28"/>
          <w:rtl w:val="true"/>
          <w:lang w:bidi="fa-IR"/>
        </w:rPr>
        <w:t>ما أفاده شیخنا قدّس سرّه من کون المانع هو أنّ رجحان الفعل یوجب مرجوحیة الترک الخ لا</w:t>
      </w:r>
    </w:p>
    <w:p>
      <w:pPr>
        <w:pStyle w:val="BookText"/>
        <w:rPr/>
      </w:pPr>
      <w:r>
        <w:rPr>
          <w:rFonts w:ascii="IRNazanin" w:hAnsi="IRNazanin" w:eastAsia="IRNazanin"/>
          <w:color w:val="111111"/>
          <w:sz w:val="28"/>
          <w:sz w:val="28"/>
          <w:szCs w:val="28"/>
          <w:rtl w:val="true"/>
          <w:lang w:bidi="fa-IR"/>
        </w:rPr>
        <w:t>یخلو عن تأمّل، لأنّ رجحان الفعل لا یوجب إلّا سلب الرجحان عن الترک و لا یوجب مرجوحیته، و إلّا لکان ترک المستحبّ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نقول فیما نحن فیه إنّ المسألة تدخل فی التزاحم الآمری، و المرجع فی مقام الاثبات هو التعارض، فلو کان المقدّم هو النهی لم یمکن القول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أفاده بعض مقرّری بحث المرحوم السیّد البروجردی </w:t>
      </w:r>
      <w:r>
        <w:rPr>
          <w:rStyle w:val="FootnoteAnchor"/>
          <w:rtl w:val="true"/>
        </w:rPr>
        <w:footnoteReference w:id="128"/>
      </w:r>
      <w:r>
        <w:rPr>
          <w:rFonts w:ascii="IRNazanin" w:hAnsi="IRNazanin" w:eastAsia="IRNazanin"/>
          <w:color w:val="111111"/>
          <w:sz w:val="28"/>
          <w:sz w:val="28"/>
          <w:szCs w:val="28"/>
          <w:rtl w:val="true"/>
          <w:lang w:bidi="fa-IR"/>
        </w:rPr>
        <w:t>من إمکان تصحیحه بالملاک، لا یخفی ما فیه، فإنّ ذلک أعنی التصحیح بالملاک إنّما یتأتّی فی التزاحم المأموری دون التزاحم الآمری،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کلام شیخنا قدّس سرّه مبنی علی أنّ الأمر الاستحبابی إنّما هو المتوجّه إلی المنوب عنه، و أنّ مرکب الأمر الاجاری إنّما هو النیابة عنه فی امتثال ذلک الأمر، و مرکب الأمر الأوّل هو الفعل نفسه، و أمّا کیفیة امتثال الأجیر الأمر المتوجّه إلی المنوب عنه و أنّه کیف یمتثل الشخص أمرا متوجّها إلی غیره فذلک إشکال فی المبنی، و قد تعرّض شیخنا قدّس سرّه </w:t>
      </w:r>
      <w:r>
        <w:rPr>
          <w:rStyle w:val="FootnoteAnchor"/>
          <w:rtl w:val="true"/>
        </w:rPr>
        <w:footnoteReference w:id="130"/>
      </w:r>
      <w:r>
        <w:rPr>
          <w:rFonts w:ascii="IRNazanin" w:hAnsi="IRNazanin" w:eastAsia="IRNazanin"/>
          <w:color w:val="111111"/>
          <w:sz w:val="28"/>
          <w:sz w:val="28"/>
          <w:szCs w:val="28"/>
          <w:rtl w:val="true"/>
          <w:lang w:bidi="fa-IR"/>
        </w:rPr>
        <w:t>لدفعه و شرحناه فیما حرّرناه عنه قدّس سرّه فی مبحث الاجارة و النیابة فی العبادات من المکاسب، و أنّه بعد قیام الدلیل علی النیابة یکون محصّل الأمر المتوجّه إلی المنوب عنه هو تعلّق الفعل بذمّته، و أنّه مراد منه علی نحو الأعمّ من المباشرة بأن یفعله هو بنفسه أو یفعله بنائبه، و أنّ النائب لو أتی بالفعل بعنوان النیابة یکون قصد النیابة عبارة عن فعل النائب ذلک الفعل عن</w:t>
      </w:r>
    </w:p>
    <w:p>
      <w:pPr>
        <w:pStyle w:val="BookText"/>
        <w:rPr/>
      </w:pPr>
      <w:r>
        <w:rPr>
          <w:rFonts w:ascii="IRNazanin" w:hAnsi="IRNazanin" w:eastAsia="IRNazanin"/>
          <w:color w:val="111111"/>
          <w:sz w:val="28"/>
          <w:sz w:val="28"/>
          <w:szCs w:val="28"/>
          <w:rtl w:val="true"/>
          <w:lang w:bidi="fa-IR"/>
        </w:rPr>
        <w:t>المنوب عنه، و محصّله أنّه یمتثل له الأمر المتوجّه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فی الحاشیة من کون الأمر الاستحبابی هو الأمر المتوجّه إلی النائب </w:t>
      </w:r>
      <w:r>
        <w:rPr>
          <w:rStyle w:val="FootnoteAnchor"/>
          <w:rtl w:val="true"/>
        </w:rPr>
        <w:footnoteReference w:id="131"/>
      </w:r>
      <w:r>
        <w:rPr>
          <w:rFonts w:ascii="IRNazanin" w:hAnsi="IRNazanin" w:eastAsia="IRNazanin"/>
          <w:color w:val="111111"/>
          <w:sz w:val="28"/>
          <w:sz w:val="28"/>
          <w:szCs w:val="28"/>
          <w:rtl w:val="true"/>
          <w:lang w:bidi="fa-IR"/>
        </w:rPr>
        <w:t>فی نیابته عن المیت تبرّعا، فذلک لا یدفع الإشکال فی کیفیة تحقّق النیابة التی هی متعلّق هذا الأمر الندبی، و أنّه کیف ینوب الأجیر عن المنوب عنه فی الفعل الذی توجّه أمره إلی نفس المنوب عنه، و أنّه کیف تکون تلک النیابة، فراجع ما حرّرناه عنه قدّس سرّه فی تمام توضیح دفع الإشکال المزبور،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الأمر أعنی الأمر المتوجّه إلی الأجیر فی نیابته التبرعیة عن المیت لا یکون إلّا توصّلیا کما أنّ الأمر الاجاری توصّلی أیضا، و حینئذ کیف یکون ذلک العمل الذی یوقعه الأجیر عبادیا، و المفروض أنّ هذا النائب سواء کان تبرّعیا أو کان مأجورا إنّما ینوب عنه فی فعل العبادة، لا فی مجرّد الامساک أو پیکرة عمل الصلاة، فتأمّل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النیابة هو أنّ الأمر المتوجّه إلی المنوب عنه و إن کان مقتضاه هو انبعاث المأمور بنفسه إلّا أنّ دلیل النیابة یکون مقتضاه الاکتفاء بانبعاث النائب، بحیث یکون ذلک الانبعاث الصادر بعنوان النیابة کافیا، بمعنی أنّ النائب یقصد أنّه ینبعث عن ذلک الأمر نیابة عن المنوب عنه، فدلیل النیابة یقول إنّه إذا انبعث غیرک نیابة عنک فی ذلک الانبعاث کان ذلک کافیا عنک، فمحصّله التوسعة فی الانبعاث الذی اقتضاه الأمر بصرف طبعه و أنّه أعمّ من الانبعاث بنفسک أو بنائبک، فإنّ النیابة فی ذلک الانبعاث موجبة لانتساب ذلک الانبعاث إلی نفس المنوب عنه، کما ینسب العقد الصادر من الوکیل بعنوان الوکالة إلی الموکل، لأنّه محصّل قول</w:t>
      </w:r>
    </w:p>
    <w:p>
      <w:pPr>
        <w:pStyle w:val="BookText"/>
        <w:rPr/>
      </w:pPr>
      <w:r>
        <w:rPr>
          <w:rFonts w:ascii="IRNazanin" w:hAnsi="IRNazanin" w:eastAsia="IRNazanin"/>
          <w:color w:val="111111"/>
          <w:sz w:val="28"/>
          <w:sz w:val="28"/>
          <w:szCs w:val="28"/>
          <w:rtl w:val="true"/>
          <w:lang w:bidi="fa-IR"/>
        </w:rPr>
        <w:t>الوکیل أعقد عن الموکل، فکذلک قول النائب فی ذلک الانبعاث إنّی أنبعث عن المنوب عنه، و حاصل ذلک هو قابلیة الانبعاث للوکالة و النیابة، و لیست التعبّدیة إلّا الانبعاث عن الأمر کما شرحناه فی بیان ما بنینا علیه من أصالة التعبّدیة</w:t>
      </w:r>
      <w:r>
        <w:rPr>
          <w:rStyle w:val="FootnoteAnchor"/>
          <w:rtl w:val="true"/>
        </w:rPr>
        <w:footnoteReference w:id="132"/>
      </w:r>
      <w:r>
        <w:rPr>
          <w:rFonts w:ascii="IRNazanin" w:hAnsi="IRNazanin" w:eastAsia="IRNazanin"/>
          <w:color w:val="111111"/>
          <w:sz w:val="28"/>
          <w:sz w:val="28"/>
          <w:szCs w:val="28"/>
          <w:rtl w:val="true"/>
          <w:lang w:bidi="fa-IR"/>
        </w:rPr>
        <w:t>، و حاصل النیابة فیه هو أنّ الغیر ینبعث نیابة عن المأمور و بانبعاثه عن المأمور یکون النائب قد حصّل ذلک الانبعاث للمأمور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العبادی إلّا أن یأتی به المکلّف لذلک الأمر الذی تعلّق بذلک، و من الواضح أنّ النائب یمکنه أن یأتی بالفعل لأجل ذلک الأمر المتوجّه إلی المنوب عنه نیابة عن المنوب عنه، فیکون الفعل عبادیا لأنّه أتی به لأجل الأمر، و یکون بما أنّه عبادة منسوبا إلی المنوب عنه لکونه قد أتی به بعنوان النیابة عنه، و یکون مسقطا لأمره المتعلّق به و مبرئا لذمّته لأنّ دلیل النیابة متکفّل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قدّس سرّه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مداومة الأئمّة علیهم السّلام علی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مداومتهم علیهم السّلام علی الترک إنّما تکشف عن نقصان فی الفعل لا عن مجرّد کون الترک أرجح منه، و إلّا لکانوا ملازمین علی ما هو الأرجح من المستحبّات المتزاحمة</w:t>
      </w:r>
      <w:r>
        <w:rPr>
          <w:rFonts w:eastAsia="IRNazanin" w:cs="IRNazanin"/>
          <w:color w:val="111111"/>
          <w:sz w:val="28"/>
          <w:szCs w:val="28"/>
          <w:rtl w:val="true"/>
          <w:lang w:bidi="fa-IR"/>
        </w:rPr>
        <w:t>.</w:t>
      </w:r>
      <w:bookmarkStart w:id="83" w:name="pg19667_765028"/>
    </w:p>
    <w:p>
      <w:pPr>
        <w:pStyle w:val="BookText"/>
        <w:rPr/>
      </w:pPr>
      <w:bookmarkEnd w:id="83"/>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حینئذ یکونان من قبیل المستحبّین المتزاحمین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سائر المستحبّات المتزاحمات بل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یکون الأمر کذلک فیما لو کان التزاحم مأموریا، أمّا لو کان آمریا کما فیما نحن فیه حیث إنّ التعاند دائمی فلا وجه للطلب التخییری فی صورة التساوی للغویته، کما أنّه لو کان أحدهما أهمّ کان هو المأمور به و سقط الآخر عن الأمر بالمرّة، نعم فی الأضداد التی لها ثالث یکون الحکم بالتخییر شرعا ممکنا لکن یکون الأهمّ أفضل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أن یحمل النهی فی کلا القسمین علی الارشاد إلی الترک الذی هو أرجح من الفعل أو ملازم لما هو الأرجح و أکثر 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حمل النهی علی الارشاد إلی ما هو الأرجح و الأکثر ثوابا إنّما یتمّ بعد کون ذلک الأرجح مطلوبا شرعا، و إلّا فلا یکون ممّا یترتّب علیه الثواب فضلا عن أکثریته</w:t>
      </w:r>
      <w:r>
        <w:rPr>
          <w:rFonts w:eastAsia="IRNazanin" w:cs="IRNazanin"/>
          <w:color w:val="111111"/>
          <w:sz w:val="28"/>
          <w:szCs w:val="28"/>
          <w:rtl w:val="true"/>
          <w:lang w:bidi="fa-IR"/>
        </w:rPr>
        <w:t>.</w:t>
      </w:r>
    </w:p>
    <w:p>
      <w:pPr>
        <w:pStyle w:val="Heading4"/>
        <w:numPr>
          <w:ilvl w:val="3"/>
          <w:numId w:val="1"/>
        </w:numPr>
        <w:rPr/>
      </w:pPr>
      <w:bookmarkStart w:id="84" w:name="__RefHeading___Toc3538505_2314609296"/>
      <w:bookmarkStart w:id="85" w:name="_Toc30"/>
      <w:bookmarkEnd w:id="84"/>
      <w:r>
        <w:rPr>
          <w:rtl w:val="true"/>
        </w:rPr>
        <w:t>[</w:t>
      </w:r>
      <w:r>
        <w:rPr>
          <w:rtl w:val="true"/>
        </w:rPr>
        <w:t>توضیح ما ذهب إلیه المحقّق الثانی قدّس سرّه من صحّة الأمر بالطبیعة الجامعة بین الأفراد المقدورة و غیرها</w:t>
      </w:r>
      <w:r>
        <w:rPr>
          <w:rtl w:val="true"/>
        </w:rPr>
        <w:t>]</w:t>
      </w:r>
      <w:bookmarkEnd w:id="8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کلامه قدّس سرّه و إن کان فی الأفراد الطولیة إلّا أنّ ملاک الکلام وجهة الجواز و الامتناع تجری فی الأفراد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قلنا بالثانی فلا مزاحمة بینهما أصلا، لکفایة مقدوریة الطبیعة فی الامتثال بهذا الفرد، فإنّ الانطباق قهری و الاجزاء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المسلک أعنی المسلک المنسوب إلی المحقّق</w:t>
      </w:r>
    </w:p>
    <w:p>
      <w:pPr>
        <w:pStyle w:val="BookText"/>
        <w:rPr/>
      </w:pPr>
      <w:r>
        <w:rPr>
          <w:rFonts w:ascii="Amiri" w:hAnsi="Amiri" w:eastAsia="Amiri" w:cs="Amiri"/>
          <w:color w:val="111111"/>
          <w:sz w:val="28"/>
          <w:sz w:val="28"/>
          <w:szCs w:val="28"/>
          <w:rtl w:val="true"/>
          <w:lang w:bidi="ar-SA"/>
        </w:rPr>
        <w:t xml:space="preserve">الثانی قدّس سرّه </w:t>
      </w:r>
      <w:r>
        <w:rPr>
          <w:rStyle w:val="FootnoteAnchor"/>
          <w:rtl w:val="true"/>
        </w:rPr>
        <w:footnoteReference w:id="137"/>
      </w:r>
      <w:r>
        <w:rPr>
          <w:rFonts w:ascii="IRNazanin" w:hAnsi="IRNazanin" w:eastAsia="IRNazanin"/>
          <w:color w:val="111111"/>
          <w:sz w:val="28"/>
          <w:sz w:val="28"/>
          <w:szCs w:val="28"/>
          <w:rtl w:val="true"/>
          <w:lang w:bidi="fa-IR"/>
        </w:rPr>
        <w:t>لا یجری فی الأفراد الطولیة کما فی مزاحمة الأمر بالصلاة مع الازالة، و إنّما یجری فی الافراد العرضیة کما فیما نحن فیه من مزاحمة الأمر بالصلاة مع النهی عن الغصب بناء علی الجواز من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ملخّص مسلک المحقّق لمّا کان مبنیا علی کون المانع من التکلیف بغیر المقدور لیس هو محالیة التکلیف الذی هو عبارة عن عدم صدور الارادة و تعلّقها بما لا یکون، بل کان مبنیا علی أنّ المانع منه هو قبح التکلیف و إیجاب غیر المقدور، لکونه مستدعیا للعقاب علی ترکه مع فرض کون فعله غیر مقدور فیکون العقاب علی ترکه ظلما،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المزاحم بتکلیف آخر لیس هو بنفسه محطّ التکلیف و العقاب علی ترکه، بل إنّ محطّ التکلیف إنّما هو نفس الطبیعة، و هی فی حدّ نفسها مقدورة و لو فی ضمن الافراد الأخر السالمة من تلک المزاحمة فلا یکون مانع من الأمر بالطبیعة، و بعد فرض تعلّق الأمر بها لو أتی المکلّف بها فی ضمن ذلک الفرد المبتلی بالمزاحم یکون انطباقها علی ذلک الفرد انطباقا قهریا، إلی آخر الجمل الثلاث أعنی کون الانطباق قهریا و الامتثال وجدانیا و الاجزاء عقلیا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ذلک الفرد لم یکن قد تعلّق به الایجاب الحتمی، و لم یترتّب العقاب علی ترک ذلک الفرد بخصوصه، و إنّما کان مرکز ذلک جمیعه هو الطبیعة نفسها، غایته أنّ المکلّف بسوء اختیاره جاء بها فی ضمن ذلک الفرد غیر المقدور شرعا، فلا مانع من شمول الطبیعة له، إذ لیس فی ذلک تحتیما لما هو غیر المقدور و لا ترتّب عقاب علی ترک ذلک الفرد بخصوصه، و إنّما التحتّم و العقاب علی أصل الطبیعة و المفروض أنّها فی حدّ ذاتها مقدورة و لو فی الافراد</w:t>
      </w:r>
    </w:p>
    <w:p>
      <w:pPr>
        <w:pStyle w:val="BookText"/>
        <w:rPr/>
      </w:pPr>
      <w:r>
        <w:rPr>
          <w:rFonts w:ascii="IRNazanin" w:hAnsi="IRNazanin" w:eastAsia="IRNazanin"/>
          <w:color w:val="111111"/>
          <w:sz w:val="28"/>
          <w:sz w:val="28"/>
          <w:szCs w:val="28"/>
          <w:rtl w:val="true"/>
          <w:lang w:bidi="fa-IR"/>
        </w:rPr>
        <w:t>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هذه الجملة لا تتأتّی فی مورد التزاحم فی الافراد الطولیة، لأنّ الطبیعة المزاحمة بازالة النجاسة تکون فی الزمان الذی یسع إزالة النجاسة غیر مقدورة برمّتها، و إنّما المقدور منها هو الافراد التی تکون فیما بعد ذلک الزمان ففی حال الأمر بالازالة لا تکون الطبیعة برمّتها مقدورة، فلا یصحّ توجّه الأمر بها فی ذلک الحال إلّا بنحو الوجوب المعلّق، لأنّ الأمر بتلک الطبیعة حینئذ ینحاز إلی ما بعد زمان الازالة، فلو فرضنا وجود الأمر بها فی ذلک الحال کان من قبیل الوجوب التعلیقی، لکون الوجوب حینئذ حالیا و الواجب و هو الطبیعة المقدورة استقبالی و هو محصّل الواجب المعلّق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قد حقّقنا فی محلّه بطلانه فلا یمکننا القول بوجود الأمر بالطبیعة فی حال الأمر بالازالة، و هذا بخلاف الافراد العرضیة کما فیما نحن فیه، حیث إنّ النهی عن الغصب و إن کان موجودا فی هذا الحال، إلّا أنّه لا ینافی وجود الأمر بالصلاة، لکفایة القدرة علیها و لو فی ضمن الافراد الأخر التی تکون فی الدار المباحة أو فی المسجد و نحو ذلک، و حینئذ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المانع من التکلیف بغیر المقدور هو مجرّد قبح تحتیم غیر المقدور و قبح العقاب علی ترکه، لم یکن ذلک المانع متأتّیا فیه، لأنّ الطبیعة فی حدّ نفسها مقدورة و لو فی الافراد الأخر التی هی فی عرض هذا الفرد المزاحم بالنهی عن الغصب، لأنّ تلک الأفراد لکونها عرضیة لا تکون متأخرة فی الزمان عن هذا الفرد المبتلی بالمزاحمة، ففی مثل ذلک ینحصر التخلّص من هذه الشبهة بالتعلّق بما أفاده شیخنا قدّس سرّه من أنّ محالیة التکلیف بغیر المقدور لیست هی مجرّد تحتیم غیر المقدور و قبح العقاب علی ترکه، و إلّا لصحّ الأمر الاستحبابی بغیر المقدور، إذ لا تحتیم فیه و لا عقاب علی</w:t>
      </w:r>
    </w:p>
    <w:p>
      <w:pPr>
        <w:pStyle w:val="BookText"/>
        <w:rPr/>
      </w:pPr>
      <w:r>
        <w:rPr>
          <w:rFonts w:ascii="IRNazanin" w:hAnsi="IRNazanin" w:eastAsia="IRNazanin"/>
          <w:color w:val="111111"/>
          <w:sz w:val="28"/>
          <w:sz w:val="28"/>
          <w:szCs w:val="28"/>
          <w:rtl w:val="true"/>
          <w:lang w:bidi="fa-IR"/>
        </w:rPr>
        <w:t>ترکه کی یکون ذلک قبیحا علی الشارع لکونه منتهیا إلی الظلم و هو قبیح علیه، بل إنّ محالیّته هی قبح إرادة ما لا یکون و إن لم یکن فیه تحتیم و لا عقاب، بل إنّ نفس إرادة ما لا یکون الذی هو غیر المقدور لا یعقل صدورها من العاقل فضلا عن الشارع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الفرد المبتلی بمزاحمة الغصب لا یعقل أن یکون مشمولا للطبیعة المأمور بها، و إن لم یکن شمولها له مشتملا علی التحتیم و العقاب علی الترک بالنسبة إلی خصوص ذلک الفرد، إلّا أنّ کونه متعلّقا للارادة و لو باعتبار شمول الطبیعة له یکون محالا، لأنّ إرادة ما لا یکون لا یعقل صدورها من العاقل و إن لم یکن فی البین وجوب إلزامی و عقاب علی الترک بالنسبة إلی خصوص ذلک الفرد، و حینئذ لا بدّ من الحکم العقلی بتقیید الطبیعة المأمور بها بغیر ذلک الفرد المبتلی بالمزاحم، سواء کان الفرد طولیا کما فی باب المزاحمة بالازالة، أو کان عرضیا کما فیما نحن فیه</w:t>
      </w:r>
    </w:p>
    <w:p>
      <w:pPr>
        <w:pStyle w:val="BookText"/>
        <w:rPr/>
      </w:pPr>
      <w:r>
        <w:rPr>
          <w:rFonts w:ascii="IRNazanin" w:hAnsi="IRNazanin" w:eastAsia="IRNazanin"/>
          <w:color w:val="111111"/>
          <w:sz w:val="28"/>
          <w:sz w:val="28"/>
          <w:szCs w:val="28"/>
          <w:rtl w:val="true"/>
          <w:lang w:bidi="fa-IR"/>
        </w:rPr>
        <w:t>و الإنصاف أنّه لم یتّضح الفرق بین الوجهین لاعتبار القدرة، فسواء قلنا إنّ التکلیف بغیر المقدور تکلیف غیر معقول أو قلنا إنّه مناف للعدل نقول إنّ ذلک إن اقتضی التقیید اقتضاه علی کلا الوجهین، و امتنعت طریقة المحقّق الثانی القائلة بأنّ الانطباق قهری علی کلا الوجهین، و إن لم یقتض التقیید صحّت طریقته علی کلا الوجهین أیضا، هذا فی عدم القدرة عقلا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کان من ناحیة التزاحم فکذلک، و قد تقدّم </w:t>
      </w:r>
      <w:r>
        <w:rPr>
          <w:rStyle w:val="FootnoteAnchor"/>
          <w:rtl w:val="true"/>
        </w:rPr>
        <w:footnoteReference w:id="138"/>
      </w:r>
      <w:r>
        <w:rPr>
          <w:rFonts w:ascii="IRNazanin" w:hAnsi="IRNazanin" w:eastAsia="IRNazanin"/>
          <w:color w:val="111111"/>
          <w:sz w:val="28"/>
          <w:sz w:val="28"/>
          <w:szCs w:val="28"/>
          <w:rtl w:val="true"/>
          <w:lang w:bidi="fa-IR"/>
        </w:rPr>
        <w:t>الکلام علی أنّه لا تقیید فی البین، و أنّه لیس فی البین إلّا حکم العقل بلزوم تأخیر امتثال الأمر بالصلاة عن امتثال الأمر بالازالة، هذا فی الطولیات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العرضیات کما لو</w:t>
      </w:r>
    </w:p>
    <w:p>
      <w:pPr>
        <w:pStyle w:val="BookText"/>
        <w:rPr/>
      </w:pPr>
      <w:r>
        <w:rPr>
          <w:rFonts w:ascii="IRNazanin" w:hAnsi="IRNazanin" w:eastAsia="IRNazanin"/>
          <w:color w:val="111111"/>
          <w:sz w:val="28"/>
          <w:sz w:val="28"/>
          <w:szCs w:val="28"/>
          <w:rtl w:val="true"/>
          <w:lang w:bidi="fa-IR"/>
        </w:rPr>
        <w:t>زوحمت الصلاة فی هذا المکان بالنظر إلی الأجنبیة، إذ لیس فی البین إلّا حکم العقل بإیقاع الصلاة فی المکان الخالی من هذه المزاحمة، و علی ذلک یمکننا أن نقول إنّه لو صلّی مع ابتلائه بالازالة أو مع ابتلائه بالنظر إلی الأجنبیة یکون الانطباق قهریا و الامتثال وجدانیا، فیکون الاجزاء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هذه الطریقة لا یمکننا إجراؤها فی الصلاة فی الدار المغصوبة لجهات أخر، و هی ما أفاده شیخنا قدّس سرّه فی جواب إن قلت المذکورة أوّلا</w:t>
      </w:r>
      <w:r>
        <w:rPr>
          <w:rStyle w:val="FootnoteAnchor"/>
          <w:rtl w:val="true"/>
        </w:rPr>
        <w:footnoteReference w:id="139"/>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الجهة الأخری هی المعبّر عنها فی کلامه قدّس سرّه بالقبح الفاعلی، و بعد تمامیتها تکون عنده مانعة من التصحیح بطریقة الملاک بعد فرض أنّه أبطل طریقة المحقّق القائلة بالانطباق القهری الخ، لکن نحن بعد أن صحّحنا هذه الطریقة و جعلنا حکومة العقل مقصورة علی التصرّف فی مقام الامتثال لا بدّ لنا من الالتزام بالقضیة الأولی و هی الانطباق القهری، و یکون الممنوع عندنا هو القضیة الثانیة و هی کون الامتثال وجدانیا، لما عرفت من تحقّق القبح الفاعلی، و هو مانع من الامتثال کما یمنع من طریقة شیخنا قدّس سرّه أعنی طریقة الملاک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المانع المعبّر عنه بالقبح الفاعلی لیس هو عبارة عن وحدة الایجاد و تعدّد الوجود، لما یرد علیه من أنّه لا فرق بین الایجاد و الوجود إلّا بالاعتبار، مضافا إلی أنّ محصّل الایجاد هو المعنی المصدری و محصّل الوجود هو المعنی الاسم المصدری، و قد حقّق فی محلّه أنّ ما هو متعلّق التکالیف هو المعانی المصدریة لا الاسم المصدریة، و حینئذ یعود محذور الاجتماع فی شی‌ء واحد، فلیس المانع هو وحدة الایجاد و تعدّد الوجود، و لا هو وحدة المعنی المصدری و تعدّد المعنی الاسم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لیس المانع المذکور هو وحدة</w:t>
      </w:r>
      <w:bookmarkStart w:id="86" w:name="pg19667_765033"/>
    </w:p>
    <w:p>
      <w:pPr>
        <w:pStyle w:val="BookText"/>
        <w:rPr/>
      </w:pPr>
      <w:bookmarkEnd w:id="86"/>
      <w:r>
        <w:rPr>
          <w:rFonts w:ascii="IRNazanin" w:hAnsi="IRNazanin" w:eastAsia="IRNazanin"/>
          <w:color w:val="111111"/>
          <w:sz w:val="28"/>
          <w:sz w:val="28"/>
          <w:szCs w:val="28"/>
          <w:rtl w:val="true"/>
          <w:lang w:bidi="fa-IR"/>
        </w:rPr>
        <w:t>الإرادة و تعدّد المراد، لما یرد علیه من أنّه مع فرض تعدّد المراد الاختیاری لا بدّ من تعدّد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المانع هو عدم إمکان التقرّب بالفعل المأمور به المشتمل علی خصوصیة مبغوضة من المکان و المقارن و اللون و الصفة و نحو ذلک من الخصوصیات، و هذه الموانع إنّما تؤثّر فی المبغوضیة لو کانت معلومة موضوعا و تکلیفا دون ما لو کانت مجهولة، و حینئذ تصحّ العبادة الخاصّة، و لیس ذلک براجع إلی مسألة التزاحم، و أنّ المزاحم إنّما یسلب القدرة علی فعل المأمور به عند تنجّزه، إذ لیس المقام مقام القدرة علی فعل المأمور به، بل المقام إنّما هو مقام إمکان التقرّب بهذا المأمور به الخاصّ الذی کانت خصوصیته مبغوضة فلاحظ و تأمّل</w:t>
      </w:r>
      <w:r>
        <w:rPr>
          <w:rFonts w:eastAsia="IRNazanin" w:cs="IRNazanin"/>
          <w:color w:val="111111"/>
          <w:sz w:val="28"/>
          <w:szCs w:val="28"/>
          <w:rtl w:val="true"/>
          <w:lang w:bidi="fa-IR"/>
        </w:rPr>
        <w:t>.</w:t>
      </w:r>
    </w:p>
    <w:p>
      <w:pPr>
        <w:pStyle w:val="Heading4"/>
        <w:numPr>
          <w:ilvl w:val="3"/>
          <w:numId w:val="1"/>
        </w:numPr>
        <w:rPr/>
      </w:pPr>
      <w:bookmarkStart w:id="87" w:name="__RefHeading___Toc3538507_2314609296"/>
      <w:bookmarkStart w:id="88" w:name="_Toc31"/>
      <w:bookmarkEnd w:id="87"/>
      <w:r>
        <w:rPr>
          <w:rtl w:val="true"/>
        </w:rPr>
        <w:t>[</w:t>
      </w:r>
      <w:r>
        <w:rPr>
          <w:rtl w:val="true"/>
        </w:rPr>
        <w:t>الکلام فی الاضطرار إلی الحرام لا بسوء الاختیار و أنحاء اعتبار القیود العدمیة فی الصلاة</w:t>
      </w:r>
      <w:r>
        <w:rPr>
          <w:rtl w:val="true"/>
        </w:rPr>
        <w:t>]</w:t>
      </w:r>
      <w:bookmarkEnd w:id="88"/>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القیود العدمیة إمّا أن یکون مدلولا للنهی الغیری فیکون التقیید هو المستفاد من الدلیل ابتداء، و إمّا أن یکون مستفادا بالدلالة الالتزامیة من النهی النفسی الدالّ علی الحرمة کما فی موارد النهی عن العبادة أو موارد اجتماع الأمر و النهی بناء علی الامتناع من الجهة الأولی، و إمّا أن یکون لأجل مزاحمة المأمور به للمنهی عنه مع فرض تقدیم جهة الحرمة علی الوجوب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الحریر، و مسألة الاجتماع علی القول بالامتناع من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 الحریر فی الصلاة، أو لا تلبس الحریر بقول مطلق، و مسألة الاجتماع علی القول بالجواز من الجهة الأولی و الامتناع من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صورة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لو قلنا إنّ الصلاة مقیّدة بعدم لبس الحریر مثلا و أنّ لبسه حرام، و کلّ من هذین الحکمین فی عرض الآخر، و هما ناشئان عن مفسدة أوجبت جعل کلّ واحد منهما فی عرض الآخر، لا أنّ الأوّل و هو المانعیة معلول للثانی و هو 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الصورة هی محلّ ما أفاده قدّس سرّه فی الصورة الثانیة، و أمّا الصورة الثانیة فهی عاریة عن الحکم الشرعی الوضعی أعنی تقیّد الصلاة بعدم لبس الحریر کی یتکلّم فی أنّه فی عرض الحرمة أو هو معلول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دلّ الدلیل علی تقیید الصلاة بعدم الحریر کما دلّ علی حرمة لبسه مطلقا أو فی حال الصلاة کانت داخلة فی الصورة المذکورة أعنی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بالثانیة هو هذه الصورة، إلّا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موارد اجتماع الأمر و النهی بناء علی الامتناع من الجهة الأولی انتهی، یمنع من ذلک إذ لا ریب فی عدم تحقّق المانعیة الوضعیة أعنی التقیید بالعدم فی مسألة الاجتماع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الصورة الثانیة ممحّضة لکون الصلاة فی الحریر منهیا عنها، و کذلک الصلاة فی المکان المغصوب بناء علی الامتناع من الجهة الأولی، و مقتضی ذلک هو خروجها بالتخصیص عن عموم الأمر بالصلاة، نظیر خروج العالم الفاسق عن عموم الأمر باکرام عالم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تصحیحه بالجهل أو بالاضطرار، لکن لو ثبت الحکم بالصحّة فی مورد الجهل أو فی مورد الاضطرار التزمنا بصرف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النهی عن لبس الذهب فی حال الصلاة، و کذلک الحال فی مسألة الاجتماع فإنّه لو ثبتت الصحّة فی موارد الجهل</w:t>
      </w:r>
    </w:p>
    <w:p>
      <w:pPr>
        <w:pStyle w:val="BookText"/>
        <w:rPr/>
      </w:pPr>
      <w:r>
        <w:rPr>
          <w:rFonts w:ascii="IRNazanin" w:hAnsi="IRNazanin" w:eastAsia="IRNazanin"/>
          <w:color w:val="111111"/>
          <w:sz w:val="28"/>
          <w:sz w:val="28"/>
          <w:szCs w:val="28"/>
          <w:rtl w:val="true"/>
          <w:lang w:bidi="fa-IR"/>
        </w:rPr>
        <w:t>أو الاضطرار لا بدّ لنا من الالتزام بالجواز من الجهة الأولی، و حصر الامتناع بالجهة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الالتزام بالصحّة عند الاضطرار إلی الغصب و لو مع القول بالامتناع من الجهة الأولی، من جهة أنّ الاضطرار یقلب الغصب من الحرمة إلی الإباحة فلا تکون المسألة من موارد اجتماع الأمر و النهی، و هذا بخلاف مثل أکرم عالما و لا تکرم الفاسق حیث إنّ الاضطرار إلی إکرام الفاسق من العالم لا یکون موجبا لدخوله تحت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الفرق بین مثل أکرم عالما و لا تکرم الفاسق و بین مثل صلّ و لا تغصب علی القول بالامتناع من الجهة الأولی، أنّ المسألة الثانیة و إن رجعت إلی التخصیص الواقعی حتّی بطریقة أخذ الغصب جهة تعلیلیة، إلّا أنّ ذلک التخصیص الواقعی ناشئ عن التزاحم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التزاحم و إن کان واقعا فی مقام الجعل و التشریع فیکون تزاحما آمریا لا مأموریا، و یکون محصّل ذلک هو أنّ الشارع المقدّس نظر إلی الصلاة فی المکان المغصوب فرأی فیها ملاکا یقتضی أن یجعل لها حکم الحرمة، کما أنّه رأی فیها ملاکا یقتضی أن یجعل لها الوجوب، فلمّا رأی أنّ ملاک الحرمة أقوی جعل الحکم علی طبقه، و جعل الأمر الوارد علی الصلاة مختصّا بما عدا هذا 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کلّ ذلک بعد فرض أنّ 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ملاک یقتضی جعل الحرمة، و هو إنّما یکون مقتضیا لجعل الحرمة إذا لم یکن مضطرا إلیه، فحیث یکون مضطرا إلیه لا یقتضی جعل الحرمة، أو أنّ الاضطرار یکون مانعا من جعل الحرمة، و حیث قد انسدّ باب جعل الحرمة لم یبق لدی الشارع ما یوجب اختصاص جعله الوجوب بما عدا مورد ذلک الغصب المضطرّ إلیه، فلا تکون</w:t>
      </w:r>
    </w:p>
    <w:p>
      <w:pPr>
        <w:pStyle w:val="BookText"/>
        <w:rPr/>
      </w:pPr>
      <w:r>
        <w:rPr>
          <w:rFonts w:ascii="IRNazanin" w:hAnsi="IRNazanin" w:eastAsia="IRNazanin"/>
          <w:color w:val="111111"/>
          <w:sz w:val="28"/>
          <w:sz w:val="28"/>
          <w:szCs w:val="28"/>
          <w:rtl w:val="true"/>
          <w:lang w:bidi="fa-IR"/>
        </w:rPr>
        <w:t>الصلاة فی مورده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مسألة أکرم عالما و لا تکرم الفاسق، فإنّ الثانی إنّما یوجب إخراج مورده من الأوّل لا من جهة أنّ الحرمة لا تجتمع مع الوجوب، بل من جهة أنّه لا ملاک للوجوب فیه، أو أنّ الفسق مانع من تأثیر ملاک الایجاب، فیکون تقدیمه علی وجوب الاکرام من جهة تضمّنه عدم الوجوب، لا من جهة خصوصیة التحریم و أنّه لا یجتمع مع الوجوب، و من الواضح أنّ هذه الجهة لا یرفعها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قوله صلّ و قوله لا تصلّ فی الحریر، فإنّ ظاهره أنّه مثل أکرم عالما و لا تکرم الفاسق فی کون التقدیم لدلالته علی عدم الوجوب الموجود فی ضمن التحریم، لا من جهة نفس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الظهور هو کون النهی عن الصلاة فی الحریر من جهة عدم المقتضی للوجوب أو من جهة المانع و هو الحریریة من تأثیر مقتضی الوجوب فی إیجاب 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بالإجماع و نحوه صحّة الصلاة عند الاضطرار إلی لبس الحریر نزّلناه علی ما ذکرناه فی مسألة الاجتماع علی القول بالامتناع من الجهة الأولی، من کون ذلک التقدیم من باب کون ملاک النهی أقوی من ملاک الوجوب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تعرف أنّه لا حاجة إلی ما ذکرناه من صرف النهی عن الصلاة فی الحریر إلی النهی عن لبس الحریر مطلقا أو فی الصلاة، لکن ذلک کلّه إنّما یتمّ فی مثل الاضطرار ممّا یکون مانعا من تأثیر ملاک الحرمة فی التحریم، دون مثل الجهل و النسیان ممّا یکون غیر مانع من تأثیر المقتضی فی الحکم و تکون مانعیته منحصرة فی التنجّز و استحقاق العقاب، فلا تکون الصلاة فی مورد مثل هذه</w:t>
      </w:r>
      <w:bookmarkStart w:id="89" w:name="pg19667_765037"/>
    </w:p>
    <w:p>
      <w:pPr>
        <w:pStyle w:val="BookText"/>
        <w:rPr/>
      </w:pPr>
      <w:bookmarkEnd w:id="89"/>
      <w:r>
        <w:rPr>
          <w:rFonts w:ascii="Amiri" w:hAnsi="Amiri" w:eastAsia="Amiri" w:cs="Amiri"/>
          <w:color w:val="111111"/>
          <w:sz w:val="28"/>
          <w:sz w:val="28"/>
          <w:szCs w:val="28"/>
          <w:rtl w:val="true"/>
          <w:lang w:bidi="ar-SA"/>
        </w:rPr>
        <w:t>الموانع إلّا فاسدة، فلاحظ و تدبّر</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538509_2314609296"/>
      <w:bookmarkStart w:id="91" w:name="_Toc32"/>
      <w:bookmarkEnd w:id="90"/>
      <w:r>
        <w:rPr>
          <w:rtl w:val="true"/>
        </w:rPr>
        <w:t>[</w:t>
      </w:r>
      <w:r>
        <w:rPr>
          <w:rtl w:val="true"/>
        </w:rPr>
        <w:t>صورة مانعیة لبس الحریر فی الصلاة</w:t>
      </w:r>
      <w:r>
        <w:rPr>
          <w:rtl w:val="true"/>
        </w:rPr>
        <w:t>]</w:t>
      </w:r>
      <w:bookmarkEnd w:id="91"/>
    </w:p>
    <w:p>
      <w:pPr>
        <w:pStyle w:val="BookText"/>
        <w:rPr/>
      </w:pPr>
      <w:r>
        <w:rPr>
          <w:rFonts w:ascii="IRNazanin" w:hAnsi="IRNazanin" w:eastAsia="IRNazanin"/>
          <w:color w:val="111111"/>
          <w:sz w:val="28"/>
          <w:sz w:val="28"/>
          <w:szCs w:val="28"/>
          <w:rtl w:val="true"/>
          <w:lang w:bidi="fa-IR"/>
        </w:rPr>
        <w:t>فتلخّص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نسبة لبس الحریر إلی الصلاة یتصوّر بصور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قبیل المانع الصرف مثل مانعیة محرّم الأکل من الصلاة، فلا یکون فی البین إلّا الحکم الوضعی و هو تقیید الصلاة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عدّ ما لا یؤکل من هذا القسم تأمّل، لأنّ المانعیة مقرونة بالحکم التکلیفی و هو حرمة الأکل فتدخل من هذه الجهة فی القسم الثانی و یتأتّی فیه النزاع فی کونهما طولیین أو عرضیین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التمثیل للصورة الأولی بالنجاسة المانعة من صحّة الصلاة بناء علی أنّ النجاسة مانعة لا أنّ الطهارة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یضاف إلی ذلک کونه حرام اللبس أیضا، مع فرض کون الأوّل معلولا للثانی أو کونهما معا معلولین لعلّة ثالثة و هی المفسدة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 أن لا یکون فی البین إلّا کون الصلاة فیه منهیا عنها، و یلحق بها مسألة الاجتماع علی القول بالامتناع من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المنهی عنه إلّا نفس اللبس، و یلحق به مسألة الاجتماع علی القول بالجواز من الجهة الأولی و الامتناع من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جعلت الصورة الثانیة صورتین کما حرّرناه تکون الصور خمسا، بل إذا جعلنا الثانیة ثلاثا بادخال ما لا یؤکل لحمه فیها و لو من جهة أنّ الاضطرار إلی الأکل لا یکون اضطرارا إلی الصلاة فیه بخلاف الاضطرار إلی اللبس تکون الصور ستّا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الصور کلّها یکون الاضطرار مسوّغا للصلاة مع الحریر و یوجب الحکم بصحّتها، إلّا فی الصورة الثالثة و ما یلحق بها من مسألة الاجتماع علی القول بالامتناع من الجهة الأولی</w:t>
      </w:r>
      <w:r>
        <w:rPr>
          <w:rFonts w:eastAsia="IRNazanin" w:cs="IRNazanin"/>
          <w:color w:val="111111"/>
          <w:sz w:val="28"/>
          <w:szCs w:val="28"/>
          <w:rtl w:val="true"/>
          <w:lang w:bidi="fa-IR"/>
        </w:rPr>
        <w:t>.</w:t>
      </w:r>
      <w:bookmarkStart w:id="92" w:name="pg19667_765038"/>
    </w:p>
    <w:p>
      <w:pPr>
        <w:pStyle w:val="Heading4"/>
        <w:numPr>
          <w:ilvl w:val="3"/>
          <w:numId w:val="1"/>
        </w:numPr>
        <w:rPr/>
      </w:pPr>
      <w:bookmarkStart w:id="93" w:name="__RefHeading___Toc3538511_2314609296"/>
      <w:bookmarkStart w:id="94" w:name="_Toc33"/>
      <w:bookmarkEnd w:id="92"/>
      <w:bookmarkEnd w:id="93"/>
      <w:r>
        <w:rPr>
          <w:rtl w:val="true"/>
        </w:rPr>
        <w:t>[</w:t>
      </w:r>
      <w:r>
        <w:rPr>
          <w:rtl w:val="true"/>
        </w:rPr>
        <w:t>صور الاضطرار إلی لبس الحریر</w:t>
      </w:r>
      <w:r>
        <w:rPr>
          <w:rtl w:val="true"/>
        </w:rPr>
        <w:t>]</w:t>
      </w:r>
      <w:bookmarkEnd w:id="94"/>
    </w:p>
    <w:p>
      <w:pPr>
        <w:pStyle w:val="BookText"/>
        <w:rPr/>
      </w:pPr>
      <w:r>
        <w:rPr>
          <w:rFonts w:ascii="IRNazanin" w:hAnsi="IRNazanin" w:eastAsia="IRNazanin"/>
          <w:color w:val="111111"/>
          <w:sz w:val="28"/>
          <w:sz w:val="28"/>
          <w:szCs w:val="28"/>
          <w:rtl w:val="true"/>
          <w:lang w:bidi="fa-IR"/>
        </w:rPr>
        <w:t xml:space="preserve">ثمّ إنّ الاضطرار له صور ثلاث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یضطرّ إلی لبس الحریر فی الصلاة و غیرها من جهة البرد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یضطرّ إلی الصلاة فیه بمعنی أن یکون قاهر یمنعه من الصلاة فی غیره، و لا یسوغ له إلّا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یجبره ذلک القاهر علی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له ساتر غیره، من دون أن یکون محتاجا إلی لبسه علی وجه یمکنه الصلاة عاریا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فیما لا یؤکل عبارة عن مجرّد کون الصلاة مقیّدة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التمثیل بالمیتة و لو کانت 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الحریر لمجرّد النهی التکلیفی المتعلّق بالعبادة، و یلحق به الاجتماع علی القول بالامتناع من الجهة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 الحریر، لیکون من النهی عن لبس الحریر إمّا مطلقا أو فی خصوص حال الصلاة، و یلحق به الاجتماع علی القول بالجواز من الجهة الأولی و الامتناع من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تقیید الصلاة بعدم الحریر مع کون لبسه محرّما مع کونهما عرضیین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مع کون التقیید فی طول الحرمة التکلیفیة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الصلاة مع ما لا یؤکل مع حرمة الأکل و فرض کونهما عرضیین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فرض کون التقیید فی طول حرمة الأکل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الاضطرار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یضطرّ إلی لبس الحریر مثلا لبرد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یضطرّ إلی الصلاة فیه لقاهر یمنعه عن الصلاة إلّا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یضطرّ إلی ذلک لقاهر یقهره و یلزمه بالصلاة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یضطرّ إلی ذلک لأنّه لا ساتر له دونه، بحیث إنّه یمکنه الصلاة عاریا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بملاحظة هذه مع تلک تکون الصور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فتأمّلها فتری أنّک لو أجریت الصورة الثانیة من الاضطرار مع الصورة الثالثة من صور النهی تکون المسألة من قبیل استلزام الصلاة لفعل المحرّم، فلو جوّزناه فی لبس الحریر بدعوی أنّ وجوب الصلاة أهمّ فلا یمکننا تجویزه فی اللباس أو المکان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الصور المتأخرة حتّی صورتی ما لا یؤکل إن کان القهر علی أکل اللحم لو أراد الصلاة لا علی الصلاة مع جلده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أجریت الصورة الثالثة من الاضطرار مع الصورة الثالثة من صور النهی و ما بعدها حتّی السابعة تری أنّه لا مانع من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 من صور الاضطرار فإنّک لو جمعتها مع کلّ واحدة من الصور السبع تری أنّ المتعیّن هو الصلاة عاریا، ما عدا الصورة الثانیة من صور النهی، لما عرفت من سقوط الأمر بالصلاة فی موردها، لخروجه عن عموم الأمر بالتخصیص فلا أثر فیه للاضطرار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الحال فی جمع کلّ واحدة من صور الاضطرار مع الصورة الأولی من صور النهی و هی المانعیة المجرّدة، فإنّه یوجب سقوط المانعیة ما عدا الصورة الرابعة من الاضطرار فإنّه یوجب الصلاة عاریا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المرحوم الشیخ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علیک أنّ المراد من عدم المندوحة هو عدم المندوحة فی الغصب بحیث کان غیر متمکّن من ترک الغصب</w:t>
      </w:r>
    </w:p>
    <w:p>
      <w:pPr>
        <w:pStyle w:val="BookText"/>
        <w:rPr/>
      </w:pPr>
      <w:r>
        <w:rPr>
          <w:rFonts w:ascii="IRNazanin" w:hAnsi="IRNazanin" w:eastAsia="IRNazanin"/>
          <w:color w:val="111111"/>
          <w:sz w:val="28"/>
          <w:sz w:val="28"/>
          <w:szCs w:val="28"/>
          <w:rtl w:val="true"/>
          <w:lang w:bidi="fa-IR"/>
        </w:rPr>
        <w:t xml:space="preserve">کالمحبوس، و أمّا لو کان متمکّنا من ترک الغصب و لکن کان غیر متمکّن من الصلاة إلّا فی المغصوب، بحیث دار الأمر بین ترک الصلاة و بین ترک الغصب فهذا خارج عمّا نحن فیه، و فی مثل هذا لا بدّ من ملاحظة الأهمیة و المهمّیة، و لا یجری فیه قوله علیه السّلام الصلاة لا تسقط بحال </w:t>
      </w:r>
      <w:r>
        <w:rPr>
          <w:rStyle w:val="FootnoteAnchor"/>
          <w:rtl w:val="true"/>
        </w:rPr>
        <w:footnoteReference w:id="142"/>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الاستحاضة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إنّما یکون بالنسبة إلی القیود غیر المحرّمة ذاتا فتأمّل جیّدا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صلّی فی المغصوب اضطرارا کالمحبوس و من یخاف علی نفسه التلف بخروجه منه صحّت صلاته، انتهی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فی جامع المقاصد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مکان تجوز الصلاة فیه إلّا المغصوب للعالم بغصبیته المختار، غاصبا کان أو غیره، فریضة کانت الصلاة أو نافلة علی الأصحّ دون الجاهل و المضطر کالمحبوس بباطل و نحوه الخ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طبعة بمبائی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الجاهل و المضطرّ و المحبوس بباطل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صحّت هذه النسخة أمکن حمل المضطر فیها علی من یخاف علی نفسه التلف لو خرج</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صاحب العروة قدّس سرّه بعد أن ذکر حکم المحبوس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المضطرّ إلی الصلاة فی المکان المغصوب فلا إشکال فی صحّة صلاته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الاضطرار</w:t>
      </w:r>
      <w:bookmarkStart w:id="95" w:name="pg19667_765041"/>
    </w:p>
    <w:p>
      <w:pPr>
        <w:pStyle w:val="BookText"/>
        <w:rPr/>
      </w:pPr>
      <w:bookmarkEnd w:id="95"/>
      <w:r>
        <w:rPr>
          <w:rFonts w:ascii="IRNazanin" w:hAnsi="IRNazanin" w:eastAsia="IRNazanin"/>
          <w:color w:val="111111"/>
          <w:sz w:val="28"/>
          <w:sz w:val="28"/>
          <w:szCs w:val="28"/>
          <w:rtl w:val="true"/>
          <w:lang w:bidi="fa-IR"/>
        </w:rPr>
        <w:t>متعلّقا بالصلاة، فلا بدّ أن یکون ذلک بقهر قاهر یجبره و یلزمه بالصلاة فی المکان المغصوب و هو الصورة الثالثة، لا أنّه یمنعه من الصلاة إلّا فی المغصوب أعنی الصورة الثانیة من صور الاضطرار، لأنّ ذلک لا یسوّغ له الإقدام علی الصلاة التی یکون فعلها مستلزما لارتکاب الغصب، و هذه الصورة هی التی أشار إلیها المرحوم الشیخ محمّد علی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کان متمکّنا من ترک الغصب و لکن کان غیر متمکّن من الصلاة إلّا فی المغصوب الخ </w:t>
      </w:r>
      <w:r>
        <w:rPr>
          <w:rStyle w:val="FootnoteAnchor"/>
          <w:rtl w:val="true"/>
        </w:rPr>
        <w:footnoteReference w:id="14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یصلّی فی هذه الصورة صلاة المضطرّ نظیر صلاته فی حال الخروج، أو أنّه یصلّی صلاة المختار؟ الظاهر الأوّل، و حینئذ لا یبقی فرق بیّن بینه و بین المحبوس، بل یکون هذا أسوأ حالا من المحبوس، لأنّ المحبوس إنّما یمنع من التصرّف الزائد و هذا قد منع من صلاة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القاهر قد قهره علی صلاة المختار صلّی صلاة المختار، فإنّه حینئذ یباح له الغصب بمقدار صلاة المختار، فتصحّ صلاته حینئذ بناء علی الجواز من الجهة الأولی دون ما لو قیل بالامتناع، إلّا أن یقال إنّ الغصب یخرج بالاضطرار عن الحرمة فتخرج المسألة عن مسألة الاجتماع، فتأمّل</w:t>
      </w:r>
      <w:r>
        <w:rPr>
          <w:rFonts w:eastAsia="IRNazanin" w:cs="IRNazanin"/>
          <w:color w:val="111111"/>
          <w:sz w:val="28"/>
          <w:szCs w:val="28"/>
          <w:rtl w:val="true"/>
          <w:lang w:bidi="fa-IR"/>
        </w:rPr>
        <w:t>.</w:t>
      </w:r>
    </w:p>
    <w:p>
      <w:pPr>
        <w:pStyle w:val="Heading4"/>
        <w:numPr>
          <w:ilvl w:val="3"/>
          <w:numId w:val="1"/>
        </w:numPr>
        <w:rPr/>
      </w:pPr>
      <w:bookmarkStart w:id="96" w:name="__RefHeading___Toc3538513_2314609296"/>
      <w:bookmarkStart w:id="97" w:name="_Toc34"/>
      <w:bookmarkEnd w:id="96"/>
      <w:r>
        <w:rPr>
          <w:rtl w:val="true"/>
        </w:rPr>
        <w:t>[</w:t>
      </w:r>
      <w:r>
        <w:rPr>
          <w:rtl w:val="true"/>
        </w:rPr>
        <w:t>لمناقشة مع السیّد الخوئی قدّس سرّه فی التزامه بالجواز من الجهة الثانیة</w:t>
      </w:r>
      <w:r>
        <w:rPr>
          <w:rtl w:val="true"/>
        </w:rPr>
        <w:t>]</w:t>
      </w:r>
      <w:bookmarkEnd w:id="97"/>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فیما تقدّم أنّ حقیقة الوجوب لیست إلّا عبارة عن اعتبار کون فعل ما علی ذمّة المکلّف، و هذا المعنی فی نفسه لا یقتضی اعتبار القدرة علی ذلک الفعل، و إنّما تکون القدرة معتبرة بحکم العقل فی مقام الامتثال دون مرحلة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کون الفعل فی ذمّة المکلّف إنّما یکون من آثار التکلیف، و التکلیف</w:t>
      </w:r>
    </w:p>
    <w:p>
      <w:pPr>
        <w:pStyle w:val="BookText"/>
        <w:rPr/>
      </w:pPr>
      <w:r>
        <w:rPr>
          <w:rFonts w:ascii="IRNazanin" w:hAnsi="IRNazanin" w:eastAsia="IRNazanin"/>
          <w:color w:val="111111"/>
          <w:sz w:val="28"/>
          <w:sz w:val="28"/>
          <w:szCs w:val="28"/>
          <w:rtl w:val="true"/>
          <w:lang w:bidi="fa-IR"/>
        </w:rPr>
        <w:t>لیس إلّا الارادة، و إرادة ما لا یکون قبیح عقلا ممتنع صدورها من العاقل فضلا عن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إنّما یقتضی القاء الفعل علی عاتق المکلّف و إشغال ذمّته به بواسطة الارادة، و من الواضح أنّ إرادة ما لا یکون قبیح من العاقل فضلا عن الشارع الحکیم إلّا إذا لم تکن إرادة حقیقیة، و هو خلاف المفروض من التکلیف الحقیقی الذی هو عین الارادة الحقیقیة أو لازمها،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التحقیق جواز ذلک حتّی علی القول باقتضاء طلب شی‌ء اعتبار القدرة علیه، لأنّ حرمة ما یکون مقارنا لفرد المأمور به لا تجعل ذلک الفرد غیر مقدور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المقارن لیس کسائر المقارنات کالنظر إلی الأجنبیة فی حال الصلاة، بل هو متّحد مع الصلاة إیجادا و إن باینها وجودا کما شرحه شیخنا قدّس سرّه، و حینئذ یکون ذلک الفرد غیر مقدور باعتبار وحدتهما الفاعلیة و إن کان بینهما کمال المباینة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انتظر توضیحا لذلک فی التعلیق علی الحاشیة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صحّة ذلک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الأوّل قد عرفت الجواب عنه فیما تقدّم </w:t>
      </w:r>
      <w:r>
        <w:rPr>
          <w:rStyle w:val="FootnoteAnchor"/>
          <w:rtl w:val="true"/>
        </w:rPr>
        <w:footnoteReference w:id="151"/>
      </w:r>
      <w:r>
        <w:rPr>
          <w:rFonts w:ascii="IRNazanin" w:hAnsi="IRNazanin" w:eastAsia="IRNazanin"/>
          <w:color w:val="111111"/>
          <w:sz w:val="28"/>
          <w:sz w:val="28"/>
          <w:szCs w:val="28"/>
          <w:rtl w:val="true"/>
          <w:lang w:bidi="fa-IR"/>
        </w:rPr>
        <w:t>من عدم معقولیة تعلّق الارادة من العاقل بما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الثانی فقد عرفت الجواب عنه فی آخر ما علّقناه علی مسألة الترتّب </w:t>
      </w:r>
      <w:r>
        <w:rPr>
          <w:rStyle w:val="FootnoteAnchor"/>
          <w:rtl w:val="true"/>
        </w:rPr>
        <w:footnoteReference w:id="15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98" w:name="pg19667_765043"/>
    </w:p>
    <w:p>
      <w:pPr>
        <w:pStyle w:val="Heading4"/>
        <w:numPr>
          <w:ilvl w:val="3"/>
          <w:numId w:val="1"/>
        </w:numPr>
        <w:rPr/>
      </w:pPr>
      <w:bookmarkStart w:id="99" w:name="__RefHeading___Toc3538515_2314609296"/>
      <w:bookmarkStart w:id="100" w:name="_Toc35"/>
      <w:bookmarkEnd w:id="98"/>
      <w:bookmarkEnd w:id="99"/>
      <w:r>
        <w:rPr>
          <w:rtl w:val="true"/>
        </w:rPr>
        <w:t>[</w:t>
      </w:r>
      <w:r>
        <w:rPr>
          <w:rtl w:val="true"/>
        </w:rPr>
        <w:t>توجیه ما ذهب إلیه المحقّق النائینی قدّس سرّه من استحالة التقرّب بالمجمع لاتّحاد المأمور به و المنهی عنه فی مقام الایجاد و التأثیر</w:t>
      </w:r>
      <w:r>
        <w:rPr>
          <w:rtl w:val="true"/>
        </w:rPr>
        <w:t>]</w:t>
      </w:r>
      <w:bookmarkEnd w:id="100"/>
    </w:p>
    <w:p>
      <w:pPr>
        <w:pStyle w:val="BookText"/>
        <w:rPr/>
      </w:pPr>
      <w:r>
        <w:rPr>
          <w:rFonts w:ascii="IRNazanin" w:hAnsi="IRNazanin" w:eastAsia="IRNazanin"/>
          <w:color w:val="111111"/>
          <w:sz w:val="28"/>
          <w:sz w:val="28"/>
          <w:szCs w:val="28"/>
          <w:rtl w:val="true"/>
          <w:lang w:bidi="fa-IR"/>
        </w:rPr>
        <w:t>و العمدة فی جمیع هذه الایرادات هو الثالث، من أنّ التعدّد بحسب الوجود یستلزم التعدّد فی الایجاد، لعدم الاختلاف بین الایجاد و الوجود إلّا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مراد شیخنا قدّس سرّه هو الاتّحاد فی الایجاد حقیقة کی یتّجه علیه هذه الایرادات، بل مراده هو وحدته العرفیة، حیث إنّ الصلاة فی الدار المغصوبة و إن انحلّت إلی فعلین و وجودین بل إیجادین، إلّا أنّهما لمّا کانا صادرین بارادة واحدة کانت جهة الفاعلیة فیهما واحدة عرفا بل حقیقة، لما عرفت من وحدة الارادة الفاعلیة، و حیث اتّحدا فی الجهة الفاعلیة کانت جهة القبح الفاعلی بالاضافة إلی إیجاد الغصب ساریة إلی الجهة الفاعلیة فی جهة إیجاد الصلاة، بل لا معنی للتعبیر بالسرایة لکون الجهة الفاعلیة فیهما واحدة، و حینئذ فمع تقدیم جهة الغصب تکون جهة فاعلیة تلک الصلاة قبیحة فلا یمکن الامتثال فیها، و لا یشملها الأمر عقلا و إن شملها شرعا،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الذی شرحناه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الاتّحاد بینهما فی الجهة الفاعلیة التی ربما عبّر عنه شیخنا قدّس سرّه بجهة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الحجر الأساسی فی کون الطبیعة فی ذلک الفرد غیر مقدورة، و فی عدم جریان الترتّب فیه، و فی عدم امکان التقرّب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بقی فی المقام إشکال آخر یتولّد من دعوی اتّحاد جهة الفاعلیة التی هی جهة الایجاد، و ذلک الإشکال هو أنّ الجهة الفاعلیة فی قبال الجهة الفعلیة، و الجهة الأولی هی التی نعبّر عنها بالجهة المصدریة و الثانیة هی المعبّر عنها باسم المصدر، و لا ریب فی أنّ التکالیف إنّما تتعلّق بالجهة المصدریة، فإنّ ذلک هو مرکز الایجاب و التحریم و به یتعلّق البعث و الزجر، و حینئذ یعود المحذور فی أصل الاجتماع من الجهة الأولی لکون الترکّب فیما هو متعلّق التکلیفین فیما نحن فیه ترکّبا اتّحادیا، لما ذکرناه من وحدة جهة الاصدار التی هی مرکز التکلیفین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بدّ من التشبّث بوحدة الارادة مع الاعتراف بتعدّد الجهة الفاعلیة التی هی جهة الاصدار المعبّر عنها بالمعنی المصدری، إذ لا ریب فی وحدة الارادة و إن کان المراد متعدّدا ذاتا و صدورا و فاعلیة، و هذه الوحدة فی مقام الارادة هی المانعة من إمکان التقرّب، إذ لا یمکن أن تکون تلک الارادة الواحدة المتعلّقة بالفعلین صادرة بداعی القرب فلا یکون الامتثال مقدورا، و لا یمکن تأتّی الترتّب کما لا یمکن أن یتأتّی فیها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إنّ هذه الارادة الواحدة منحلّة إلی إرادتین لکونها منبسطة علی الفعلین لم یکن ذلک نافعا فی إمکان التقرّب، لعدم إمکان التقرّب بتلک الارادة و إن کانت منحلّة بدقّة النظر إلی إرادتین، بل لو لم یکن إلّا إرادة تلک الصلاة الخاصّة لم یمکن التقرّب بها لأجل ما اشتملت علیه من الخصوصیة، حتّی أنّه لو أمر بمقابلة زید مثلا و اتّفق أنّ مقابلته کانت مستلزمة لاستدبار المصحف و قلنا إنّه حرام مثلا، و حینئذ یکون مثاله الأوضح أنّه لو صلّی و کان خلفه مصحف لم تصحّ صلاته لأنّه لا یمکنه التقرّب بتلک الصلاة التی اتّفق أنّها موجبة لاستدبار المصحف، و یکفی فی الحرمة و البطلان علمه بذلک و إن لم یکن مریدا قصدا لاستدبار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ذکره فی العروة فی 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المحمول إذا تحرّک بحرکات الصلاة یوجب البطلان و إن کان شیئا یسیرا</w:t>
      </w:r>
      <w:r>
        <w:rPr>
          <w:rStyle w:val="FootnoteAnchor"/>
          <w:rtl w:val="true"/>
        </w:rPr>
        <w:footnoteReference w:id="153"/>
      </w:r>
      <w:r>
        <w:rPr>
          <w:rFonts w:ascii="IRNazanin" w:hAnsi="IRNazanin" w:eastAsia="IRNazanin"/>
          <w:color w:val="111111"/>
          <w:sz w:val="28"/>
          <w:sz w:val="28"/>
          <w:szCs w:val="28"/>
          <w:rtl w:val="true"/>
          <w:lang w:bidi="fa-IR"/>
        </w:rPr>
        <w:t>، فإنّ الحرکات خارجة عن أفعال الصلاة و لیست مرکّبة منها لا اتّحادیا و لا انضمامیا، و إنّما تکون الصلاة فاسدة لما ذکرناه من أنّ الخصوصیة مانعة من قصد التقرّب فتأمّل جیّدا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عرفت ذلک و أنّه لیس فی البین إلّا وحدة الارادة تعرف أنّ المقام</w:t>
      </w:r>
    </w:p>
    <w:p>
      <w:pPr>
        <w:pStyle w:val="BookText"/>
        <w:rPr/>
      </w:pPr>
      <w:r>
        <w:rPr>
          <w:rFonts w:ascii="IRNazanin" w:hAnsi="IRNazanin" w:eastAsia="IRNazanin"/>
          <w:color w:val="111111"/>
          <w:sz w:val="28"/>
          <w:sz w:val="28"/>
          <w:szCs w:val="28"/>
          <w:rtl w:val="true"/>
          <w:lang w:bidi="fa-IR"/>
        </w:rPr>
        <w:t>خارج عن باب التعارض و عن باب التزاحم، و یکون ما نحن فیه من قبیل النظر إلی الأجنبیة فی حال الصلاة، و لا فرق بینهما إلّا من جهة الارادة، حیث إنّ ما نحن فیه تکون الارادة فیه واحدة و ذلک هو المانع من قصد التقرّب بها، بخلاف مسألة النظر إلی الأجنبیة فی حال الصلاة فإنّه یکون بارادتین، فلا مانع من قصد التقرّب بالارادة المتعلّقة بنفس الصلاة و إن کان عاصیا بارادة النظر إلی الأجنبیة فیها، علی وجه لو کان فیما نحن فیه ممّا یمکن فیه تعدّد الارادة لأمکن التقرّب بإحداهما و إن کان عاصیا بالأخری، لکنّه لا یمکن تعدّد الارادة فیه، فإنّه لو لم یقصد إلّا طبیعة الصلاة و لم یکن مریدا إلّا هذه الصلاة الخاصّة الواقعة فی الدار المغصوبة مع علمه بوقوعها فی المکان المغصوب و علمه بالغصب و حرمته لم یمکن التقرّب بتلک الارادة المتعلّقة بالصلاة الخاصّة الواقعة فی الدار المغصوبة، لعلمه بکون تلک الصلاة الخاصّة منهیا عن الجهة المقارنة لها، کما أنّه لو أراد الصلاة الخاصّة التی تکون مشتملة علی النظر إلی الأجنبیة لکانت تلک الصلاة الخاصّة فاسدة، لعدم إمکان التقرّب بتلک الصلاة الخاصّة المشتملة علی النظر إلی الأجنبیة فی حالها لو کان قاصدا تلک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یعلم أنّه فی حال قیامه تنظر إلیه الأجنبیة قهرا علیه نظر ریبة تکون موجبا لحرمة قیامه لکونه تمکینا لها من ذلک الحرام، لا یمکنه التقرّب بتلک الصلاة الخاصّة الناشئة خصوصیتها عن اشتمالها علی خصوصیة نظر الأجنبیة إلیه الموجب لتحریم تمکینه لها من ذلک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البیان یکون الحکم بصحّة الصلاة عند الجهل بالغصب أو نسیانه أسهل منه علی تقدیر جعله من باب التزاحم، لأنّ جعله من باب التزاحم یحتاج إلی دعوی سقوط النهی عن المزاحمة، بخلاف هذا البیان فإنّه لا یحتاج إلی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یندفع الإشکال فی بطلان الصلاة فی اللباس المغصوب مع العلم، حیث إنّه علی الظاهر لیس من قبیل الترکّب الانضمامی و الاتّحاد فی الجهة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من قبیل الصلاة فی المکان المغصوب کی یدّعی أنّه من قبیل تعدّد الوجود و اتّحاد الایجاد کی یکون الحکم فیه بالبطلان من هذه الجهة، و لا هو من قبیل الترکّب الاتّحادی، فإنّه یمکن الحکم ببطلان هذه الصلاة من جهة أنّ هذه الارادة لا یمکن أن تکون مقرّبة، لکون متعلّقها و هو الصلاة الخاصّة ممّا لا یمکن التقرّب فیه لأجل ما هو فیه من الخصوصیة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کلّ خصوصیة محرّمة لاحقة للصلاة، سواء کانت حرمتها مطلقة حتّی فی غیر الصلاة کما فی اللباس المغصوب و الحریر، أو کانت حرمتها</w:t>
      </w:r>
    </w:p>
    <w:p>
      <w:pPr>
        <w:pStyle w:val="BookText"/>
        <w:rPr/>
      </w:pPr>
      <w:r>
        <w:rPr>
          <w:rFonts w:ascii="IRNazanin" w:hAnsi="IRNazanin" w:eastAsia="IRNazanin"/>
          <w:color w:val="111111"/>
          <w:sz w:val="28"/>
          <w:sz w:val="28"/>
          <w:szCs w:val="28"/>
          <w:rtl w:val="true"/>
          <w:lang w:bidi="fa-IR"/>
        </w:rPr>
        <w:t>مختصّة بحال الصلاة کما لو قلنا بحرمة التکفیر فی حال الصلاة حرمة تکلیفیة صرفة لکنّها مختصّة بحال و قصد المصلّی أن یصلّی متکفّرا، و نحو ذلک من الخصوصیات اللاحقة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المتّحدة بها علی وجه یکون ترکّبها معها ترکّبا اتّحادیا بحیث یکون النهی عنها نهیا عن الصلاة، و لا تکون منفصلة عنها علی وجه تکون أجنبیة عن الصلاة بحیث تکون مرادة بارادة مستقلّة غیر إرادة الصلاة و لا تکون لاحقة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باعتبار مقارنتها لها علی وجه تکون مقارنتها للصلاة مکسبة للصلاة لونا خاصّا، فإنّ النهی عن ذلک اللون و إن لم یکن منحلا إلی النهی عن الصلاة الملوّنة بذلک اللون إلّا أنّه یوجب عدم امکان التقرّب بتلک الصلاة، لعدم إمکان کون الارادة المتعلّقة بتلک الصلاة قربیة بمعنی عدم إمکان کون تلک الارادة بداعی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العبادة کون إرادتها قربیة، و إنّما یعتبر فیها کونها صادرة بداع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کون الصلاة صادرة بداع قربی هو أن تکون الارادة المتعلّقة بها ناشئة عن داع قربی، و مع فرض کون متعلّق الارادة هو الصلاة الخاصّة الملوّنة بلون محرّم لا یعقل أن تکون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بداع قربی، و ما ذلک إلّا من قبیل ما لو فرض أنّ الملک یسرّه رؤیتک و حضورک عنده فأنت تتقرّب إلیه بذلک، فلو فرض أنّه یبغض السواد علی وجه لو نظر إلی السواد یموت ولده مثلا و أنت حضرت عنده باللباس الأسود، فذلک الحضور لا یمکنک التقرّب به إلیه بحیث تکون ارادتک لذلک الحضور إرادة قربیة 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ینحلّ الإشکال فی المانعیة الناشئة عن الحرمة التکلیفیة مثل مانعیة الحریر إن قلنا إنّ مثل لا تصلّ فی الحریر ارشاد إلی حرمة لبس الحریر إمّا مطلقا أو فی خصوص حال الصلاة، فإنّ هذا النهی التحریمی المتعلّق بلبس الحریر مطلقا</w:t>
      </w:r>
    </w:p>
    <w:p>
      <w:pPr>
        <w:pStyle w:val="BookText"/>
        <w:rPr/>
      </w:pPr>
      <w:r>
        <w:rPr>
          <w:rFonts w:ascii="IRNazanin" w:hAnsi="IRNazanin" w:eastAsia="IRNazanin"/>
          <w:color w:val="111111"/>
          <w:sz w:val="28"/>
          <w:sz w:val="28"/>
          <w:szCs w:val="28"/>
          <w:rtl w:val="true"/>
          <w:lang w:bidi="fa-IR"/>
        </w:rPr>
        <w:t xml:space="preserve">أو فی خصوص حال الصلاة یوجب عدم امکان التقرّب بتلک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فتفسد لو کان عالما بتلک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جاهلا بها حکما أو موضوعا فإنّه لا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لازم ذلک هو أنّه لو لم یکن أصل إرادته الصلاة مقرونة بذلک بل هو أراد الصلاة المطلقة لکن فی الأثناء أراد أن یلبس الحریر أو المغصوب لم تکن صلاته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إنّها تفسد بالنظر إلی الأجزاء التی وقعت مقرونة بذلک و حینئذ یشکل الفرق بین ما لو نظر إلی الأجنبیة فی الأثناء و بین ما لو لبس المغصوب فی أثنائها، اللهمّ إلّا أن یفرق بینهما بأنّ النظر إلی الأجنبیة فی حال الأجزاء لا یکسب تلک الأجزاء لونا، بخلاف لبس المغصوب أو الحریر فی أثنائها فإنّه یکسب تلک الأجزاء لونا خاصّا،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إنّما نلتزم بصحّة الصلاة فی حال النظر إلی الأجنبیة فیما إذا اتّفق النظر فی الأثناء و لم یکن عالما به من أوّل شروعه و کان واقعا فی أثناء السکونات، أمّا ما لو لم یکن عالما به من أوّل دخوله فی الصلاة لکنّه اتّفق وقوعه فی أثناء أحد الأجزاء، فإن لم یکن فی حال فعله لذلک الجزء ملتفتا إلیه، و لم یکن صدوره عنه إلّا بدافع تلک الارادة الأولی التی وقعت فی أوّل الصلاة، لم یکن وقوع النظر إلی الأجنبیة فی حال ذلک الجزء موجبا لبطلانه و لا لبطلان أصل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التفت إلی ذلک و قصد به الامتثال مع علمه بأنّه یشتمل علی مقارنة النظر إلی الأجنبیة کان تقرّبه بذلک الجزء غیر صحیح، فیکون فاسدا مفسدا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إطلاق القول بأنّ النظر إلی الأجنبیة فی أثناء الصلاة غیر مبطل غیر شامل لهذه الصورة فتأمّل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إنّی بعد ما حرّرت ذلک کلّه راجعت ما کنت حرّرته عنه قدّس سرّه فی مبحث اللباس و المکان من کتاب الصلاة فوجدته قدّس سرّه قد بنی علی أنّ المانع من الامتثال</w:t>
      </w:r>
    </w:p>
    <w:p>
      <w:pPr>
        <w:pStyle w:val="BookText"/>
        <w:rPr/>
      </w:pPr>
      <w:r>
        <w:rPr>
          <w:rFonts w:ascii="IRNazanin" w:hAnsi="IRNazanin" w:eastAsia="IRNazanin"/>
          <w:color w:val="111111"/>
          <w:sz w:val="28"/>
          <w:sz w:val="28"/>
          <w:szCs w:val="28"/>
          <w:rtl w:val="true"/>
          <w:lang w:bidi="fa-IR"/>
        </w:rPr>
        <w:t>هو هذا الذی حرّرته هنا من وحدة الارادة فیا قاتل اللّه النسیان، و هاک ما حرّرته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فیما حرّرته عنه فی درس الفقه من کتاب الصلاة عند التعرّض لاعتبار إباحة المکان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عندکم الاجتماع من الجهة الأولی لما ذکرتموه من أنّ تعدّد الجهة کاف فی تعدّد الحکم، فیجوز أن یکون الفعل الواحد مأمورا به و منهیا عنه باعتبار جهتین، کان ذلک مستلزما لصحّة الصلاة فی المغصوب، حیث إنّ المجمع لمّا کان ذا جهتین جهة الأمر و جهة النهی فله أن یتقرّب بجهة الأمر و إن حصل العصیان بجهة النهی و کان عالما به حکما و موضوعا، حیث إنّ امتثال الأمر علی نحو تعلّقه، فإذا جاز ذلک فی مرحلة تعلّق التکلیف و جعله فلم لم یجز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إرادة الآمر و إرادة المأمور، فإنّ إرادة الآمر یمکن أن تتعلّق بعنوان الصلاة مجرّدة عن لحاظ الخصوصیة الغصبیة و سائر الخصوصیات الخارجة عن حقیقة الصلاة، بخلاف إرادة المأمور الامتثال فإنّه إنّما یمتثل الأمر بهذا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یمتثل الأمر بما یأتی به من الفعل الخارجی الذی هو مرکب مع الجهة المبغوضة و هی الغصبیة و لو کان الترکیب انضمامیا، فیتحقّق القبح الفاعلی فیما یأتی به فیمتنع تحقّق الامتثال به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الخصوصیات اللاحقة للطبیعة خارجة عن الارادة المتعلّقة بفعلها، لا یخفی فسادها فإنّ الخصوصیات الفردیة التی تکون خارجة عن الارادة إنّما هی الخصوصیات اللاحقة للطبیعة فی مرتبة وجودها، دون الخصوصیات</w:t>
      </w:r>
    </w:p>
    <w:p>
      <w:pPr>
        <w:pStyle w:val="BookText"/>
        <w:rPr/>
      </w:pPr>
      <w:r>
        <w:rPr>
          <w:rFonts w:ascii="IRNazanin" w:hAnsi="IRNazanin" w:eastAsia="IRNazanin"/>
          <w:color w:val="111111"/>
          <w:sz w:val="28"/>
          <w:sz w:val="28"/>
          <w:szCs w:val="28"/>
          <w:rtl w:val="true"/>
          <w:lang w:bidi="fa-IR"/>
        </w:rPr>
        <w:t>اللاحقة لها فی المرتبة السابقة علی وجودها، و ذلک فإنّ الخصوصیات اللاحقة للطبائع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عارضا لنفس الطبیعة و تکون باعتبارها منقسمة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لا بدّ أن تکون داخلة فی متعلّق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لوازم وجودها ککونها فی المکان أو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النحو یکون خارجا عن متعلّق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کونها موجودة فی هذا المکان المخصوص أو فی هذا الزمان المخصوص من النحو الأوّل، لأنّ ترجیح هذا المکان علی غیره و هذا الزمان علی غیره لا بدّ أن یکون بالارادة، و هذا هو سرّ مسألة الاجتماع و تمام جهة التکلّم فیها، و هو الموجب لما نختاره من جواز الاجتماع من الجهة الأولی و الامتناع من الجهة الثانیة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ما یستثنی من الحکم ببطلان الصلاة فی المغصوب الجاهل بالحکم إذا کان قاصرا دون من کان مقصّرا، لا لما قیل من تأتّی نیّة القربة فی الأوّل دون الثانی، فإنّه لمّا کان الفعل منه مبغوضا لم یکد تأتّی التقرّب منه بما هو مبغوض، فإنّ إمکان قصد التقرّب و عدمه لا یکون میزانا و ضابطا، بل لأنّ البطلان إنّما جاء من قبل مزاحمة النهی للأمر و شاغلیة النهی للمکلّف عن الاتیان بمتعلّق الأمر، فیکون ذلک الفرد الذی وقع التزاحم علیه أعنی مورد الاجتماع غیر مقدور له، فیخرج عن حیّز الأمر فلا یمکن الاتیان به بداعی الأمر، و لا ریب أنّ النهی إنّما یکون شاغلا و موجبا لصرف القدرة فی متعلّقه إذا کان منجّزا، أمّا إذا لم یکن النهی منجّزا کما فی مورد الجهل القصوری فلا یکون هناک ما یوجب خروج ذلک الفرد الذی هو المجمع عن کونه مقدورا، فالمدار فی الصحّة و عدمها علی تنجّز النهی، و المفروض أنّ الجاهل المقصّر یکون النهی فی حقّه منجّزا فیکون</w:t>
      </w:r>
    </w:p>
    <w:p>
      <w:pPr>
        <w:pStyle w:val="BookText"/>
        <w:rPr/>
      </w:pPr>
      <w:r>
        <w:rPr>
          <w:rFonts w:ascii="IRNazanin" w:hAnsi="IRNazanin" w:eastAsia="IRNazanin"/>
          <w:color w:val="111111"/>
          <w:sz w:val="28"/>
          <w:sz w:val="28"/>
          <w:szCs w:val="28"/>
          <w:rtl w:val="true"/>
          <w:lang w:bidi="fa-IR"/>
        </w:rPr>
        <w:t>من هذه الجهة کالعالم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ناسی الحکم فهو فی جمیع موارده ملحق بالجاهل به بل هو هو، و أمّا الجاهل بالحکم الوضعی الذی هو الفساد فلا أثر لجهله، لعدم کون الفساد فی هذه المسألة حکما شرعیا، و إنّما هو حکم عقلی ناشئ من امتناع الاجتماع من الجهة الثانیة، و هو مترتّب حتّی فی صورة الجهل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یعلّل الحکم بفساد صلاة الجاهل بحرمة الغصب إذا کان مقصّرا بقاعدة الامتناع بالاختیار لا ینافی الاختیار، و حینئذ یقع ذلک الغصب المنضمّ إلی الصلاة مبغوضا، و ما کان مبغوضا یمنع من تحقّق التقرّب بما اقترن معه من الصلاة و إن تحقّق قصد التقرّب من المکلّف، لأنّه قد تقرّب بما هو مبغوض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بهذا الذی ذکرناه من أنّ المانع هو عدم تحقّق التقرّب لا مجرّد عدم امکان قصد التقرّب هو ما صرّح به قدّس سرّه فیما سیأتی، و ذلک أنّه قدّس سرّه تعرّض لبیان أنّه لا یتأتّی الترتّب و لا قصد الملاک بالمجمع، و أفاد ما هذا لفظه حسبما حرّرته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بعد تقدیم جانب النهی فیه علی جانب الأمر لا یمکن تصحیحه بملاک الأمر و لا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کونه مقرّبا لکونه یصدر عنه مبغوضا علیه بواسطة الجهة الغصبیة، و ما یقع مبغوضا لا یکون مقرّبا بل یکون مبعّدا، فلیس المانع فیه هو عدم تأتّی قصد التقرّب لأنّ قصد التقرّب أمر بید الفاعل القاصد، بل إنّ المانع هو ما ذکرناه من عدم وقوعه مقرّبا سواء قصد به التقرّب أم لم یقصد، لحکم العقل بأنّ ما هو مبغوض و لو للجهة الخارجة عن حیّز الأمر لا یقع مقرّبا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أنّه بجهته التی هی مورد الأمر یقع مقرّبا و إن کان مبعّدا بجهته التی</w:t>
      </w:r>
    </w:p>
    <w:p>
      <w:pPr>
        <w:pStyle w:val="BookText"/>
        <w:rPr/>
      </w:pPr>
      <w:r>
        <w:rPr>
          <w:rFonts w:ascii="IRNazanin" w:hAnsi="IRNazanin" w:eastAsia="IRNazanin"/>
          <w:color w:val="111111"/>
          <w:sz w:val="28"/>
          <w:sz w:val="28"/>
          <w:szCs w:val="28"/>
          <w:rtl w:val="true"/>
          <w:lang w:bidi="fa-IR"/>
        </w:rPr>
        <w:t>هی مورد النهی، و لا مانع من اجتماع المقرّبیة و المبعّدیة و من حصول الاطاعة و العصیان فی شی‌ء واحد إذا کان ذلک من جهتین کما ذکرتم أنّه لا مانع من اجتماع الأمر و النهی إذا کان من جهتین، فإنّ الامتثال و الاطاعة إنّما هی متابعة الأمر حسبما تعلّق به، و المفروض أنّه متعلّق بالجهة الصلاتیة و لا ربط له بالجهة الغصبیة فتکون الاطاعة حاصلة بالجهة الصلاتیة، و لا یضرّ بها اشتماله علی الجهة الغصبیة لکونها خارجة عمّا أرید تحصیل الاطاعة به الذی هو الجهة الصلاتیة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فساده بما حاصله الفرق بین مقام الأمر و النهی و بین مقام الاطاعة و العصیان، فإنّ الأمر و النهی إنّما صحّحنا اجتماعهما فی المجمع لکون إرادة الآمر کانت متعلّقة بالطبائع المجرّدة عن لحاظ الضمائم، فتکون إرادته للفعل متعلّقة بنفس الصلاة و إرادته للترک متعلّقة بنفس الغصب، و لا ربط لأحد المتعلّقین بالآخر کما تقدّم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إرادة المکلّف التی هی إرادة الاطاعة فلا تتعلّق بنفس الطبیعة، بل إنّما تتعلّق بما یأتی به من الأفعال علی ما هی علیه من الجهات الطارئة، فهو یقصد نفس هذا الفرد من الصلاة و یأتی به امتثالا للأمر الصلاتی، فلا یکون متعلّق إرادته فی مقام الاطاعة إلّا نفس الفعل علی ما هو علیه من الضمائم المبغوضة، فلا یقع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بیّن الوجه فی عدم إمکان التصحیح بالترتّب بما لا حاجة لنا إلی نقله هنا، فإنّه موجود فی الکتاب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الاطاعة إنّما هی الاتیان بنفس ما تعلّق به الأمر، و الضمائم لا بدّ أن تکون خارجة عن قصد المطیع، بل لو قصد الاطاعة بالفعل بما هو علیه من الضمائم و لو کانت مباحة لکان مفسدا لکونه حینئذ مشرّعا، فالأولی</w:t>
      </w:r>
    </w:p>
    <w:p>
      <w:pPr>
        <w:pStyle w:val="BookText"/>
        <w:rPr/>
      </w:pPr>
      <w:r>
        <w:rPr>
          <w:rFonts w:ascii="IRNazanin" w:hAnsi="IRNazanin" w:eastAsia="IRNazanin"/>
          <w:color w:val="111111"/>
          <w:sz w:val="28"/>
          <w:sz w:val="28"/>
          <w:szCs w:val="28"/>
          <w:rtl w:val="true"/>
          <w:lang w:bidi="fa-IR"/>
        </w:rPr>
        <w:t>فی الجواب عن هذا التوهّم هو ما أفاده قدّس سرّه فیما تقدّم نقله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أمکن أن یقصد الاطاعة بالفعل بجهته الصلاتیة و تکون جهته الغصبیة خارجة عن قصده الاطاعة به، إلّا أنّ العقل لا یری مثل هذه الاطاعة اطاعة، و لا یری الاتیان بالمأمور به مقرونا بجهة مبغوضة مقرّبا، بل یراه مبعّدا و إن کانت الجهة المبغوضة غیر داخلة تحت متعلّق الأمر و متعلّق الاطاعة المقصودة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ما أفاده قدّس سرّه فیما یأتی فی هذه المباحث الفقهیة التی تعرّض فیها للتزاحم و صوره، و أنّ منها ما یکون التزاحم ناشئا عن اتّفاق التلازم بین متعلّق الأمر و متعلّق النهی کما یمثّل له فی استدبار الجدی و استقبال القبلة لعامّة المکلّفین، لا لخصوص من کان بالعراق فإنّه یکون دائمیا و یدخل فی باب التعارض، فإنّه قدّس سرّه قال بعد بیان أنّ من التلازم الاتّفاقی من قبیل التزاحم ما هذا لفظه حسبما حرّرته عنه فی تلک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تقدیم جانب النهی لکونه أقوی فهل یمکن تصحیح الواجب بالملاک أو بالترتّب، أو لا یمکن ذلک؟ لا یبعد الثانی، فإنّ الواجب و إن لم یکن متّحدا مع المحرّم کما فی مسألة الاجتماع، إلّا أنّه لا یبعد أن یقال إنّ العقل لا یحکم بحسن مثل هذه الاطاعة التی یلازمها الاتیان بما هو المبغوض، انتهی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النصوص التی حرّرتها عنه قدّس سرّه فی تلک المباحث نقلتها إلی هنا من محلّها علی علّاتها، لم أغیّر فیها شیئا حتّی ما کنت حرّرته علیه بلفظ قلت، سوی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هذا کلّه راجعت ما حرّره المرحوم الشیخ محمّد علی عنه قدّس سرّه فی مباحث الصلاة فوجدته مشتملا علی جمیع هذا الذی تقدّم نقله ممّا هو منقول عن تحریراتی، و قد کان فراغه قدّس سرّه من مباحث القراءة حسبما ضبطه المرحوم الشیخ محمّد علی فی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فیکون سابقا علی ما أفاده قدّس سرّه فی</w:t>
      </w:r>
    </w:p>
    <w:p>
      <w:pPr>
        <w:pStyle w:val="BookText"/>
        <w:rPr/>
      </w:pPr>
      <w:r>
        <w:rPr>
          <w:rFonts w:ascii="IRNazanin" w:hAnsi="IRNazanin" w:eastAsia="IRNazanin"/>
          <w:color w:val="111111"/>
          <w:sz w:val="28"/>
          <w:sz w:val="28"/>
          <w:szCs w:val="28"/>
          <w:rtl w:val="true"/>
          <w:lang w:bidi="fa-IR"/>
        </w:rPr>
        <w:t xml:space="preserve">مبحث الاجتماع من الأصول فإنّه قد فرغ منه سنة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و کانت دروس هذه المسألة أعنی مسألة الاجتماع فی ربیع الثانی سنة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ذلک یظهر لک أنّه لیس الموجب لعدم تحقّق التقرّب أو عدم إمکانه هو وحدة الارادة أو تعدّدها، بل و لا کون متعلّق إرادة المأمور به هو الطبیعة أو الفرد، بل إنّ المانع الحقیقی هو کون تلک الطبیعة المأتی بها فی هذا المکان أو فی هذا الزمان أو مع ذلک الفعل الآخر المقارن أو غیر ذلک غیر صالحة لأن تکون مقرّبة، فلا یمکن أن یریدها المکلّف قربة إلیه تعالی، بمعنی أنّ إرادتها لا تکون مقرّبة لأجل ما یقارنها من الخصوصیات المبغوضة، و یکفی فی ذلک علمه بترتّب تلک الخصوصیة، سواء کان ترتّبها بإرادة منه أو کان وقوع الطبیعة فی ذلک الحال موجبا لترتّبه علیها، کما ذکرناه من مثال حرکة المغصوب المحمول بحرکات الصلاة أو صلاته مع کون المصحف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أنّی راجعت بعد هذا ما حرّره عنه السیّد جمال الدین سلّمه اللّه و المرحوم الشیخ موسی فی الأصول فوجدت التعلیل مقصورا علی القبح الفاعلی، نعم عبّر السیّد جمال الدین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القبح الفاعلی الصدوری لا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 القبح الفاعلی هو ما شرحناه و شرحه قدّس سرّه فی درس الفقه من عدم إمکان تحقّق التقرّب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أساس المنع لاکون إرادة المکلّف لا تتعلّق إلّا بالأفراد أو أنّ له إرادتین أو إرادة واحدة، فتأمّل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ذکرتموه ینبغی أن تقولوا ببطلان صلاة من تعمّد ترک الازالة لأنّها مقرونة بالمبغوض الذی هو ترک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الازالة لیس بمبغوض و إلّا لکان ترک الواجب محرّما، و قد حقّق فی محلّه </w:t>
      </w:r>
      <w:r>
        <w:rPr>
          <w:rStyle w:val="FootnoteAnchor"/>
          <w:rtl w:val="true"/>
        </w:rPr>
        <w:footnoteReference w:id="156"/>
      </w:r>
      <w:r>
        <w:rPr>
          <w:rFonts w:ascii="Amiri" w:hAnsi="Amiri" w:eastAsia="Amiri" w:cs="Amiri"/>
          <w:color w:val="111111"/>
          <w:sz w:val="28"/>
          <w:sz w:val="28"/>
          <w:szCs w:val="28"/>
          <w:rtl w:val="true"/>
          <w:lang w:bidi="ar-SA"/>
        </w:rPr>
        <w:t>أنّ ترک</w:t>
      </w:r>
      <w:bookmarkStart w:id="101" w:name="pg19667_765055"/>
    </w:p>
    <w:p>
      <w:pPr>
        <w:pStyle w:val="BookText"/>
        <w:rPr/>
      </w:pPr>
      <w:bookmarkEnd w:id="101"/>
      <w:r>
        <w:rPr>
          <w:rFonts w:ascii="IRNazanin" w:hAnsi="IRNazanin" w:eastAsia="IRNazanin"/>
          <w:color w:val="111111"/>
          <w:sz w:val="28"/>
          <w:sz w:val="28"/>
          <w:szCs w:val="28"/>
          <w:rtl w:val="true"/>
          <w:lang w:bidi="fa-IR"/>
        </w:rPr>
        <w:t>الواجب لیس بحرام کما أنّ ترک فعل الحرام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الازالة لیس هو متّحدا مع الصلاة و لا من مشخّصاتها و لا من مقارناتها، بل هو أمر مستقل عدمی صرف لا ربط له بالصلاة أصلا، و هو حاصل بمنشئه الذی هو الصارف عن الازالة أو إرادة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الإشکال ما ربما یقال من أنّه بناء علی ما ذکرتموه ینبغی أن تقولوا ببطلان صلاة محلوق اللحیة بناء علی حرمة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 بأنّ المحرّم و المنهی عنه إنّما هو الحلق بنفسه أو بأمره و الإذن فیه للحلّاق، أمّا المحلوقیة أعنی کون الشخص محلوق اللحیة الذی هو نتیجة ذلک الفعل فلیس موردا لحکم من الأحکام التکلیفیة، لما عرفت من أنّها إنّما تتعلّق بالمصادر لا بأسماء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الحلق إذا کان بمعناه المصدری الذی هو إزالة الشعر محرّما اختصّ بما إذا کان هناک شعر، أمّا لو حلق مرّة و ارتکب الحرام و استمرّ کلّ یوم یمرّ الموسی علی وجهه لم یکن ذلک الاستمرار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داخل فی المعنی المصدری، بمعنی أنّ الفعل الذی ینشأ عنه عدم اللحیة یکون محرّما فتأمّل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3538517_2314609296"/>
      <w:bookmarkStart w:id="103" w:name="_Toc36"/>
      <w:bookmarkEnd w:id="102"/>
      <w:r>
        <w:rPr>
          <w:rtl w:val="true"/>
        </w:rPr>
        <w:t>[</w:t>
      </w:r>
      <w:r>
        <w:rPr>
          <w:rtl w:val="true"/>
        </w:rPr>
        <w:t>تأمّل المحقّق الحائری قدّس سرّه فی بطلان الصلاة فی اللباس المغصوب</w:t>
      </w:r>
      <w:bookmarkEnd w:id="10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تأمّل المرحوم الشیخ عبد الکریم الیزدی قدّس سرّه </w:t>
      </w:r>
      <w:r>
        <w:rPr>
          <w:rStyle w:val="FootnoteAnchor"/>
          <w:rtl w:val="true"/>
        </w:rPr>
        <w:footnoteReference w:id="158"/>
      </w:r>
      <w:r>
        <w:rPr>
          <w:rFonts w:ascii="IRNazanin" w:hAnsi="IRNazanin" w:eastAsia="IRNazanin"/>
          <w:color w:val="111111"/>
          <w:sz w:val="28"/>
          <w:sz w:val="28"/>
          <w:szCs w:val="28"/>
          <w:rtl w:val="true"/>
          <w:lang w:bidi="fa-IR"/>
        </w:rPr>
        <w:t>فی بطلان الصلاة فی</w:t>
      </w:r>
    </w:p>
    <w:p>
      <w:pPr>
        <w:pStyle w:val="BookText"/>
        <w:rPr/>
      </w:pPr>
      <w:r>
        <w:rPr>
          <w:rFonts w:ascii="IRNazanin" w:hAnsi="IRNazanin" w:eastAsia="IRNazanin"/>
          <w:color w:val="111111"/>
          <w:sz w:val="28"/>
          <w:sz w:val="28"/>
          <w:szCs w:val="28"/>
          <w:rtl w:val="true"/>
          <w:lang w:bidi="fa-IR"/>
        </w:rPr>
        <w:t>اللباس المغصوب، نظرا إلی أنّ المحرّم هو اللبس و هو حاصل صلّی أو لم یصلّ، و الرکوع و السجود بل سائر الانتقالات لیست تصرّفا آخر غیر ذلک اللبس، إذ لیس فی ذلک إلّا تغییر الهیئة تبعا لتغییر هیئات اللابس، فلم تکن الأفعال الصلاتیة تصرّفا محرّما آخر غیر ما کان علیه قبل الصلاة،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فإنّ اللبس و إن کان حاصلا قبل الصلاة إلّا أنّ الأفعال الصلاتیة خصوصا الحرکات الانتقالیة لا تخرج عن کونها تصرّفا فی المغصوب، بمعنی نقله و لو بواسطة حرکة البدن من حیّز إلی 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قدّس سرّه ادّعی أوّلا خروج مسألة اللباس المغصوب عن مسألة الاجتماع، بدعوی أنّ الحرکات الصلاتیة علی أصل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یتفصّی عن کون المورد من قبیل اجتماع الأمر و النهی بوجه آخر الخ </w:t>
      </w:r>
      <w:r>
        <w:rPr>
          <w:rStyle w:val="FootnoteAnchor"/>
          <w:rtl w:val="true"/>
        </w:rPr>
        <w:footnoteReference w:id="159"/>
      </w:r>
      <w:r>
        <w:rPr>
          <w:rFonts w:ascii="IRNazanin" w:hAnsi="IRNazanin" w:eastAsia="IRNazanin"/>
          <w:color w:val="111111"/>
          <w:sz w:val="28"/>
          <w:sz w:val="28"/>
          <w:szCs w:val="28"/>
          <w:rtl w:val="true"/>
          <w:lang w:bidi="fa-IR"/>
        </w:rPr>
        <w:t>، و هو راجع إلی ما قد یدّعی من أنّ تلک الحرکات خارجة عن أفعال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قدّس سرّه أجاب عن هذا الإشکال أعنی دعوی خروج الحرکات المذکورة عن أفعال الصلاة التی هی من مقولة الوضع و الهیئات 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تلک الحرکات هی مرکز التکلیف باعتبار کون تلک الهیئات نتائج عن تلک الحرکات، و جعل نسبة تلک النتائج إلی تلک الحرکات کنسبة أسماء المصادر إلی المصادر، و قاس ذلک علی العناوین الثانویة المتولّدة من العناوین الأوّلیة کتولّد الطهارة من الحدث من أفعال الوضوء، و حینئذ یکون المکلّف به فیما نحن فیه هو تحصیل هیئة الرکوع الذی هو من مقولة الوضع، و هو أعنی تحصیل الرکوع متّحد مع حرکة الهوی إلیه و هی متّحدة مع الغصب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فإنّ لنا مقدّمة تکون علّة لحصول ذیها الذی هو الواجب،</w:t>
      </w:r>
    </w:p>
    <w:p>
      <w:pPr>
        <w:pStyle w:val="BookText"/>
        <w:rPr/>
      </w:pPr>
      <w:r>
        <w:rPr>
          <w:rFonts w:ascii="IRNazanin" w:hAnsi="IRNazanin" w:eastAsia="IRNazanin"/>
          <w:color w:val="111111"/>
          <w:sz w:val="28"/>
          <w:sz w:val="28"/>
          <w:szCs w:val="28"/>
          <w:rtl w:val="true"/>
          <w:lang w:bidi="fa-IR"/>
        </w:rPr>
        <w:t>و ذلک مثل آخر حرکة یتعقّبها الکون فی المسجد أو علی السطح لمن توجّه إلیه الأمر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فعل له عنوان أوّلی و عنوان آخر ثانوی علی وجه یتخلّل بینهما الفاء کما فی مثل الالقاء و الاحراق، مع أنّه لیس فی الخارج إلّا فعل واحد و هو إخلاء الید من الشی‌ء الذی یکون عنوانه الأوّلی هو الالقاء و عنوانه الثانوی هو الاحراق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أیضا مصدر و اسم المصدر، و هذا الأخیر لا یکون لنا فیه إلّا فعل واحد و هو ذلک الحدث الصادر منّا، إن لاحظناه فی حدّ نفسه بما أنّه موجود من الماهیات، غایته أنّه عرض لا جوهر نعبّر عنه باسم المصدر، و إن لاحظنا صدوره منّا بأن لاحظنا جهة صدوره نعبّر عنه بالمصدر علی ما مرّ غیر مرّة فی بیان الفرق بین المصدر و اسم المصدر، و لیس فی هذا الأخیر تعدّد واقعی کما فی الأوّل و لا تعدّد عنوانی کما فی الثانی علی وجه یوجب تخلّل الفاء بین العنوانین، بل لیس فیه إلّا شی‌ء واحد یلاحظ فی حدّ نفسه أو یلاحظ بما أنّه صادر عن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الحرکات الخارجیة التی یتعقّبها تلک الهیئات الصلاتیة کالهوی الذی یتعقّبه الرکوع لیس إلّا من قبیل القسم الأوّل، فلا یکون الأمر المتعلّق بتلک الهیئة متعلّقا بنفس تلک الحرکة، بل لا تخرج الحرکة بذلک عن کونها مقدّمة وجودیة و کون الواجب مترتّبا علیها، کترتّب الکون فی المسجد علی آخر حرکة انتقالیة واقعة من المکلّف الساعی لتحصیل ما وجب علیه من الکون فیه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الرکوع نفسه یجری فیه لحاظ اسم المصدر و هو عبارة عن نفس تلک الهیئة الوضعیة، و لحاظ المصدر و هو عبارة عن جهة صدورها من المکلّف، و هو بهذا الاعتبار الأخیر یکون موردا للأمر و النهی إلّا أنّ جهة صدوره لیس هی إلّا عبارة عن إیجاد المکلّف له، و لیست هی عبارة عن تلک الحرکة الانتقالیة،</w:t>
      </w:r>
    </w:p>
    <w:p>
      <w:pPr>
        <w:pStyle w:val="BookText"/>
        <w:rPr/>
      </w:pPr>
      <w:r>
        <w:rPr>
          <w:rFonts w:ascii="IRNazanin" w:hAnsi="IRNazanin" w:eastAsia="IRNazanin"/>
          <w:color w:val="111111"/>
          <w:sz w:val="28"/>
          <w:sz w:val="28"/>
          <w:szCs w:val="28"/>
          <w:rtl w:val="true"/>
          <w:lang w:bidi="fa-IR"/>
        </w:rPr>
        <w:t>و إنّما تلک الحرکة الانتقالیة مقدّمة لوجوده، و إیجاده یحصل بها، و مجرّد کون إیجاده و القدرة علیه حاصلا بواسطة إیجاد تلک المقدّمة لا یوجب اتّحاده مع تلک المقدّمة علی وجه یکون أحدهما عین الآخر و لو مع تعدّد العنوان الأوّلی و الثانوی، فضلا عن الاتّحاد الأخیر الذی هو اتّحاد المصدر مع اسم المصدر الذی هو من مقولة الفرق الاعتباری بین الایجاد و الوجود فلاحظ و تأمّل، هذا حاصل ما یتعلّق بما أفاده أوّلا فی الجواب عن هذه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أجاب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امکان تعلّق التکلیف بنفس النتیجة من دون الارجاع إلی المعنی المصدری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یمکن حصول القرب من نتیجة فعل یکون محرّما، لأنّ حسن الأفعال و قبحها إنّما یکون بملاحظة اختیار الفاعل، و لو فرضنا أنّ الفاعل لم یتحقّق منه إلّا الاختیار السوء و قصد المعصیة فکیف یمکن أن یکون نتیجة هذا الاختیار السوء حسنا و مقرّبا، و ما قرع سمعک من عدم منافاة تحقّق الواجب العبادی مع کون المقدّمة محرّمة فهو فیما إذا بقی للمکلّف اختیار بعد الفراغ عن تلک المقدّمة المحرّمة، کما فی مثال الحجّ مع رکوب الدابة المغصوبة، دون ما إذا لم یکن له إلّا اختیار واحد کما فیما نحن فیه فلیتأمّل جیّدا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عدم امکان التقرّب إنّما هو لأجل کونه غیر اختیاری، و کونه بعد الفراغ عن تلک المقدّمة یکون خارجا عن حیّز الاختیار، و إلّا فلو فرضنا أنّه کان بعد المقدّمة اختیاریا لم یکن حرمة مقدّمته مانعة من حصول التقرّب به، بل و عن الأمر به معلّقا علی الاتیان بمقدّمته و لو عصیانا علی نحو الترتّب، و قد تقدّم</w:t>
      </w:r>
    </w:p>
    <w:p>
      <w:pPr>
        <w:pStyle w:val="BookText"/>
        <w:rPr/>
      </w:pPr>
      <w:r>
        <w:rPr>
          <w:rFonts w:ascii="IRNazanin" w:hAnsi="IRNazanin" w:eastAsia="IRNazanin"/>
          <w:color w:val="111111"/>
          <w:sz w:val="28"/>
          <w:sz w:val="28"/>
          <w:szCs w:val="28"/>
          <w:rtl w:val="true"/>
          <w:lang w:bidi="fa-IR"/>
        </w:rPr>
        <w:t xml:space="preserve">فی بعض ما علّقناه علی ص </w:t>
      </w:r>
      <w:r>
        <w:rPr>
          <w:rFonts w:eastAsia="IRNazanin" w:cs="IRNazanin"/>
          <w:color w:val="111111"/>
          <w:sz w:val="28"/>
          <w:szCs w:val="28"/>
          <w:lang w:bidi="fa-IR"/>
        </w:rPr>
        <w:t>208</w:t>
      </w:r>
      <w:r>
        <w:rPr>
          <w:rStyle w:val="FootnoteAnchor"/>
          <w:rtl w:val="true"/>
        </w:rPr>
        <w:footnoteReference w:id="161"/>
      </w:r>
      <w:r>
        <w:rPr>
          <w:rFonts w:ascii="IRNazanin" w:hAnsi="IRNazanin" w:eastAsia="IRNazanin"/>
          <w:color w:val="111111"/>
          <w:sz w:val="28"/>
          <w:sz w:val="28"/>
          <w:szCs w:val="28"/>
          <w:rtl w:val="true"/>
          <w:lang w:bidi="fa-IR"/>
        </w:rPr>
        <w:t>ما له دخل فی هذه الجهة، أعنی إمکان تعلّق الأمر بالمسبّب المباین للسبب مع فرض کون سببه مقدورا، من جهة أنّ المقدور بالواسطة مقدور، أو أنّه لا یمکن ذلک و أنّ ما یکون من هذا القبیل إنّما یکون من قبیل العناوین الثانویة بالنسبة إلی الجزء الأخیر من المقدّمة کما أشرنا إلیه هنا و شرحنا ثمّة فراجع، و الغرض هنا هو أنّ مجرّد حرمة المقدّمة لا یکون مانعا من إمکان التقرّب بذیها ما لم یکن فی البین مانع من عدم کون الفعل المتقرّب به داخلا تحت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تلخّص أنّ الجزء الأخیر من هذه الحرکات الانتقالیة یکون جزءا صلاتیا، فیکون تحریکه اللباس أو المحمول موجبا لفساد الصلاة، فیکون داخلا فی مسألة النهی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هناک شیئا آخر و هو أنّ آخر حرکة یتعقّبها الواجب الأصلی الذی هو الرکوع أو الکون فی المسجد یکون نسبتها إلی ذلک الواجب نسبة العناوین الأوّلیة إلی العناوین الثانویة، لأنّ تلک الحرکة لا یبقی معها اختیار للمکلّف بالنسبة إلی ذلک الواجب، و تکون هی محقّقة لذلک الواجب، و لعلّ ذلک هو مراد المرحوم الحاج آقا رضا قدّس سرّه فی کتاب الصلاة عند تعرّضه للإشکال المزبور بقوله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المناقشة فی تسمیة الحرکة رکوعا أو سجودا أو قیاما حیث إنّ هذه الأفعال بحسب الظاهر أسام للکون الحاصل عقیب تلک الحرکات غیر مجدیة، إلّا علی القول بعدم اعتبارها رأسا فی ماهیة الصلاة و إنّما هی من مقدّمات الأفعال، و هو باطلاقه ضعیف کما ستعرفه إن شاء اللّه تعالی، فیتمّ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الحرکات</w:t>
      </w:r>
      <w:bookmarkStart w:id="104" w:name="pg19667_765060"/>
    </w:p>
    <w:p>
      <w:pPr>
        <w:pStyle w:val="BookText"/>
        <w:rPr/>
      </w:pPr>
      <w:bookmarkEnd w:id="104"/>
      <w:r>
        <w:rPr>
          <w:rFonts w:ascii="IRNazanin" w:hAnsi="IRNazanin" w:eastAsia="IRNazanin"/>
          <w:color w:val="111111"/>
          <w:sz w:val="28"/>
          <w:sz w:val="28"/>
          <w:szCs w:val="28"/>
          <w:rtl w:val="true"/>
          <w:lang w:bidi="fa-IR"/>
        </w:rPr>
        <w:t>الواقعة فی اللباس المغصوب الحاصلة بفعل الصلاة منهیا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یصدق علی الحرکات اسم الرکوع أو السجود و نحوه حقیقة کما هو واضح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إشارة إلی ما ذکره فی مبحث الرکوع </w:t>
      </w:r>
      <w:r>
        <w:rPr>
          <w:rStyle w:val="FootnoteAnchor"/>
          <w:rtl w:val="true"/>
        </w:rPr>
        <w:footnoteReference w:id="163"/>
      </w:r>
      <w:r>
        <w:rPr>
          <w:rFonts w:ascii="IRNazanin" w:hAnsi="IRNazanin" w:eastAsia="IRNazanin"/>
          <w:color w:val="111111"/>
          <w:sz w:val="28"/>
          <w:sz w:val="28"/>
          <w:szCs w:val="28"/>
          <w:rtl w:val="true"/>
          <w:lang w:bidi="fa-IR"/>
        </w:rPr>
        <w:t>من کون الهوی داخلا فی حقیقته أو أنّه مقدّمة له، فراجع</w:t>
      </w:r>
      <w:r>
        <w:rPr>
          <w:rFonts w:eastAsia="IRNazanin" w:cs="IRNazanin"/>
          <w:color w:val="111111"/>
          <w:sz w:val="28"/>
          <w:szCs w:val="28"/>
          <w:rtl w:val="true"/>
          <w:lang w:bidi="fa-IR"/>
        </w:rPr>
        <w:t>.</w:t>
      </w:r>
    </w:p>
    <w:p>
      <w:pPr>
        <w:pStyle w:val="Heading4"/>
        <w:numPr>
          <w:ilvl w:val="3"/>
          <w:numId w:val="1"/>
        </w:numPr>
        <w:rPr/>
      </w:pPr>
      <w:bookmarkStart w:id="105" w:name="__RefHeading___Toc3538519_2314609296"/>
      <w:bookmarkStart w:id="106" w:name="_Toc37"/>
      <w:bookmarkEnd w:id="105"/>
      <w:r>
        <w:rPr>
          <w:rtl w:val="true"/>
        </w:rPr>
        <w:t>[</w:t>
      </w:r>
      <w:r>
        <w:rPr>
          <w:rtl w:val="true"/>
        </w:rPr>
        <w:t>المناقشة فی التمثیل لمورد عدم المندوحة دائما فی مسألة الاجتماع عود لمسألة الاضطرار لا بسوء الاختیار</w:t>
      </w:r>
      <w:r>
        <w:rPr>
          <w:rtl w:val="true"/>
        </w:rPr>
        <w:t>]</w:t>
      </w:r>
      <w:bookmarkEnd w:id="10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خطاب المأمور به شمولیا بحیث یشمل مورد الاجتماع أیضا کما أنّ الخطاب التحریمی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قدّس سرّه فیما حرّرته عنه فی هذا المقام، أعنی مورد عدم المندوحة دائما ما هذا لفظه حسبما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فی ذلک أنّ عدم المندوحة تارة یکون دائمیا کما لو فرض أنّ إطلاق الأمر کان شمولیا، کما فی مثل الأمر بتعظیم کلّ عالم و النهی عن اکرام الفاسق و اجتمع الاکرام و التعظیم فی فعل واحد بالنسبة إلی شخصین یکون أحدهما عالما و الآخر فاسقا، أو شخص واحد یکون عالما و فاسقا بناء علی کون ذلک من مسألة الاجتماع، فإنّه حینئذ یکون ذلک الاطلاق أعنی اطلاق الأمر شمولیا، و یکون کلّ فعل مأمورا به بأمر مستقلّ، فیکون الفرد من الکلّی الذی هو متعلّق ذلک الأمر المجتمع مع الفرد من متعلّق النهی مأمورا به بأمر مستقل، و لا یکون فی امتثال الأمر المتوجّه إلی ذلک الفرد مندوحة عن ارتکاب عصیان النهی، و یکون عدم المندوحة فی امتثال ذلک الأمر دائمیا، فإنّ المأمور به و إن کانت له أفراد أخر إلّا أنّ تلک الأفراد مأمور بها بأوامر أخر مستقلّة، کما أنّ هذا الفرد مأمور به بأمر مستقل،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المثال غیر صالح لما نحن فیه من مسألة الاجتماع، لکونه خارجا عن هذه المسألة من ناحیة الموضوع أعنی العالم و الفاسق، و أنّ ترکّبهما اتّحادی کما مرّ فی صدر المسألة</w:t>
      </w:r>
      <w:r>
        <w:rPr>
          <w:rStyle w:val="FootnoteAnchor"/>
          <w:rtl w:val="true"/>
        </w:rPr>
        <w:footnoteReference w:id="165"/>
      </w:r>
      <w:r>
        <w:rPr>
          <w:rFonts w:ascii="IRNazanin" w:hAnsi="IRNazanin" w:eastAsia="IRNazanin"/>
          <w:color w:val="111111"/>
          <w:sz w:val="28"/>
          <w:sz w:val="28"/>
          <w:szCs w:val="28"/>
          <w:rtl w:val="true"/>
          <w:lang w:bidi="fa-IR"/>
        </w:rPr>
        <w:t xml:space="preserve">، و لا یکون مثالا للجهة التی نحن فیه من مسألة الاجتماع التی یکون عدم المندوحة فیها دائمیا إلّا علی فرض و قول أو احتمال تقدّم </w:t>
      </w:r>
      <w:r>
        <w:rPr>
          <w:rStyle w:val="FootnoteAnchor"/>
          <w:rtl w:val="true"/>
        </w:rPr>
        <w:footnoteReference w:id="166"/>
      </w:r>
      <w:r>
        <w:rPr>
          <w:rFonts w:ascii="IRNazanin" w:hAnsi="IRNazanin" w:eastAsia="IRNazanin"/>
          <w:color w:val="111111"/>
          <w:sz w:val="28"/>
          <w:sz w:val="28"/>
          <w:szCs w:val="28"/>
          <w:rtl w:val="true"/>
          <w:lang w:bidi="fa-IR"/>
        </w:rPr>
        <w:t>بطلانه، و هو کونه من مسألة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یمثّل لذلک بالأمر الاستحبابی المتعلّق بمطلق الصلاة، أعنی النافلة المبتدأة فی الدار المغصوبة، فإنّ التزاحم بینه و بین مثل لا تغصب دائمی، فینبغی أن یکون اجتماعهما داخلا فی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لازم کونهما من باب التعارض هو الحکم ببطلان النافلة المبتدأة فی المکان المغصوب إذا کان المکلّف جاهلا بالغصبیة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الجواب عنه بأنّ الاستحباب لا یزاحم الحرام، لما لا یخفی من تحقّق التدافع بینهما بالضرورة، و إنّما نقول إنّ المستحبّ لا یزاحم الحرام لأنّا نقول إنّ الحرمة مقدّمة علی الاستحباب فی مقام التزاحم، و المفروض أنّ المقام مقام تعارض لا مقام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یهوّن الإشکال هو عدم ترتّب الأثر علی فساد النافلة المبتدأة لو قدّمنا دلیل التحریم علی دلیل الاستحباب بعد فرض المعارضة بینهما، إذ لیس لها إعادة و لا قضاء إلّا إذا کانت منذورة و جاء بها فی الدار المغصوبة، هذا ما حرّرته سابقا فی التعلیق علی ما نقلته عنه قدّس سرّه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هذا المثال أیضا لا یصلح مثالا لما نحن فیه من مسألة الاجتماع و کون عدم المندوحة دائمیا، فإنّ عموم هذا الأمر الاستحبابی و إن کان</w:t>
      </w:r>
    </w:p>
    <w:p>
      <w:pPr>
        <w:pStyle w:val="BookText"/>
        <w:rPr/>
      </w:pPr>
      <w:r>
        <w:rPr>
          <w:rFonts w:ascii="IRNazanin" w:hAnsi="IRNazanin" w:eastAsia="IRNazanin"/>
          <w:color w:val="111111"/>
          <w:sz w:val="28"/>
          <w:sz w:val="28"/>
          <w:szCs w:val="28"/>
          <w:rtl w:val="true"/>
          <w:lang w:bidi="fa-IR"/>
        </w:rPr>
        <w:t>شمولیا، و کانت النافلة فی هذا الزمان الذی هو زمان الاتیان بها فی الدار المغصوبة مأمورا بها فی نفسها بالخصوص لا علی البدل، إلّا أنّ هذه النافلة فی هذا الزمان لمّا کانت فی حدّ نفسها یمکن الاتیان بها فی نفس ذلک الزمان لکن فی مکان آخر، لم تکن من باب عدم 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أنّه قد اتّفق أنّه لا یمکنه الاتیان بها إلّا فی ذلک المکان المغصوب کان من اتّفاق عدم المندوحة، لا من باب دوام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حتّی الآن لم أتوفّق للعثور علی مثال لمسألة الاجتماع مع کون عدم المندوحة دائمیا، أمّا مسألة وجوب استقبال القبلة و حرمة استدبار الجدی فهو أیضا خارج عن مسألة الاجتماع التی یکون فیها ترکّب بین المتعلّقین، غایته أنّه ترکّب انضمامی لا اتّحادی، لما تقدّم فی محلّه </w:t>
      </w:r>
      <w:r>
        <w:rPr>
          <w:rStyle w:val="FootnoteAnchor"/>
          <w:rtl w:val="true"/>
        </w:rPr>
        <w:footnoteReference w:id="167"/>
      </w:r>
      <w:r>
        <w:rPr>
          <w:rFonts w:ascii="IRNazanin" w:hAnsi="IRNazanin" w:eastAsia="IRNazanin"/>
          <w:color w:val="111111"/>
          <w:sz w:val="28"/>
          <w:sz w:val="28"/>
          <w:szCs w:val="28"/>
          <w:rtl w:val="true"/>
          <w:lang w:bidi="fa-IR"/>
        </w:rPr>
        <w:t>من خروج المتلازمین فی الوجود عن باب الاجتماع،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ممّا حرّره المرحوم الشیخ محمّد علی من التمثیل لذلک باستقبال المشرق و استدبار المغرب لم یتّضح وجهه، فإنّه قد جعل العنوان هو ما لو فرض تعلّق الأمر بعنوان و تعلّق النهی بعنوان آخر و کانت النسبة بین العنوانین العموم من وجه، و کان الترکیب بینهما انضمامیا لا اتّحادیا، و لکن کان کلّ من إطلاق الأمر و إطلاق النهی شمولیا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ینبغی التنبیه علی ذلک و أنّه قد فاتنا التنبیه علیه، إلی آخر ما ذکره فی التحریر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شیخنا قدّس سرّه قد نبّه علی هذا المثال فی أوائل مسألة الترتّب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عند تعرّضه لضبط موارد التزاحم، و أفاد هناک أنّ التلازم بین متعلّق الأمر و متعلّق النهی لو کان دائمیا کان داخلا فی باب التعارض و خارجا عن باب التزاحم،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المثال لا یصلح لما نحن فیه، لأنّ خروجه عن باب الاجتماع لیس من جهة کون الأمر شمولیا، بل من جهة أنّه أمر بما یکون فی حدّ نفسه ملازما للحرام، مضافا إلی أنّه لیس من وادی الترکّب الانضمامی و لا من وادی الترکّب الاتّحادی، بل هو من وادی اجتماع الفعلین المتلازمین غیر المخلوط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إنّه لیس فی البین إلّا فعل واحد و هو ذلک الوضع الخاصّ الذی یکون مصداقا لکلّ من الاستقبال و الاستدبار کان من الترکّب الاتّحادی حینئذ، فیکون خارجا عمّا صدّر به العنوان من الترکّب الانضمامی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صحّة ما ذهب إلیه المشهور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الطولیة، و لا یخفی أنّ المراد بالطولیة هو أن یکون تقیید الصلاة بعدم الشی‌ء فرعا عن حرمة ذلک الشی‌ء، لا مجرّد عدم الأمر بالعبادة الناشئ عن تعلّق النهی بها، فإنّ هذا لا ینکره شیخنا قدّس سرّه و لا غیره، و لا یدّعی شیخنا قدّس سرّه أنّه فی عرض التحریم، و إنّما الذی یدّعیه شیخنا هو أنّ تقیید الصلاة بمثل عدم الحریر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ناشئا عن حرمة لبسه، و أنّ ذلک حاله حال تقیید الصلاة بعدم لباس ما یحرم أکل لحمه فی کون التقیید فی عرض حرمة الأکل لا فی طوله، و 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قلنا فیما سیأتی </w:t>
      </w:r>
      <w:r>
        <w:rPr>
          <w:rStyle w:val="FootnoteAnchor"/>
          <w:rtl w:val="true"/>
        </w:rPr>
        <w:footnoteReference w:id="171"/>
      </w:r>
      <w:r>
        <w:rPr>
          <w:rFonts w:ascii="IRNazanin" w:hAnsi="IRNazanin" w:eastAsia="IRNazanin"/>
          <w:color w:val="111111"/>
          <w:sz w:val="28"/>
          <w:sz w:val="28"/>
          <w:szCs w:val="28"/>
          <w:rtl w:val="true"/>
          <w:lang w:bidi="fa-IR"/>
        </w:rPr>
        <w:t>إنّ الطولیة مسلّمة فی باب الاجتماع علی القول بالامتناع، و أنّ العرضیة لا بدّ من الالتزام بها فی اللباس من غیر المأکول و محلّ</w:t>
      </w:r>
    </w:p>
    <w:p>
      <w:pPr>
        <w:pStyle w:val="BookText"/>
        <w:rPr/>
      </w:pPr>
      <w:r>
        <w:rPr>
          <w:rFonts w:ascii="IRNazanin" w:hAnsi="IRNazanin" w:eastAsia="IRNazanin"/>
          <w:color w:val="111111"/>
          <w:sz w:val="28"/>
          <w:sz w:val="28"/>
          <w:szCs w:val="28"/>
          <w:rtl w:val="true"/>
          <w:lang w:bidi="fa-IR"/>
        </w:rPr>
        <w:t>تأمّل فی لباس الحریر و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مجرّد النهی عن العبادة و کونه موجبا لعدم الأمر بها فهو لا یسقط إلّا عند الاضطرار لتلک العبادة، و هذا لا دخل له بالاضطرار إلی ما یحرم لبسه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الاضطرار إلی مطلق التصرّف بالماء المغصوب و جواز الوضوء منه حینئذ، ففیه أنّ نفس الوضوء إن کان حراما لم یکن الاضطرار إلی استعمال الماء المذکور مسوغا له، و إن کان الحرام هو مطلق التصرّف فلو فرضنا أنّه صار مضطرا إلی التصرّف کان حاله حال من اضطرّ إلی لبس المغصوب لأجل البرد مثلا، فلا مانع له من الصلاة فیه حینئذ، و لیس هذا له دخل بالمانعیة العرضیة التی یدّعیها شیخنا قدّس سرّه، لما عرفت من أنّ تلک هی عبارة عن القید العدمی المأخوذ فی العبادة، لا مطلق ما یکون موجبا لفسادها الذی هو حرمتها بنفسها الموجب لعدم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المقام الأوّل فتوضیح الحال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القیود العدمیة المعتبرة فی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فی ذلک هو أنّ النهی تارة یکون مسوقا للمانعیة الصرفة، کما فی مثل لا تصلّ فی 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للنهی التکلیفی عن اللبس کما فی حرمة لبس الحریر و الذهب، فتکون الصلاة به باطلة من جهة عدم إمکان التقرّب بها لأجل ما هی علیه من الخصوصیة المبغوضة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بذلک مسألة الاجتماع إن قلنا بالجواز من الجهة الأولی و الامتناع من الجهة الثانیة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 یکون المنهی عنه هو نفس الصلاة فیه، کما یقال إنّ الذهب یحرم</w:t>
      </w:r>
    </w:p>
    <w:p>
      <w:pPr>
        <w:pStyle w:val="BookText"/>
        <w:rPr/>
      </w:pPr>
      <w:r>
        <w:rPr>
          <w:rFonts w:ascii="IRNazanin" w:hAnsi="IRNazanin" w:eastAsia="IRNazanin"/>
          <w:color w:val="111111"/>
          <w:sz w:val="28"/>
          <w:sz w:val="28"/>
          <w:szCs w:val="28"/>
          <w:rtl w:val="true"/>
          <w:lang w:bidi="fa-IR"/>
        </w:rPr>
        <w:t>لبسه و یحرم أیضا الصلاة فیه حرمة تکلیفیة زائدة علی حرمة لبسه، و کذا إن قلنا إنّه لا یحرم لبسه بنفسه و إنّما یحرم الصلاة فیه، فیکون نظیر التکفیر بناء علی کون الصلاة معه حراما لا أنّه بنفسه حرام، و منه مسألة الاجتماع علی القول بالامتناع من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تکون المانعیة تابعة للنهی التکلیفی أو تکون ناشئة عن منشئه، بأن یکون کلّ منهما فی عرض الآخر، کما یقال ذلک فی الصلاة فی الحریر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جمیع هذه الممنوعات تکلیفا أو تقییدا یکون الاضطرار إلی مخالفته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هناک من یجبره علی لبس ذلک فی حال الصلاة، بمعنی أنّه لا یدعه یصلّی حتّی یلبس ذلک الملبوس، و إن کان هو غیر مضطرّ إلی لبسه لکنّه لو أراد أن یصلّی لم یتمکّن من الصلاة إلّا معه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النحو هو الذی أراده فی العروة بقوله فی 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المضطرّ إلی الصلاة فی المکان المغصوب فلا إشکال فی صحّة صلاته </w:t>
      </w:r>
      <w:r>
        <w:rPr>
          <w:rStyle w:val="FootnoteAnchor"/>
          <w:rtl w:val="true"/>
        </w:rPr>
        <w:footnoteReference w:id="174"/>
      </w:r>
      <w:r>
        <w:rPr>
          <w:rFonts w:ascii="Amiri" w:hAnsi="Amiri" w:eastAsia="Amiri" w:cs="Amiri"/>
          <w:color w:val="111111"/>
          <w:sz w:val="28"/>
          <w:sz w:val="28"/>
          <w:szCs w:val="28"/>
          <w:rtl w:val="true"/>
          <w:lang w:bidi="ar-SA"/>
        </w:rPr>
        <w:t>بعد أن تعرّض لصلاة المحبوس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حدّ نفسه مضطرّا إلی ذلک لبرد مثلا، سواء صلّی أو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له ساتر غیره و إن لم یکن مضطرّا فی نفسه إلی لبسه، و لا کان مضطرّا إلی الصلاة فیه لإمکان أن یصلّی عاریا، و إنّما یتصوّر ذلک فی مثل اللباس دون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حکموا فیها بعدم سقوط المنع، و ألزموا المکلّف فی مثل ذلک بالصلاة عاریا، ذکر ذلک فی العروة مسألة </w:t>
      </w:r>
      <w:r>
        <w:rPr>
          <w:rFonts w:eastAsia="IRNazanin" w:cs="IRNazanin"/>
          <w:color w:val="111111"/>
          <w:sz w:val="28"/>
          <w:szCs w:val="28"/>
          <w:lang w:bidi="fa-IR"/>
        </w:rPr>
        <w:t>38</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احتیط بالتکرار فی النجس أو ما لا یؤکل لحمه کما یظهر من العروة</w:t>
      </w:r>
      <w:r>
        <w:rPr>
          <w:rStyle w:val="FootnoteAnchor"/>
          <w:rtl w:val="true"/>
        </w:rPr>
        <w:footnoteReference w:id="176"/>
      </w:r>
      <w:r>
        <w:rPr>
          <w:rFonts w:ascii="IRNazanin" w:hAnsi="IRNazanin" w:eastAsia="IRNazanin"/>
          <w:color w:val="111111"/>
          <w:sz w:val="28"/>
          <w:sz w:val="28"/>
          <w:szCs w:val="28"/>
          <w:rtl w:val="true"/>
          <w:lang w:bidi="fa-IR"/>
        </w:rPr>
        <w:t>، و إن کان ظاهر عبارة شیخنا هو استحباب الاحتیاط بالتکرار فی الجمیع، فیصلّی عاریا مرّة و معه أخری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سقوط جمیع هذه الممنوعات و جواز الصلاة بل وجوبها مع أحدها</w:t>
      </w:r>
      <w:r>
        <w:rPr>
          <w:rStyle w:val="FootnoteAnchor"/>
          <w:rtl w:val="true"/>
        </w:rPr>
        <w:footnoteReference w:id="177"/>
      </w:r>
      <w:r>
        <w:rPr>
          <w:rFonts w:ascii="IRNazanin" w:hAnsi="IRNazanin" w:eastAsia="IRNazanin"/>
          <w:color w:val="111111"/>
          <w:sz w:val="28"/>
          <w:sz w:val="28"/>
          <w:szCs w:val="28"/>
          <w:rtl w:val="true"/>
          <w:lang w:bidi="fa-IR"/>
        </w:rPr>
        <w:t>، إلّا فیما لو کان النهی متوجّها إلی الصلاة نفسها بأن یکون</w:t>
      </w:r>
    </w:p>
    <w:p>
      <w:pPr>
        <w:pStyle w:val="BookText"/>
        <w:rPr/>
      </w:pPr>
      <w:r>
        <w:rPr>
          <w:rFonts w:ascii="IRNazanin" w:hAnsi="IRNazanin" w:eastAsia="IRNazanin"/>
          <w:color w:val="111111"/>
          <w:sz w:val="28"/>
          <w:sz w:val="28"/>
          <w:szCs w:val="28"/>
          <w:rtl w:val="true"/>
          <w:lang w:bidi="fa-IR"/>
        </w:rPr>
        <w:t>النهی قد توجّه إلی الصلاة مع الحریر، ففی مثل ذلک تأمّل، لوقوع التزاحم بین وجوب الصلاة و بین حرمتها مع 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الأولی فإن کان المنع تقییدیا صرفا فالظاهر سقوط القید فیلزمه أن یصلّی مع غیر المأکول، و لا یجوز له ترک الصلاة، و إن کان فی البین حرمة تکلیفیة وقع التزاحم بینها و بین وجوب الصلاة، و لا ریب فی تقدّم الحرمة علی الوجوب لو کان المحرّم هو نفس الصلاة، و کذلک لو کان المحرّم هو اللبس لکن کان من حقوق البشر مثل الغصب، أمّا لو کان من قبیل الذهب و الحریر بناء علی کون الحرمة مقصورة علی لبسه ففیه إشکال، و إن أمکن أن یقال بسقوط الحرمة أخذا من اطلاق أنّ الصلاة لا تسقط بحال </w:t>
      </w:r>
      <w:r>
        <w:rPr>
          <w:rStyle w:val="FootnoteAnchor"/>
          <w:rtl w:val="true"/>
        </w:rPr>
        <w:footnoteReference w:id="178"/>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الاستحاضة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لکن ذلک محلّ تأمّل 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التفصیل فراجع ما حرّرناه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هذا المقام علی تحریراتنا عن شیخنا قدّس سرّه فی هذا المقام و فی مبحث النهی عن العبادة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الذی یظهر ممّا حرّره عنه المرحوم الشیخ محمّد علی بقوله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متمکّنا من ترک الغصب و لکن کان غیر متمکّن من الصلاة إلّا فی المغصوب،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أخرج هذه الصورة من البحث عن الاضطرار لا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فی بعض ما حرّرته عنه أیضا إیماء إلی ذلک، و إن کانت العبارة التی حرّرتها عنه فی هذه الجهة مجملة لم یتّضح لی فعلا المراد</w:t>
      </w:r>
    </w:p>
    <w:p>
      <w:pPr>
        <w:pStyle w:val="BookText"/>
        <w:rPr/>
      </w:pPr>
      <w:r>
        <w:rPr>
          <w:rFonts w:ascii="IRNazanin" w:hAnsi="IRNazanin" w:eastAsia="IRNazanin"/>
          <w:color w:val="111111"/>
          <w:sz w:val="28"/>
          <w:sz w:val="28"/>
          <w:szCs w:val="28"/>
          <w:rtl w:val="true"/>
          <w:lang w:bidi="fa-IR"/>
        </w:rPr>
        <w:t xml:space="preserve">منها، فراجع </w:t>
      </w:r>
      <w:r>
        <w:rPr>
          <w:rStyle w:val="FootnoteAnchor"/>
          <w:rtl w:val="true"/>
        </w:rPr>
        <w:footnoteReference w:id="180"/>
      </w:r>
      <w:r>
        <w:rPr>
          <w:rFonts w:ascii="Amiri" w:hAnsi="Amiri" w:eastAsia="Amiri" w:cs="Amiri"/>
          <w:color w:val="111111"/>
          <w:sz w:val="28"/>
          <w:sz w:val="28"/>
          <w:szCs w:val="28"/>
          <w:rtl w:val="true"/>
          <w:lang w:bidi="ar-SA"/>
        </w:rPr>
        <w:t>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صورة الاضطرار إلی لبس الحریر أو غیر المأکول المعتبر عدمها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إسقاط لبس الحریر و إخراجه عن هذا القسم الذی یکون النهی فیه ممحّضا للمانعیة، لکونه داخلا فی القسم الثانی الذی تکون المانعیة منتزعة عن الحرمة التکلیفیة أو فی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الثانی فإن قلنا فیه بأنّ القیدیة تابعة للحرمة و مرتبتها متأخّرة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قلنا بأنّ القیدیة و الحرمة معلولان للنهی فی مرتبة واحدة من دون سبق و لحوق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صدر العبارة</w:t>
      </w:r>
      <w:r>
        <w:rPr>
          <w:rStyle w:val="FootnoteAnchor"/>
          <w:rtl w:val="true"/>
        </w:rPr>
        <w:footnoteReference w:id="183"/>
      </w:r>
      <w:r>
        <w:rPr>
          <w:rFonts w:ascii="IRNazanin" w:hAnsi="IRNazanin" w:eastAsia="IRNazanin"/>
          <w:color w:val="111111"/>
          <w:sz w:val="28"/>
          <w:sz w:val="28"/>
          <w:szCs w:val="28"/>
          <w:rtl w:val="true"/>
          <w:lang w:bidi="fa-IR"/>
        </w:rPr>
        <w:t>أنّه أدخل فی هذا القسم مورد اجتماع الأمر و النهی علی القول بالامتناع، و حینئذ یتعیّن فیه الطولیة، لأنّ فساد الصلاة فیه یکون ناشئا عن حرمة الصلاة فیه، و حرمة الصلاة فیه ناشئة عن حرمة الغصب لأجل دعوی ترکّبها معه ترکّبا اتّحادیا، فإذا حلّ الغصب لأجل الاضطرار انعدم ما کان مترتّبا علی حرمته من حرمة الصلاة و فسادها فیه، و هذا بخلاف ما لو کان الغصب مجهولا فإنّه لا یرفع الحرمة الواقعیة التی أوجبت خروج المجمع عن حیّز الأمر خروجا واقعیا، لأنّ الجهل لا یوجب الحلّیة، و إنّما أقصاه أن یوجب</w:t>
      </w:r>
    </w:p>
    <w:p>
      <w:pPr>
        <w:pStyle w:val="BookText"/>
        <w:rPr/>
      </w:pPr>
      <w:r>
        <w:rPr>
          <w:rFonts w:ascii="IRNazanin" w:hAnsi="IRNazanin" w:eastAsia="IRNazanin"/>
          <w:color w:val="111111"/>
          <w:sz w:val="28"/>
          <w:sz w:val="28"/>
          <w:szCs w:val="28"/>
          <w:rtl w:val="true"/>
          <w:lang w:bidi="fa-IR"/>
        </w:rPr>
        <w:t>المعذوریة التی لا تنافی بقاء الحرمة الواقعیة، فهو فی ذلک نظیر النهی المتعلّق بنفس العبادة فی أنّ الجهل به لا یوجب سقوطه واقعا لتکون العبادة حینئذ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باب الاجتماع علی القول بالامتناع یتعیّن فیه الطولیة، و لا أظنّ أنّ أحدا یحتمل فیه العرضیة، و لکن مع ذلک کلّه ینبغی مراجعة هذا البحث فی مبحث النهی عن العبادة عند التعرّض لأقسام المانعیة، و ینبغی مراجعة ما علّقناه هناک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یتعیّن للعرضیة فهو مانعیة ما لا یؤکل لحمه، فإنّ فساد الصلاة فیه و حرمة أکله کلاهما فی عرض واحد ناشئان عن ملاک واحد، و حینئذ لا یکون الاضطرار إلی أکله مسوغا للصلاة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اضطرّ إلی لبسه کان ذلک موجبا لسقوط المانعیة و کان موردا للقسم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لباس الحریر و الذهب فقد ورد النهی عنه کما ورد النهی عن الصلاة فیه، فإن کان النهی التکلیفی المتعلّق بالصلاة فیه ناشئا عن حرمة لبسه کانت المانعیة الناشئة عن حرمة الصلاة فیه ناشئة أیضا عن حرمة لبسه، و بعد فرض سقوط حرمة لبسه لأجل الاضطرار تکون حرمة الصلاة فیه و المانعیة الناشئة عنها ساقطین أیضا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إنّ حرمة الصلاة فیه فی عرض حرمة لبسه لم یکن سقوط حرمة اللبس لأجل الاضطرار إلیه موجبة لسقوط حرمة الصلاة، و لا للمانعیة المتولّدة من تلک أعنی حرمة الصلاة فیه، و حینئذ یقع التزاحم بین هذه الحرمة و وجوب</w:t>
      </w:r>
      <w:bookmarkStart w:id="107" w:name="pg19667_765070"/>
    </w:p>
    <w:p>
      <w:pPr>
        <w:pStyle w:val="BookText"/>
        <w:rPr/>
      </w:pPr>
      <w:bookmarkEnd w:id="107"/>
      <w:r>
        <w:rPr>
          <w:rFonts w:ascii="IRNazanin" w:hAnsi="IRNazanin" w:eastAsia="IRNazanin"/>
          <w:color w:val="111111"/>
          <w:sz w:val="28"/>
          <w:sz w:val="28"/>
          <w:szCs w:val="28"/>
          <w:rtl w:val="true"/>
          <w:lang w:bidi="fa-IR"/>
        </w:rPr>
        <w:t xml:space="preserve">الصلاة کما عرفت فیما تقدّم </w:t>
      </w:r>
      <w:r>
        <w:rPr>
          <w:rStyle w:val="FootnoteAnchor"/>
          <w:rtl w:val="true"/>
        </w:rPr>
        <w:footnoteReference w:id="18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یبعد القول بأنّ النهی عن الصلاة فیه إرشاد إلی حرمة لبسه، أو لا أقل من کونه إرشادا إلی المانعیة الناشئة عن حرمة لبسه، و بعبارة أخری أنّه إرشاد إلی عدم إمکان تأتّی القربة بالصلاة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الصلاة فی الحریر یمکن أن یکون إرشادا إلی المانعیة و قیدیة العدم مثل لا تصلّ فیما لا یؤکل لحمه، و یمکن أن یکون إرشادا إلی أنّ لبسه لمّا کان محرّما کان مفسدا للصلاة لعدم إمکان التقرّب بها، و یمکن أن یکون تکلیفا صرفا مثل النهی عن صلاة الحائض، فیکون من قبیل النهی عن العبادة و یکون موجبا للفساد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هو الوجه الثانی، فیکون الفساد فی طول الحرمة، و أمّا علی الأوّل و الثالث فالظاهر العرضیة</w:t>
      </w:r>
      <w:r>
        <w:rPr>
          <w:rFonts w:eastAsia="IRNazanin" w:cs="IRNazanin"/>
          <w:color w:val="111111"/>
          <w:sz w:val="28"/>
          <w:szCs w:val="28"/>
          <w:rtl w:val="true"/>
          <w:lang w:bidi="fa-IR"/>
        </w:rPr>
        <w:t>.</w:t>
      </w:r>
    </w:p>
    <w:p>
      <w:pPr>
        <w:pStyle w:val="Heading4"/>
        <w:numPr>
          <w:ilvl w:val="3"/>
          <w:numId w:val="1"/>
        </w:numPr>
        <w:rPr/>
      </w:pPr>
      <w:bookmarkStart w:id="108" w:name="__RefHeading___Toc3538521_2314609296"/>
      <w:bookmarkStart w:id="109" w:name="_Toc38"/>
      <w:bookmarkEnd w:id="108"/>
      <w:r>
        <w:rPr>
          <w:rtl w:val="true"/>
        </w:rPr>
        <w:t>[</w:t>
      </w:r>
      <w:r>
        <w:rPr>
          <w:rtl w:val="true"/>
        </w:rPr>
        <w:t>الکلام حول موارد صدق التصرّف الزائد فی الغصب للمضطرّ إلیه و عدم صدقه</w:t>
      </w:r>
      <w:bookmarkEnd w:id="10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أنّ الحرکات الرکوعیة و السجودیة تعدّ من التصرّفات الزائدة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فی الحاشیة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دعوی أنّهما یعدّان بنظر العرف من التصرّف الزائد فهی دعوی بلا بیّنة و برهان الخ </w:t>
      </w:r>
      <w:r>
        <w:rPr>
          <w:rStyle w:val="FootnoteAnchor"/>
          <w:rtl w:val="true"/>
        </w:rPr>
        <w:footnoteReference w:id="187"/>
      </w:r>
      <w:r>
        <w:rPr>
          <w:rFonts w:ascii="IRNazanin" w:hAnsi="IRNazanin" w:eastAsia="IRNazanin"/>
          <w:color w:val="111111"/>
          <w:sz w:val="28"/>
          <w:sz w:val="28"/>
          <w:szCs w:val="28"/>
          <w:rtl w:val="true"/>
          <w:lang w:bidi="fa-IR"/>
        </w:rPr>
        <w:t>کأنّ المحشّی یدّعی أنّ العرف لا یعدّون ذلک تصرّفا زائدا، و لأجل ذلک قال إنّ هذه الدعوی بلا برهان، و ما أدری من أین فهم من العرف أنّه لا یعدّون ذلک تصرّفا زائدا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کما نقله المرحوم الشیخ محمّد علی عن شیخنا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لا عبرة بالنظر العرفی بعد ما کان تصرّفه بحسب الدقة لا یزید و لا ینقص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الذی حرّره المرحوم الشیخ محمّد علی عنه قدّس سرّه لم أجده لغیره فی من حرّر عنه قدّس سرّه، و لعلّه أخذه من درس الفقه فی کتاب الصلاة، فإنّه قدّس سرّه </w:t>
      </w:r>
      <w:r>
        <w:rPr>
          <w:rStyle w:val="FootnoteAnchor"/>
          <w:rtl w:val="true"/>
        </w:rPr>
        <w:footnoteReference w:id="189"/>
      </w:r>
      <w:r>
        <w:rPr>
          <w:rFonts w:ascii="IRNazanin" w:hAnsi="IRNazanin" w:eastAsia="IRNazanin"/>
          <w:color w:val="111111"/>
          <w:sz w:val="28"/>
          <w:sz w:val="28"/>
          <w:szCs w:val="28"/>
          <w:rtl w:val="true"/>
          <w:lang w:bidi="fa-IR"/>
        </w:rPr>
        <w:t>بنی هناک علی مقتضی هذه الدقّة کما یومی إلیه ما حرّرته عنه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حرّرته عنه قدّس سرّه فی هذا المقام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یقال إنّ من اضطرّ إلی الکون فی المکان المغصوب فقد اضطرّ إلی اشغال الحیّز المغصوب بمقدار جسمه بأی کیفیة کان و بأی نحو أراد، فلا یکون قیامه بعد جلوسه مثلا أو بالعکس تصرّفا زائدا، و إن کان فی الدقّة العقلیة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أنّه لا یکون تصرّفا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فی درس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الانصاف أنّ ذلک یعدّ عرفا تصرّفا زائدا، و المدار فی أمثال هذه الأمور علی العرف لا علی الدقّة العقلیة،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اللازم لعدّ الحرکات المذکورة تصرّفا زائدا أن یکون المضطرّ کالمحبوس فی المکان المغصوب یلزمه أن یبقی علی الحالة التی وجد علیها فی ذلک المکان، و لا یغیّر شیئا من حالته الوضعیة الأوّلیة، و حینئذ یکون حقّ التعبیر أن یقال إنّه یصلّی علی تلک الحالة ایماء، بل یترک حتّی الایماء، بل حتّی حرکة الشفة لکون ذلک کلّه حرکة زائدة ممنوعا عنها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غرض من عبّر بقوله بشرط أن لا تکون الصلاة مستلزمة للتصرّف الزائد، هو أنّه لو فرض أنّه کان فی مکان قائما و کان النصف الأعلی مثلا من الفضاء مباحا بمقدار نصف قامته فإنّه یصلّی قائما، و لیس له الرکوع و السجود و الجلوس، لأنّ کلّ واحد من هذه الأمور مستلزم للتصرّف الزائد علی الغصب</w:t>
      </w:r>
    </w:p>
    <w:p>
      <w:pPr>
        <w:pStyle w:val="BookText"/>
        <w:rPr/>
      </w:pPr>
      <w:r>
        <w:rPr>
          <w:rFonts w:ascii="IRNazanin" w:hAnsi="IRNazanin" w:eastAsia="IRNazanin"/>
          <w:color w:val="111111"/>
          <w:sz w:val="28"/>
          <w:sz w:val="28"/>
          <w:szCs w:val="28"/>
          <w:rtl w:val="true"/>
          <w:lang w:bidi="fa-IR"/>
        </w:rPr>
        <w:t>الذی اضطرّ إلیه، و هو اشغاله المغصوب بنصفه الأسفل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مثل ذلک لا یبیحه العسر و الحرج، بل إنّما یبیحه الاضطرار، فلو لم یتمکّن من الاستقرار علی ذلک المقدار جاز له رفع اضطراره المذکور بالمقدار الذی یرتفع به ضرره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مجرّد العسر و الحرج فالظاهر أنّهما لا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 حرمة التصرّف فی أموال الناس، فما أفاده المرحوم الحاج آقا رضا قدّس سرّه فی هذه المسألة من کتاب الصلاة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من هذه الأفعال نحو من وجودات مطلق الکون الذی اضطرّ إلیه، و لیس لخصوصیة شی‌ء منها خصوصیة مقتضیة لتعیّنه </w:t>
      </w:r>
      <w:r>
        <w:rPr>
          <w:rStyle w:val="FootnoteAnchor"/>
          <w:rtl w:val="true"/>
        </w:rPr>
        <w:footnoteReference w:id="190"/>
      </w:r>
      <w:r>
        <w:rPr>
          <w:rFonts w:ascii="IRNazanin" w:hAnsi="IRNazanin" w:eastAsia="IRNazanin"/>
          <w:color w:val="111111"/>
          <w:sz w:val="28"/>
          <w:sz w:val="28"/>
          <w:szCs w:val="28"/>
          <w:rtl w:val="true"/>
          <w:lang w:bidi="fa-IR"/>
        </w:rPr>
        <w:t>فی غایة المتانة، لکن ما ألحقه 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ینافیه أدلّة نفی الحرج، فإنّ فی الزام المحبوس فی مکان مغصوب ببقائه علی هیئة خاصّة من قیام أو قعود و نحوه مشقّة شدیدة، کاد أن یکون تکلیفا بغیر المقدور</w:t>
      </w:r>
      <w:r>
        <w:rPr>
          <w:rStyle w:val="FootnoteAnchor"/>
          <w:rtl w:val="true"/>
        </w:rPr>
        <w:footnoteReference w:id="191"/>
      </w:r>
      <w:r>
        <w:rPr>
          <w:rFonts w:ascii="IRNazanin" w:hAnsi="IRNazanin" w:eastAsia="IRNazanin"/>
          <w:color w:val="111111"/>
          <w:sz w:val="28"/>
          <w:sz w:val="28"/>
          <w:szCs w:val="28"/>
          <w:rtl w:val="true"/>
          <w:lang w:bidi="fa-IR"/>
        </w:rPr>
        <w:t>، الظاهر أنّه لا وجه له، لما عرفت من عدم جریان أدلّة العسر و الحرج فی مثل ذلک لو سلّمنا أنّ تغییر الهیئة غصب زائد، و لو سلّم اجراء دلیل العسر و الحرج أو دلیل عدم المقدوریة فإنّما هو بمقدار ارتفاع ذلک المحذور أعنی الحرج أو عدم المقدوریة أو الضرر، فلا یمکن أن یستنتج منه أنّه یصلّی صلاة المختار کما فرّعه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یصلّی حینئذ صلاة المختار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فالعمدة هو ما عرفت من أنّ تغییر الهیئة لیس بتصرّف زائد، و هذا هو الذی اختاره فی الجواهر، لکنّه مع ذلک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الغریب ما صدر من بعض متفقّهة العصر، بل سمعته من بعض مشایخنا المعاصرین من أنّه یجب</w:t>
      </w:r>
    </w:p>
    <w:p>
      <w:pPr>
        <w:pStyle w:val="BookText"/>
        <w:rPr/>
      </w:pPr>
      <w:r>
        <w:rPr>
          <w:rFonts w:ascii="IRNazanin" w:hAnsi="IRNazanin" w:eastAsia="IRNazanin"/>
          <w:color w:val="111111"/>
          <w:sz w:val="28"/>
          <w:sz w:val="28"/>
          <w:szCs w:val="28"/>
          <w:rtl w:val="true"/>
          <w:lang w:bidi="fa-IR"/>
        </w:rPr>
        <w:t xml:space="preserve">علی المحبوس الصلاة علی الکیفیة التی کان علیها أوّل الدخول إلی المکان المحبوس فیه، إن قائما فقائم و إن جالسا فجالس، بل لا یجوز له الانتقال إلی حالة أخری فی غیر الصلاة أیضا، لما فیه من الحرکة التی هی تصرّف فی مال الغیر بغیر إذنه، و لم یتفطّن أنّ البقاء علی الکون الأوّل تصرّف لا دلیل علی ترجیحه علی ذلک التصرّف، کما أنّه لم یتفطّن أنّه عامل هذا المظلوم المحبوس قهرا بأشدّ ما عامله الظالم، بل حبسه حبسا ما حبسه أحد لأحد، اللهمّ إلّا أن یکون فی یوم القیامة مثله، خصوصا و قد صرّح بعض هؤلاء أنّه لیس له حرکة أجفان عیونه زائدا علی ما یحتاج إلیه، و لا حرکة یده أو بعض أعضائه کذلک، انتهی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من یقول بذلک إنّما یقول به من جهة کون التغییر تصرّفا زائدا، فلا یرد علیهم أنّ البقاء علی الکون الأوّل تصرّف لا دلیل علی ترجیحه، نعم یرد علیهم أنّ التغییر لیس بتصرّف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أفاده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لم یتفطّن أنّه عامل هذا المظلوم الخ فهو و إن کان کذلک إلّا أنّه بعد فرض کونه تصرّفا زائدا لا مفرّ عن الالتزام بذلک الحبس الشدید، و لا یرفعه الصعوبة، نعم لو اضطرّ إلی تغییر الهیئة جاز له التغییر بمقدار ما یرفع اضطراره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الحرکة لو کانت تصرّفا زائدا کان ممنوعا من حرکة جفنه، بل ممنوعا من حرکة شفته و لسانه و إن کان محتاجا إلی ذلک، لأنّ مجرّد الحاجة لا یکون مسوغا للغصب، فما نقله عن بعضهم من اختصاص الحرمة بما یزید علی الحاجة لا وجه له بناء علی أنّ کلّ حرکة تکون تصرّفا زائدا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اختصّ الغصب بالفضاء الأعلی جلس، فإن لم یسع اضطجع، و لو اختصّ المباح بمقدار موضع القدمین و فراغ القامة وجب</w:t>
      </w:r>
    </w:p>
    <w:p>
      <w:pPr>
        <w:pStyle w:val="BookText"/>
        <w:rPr/>
      </w:pPr>
      <w:r>
        <w:rPr>
          <w:rFonts w:ascii="IRNazanin" w:hAnsi="IRNazanin" w:eastAsia="IRNazanin"/>
          <w:color w:val="111111"/>
          <w:sz w:val="28"/>
          <w:sz w:val="28"/>
          <w:szCs w:val="28"/>
          <w:rtl w:val="true"/>
          <w:lang w:bidi="fa-IR"/>
        </w:rPr>
        <w:t>الوقوف و الایماء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المختار فی دخول المغصوب و خروجه تبطل صلاته الکائنة حال دخوله و مکثه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الخروج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بتخصیص الحال بضیق الوقت عن رکعة أو عن اکمال الصلاة لتفویت بعض الأعمال، هذا إذا لم یکن تصرّف زائد علی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دخولا فقط بأن یکون مختارا فی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ضیق الوقت لا ینبغی التأمّل فی الصحّة مع عدم زیادة التصرّف و تلزم الأجرة علی الجابر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لزوم الاقتصار علی الواجبات، و الإسراع بقدر الامکان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تحریک اللسان من التصرّف فی المکان إن جعل عبارة عن الفراغ، و القول بخروجه منه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إلحاق التائب بالمعذور لجبر أو جهل أو نحوهما إشکال، و غیر التائب أشدّ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المجبور من غیر المالک علی الکون فی المغصوب إذا لم یحصل منه تصرّف من جهة الصلاة زائد علی أصل الکون تصحّ صلاته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مراده من التصرّف الزائد هو ما یحصل بواسطة الأفعال الصلاتیة، مثل أنّه لو حبس واقفا لکن کان المحلّ ممّا یتحرّک بالضغط کالرمل و نحوه، فإنّه لو نام علیه أو سجد یکون ذلک موجبا لتحریکه، و ذلک تصرّف زائد علی أصل الوقوف، و نحو ذلک ممّا هو زائد علی أصل الکون و اشغال الحیز</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تحریک اللسان من التصرّف، فإنّما ذکره فی سیاق الصلاة فی حال الخروج لمن ألقی فی المکان المغصوب و کان فی خروجه مختارا، و أنّ التصرّف الزائد علی الخروج یکون ممنوعا، فذکر أنّ من جملة التصرّفات تحریک اللسان، فلو کان ذلک زائدا علی أصل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لکون</w:t>
      </w:r>
    </w:p>
    <w:p>
      <w:pPr>
        <w:pStyle w:val="BookText"/>
        <w:rPr/>
      </w:pPr>
      <w:r>
        <w:rPr>
          <w:rFonts w:ascii="IRNazanin" w:hAnsi="IRNazanin" w:eastAsia="IRNazanin"/>
          <w:color w:val="111111"/>
          <w:sz w:val="28"/>
          <w:sz w:val="28"/>
          <w:szCs w:val="28"/>
          <w:rtl w:val="true"/>
          <w:lang w:bidi="fa-IR"/>
        </w:rPr>
        <w:t>التصرّف الخروجی المفروض کونه جائزا لا دخل له بالتصرّفات الأخر و إن لم تکن موجبة لاطالة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ذلک ما لو أذن له المالک فی الکون فی المکان، فإنّه یحتاج إلی الاذن فی الصلاة فیه و لو بمثل 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حرکة اللسان لا تزید علی أصل الکون، و لو قلنا بذلک کان اللازم فی جمیع هذه الفروع التی ذکرها أن تکون مقصورة علی الأفعال القلبیة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التصرّف فی الفضاء و إن کان تصرّفا فی ملک الغیر إلّا أنّه بحسب النظر العرفی لا یعدّ تصرّفا فی ملک الغیر، فلو رمی حجارة من داره إلی داره الأخری و بینهما دار لشخص آخر، فعبرت الحجارة علی دار ذلک الشخص فی الفضاء لم یعدّ عرفا أنّه تصرّف فی دار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یمکن تسویغ العبور فی الطرق التی تأخذها الحکومة من دور الناس بعد تبلیطها، فإنّه قبل التبلیط یکون المشی علی نفس أرض الغیر و لکن بعد التبلیط یکون وضع القدم علی التبلیط لا علی أرض الغیر، فلم یبق إلّا العبور فی الفضاء و هو لا یعدّ تصرّفا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یمکن القول فی المحبوس قائما أنّه لا یجوز له الجلوس لأنّه حینئذ یتّسع تصرّفه فی الأرض، و لا السجود أیضا لأجل ذلک، نعم له الرکوع و المشی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عدم عدّ ذلک تصرّفا محرّما ممنوع، نعم إنّه تصرّف لا أهمیّة له عندهم أو لا یقدّر بالمال لقلّته، فلأجل ذلک لا یمنعون عن مثله، لأجل حقارته لا لأجل أنّه لیس بتصرّف، و لأجل ذلک یمنعونه بأشدّ المنع لو کان بقائیا استقراریا کما لو صنع صاحب الدارین جسرا من إحداهما إلی الأخری و بنی علیه طابقا، بل لو عبر فی الطیارة لکن عند الوصول إلی فضاء الغیر أسکن حرکة الطائرة و بقیت 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الذی یتسامحون فیه هو التصرّف العبوری السریع، سواء کان لأجل المسامحة أو لأجل أنّه لا یعدّ تصرّفا فی نظرهم، أمّا لو جلس فی ذلک الطریق المبلّط مدّة طویلة و جعل له فیه دکّانا، بل لو صلّی فیه، کلّ ذلک غیر داخل فی العبور المذکور، بل إنّ العبور الذی تسامحوا فیه هو مثل عبور الطیارة السریعة فلعلّه لا یشمل المشی المتعارف فی الطرقات</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الحکم الوضعی، فإنّه یتبع ما فی نفسه من الملاک المقتضی لجعله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المقابلة بین جعل هذا الحکم الوضعی و بین جعل الأمر و النهی، و إنّما المقابلة بین نفس الحکم الوضعی المجعول و بین متعلّق الأمر و النهی، فکما أنّ متعلّق الأمر لا بدّ أن یکون ذا مصلحة و متعلّق النهی لا بدّ أن یکون ذا مفسدة، و الفعل الواحد فی الزمان الواحد لا یعقل أن یکون مشتملا علی کلا الملاکین و إن کان زمان الأمر و النهی مختلفا، فکذلک نفس الحکم الوضعی المجعول الذی هو الملکیة مع وحدة المملوک و وحدة زمان الملکیة لا یعقل أن یکون مشتملا علی ملاک یقتضی جعله و علی ملاک یقتضی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تمام المقایسة بینهما فاجعل المقیس فی مسألة البیع هو العقد نفسه و قل إنّه حکم علیه بحکمین متناقضین و هما الصحّة و الفساد، و بعبارة أخری هما النفوذ و عدمه مع کون زمانه واحدا و إن کان زمان الجعل مختلفا، فتأمّل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یمکن أن یجاب عن التنافی هنا بأنّه قبل الاجازة لا یکون مقتضی الجعل موجودا فیحکم بنفیها و بعد تحقّق الاجازة ینوجد مقتضی جعل الملکیة،</w:t>
      </w:r>
      <w:bookmarkStart w:id="110" w:name="pg19667_765077"/>
    </w:p>
    <w:p>
      <w:pPr>
        <w:pStyle w:val="BookText"/>
        <w:rPr/>
      </w:pPr>
      <w:bookmarkEnd w:id="110"/>
      <w:r>
        <w:rPr>
          <w:rFonts w:ascii="IRNazanin" w:hAnsi="IRNazanin" w:eastAsia="IRNazanin"/>
          <w:color w:val="111111"/>
          <w:sz w:val="28"/>
          <w:sz w:val="28"/>
          <w:szCs w:val="28"/>
          <w:rtl w:val="true"/>
          <w:lang w:bidi="fa-IR"/>
        </w:rPr>
        <w:t>فکذلک یمکن أن یقال هناک إنّه قبل الدخول یکون التصرّف الخروجی ذا مفسدة فیکون محرّما، و بعد تحقّق الدخول یرتفع ما یقتضی الحکم بتحریمه، و لو باعتبار تحقّق العصیان و ارتفاع الحرمة خطابا مع بقائه علی ما هو علیه من المبغوضیة و 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هذه الجهة یشارک ما علیه الجبائی </w:t>
      </w:r>
      <w:r>
        <w:rPr>
          <w:rStyle w:val="FootnoteAnchor"/>
          <w:rtl w:val="true"/>
        </w:rPr>
        <w:footnoteReference w:id="195"/>
      </w:r>
      <w:r>
        <w:rPr>
          <w:rFonts w:ascii="IRNazanin" w:hAnsi="IRNazanin" w:eastAsia="IRNazanin"/>
          <w:color w:val="111111"/>
          <w:sz w:val="28"/>
          <w:sz w:val="28"/>
          <w:szCs w:val="28"/>
          <w:rtl w:val="true"/>
          <w:lang w:bidi="fa-IR"/>
        </w:rPr>
        <w:t>من اجتماع استحقاق العقاب علی التصرّف الخروجی مع کونه مخاطبا بارتکابه و وجوبه الشرعی فعلا</w:t>
      </w:r>
      <w:r>
        <w:rPr>
          <w:rFonts w:eastAsia="IRNazanin" w:cs="IRNazanin"/>
          <w:color w:val="111111"/>
          <w:sz w:val="28"/>
          <w:szCs w:val="28"/>
          <w:rtl w:val="true"/>
          <w:lang w:bidi="fa-IR"/>
        </w:rPr>
        <w:t>.</w:t>
      </w:r>
    </w:p>
    <w:p>
      <w:pPr>
        <w:pStyle w:val="Heading4"/>
        <w:numPr>
          <w:ilvl w:val="3"/>
          <w:numId w:val="1"/>
        </w:numPr>
        <w:rPr/>
      </w:pPr>
      <w:bookmarkStart w:id="111" w:name="__RefHeading___Toc3538523_2314609296"/>
      <w:bookmarkStart w:id="112" w:name="_Toc39"/>
      <w:bookmarkEnd w:id="111"/>
      <w:r>
        <w:rPr>
          <w:rtl w:val="true"/>
        </w:rPr>
        <w:t>[</w:t>
      </w:r>
      <w:r>
        <w:rPr>
          <w:rtl w:val="true"/>
        </w:rPr>
        <w:t>الأقوال فی حکم الخروج من الدار المغصوبة لمن توسّطها بسوء اختیاره</w:t>
      </w:r>
      <w:bookmarkEnd w:id="11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الموضع الأوّل فقد اختلف فیه بالأقوال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فی الکفایة</w:t>
      </w:r>
      <w:r>
        <w:rPr>
          <w:rStyle w:val="FootnoteAnchor"/>
          <w:rtl w:val="true"/>
        </w:rPr>
        <w:footnoteReference w:id="197"/>
      </w:r>
      <w:r>
        <w:rPr>
          <w:rFonts w:ascii="IRNazanin" w:hAnsi="IRNazanin" w:eastAsia="IRNazanin"/>
          <w:color w:val="111111"/>
          <w:sz w:val="28"/>
          <w:sz w:val="28"/>
          <w:szCs w:val="28"/>
          <w:rtl w:val="true"/>
          <w:lang w:bidi="fa-IR"/>
        </w:rPr>
        <w:t xml:space="preserve">قولا خامسا و هو کونه منهیا عنه فقط، و نقله المرحوم الشیخ محمّد علی فی تحریراته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الأقوال إنّما تتأتّی فیما لو کان الخروج ممکنا، أمّا لو لم یکن الخروج ممکنا و مع ذلک ارتکب الدخول بسوء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تعمّد رکوب المرکب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إشکال فی حرمة مکثه، و لا أقل من کونه مبغوضا و إجراء حکم المعصیة علیه و أنّه یستحقّ علیه العقاب، و حینئذ لا یتحقّق التقرّب بالصلاة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من اضطرّ إلی لبس الحریر أو المغصوب بسوء اختیاره، بأن کان الوقت باردا بحیث لا یمکنه نزعه و کان عنده غیره من الألبسة فأعدمها، أو أنّه لم یکن عنده غیره و لکنّه تعمّد فی الخروج إلی الصحراء علی وجه لا یمکنه العود، أو شرب ما یوجب اضطراره إلی</w:t>
      </w:r>
    </w:p>
    <w:p>
      <w:pPr>
        <w:pStyle w:val="BookText"/>
        <w:rPr/>
      </w:pPr>
      <w:r>
        <w:rPr>
          <w:rFonts w:ascii="IRNazanin" w:hAnsi="IRNazanin" w:eastAsia="IRNazanin"/>
          <w:color w:val="111111"/>
          <w:sz w:val="28"/>
          <w:sz w:val="28"/>
          <w:szCs w:val="28"/>
          <w:rtl w:val="true"/>
          <w:lang w:bidi="fa-IR"/>
        </w:rPr>
        <w:t>لبسه، کما یظهر ذلک من الکفایة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فی الجملة ممّا لا شبهة فیه و لا ارتیاب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فی هذه یکون عین الحکم فی الصلاة حال الخروج علی تقدیر کونه غیر واجب، و سیأتی </w:t>
      </w:r>
      <w:r>
        <w:rPr>
          <w:rStyle w:val="FootnoteAnchor"/>
          <w:rtl w:val="true"/>
        </w:rPr>
        <w:footnoteReference w:id="200"/>
      </w:r>
      <w:r>
        <w:rPr>
          <w:rFonts w:ascii="IRNazanin" w:hAnsi="IRNazanin" w:eastAsia="IRNazanin"/>
          <w:color w:val="111111"/>
          <w:sz w:val="28"/>
          <w:sz w:val="28"/>
          <w:szCs w:val="28"/>
          <w:rtl w:val="true"/>
          <w:lang w:bidi="fa-IR"/>
        </w:rPr>
        <w:t>إن شاء اللّه تعالی التعرّض له فیما نعلّقه علی ما أفاده شیخنا قدّس سرّه إن شاء اللّه تعالی، و لعلّ هذه الصورة هی المنظور إلیها فی عبارة کشف الغطاء فإنّه قال فی ذیل عبارته المتقدّمة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إلحاق التائب بالمعذور لجبر أو جهل أو نحوهما إشکال، و غیر التائب أشدّ إشکالا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تعرّض له من حکم الخروج فیما لو دخل بسوء اختیاره إنّما مورده التوبة، فإنّه لو لم یتب و خرج من قبل نفسه لم یکن إشکال فی بطلان صلاته فی حال الخروج کبطلانها فی حال المکث، و حینئذ یکون قوله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الحاق التائب الخ، مختصّا بما إذا تاب و لم یمکنه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سلّم فلا أقل من کون هذا شاملا لما إذا تمکّن من الخروج و صلّی خارجا و لما إذا لم یتمکّن منه و صلّی ماکثا، کلّ ذلک بعد توبته، فلا یکون مختصّا بما إذا صلّی خارجا بعد توبته لیکون کلامه السابق فی الخروج بعد الدخول الاختیاری مختصّا بالخروج بدون توبة، لأنّ ذلک لا ینبغی التأمّل فی فساد صلاته، و إن کان الذی یظهر من کلمات الفقهاء مثل الحاج آقا رضا قدّس سرّه </w:t>
      </w:r>
      <w:r>
        <w:rPr>
          <w:rStyle w:val="FootnoteAnchor"/>
          <w:rtl w:val="true"/>
        </w:rPr>
        <w:footnoteReference w:id="202"/>
      </w:r>
      <w:r>
        <w:rPr>
          <w:rFonts w:ascii="IRNazanin" w:hAnsi="IRNazanin" w:eastAsia="IRNazanin"/>
          <w:color w:val="111111"/>
          <w:sz w:val="28"/>
          <w:sz w:val="28"/>
          <w:szCs w:val="28"/>
          <w:rtl w:val="true"/>
          <w:lang w:bidi="fa-IR"/>
        </w:rPr>
        <w:t>و غیره أنّ ذلک محلّ الکلام أیضا، فراجع</w:t>
      </w:r>
      <w:r>
        <w:rPr>
          <w:rFonts w:eastAsia="IRNazanin" w:cs="IRNazanin"/>
          <w:color w:val="111111"/>
          <w:sz w:val="28"/>
          <w:szCs w:val="28"/>
          <w:rtl w:val="true"/>
          <w:lang w:bidi="fa-IR"/>
        </w:rPr>
        <w:t>.</w:t>
      </w:r>
      <w:bookmarkStart w:id="113" w:name="pg19667_765079"/>
    </w:p>
    <w:p>
      <w:pPr>
        <w:pStyle w:val="BookText"/>
        <w:rPr/>
      </w:pPr>
      <w:bookmarkEnd w:id="113"/>
      <w:r>
        <w:rPr>
          <w:rFonts w:ascii="IRNazanin" w:hAnsi="IRNazanin" w:eastAsia="IRNazanin"/>
          <w:color w:val="111111"/>
          <w:sz w:val="28"/>
          <w:sz w:val="28"/>
          <w:szCs w:val="28"/>
          <w:rtl w:val="true"/>
          <w:lang w:bidi="fa-IR"/>
        </w:rPr>
        <w:t>نعم، لو کان ذلک اللباس نجسا أو من غیر المأکول لزمه الصلاة فیه، و إن کان معاقبا علی تفویت قدرته علی غیره أو علی ما یوجب عدم تمکّنه من الصلاة عریانا، و یکون حاله حال من عجّز نفسه عن بعض الأجزاء أو بعض الشرائط</w:t>
      </w:r>
      <w:r>
        <w:rPr>
          <w:rFonts w:eastAsia="IRNazanin" w:cs="IRNazanin"/>
          <w:color w:val="111111"/>
          <w:sz w:val="28"/>
          <w:szCs w:val="28"/>
          <w:rtl w:val="true"/>
          <w:lang w:bidi="fa-IR"/>
        </w:rPr>
        <w:t>.</w:t>
      </w:r>
    </w:p>
    <w:p>
      <w:pPr>
        <w:pStyle w:val="Heading4"/>
        <w:numPr>
          <w:ilvl w:val="3"/>
          <w:numId w:val="1"/>
        </w:numPr>
        <w:rPr/>
      </w:pPr>
      <w:bookmarkStart w:id="114" w:name="__RefHeading___Toc3538525_2314609296"/>
      <w:bookmarkStart w:id="115" w:name="_Toc40"/>
      <w:bookmarkEnd w:id="114"/>
      <w:r>
        <w:rPr>
          <w:rtl w:val="true"/>
        </w:rPr>
        <w:t>[</w:t>
      </w:r>
      <w:r>
        <w:rPr>
          <w:rtl w:val="true"/>
        </w:rPr>
        <w:t>الإشکال فیما ذکر فی الفصول قدّس سرّه من کون الخروج واجبا فعلا و منهیا عنه بالنهی السابق الساقط بالاضطرار</w:t>
      </w:r>
      <w:r>
        <w:rPr>
          <w:rtl w:val="true"/>
        </w:rPr>
        <w:t>]</w:t>
      </w:r>
      <w:bookmarkEnd w:id="11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تصحیح تعلّق الحکمین فی زمانین بموضوع واحد بالالتزام بالواجب التعلیقی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أبدل العبارة فی الطبعة الجدیدة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الأمر و النهی إنّما یصدر من المولی لیکون باعثا للمکلّف إلی الفعل أو زاجرا له عنه، فإذا فرض سقوط التحریم فی ظرف إمکان صدور متعلّقه امتنع جعله، و من ذلک یظهر بطلان توهّم أنّ القول بصحّة الواجب المعلّق یستلزم صحّة تعلّق الحکمین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الإشکال علی صاحب الفصول غیر مربوط بدعواه کون الخروج مأمورا به، و إنّما هو ممحّض للإشکال علی دعوی کونه منهیا عنه بالنهی السابق الساقط بالعصیان، و حینئذ لا یختصّ بصاحب الفصول، بل هو متوجّه أیضا علی الکفایة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الإشکال هو عدم إمکان صدور مثل هذا النهی من الحکیم، لأنّ الغرض من النهی هو زجر المکلّف عن الاتیان بمتعلّقه، و ذلک إنّما یمکن فی ظرف امکان حصول ذلک المتعلّق من المکلّف، و المفروض أنّ هذا المتعلّق الذی هو الخروج لا یمکن حصوله من المکلّف، أمّا قبل الدخول فواضح إذ لا یتصوّر صدور الخروج منه قبل الدخول، و أمّا بعد الدخول فلأنّ المفروض أنّه بمجرّد الدخول یکون النهی عن الخروج ساقطا بالعصیان، لکونه بعد الدخول لا یکون ترک الخروج مقدورا له، و لیس هذا إلّا من قبیل ما لو تعلّق الوجوب بفعل</w:t>
      </w:r>
      <w:bookmarkStart w:id="116" w:name="pg19667_765080"/>
    </w:p>
    <w:p>
      <w:pPr>
        <w:pStyle w:val="BookText"/>
        <w:rPr/>
      </w:pPr>
      <w:bookmarkEnd w:id="116"/>
      <w:r>
        <w:rPr>
          <w:rFonts w:ascii="IRNazanin" w:hAnsi="IRNazanin" w:eastAsia="IRNazanin"/>
          <w:color w:val="111111"/>
          <w:sz w:val="28"/>
          <w:sz w:val="28"/>
          <w:szCs w:val="28"/>
          <w:rtl w:val="true"/>
          <w:lang w:bidi="fa-IR"/>
        </w:rPr>
        <w:t>فی الزمان الآتی مع کون ذلک الفعل فی ذلک الزمان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أنّ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معقولیة هذا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یندفع بالتعلّق بالتعلیق، بل الذی أفسده هو کون النهی معلّقا أعنی کونه معلّقا علی الدخول، الذی هو حسب الفرض موجب لسقوط النهی فیکون الفساد و البطلان آتیا من ناحیة أنّ هذا النهی لا یصحّ إلّا معلّقا علی الدخول، الذی هو حسب الفرض موجب لسقوط النهی المذکور،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التعلّق بالتعلیق لا یدفع إشکال اجتماع المبغوضیة الناشئة من النهی السابق و المحبوبیة الناشئة من الأمر بالدخول</w:t>
      </w:r>
      <w:r>
        <w:rPr>
          <w:rFonts w:eastAsia="IRNazanin" w:cs="IRNazanin"/>
          <w:color w:val="111111"/>
          <w:sz w:val="28"/>
          <w:szCs w:val="28"/>
          <w:rtl w:val="true"/>
          <w:lang w:bidi="fa-IR"/>
        </w:rPr>
        <w:t>.</w:t>
      </w:r>
    </w:p>
    <w:p>
      <w:pPr>
        <w:pStyle w:val="Heading4"/>
        <w:numPr>
          <w:ilvl w:val="3"/>
          <w:numId w:val="1"/>
        </w:numPr>
        <w:rPr/>
      </w:pPr>
      <w:bookmarkStart w:id="117" w:name="__RefHeading___Toc3538527_2314609296"/>
      <w:bookmarkStart w:id="118" w:name="_Toc41"/>
      <w:bookmarkEnd w:id="117"/>
      <w:r>
        <w:rPr>
          <w:rtl w:val="true"/>
        </w:rPr>
        <w:t>[</w:t>
      </w:r>
      <w:r>
        <w:rPr>
          <w:rtl w:val="true"/>
        </w:rPr>
        <w:t>کلام مبسوط حول حقیقة مختار الآخوند قدّس سرّه فی حکم الخروج</w:t>
      </w:r>
      <w:bookmarkEnd w:id="118"/>
    </w:p>
    <w:p>
      <w:pPr>
        <w:pStyle w:val="BookText"/>
        <w:rPr/>
      </w:pPr>
      <w:r>
        <w:rPr>
          <w:rFonts w:ascii="IRNazanin" w:hAnsi="IRNazanin" w:eastAsia="IRNazanin"/>
          <w:color w:val="111111"/>
          <w:sz w:val="28"/>
          <w:sz w:val="28"/>
          <w:szCs w:val="28"/>
          <w:rtl w:val="true"/>
          <w:lang w:bidi="fa-IR"/>
        </w:rPr>
        <w:t xml:space="preserve">و لأجل ما ذکرناه من أنّ هذه الجهة من الإشکال علی النهی المذکور متوجّهة أیضا علی صاحب الکفایة قدّس سرّه حاول تصحیح ذلک النهی فی ظرفه یعنی قبل الدخول و إن سقط بعد الدخول بأنّ المتعلّق و هو الخروج مقدور فی ذلک الظرف أعنی قبل الدخول، و إن کانت قدرته علیه بواسطة قدرته علی الدخول، و أنّه قبل الدخول یکون تارکا للخروج حقیقة، غایته أنّه من قبیل السالبة بانتفاء الموضوع، و هذا جار فی المکث بل فی جمیع المحرّمات التدریجیة مثل صلاة الحائض و مثل شرب الخمر مثلا، فإنّ الجزء الثانی من الصلاة أو الشرب مثلا لا یکون مقدورا بل لا یکون له موضوع إلّا بعد الفراغ من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حینئذ یکون النهی عن الجزء الثانی مشروطا بفعل الجزء الأوّل أو أنّ ذلک من قبیل الواجب التعلیقی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أتخیّله أنّ صاحب الکفایة قدّس سرّه ملتزم بما التزم به صاحب الفصول من کون الخروج مبغوضا، لکونه منهیا عنه بالنهی السابق الساقط بواسطة الدخول، فیکون الخروج مشتملا علی ملاک النهی بل علی المبغوضیة الفعلیة، غایته أنّ</w:t>
      </w:r>
    </w:p>
    <w:p>
      <w:pPr>
        <w:pStyle w:val="BookText"/>
        <w:rPr/>
      </w:pPr>
      <w:r>
        <w:rPr>
          <w:rFonts w:ascii="IRNazanin" w:hAnsi="IRNazanin" w:eastAsia="IRNazanin"/>
          <w:color w:val="111111"/>
          <w:sz w:val="28"/>
          <w:sz w:val="28"/>
          <w:szCs w:val="28"/>
          <w:rtl w:val="true"/>
          <w:lang w:bidi="fa-IR"/>
        </w:rPr>
        <w:t xml:space="preserve">الخطاب الفعلی بالترک فی ذلک الظرف أعنی ما بعد الدخول یکون ساقطا، کما أنّ الخروج أیضا یکون مشتملا علی ملاک الأمر الذی هو المقدّمیة للتخلّص من الغصب علی وجه یعاقب علی ترک ذلک الخروج، غایته أنّه لا یخاطب بذلک خطابا فعلیا، و حینئذ فیکون الخروج عنده واجدا للملاکین، غایته أنّه لا یکون فی البین خطاب شرعی مولوی لا من ناحیة النهی و لا من ناحیة الایجاب، فیکون علی کلّ حال مستحقّا للعقاب، و المصحّح له هو سوء اختیاره، و إن لم یکن مندرجا فی قاعدة الامتناع بالاختیار لا ینافی الاختیار عقابا بالمعنی الذی شرحه شیخنا قدّس سرّه </w:t>
      </w:r>
      <w:r>
        <w:rPr>
          <w:rStyle w:val="FootnoteAnchor"/>
          <w:rtl w:val="true"/>
        </w:rPr>
        <w:footnoteReference w:id="204"/>
      </w:r>
      <w:r>
        <w:rPr>
          <w:rFonts w:ascii="IRNazanin" w:hAnsi="IRNazanin" w:eastAsia="IRNazanin"/>
          <w:color w:val="111111"/>
          <w:sz w:val="28"/>
          <w:sz w:val="28"/>
          <w:szCs w:val="28"/>
          <w:rtl w:val="true"/>
          <w:lang w:bidi="fa-IR"/>
        </w:rPr>
        <w:t>و لا بالمعنی الذی شرحه فی الکفایة</w:t>
      </w:r>
      <w:r>
        <w:rPr>
          <w:rStyle w:val="FootnoteAnchor"/>
          <w:rtl w:val="true"/>
        </w:rPr>
        <w:footnoteReference w:id="205"/>
      </w:r>
      <w:r>
        <w:rPr>
          <w:rFonts w:ascii="IRNazanin" w:hAnsi="IRNazanin" w:eastAsia="IRNazanin"/>
          <w:color w:val="111111"/>
          <w:sz w:val="28"/>
          <w:sz w:val="28"/>
          <w:szCs w:val="28"/>
          <w:rtl w:val="true"/>
          <w:lang w:bidi="fa-IR"/>
        </w:rPr>
        <w:t>، و صرّح بأنّ ما نحن فیه لیس من ذلک القبیل، فراجع الکفایة و ما أفاده شیخنا قدّس سرّه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نظر صاحب الکفایة قدّس سرّه فی ملاک الایجاب، فإنّه مصرّح بأنّ هذا المکلّف بعد أن دخل الدار بسوء اختیاره یدور أمره بین البقاء و الخروج، و کلاهما معصیة للنهی السابق الساقط بالعصیان، غیر أنّ الثانی منهما أخفّ عصیانا لکونه أقل، فیتعیّن علیه بحکم العقل نظرا إلی کونه أقل القبیحین، لکنّه مع ذلک معاقب علیه، و لیس له أن یعتذر بأنّه بعد دخوله اضطرّ إلی ارتکاب أحدهما، لأنّ هذا الاضطرار لمّا کان بسوء اختیاره لا یکون معذّرا و موجبا لارتفاع العقاب عنه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محصّل ما یقال من أنّ الامتناع بسوء الاختیار لا ینافی الاختیار، لکونه مختارا من أوّل الأمر فی الاقدام علی ما یعلم أنّه ینتهی به إلی ذلک الامتناع و الاضطرار، فهو لا یرید أن یدّعی أنّ نفس الحرکة الخروجیة صار ترکها ممتنعا علیه کی یتوجّه علیه ما أفاده شیخنا أوّلا من أنّ نفس الخروج لیس ترکه ممتنعا</w:t>
      </w:r>
      <w:bookmarkStart w:id="119" w:name="pg19667_765082"/>
    </w:p>
    <w:p>
      <w:pPr>
        <w:pStyle w:val="BookText"/>
        <w:rPr/>
      </w:pPr>
      <w:bookmarkEnd w:id="119"/>
      <w:r>
        <w:rPr>
          <w:rFonts w:ascii="IRNazanin" w:hAnsi="IRNazanin" w:eastAsia="IRNazanin"/>
          <w:color w:val="111111"/>
          <w:sz w:val="28"/>
          <w:sz w:val="28"/>
          <w:szCs w:val="28"/>
          <w:rtl w:val="true"/>
          <w:lang w:bidi="fa-IR"/>
        </w:rPr>
        <w:t>علیه، لضرورة کونه بعد أن دخل یمکنه فعله و ترکه بأن یبقی فی الدار، بل إنّما یدّعی أنّه مضطرّ إلی ارتکاب أحد الأمرین من البقاء و الخروج، و اضطراره إلی ذلک لکونه بسوء الاختیار لا یرفع العقاب عنه عند ارتکاب أحدهما، فهو قائل بأنّ اضطراره هذا بمنزلة الاختیار، بل هو إنّما کان بالاختیار فلا یکون العقاب علی ارتکاب أحدهما قبیحا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حاصل کلامه قدّس سرّه غیر أنّه لا یسمّیه قاعدة الامتناع بالاختیار لا ینافی الاختیار لأنّه یفسّر القاعدة المذکورة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مقام الردّ علی الأشاعرة القائلین بأنّ الشی‌ء ما لم یجب لم یوجد، و تعلّق إرادته به توجب لزومه و خروجه عن قدرته، فیجابون بأنّ ذلک الایجاب الذی هو عبارة عن امتناع الترک لما کان بالارادة و الاختیار کان من قبیل الامتناع بالاختیار و هو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یتوجّه الایراد علی ما أفاده شیخنا قدّس سرّه أوّلا بما حاصله أنّ صاحب الکفایة لا یقول باجراء قاعدة الامتناع بالاختیار فیما نحن فیه، و ذلک لما عرفت من أنّه لا محیص لصاحب الکفایة من اجراء هذه القاعدة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علی شیخنا قدّس سرّه ما عرفت من أنّ صاحب الکفایة لا یدّعی أنّ نفس ترک الخروج صار ممتنعا، بل إنّما یدّعی أنّ ترک هذین المحذورین جمیعا صار ممتنعا علیه بسوء اختیاره، فهو مضطرّ إلی ارتکاب أحدهما بسوء اختیاره، فلا یکون هذا الاضطرار إلی ارتکاب أحدهما موجبا لرفع العقاب عنه لو اختار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العقل بعد تمامیة هذا کلّه یعیّن علیه اختیار الخروج لکونه أخفّ العقابین و أهون القبیحین</w:t>
      </w:r>
      <w:r>
        <w:rPr>
          <w:rFonts w:eastAsia="IRNazanin" w:cs="IRNazanin"/>
          <w:color w:val="111111"/>
          <w:sz w:val="28"/>
          <w:szCs w:val="28"/>
          <w:rtl w:val="true"/>
          <w:lang w:bidi="fa-IR"/>
        </w:rPr>
        <w:t>.</w:t>
      </w:r>
    </w:p>
    <w:p>
      <w:pPr>
        <w:pStyle w:val="Heading4"/>
        <w:numPr>
          <w:ilvl w:val="3"/>
          <w:numId w:val="1"/>
        </w:numPr>
        <w:rPr/>
      </w:pPr>
      <w:bookmarkStart w:id="120" w:name="__RefHeading___Toc3538529_2314609296"/>
      <w:bookmarkStart w:id="121" w:name="_Toc42"/>
      <w:bookmarkEnd w:id="120"/>
      <w:r>
        <w:rPr>
          <w:rtl w:val="true"/>
        </w:rPr>
        <w:t>[</w:t>
      </w:r>
      <w:r>
        <w:rPr>
          <w:rtl w:val="true"/>
        </w:rPr>
        <w:t>التعلیق علی ما ذکره النائینی قدّس سرّه من عدم دخول المقام فی قاعدة الامتناع</w:t>
      </w:r>
      <w:bookmarkEnd w:id="12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الوجه الذی ینبغی أن یدفع به إشکال شیخنا قدّس سرّه، لا ما فی حاشیة</w:t>
      </w:r>
    </w:p>
    <w:p>
      <w:pPr>
        <w:pStyle w:val="BookText"/>
        <w:rPr/>
      </w:pPr>
      <w:r>
        <w:rPr>
          <w:rFonts w:ascii="IRNazanin" w:hAnsi="IRNazanin" w:eastAsia="IRNazanin"/>
          <w:color w:val="111111"/>
          <w:sz w:val="28"/>
          <w:sz w:val="28"/>
          <w:szCs w:val="28"/>
          <w:rtl w:val="true"/>
          <w:lang w:bidi="fa-IR"/>
        </w:rPr>
        <w:t xml:space="preserve">هذا الکتاب </w:t>
      </w:r>
      <w:r>
        <w:rPr>
          <w:rStyle w:val="FootnoteAnchor"/>
          <w:rtl w:val="true"/>
        </w:rPr>
        <w:footnoteReference w:id="206"/>
      </w:r>
      <w:r>
        <w:rPr>
          <w:rFonts w:ascii="IRNazanin" w:hAnsi="IRNazanin" w:eastAsia="IRNazanin"/>
          <w:color w:val="111111"/>
          <w:sz w:val="28"/>
          <w:sz w:val="28"/>
          <w:szCs w:val="28"/>
          <w:rtl w:val="true"/>
          <w:lang w:bidi="fa-IR"/>
        </w:rPr>
        <w:t>من الالتزام عن صاحب الکفایة بأنّ الخروج نفسه یکون مضطرّا إلیه، نظرا إلی حکم العقل بلزومه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بنحو ذلک أشکل المرحوم الشیخ محمّد علی </w:t>
      </w:r>
      <w:r>
        <w:rPr>
          <w:rStyle w:val="FootnoteAnchor"/>
          <w:rtl w:val="true"/>
        </w:rPr>
        <w:footnoteReference w:id="207"/>
      </w:r>
      <w:r>
        <w:rPr>
          <w:rFonts w:ascii="IRNazanin" w:hAnsi="IRNazanin" w:eastAsia="IRNazanin"/>
          <w:color w:val="111111"/>
          <w:sz w:val="28"/>
          <w:sz w:val="28"/>
          <w:szCs w:val="28"/>
          <w:rtl w:val="true"/>
          <w:lang w:bidi="fa-IR"/>
        </w:rPr>
        <w:t>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نظرا إلی حکم الشرع بحرمة التصرّف الزائد الذی یشتمل علیه البقاء، فإنّ هذه القاعدة أعنی قاعدة الامتناع بالاختیار لا ینافی الاختیار لا یکون موضوعها إلّا الامتناع الوجدانی المولد من الاضطرار الوجدانی إلی مخالفة التکلیف، فلا یدخل فیه الاضطرار المولد من حکم العقل بلزوم الخروج لکونه أهون القبیحین، و لا الاضطرار المولد من الحرمة الشرعیة اللاحقة للتصرّف الزائد الحاصل بالبقاء، فإنّ الممنوع شرعا و إن کان کالممتنع عقلا إلّا أنّه لا دخل له بموضوع مسألتنا ممّا یکون امتناعه بسوء الاختیار، و أین الامتناع بسوء الاختیار من کون الشخص واقعا بسوء اختیاره بین محذورین أحدهما أهون من الآخر عقلا أو شرعا، فإنّ أشدّیة قبح الطرف الآخر أو أکثریة المحرّم فیه لا تصیّر هذا الطرف الأهون مضطرّا إلیه و ترکه ممتنعا علیه بسوء الاختیار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بلزوم اختیار الأخفّ متأخّر فی الرتبة عن تحقّق الاضطرار فکیف یکون محقّقا لذلک الاضطرار، کما أنّ حرمة ما زاد شرعا لا تولّد الاضطرار المذکور، و إنّما تکون مرجّحة للطرف الآخر بعد تحقّق الاضطرار إلی أحدهما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قبل الشروع فی بیان ما أراده شیخنا قدّس سرّه من الأمر الثانی و الثالث و الرابع ینبغی أن نقدّم مقدّمة، و هی أنّ السرّ الوحید فی هذه الأمور و حجرها الأساسی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دعوی استحالة الخطاب بترک الخروج و النهی عنه، أمّا قبل الدخول فلکونه سالبة بانتفاء الموضوع، و لا معنی لأن یخاطب الشخص الذی هو غیر داخل فی الدار بقوله لا تخرج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الدخول فلاستحالة خطابه بترک الخروج مضافا إلی ترک المکث، لکونه حسب الفرض مضطرّا إلی أحد الأمرین من المکث أو الخروج فلا یتوجّه إلیه الخطاب بترکهما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لک أنّه لم یکن مخاطبا بالنهی عن الخروج فی وقت من الأوقات، و هذا هو محصّل ما یأتی </w:t>
      </w:r>
      <w:r>
        <w:rPr>
          <w:rStyle w:val="FootnoteAnchor"/>
          <w:rtl w:val="true"/>
        </w:rPr>
        <w:footnoteReference w:id="208"/>
      </w:r>
      <w:r>
        <w:rPr>
          <w:rFonts w:ascii="IRNazanin" w:hAnsi="IRNazanin" w:eastAsia="IRNazanin"/>
          <w:color w:val="111111"/>
          <w:sz w:val="28"/>
          <w:sz w:val="28"/>
          <w:szCs w:val="28"/>
          <w:rtl w:val="true"/>
          <w:lang w:bidi="fa-IR"/>
        </w:rPr>
        <w:t>ذکره من أنّ هذا الخطاب یستحیل کونه مطلقا من حیث الدخول، و یستحیل أیضا کونه مشروطا به، فلا بدّ لنا من القول بأنّه لم یخاطب بالنهی المذکور فی وقت 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ثبوت استحالة النهی خطابا ننقل الکلام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استحالته ملاکا، و بیان ذلک هو دعوی کون الخروج ذا ملاک حسن فی جمیع الحالات و الأوقات، لکونه فی حدّ نفسه معنونا بعنوان الرد و التخلیة، و هو حسن عقلا مطلوب شرعا فلا یکون الخروج إلّا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الحجر الأساسی فی الأمر الثانی و الثالث هو الأمر الأوّل، و أنّه بعد ثبوت کونه غیر مخاطب بالنهی عن الخروج فی وقت من الأوقات لا یکون من قبیل قاعدة الامتناع بالاختیار، فإنّ ذلک إنّما یکون من هذه القاعدة إذا فرضنا صحّة توجّه النهی إلیه، و الحجر الأساسی فی الأمر الرابع هو الأمر الثانی من هذین الأمرین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عمدة ما یتوجّه علیه قدّس سرّه هو منع الأمر الأوّل بامکان توجّه الخطاب المطلق</w:t>
      </w:r>
    </w:p>
    <w:p>
      <w:pPr>
        <w:pStyle w:val="BookText"/>
        <w:rPr/>
      </w:pPr>
      <w:r>
        <w:rPr>
          <w:rFonts w:ascii="IRNazanin" w:hAnsi="IRNazanin" w:eastAsia="IRNazanin"/>
          <w:color w:val="111111"/>
          <w:sz w:val="28"/>
          <w:sz w:val="28"/>
          <w:szCs w:val="28"/>
          <w:rtl w:val="true"/>
          <w:lang w:bidi="fa-IR"/>
        </w:rPr>
        <w:t>بالنهی عن الخروج، و منع الأمر الثانی بعدم الدلیل علی وجوب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w:t>
      </w:r>
      <w:r>
        <w:rPr>
          <w:rStyle w:val="FootnoteAnchor"/>
          <w:rtl w:val="true"/>
        </w:rPr>
        <w:footnoteReference w:id="209"/>
      </w:r>
      <w:r>
        <w:rPr>
          <w:rFonts w:ascii="IRNazanin" w:hAnsi="IRNazanin" w:eastAsia="IRNazanin"/>
          <w:color w:val="111111"/>
          <w:sz w:val="28"/>
          <w:sz w:val="28"/>
          <w:szCs w:val="28"/>
          <w:rtl w:val="true"/>
          <w:lang w:bidi="fa-IR"/>
        </w:rPr>
        <w:t>إن شاء اللّه تعالی تفصیل ذلک و إقامة البرهان علیه، و أنّ جمیع ما أورده المحشّی علیه ممّا هو خارج عمّا ذکرناه غیر متوجّه علیه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محلّ الکلام فی القاعدة هو ما إذا کان ملاک العبادة مطلقا، بحیث تکون هی واجدة للملاک، وجد المقدّمة الاعدادیة لها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الأولی نقل نفس ما حرّرته عنه قدّس سرّه فی هذا المقام، إذ ربما کان أوضح و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الفعل الذی امتنع بسوء الاختیار بواسطة تفویت مقدّمة من مقدّماته الاعدادیة قابلا لأن یتعلّق به التکلیف المطلق من حیث الملاک، و إن لم یمکن أن یکون مطلقا من حیث الخطاب بالقیاس إلی تلک المقدّمة لتأخّره عنها زمانا، و إنّما قلنا إنّ التکلیف بذلک الفعل یکون بالقیاس إلی تلک المقدّمة مطلقا من حیث الملاک لعدم مدخلیة تلک المقدّمة فی ملاک ذلک التکلیف</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متعلّق ذلک التکلیف مقیّدا بالزمان المتأخّر عن تلک المقدّمة کما لو قصر فی تحصیل اللباس غیر الممنوع فاضطرّ إلی الحریر و نحوه، و کما لو دخل الوقت و کان متمکّنا من تحصیل الماء و التراب و لکنّه قصر فی تحصیل ذلک فاضطرّ إلی عدم الطهور، لکان ذلک التکلیف بالقیاس إلی تلک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خطابا و ملاکا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قابل لأن یتعلّق به التکلیف المشروط بوجود تلک المقدّمة الاعدادیة، کما فی الحجّ بالنسبة إلی قطع المسافة، فإنّه مع تفویت تلک المقدّمة الاعدادیة یکون ممتنعا، و لکنّه یمکن قبل تفویت تلک المقدّمة الإعدادیة أن یتعلّق به التکلیف المطلق، کما یمکن أن یتعلّق به التکلیف المشروط بوجود تلک المقدّمة الاعدادیة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الخروج و إن سلمنا کونه ممتنعا عند تفویت مقدّمته التی هی ترک الدخول، إلّا أنّه لا یمکن أن یقع قبل تفویت تلک المقدّمة متعلّقا للتکلیف المطلق بالقیاس إلی تلک المقدّمة، لا لمدخلیتها فی ملاکه بل لجهة أخری، و هی أنّ موضوع ذلک التکلیف المفروض تعلّقه بالخروج فعلا أو ترکا یتوقّف علی تحقّق تلک المقدّمة، إذ لا معنی للخروج إلّا بعد الدخول، و یکون نسبة تلک المقدّمة إلی ذلک التکلیف کنسبة الموضوع إلی الحکم، و یکون التکلیف بترک الخروج قبل الدخول من قبیل السالبة بانتفاء الموضوع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کون نسبة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ترک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دخیلة فی الموضوع بعد فرض عدم مدخلیتها فی ملاکه لا یخرجها عن کون تفویتها من قبیل الامتناع بالاختیار هذا، مضافا إلی ما تقدّم نقله </w:t>
      </w:r>
      <w:r>
        <w:rPr>
          <w:rStyle w:val="FootnoteAnchor"/>
          <w:rtl w:val="true"/>
        </w:rPr>
        <w:footnoteReference w:id="212"/>
      </w:r>
      <w:r>
        <w:rPr>
          <w:rFonts w:ascii="IRNazanin" w:hAnsi="IRNazanin" w:eastAsia="IRNazanin"/>
          <w:color w:val="111111"/>
          <w:sz w:val="28"/>
          <w:sz w:val="28"/>
          <w:szCs w:val="28"/>
          <w:rtl w:val="true"/>
          <w:lang w:bidi="fa-IR"/>
        </w:rPr>
        <w:t>فی توجیه کلام الکفایة من منع کونها دخیلة فی الموضوع، و أنّ التحریم فی أمثاله لا یکون مشروطا بالشروع فی الجزء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إلّا حرمة الغصب و حرمة التصرّف فی المغصوب الشاملة للحرکات الدخولیة</w:t>
      </w:r>
    </w:p>
    <w:p>
      <w:pPr>
        <w:pStyle w:val="BookText"/>
        <w:rPr/>
      </w:pPr>
      <w:r>
        <w:rPr>
          <w:rFonts w:ascii="IRNazanin" w:hAnsi="IRNazanin" w:eastAsia="IRNazanin"/>
          <w:color w:val="111111"/>
          <w:sz w:val="28"/>
          <w:sz w:val="28"/>
          <w:szCs w:val="28"/>
          <w:rtl w:val="true"/>
          <w:lang w:bidi="fa-IR"/>
        </w:rPr>
        <w:t>و المکثیة و الخروجیة فی عرض واحد، و إن کانت تلک الحرکات تدریجیة، إذ لا نظر فی النهی عن ذلک إلی خصوص حرکة خاصّة من الدخول أو الخروج أو المکث،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 الملاک فی القاعدة هو أن یکون المقدّمة موجبا للقدرة علی ذی المقدّمة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فی تقریب هذا الوجه الثالث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الاعدادیة التی تکون موردا للقاعدة کالمسیر یکون فعلها موجبا للتمکّن من فعل الواجب الذی هو الحجّ، علی وجه یکون المکلّف بعد فعله هذه المقدّمة أعنی المسیر مختارا فی فعل الحجّ، إن شاء فعله و إن شاء لم یفعله، کما أنّ ترکها یکون موجبا لعدم التمکّن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واجبنا فیما نحن فیه هو ترک الخروج و مقدّمته الاعدادیة هی ترک الدخول، و هذه المقدّمة الاعدادیة التی هی ترک الدخول یکون فعلها موجبا لعدم التمکّن من الواجب الذی هو ترک الخروج، لأنّه مع ترکه الدخول لا یکون ترک الخروج ممکنا له علی وجه یکون صادرا بارادته، لکونه حینئذ قهریا فلا یکون اختیاریا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هذه المقدّمة التی هی ترک الدخول یکون موجبا للتمکّن من الواجب الذی هو ترک الخروج، فإنّه عند الدخول الذی هو ترک المقدّمة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ترک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الواجب الذی هو ترک الخروج اختیاریا له، إن شاء خرج و إن شاء ترک و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حرّره المرحوم الشیخ محمّد علی </w:t>
      </w:r>
      <w:r>
        <w:rPr>
          <w:rStyle w:val="FootnoteAnchor"/>
          <w:rtl w:val="true"/>
        </w:rPr>
        <w:footnoteReference w:id="214"/>
      </w:r>
      <w:r>
        <w:rPr>
          <w:rFonts w:ascii="IRNazanin" w:hAnsi="IRNazanin" w:eastAsia="IRNazanin"/>
          <w:color w:val="111111"/>
          <w:sz w:val="28"/>
          <w:sz w:val="28"/>
          <w:szCs w:val="28"/>
          <w:rtl w:val="true"/>
          <w:lang w:bidi="fa-IR"/>
        </w:rPr>
        <w:t>یحوم حول هذا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فی هذا الکتاب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فالدخول موجب لسقوط الخطاب</w:t>
      </w:r>
    </w:p>
    <w:p>
      <w:pPr>
        <w:pStyle w:val="BookText"/>
        <w:rPr/>
      </w:pPr>
      <w:r>
        <w:rPr>
          <w:rFonts w:ascii="IRNazanin" w:hAnsi="IRNazanin" w:eastAsia="IRNazanin"/>
          <w:color w:val="111111"/>
          <w:sz w:val="28"/>
          <w:sz w:val="28"/>
          <w:szCs w:val="28"/>
          <w:rtl w:val="true"/>
          <w:lang w:bidi="fa-IR"/>
        </w:rPr>
        <w:t>التحریمی، إذ به یکون ترکه غیر مقدور علی ما اختاروه، فکیف یمکن أن یکون المقام من صغریات تلک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و مورد القاعدة متعاکسان، إذ وجود المقدّمة فیما نحن فیه یعدم الخطاب و فی مورد القاعدة یکون موجدا له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ما حرّرته عنه قدّس سرّه فإنّه قریب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 تأمّل، لما عرفت من أنّ المقدّمة هنا هی ترک الدخول و هی لا تسقط الخطاب، و أمّا الدخول فهو ترک تلک المقدّمة التی هی ترک الدخول، فهذا هو الذی زعموا أنّه یسقط الخطاب،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تقدّم أنّه مع عدم الدخول لا یکون الخروج مقدورا لا فعلا و هو واضح، و لا ترکا لکونه حینئذ قهریا، فحینئذ لا یکون الخروج مقدورا إلّا مع الدخول، فیکون الدخول مقدّمة اعدادیة، لکنّهم علی ما اختاروه قالوا إنّه یکون مضطرا إلی الخروج بعد الدخول، فیکون الخروج حینئذ غیر مقدور بعد الدخول، فیکون الدخول مسقطا للخطاب بترک الخروج، فیکون علی العکس من المقدّمات الاعدادیة مثل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الحاصل حینئذ أنّ التکلیف بترک الخروج لا یمکن أن یکون مطلقا بالقیاس إلی الدخول علی وجه یکون متحقّقا قبل الدخول، لما عرفت من کونه من قبیل انعدام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یمکن أن یکون مشروطا بالدخول، لما عرفت من أنّ الدخول یسقطه لا أنّه یوجب فعلیته و تحقّقه فتأمّل، فلا بدّ أن نقول إنّ الخروج لیس بمحرّم أصلا، إذ لا یعقل تحریمه قبل الدخول کما لا یعقل ذلک بعد الدخول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ما حرّرته عنه قدّس سرّه مقارب لما فی هذا الکتاب، فإنّه نظیره فی</w:t>
      </w:r>
    </w:p>
    <w:p>
      <w:pPr>
        <w:pStyle w:val="BookText"/>
        <w:rPr/>
      </w:pPr>
      <w:r>
        <w:rPr>
          <w:rFonts w:ascii="IRNazanin" w:hAnsi="IRNazanin" w:eastAsia="IRNazanin"/>
          <w:color w:val="111111"/>
          <w:sz w:val="28"/>
          <w:sz w:val="28"/>
          <w:szCs w:val="28"/>
          <w:rtl w:val="true"/>
          <w:lang w:bidi="fa-IR"/>
        </w:rPr>
        <w:t>جعل المقدّمة هی الدخول،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الفرق أنّ الحجّ واجب و مقدّمته هی قطع المسافة، فإن فعل المقدّمة کان الأمر بالحجّ فی محلّه، و إن کان ترکها امتنع علیه ذلک الواجب و هو الحجّ، بخلاف ما نحن فیه فإنّ واجبنا هو ترک الخروج و مقدّمته هی ترک الدخول، فإن فعل المقدّمة بأن ترک الدخول لم یکن الأمر بالواجب الذی هو ترک الخروج فی محلّه، لأنّه حینئذ تحصیل للحاصل و لأنّه من قبیل السالبة بانتفاء الموضوع، و إن عصی و ترک هذه المقدّمة بأن لم یفعل المقدّمة و لم یترک الدخول بل فعله لم یکن الواجب و هو ترک الخروج ممتنعا علیه، بل کان یمکنه ترک الخروج و لو بالبقاء</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ما ذکره شیخنا الأستاذ قدّس سرّه فی هذا الوجه ملاکا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218"/>
      </w:r>
      <w:r>
        <w:rPr>
          <w:rFonts w:ascii="IRNazanin" w:hAnsi="IRNazanin" w:eastAsia="IRNazanin"/>
          <w:color w:val="111111"/>
          <w:sz w:val="28"/>
          <w:sz w:val="28"/>
          <w:szCs w:val="28"/>
          <w:rtl w:val="true"/>
          <w:lang w:bidi="fa-IR"/>
        </w:rPr>
        <w:t>أنّ حاصل ما أفاده شیخنا قدّس سرّه فیما نقلناه عمّا حرّرناه عنه فی هذا الوجه الثانی هو مقایسة واجبنا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ترک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نفسه، و حیث إنّ هذا الواجب و هو ترک الخروج یکون ممتنعا علی المکلّف بعد اقدامه علی</w:t>
      </w:r>
    </w:p>
    <w:p>
      <w:pPr>
        <w:pStyle w:val="BookText"/>
        <w:rPr/>
      </w:pPr>
      <w:r>
        <w:rPr>
          <w:rFonts w:ascii="IRNazanin" w:hAnsi="IRNazanin" w:eastAsia="IRNazanin"/>
          <w:color w:val="111111"/>
          <w:sz w:val="28"/>
          <w:sz w:val="28"/>
          <w:szCs w:val="28"/>
          <w:rtl w:val="true"/>
          <w:lang w:bidi="fa-IR"/>
        </w:rPr>
        <w:t xml:space="preserve">الدخول کما هو مبنی کلام صاحب الکفایة قدّس سرّه </w:t>
      </w:r>
      <w:r>
        <w:rPr>
          <w:rStyle w:val="FootnoteAnchor"/>
          <w:rtl w:val="true"/>
        </w:rPr>
        <w:footnoteReference w:id="219"/>
      </w:r>
      <w:r>
        <w:rPr>
          <w:rFonts w:ascii="IRNazanin" w:hAnsi="IRNazanin" w:eastAsia="IRNazanin"/>
          <w:color w:val="111111"/>
          <w:sz w:val="28"/>
          <w:sz w:val="28"/>
          <w:szCs w:val="28"/>
          <w:rtl w:val="true"/>
          <w:lang w:bidi="fa-IR"/>
        </w:rPr>
        <w:t>کان لازم ذلک أن یکون ترک الدخول مقدّمة اعدادیة لذلک الواجب، فیکون ترک الدخول بازاء المسیر نفسه فی کونه مقدّمة اعدادیة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الفرق بینهما أنّ تلک المقدّمة الاعدادیة التی هی المسیر یکون وجوب الحجّ مطلقا بالقیاس إلیها قبل تفویتها، بمعنی أنّ ذلک الوجوب یکون متحقّقا قبل تفویت المسیر، لکن مقدّمتنا الاعدادیة هنا التی هی ترک الدخول لا یمکن أن یکون وجوب ترک الخروج مطلقا بالقیاس إلیها، بمعنی أنّ وجوب ترک الخروج لا یکون متحقّقا قبل تفویت ترک الدخول، و إنّما یکون متحقّقا بعد ارتکاب الدخول الذی هو تفویت تلک المقدّمة الاعدادیة التی هی ترک الدخول، لما ذکرناه من أنّه لا معنی لوجوب ترک الخروج قبل ارتکاب الدخول الذی هو محصّل النهی عن الخروج، لکونه من قبیل السالبة بانتفاء الموضوع، و من الواضح أنّ المقدّمة الاعدادیة التی یکون تفویتها شرطا فی نفس الوجوب لا یعقل أن یکون تفویتها داخلا فی قاعدة الامتناع بالاختیار لا ینافی الاختیار، هذا هو محصّل الوجه الثانی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محصّل الوجه الثالث فهو ما عرفت </w:t>
      </w:r>
      <w:r>
        <w:rPr>
          <w:rStyle w:val="FootnoteAnchor"/>
          <w:rtl w:val="true"/>
        </w:rPr>
        <w:footnoteReference w:id="220"/>
      </w:r>
      <w:r>
        <w:rPr>
          <w:rFonts w:ascii="IRNazanin" w:hAnsi="IRNazanin" w:eastAsia="IRNazanin"/>
          <w:color w:val="111111"/>
          <w:sz w:val="28"/>
          <w:sz w:val="28"/>
          <w:szCs w:val="28"/>
          <w:rtl w:val="true"/>
          <w:lang w:bidi="fa-IR"/>
        </w:rPr>
        <w:t xml:space="preserve">من أنّه بعد فرض کون تفویت تلک المقدّمة موجبا لتحقّق التکلیف بترک الخروج تتّجه علینا الناحیة الأخری، و هی أنّ ذلک التفویت الذی هو عبارة عن ارتکاب الدخول یکون موجبا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لسقوط التکلیف بترک الخروج، لأنّهم یقولون إنّه عند الدخول یکون ترک الخروج ممتنعا، فلا بدّ أن نقول حینئذ إنّ التکلیف بترک</w:t>
      </w:r>
    </w:p>
    <w:p>
      <w:pPr>
        <w:pStyle w:val="BookText"/>
        <w:rPr/>
      </w:pPr>
      <w:r>
        <w:rPr>
          <w:rFonts w:ascii="IRNazanin" w:hAnsi="IRNazanin" w:eastAsia="IRNazanin"/>
          <w:color w:val="111111"/>
          <w:sz w:val="28"/>
          <w:sz w:val="28"/>
          <w:szCs w:val="28"/>
          <w:rtl w:val="true"/>
          <w:lang w:bidi="fa-IR"/>
        </w:rPr>
        <w:t>الخروج إنّما یکون قبل ذلک التفویت، و حینئذ یکون حالها علی العکس من المسیر، فإنّ حفظه یکون محقّقا للقدرة علی الحجّ و صحّة التکلیف به، و تضییعه یکون موجبا لعدم القدرة علی الحجّ و لسقوط التکلیف به، بخلاف هذه المقدّمة و هی ترک الدخول، فإنّ وجودها و حفظها یکون موجبا لعدم القدرة علی ترک الخروج و لعدم صحّة توجّه التکلیف به، لما ذکرناه من کونه حینئذ سالبة بانتفاء الموضوع، و لازم ذلک أن یکون عدم هذه المقدّمة و تضییعها بارتکاب الدخول موجبا لصحّة ذلک التکلیف و تحقّقه، علی العکس ممّا هو الحال فی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بالنظر إلی ما ذکرناه من أنّ الخروج قبل الدخول یکون غیر مقدور فعلا و ترکا یکون لازم ذلک هو انحصار القدرة علیه بعد الدخول، و لازم ذلک هو کون الدخول مقدّمة إعدادیة للخروج فعلا أو ترکا، لکن هذه المقدّمة الاعدادیة علی العکس من المسیر، فإنّ الدخول بوجوده یکون سالبا للقدرة علی الواجب الذی هو ترک الخروج کما هو مفروض دعواهم، و بعدمها یکون محقّقا للقدرة علیه، و حینئذ یکون الدخول بوجوده رافعا لوجوب ترک الخروج و بعدمه یکون محقّقا لذلک الوجوب علی العکس من المسیر، فلا یمکن اندراجها فی قاعدة الامتناع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یتلخّص من هذین الإشکالین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بترک الخروج لا یعقل أن یکون بالقیاس إلی الدخول مطلقا، لأنّ لازم ذلک وجوب ترک الخروج قبل الدخول، و هو غیر معقول لکونه من 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یمکن أن یکون مشروطا به، لما ذکروه من أنّ ترک الخروج یکون ممتنعا بعد الدخول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فیما تقدّم </w:t>
      </w:r>
      <w:r>
        <w:rPr>
          <w:rStyle w:val="FootnoteAnchor"/>
          <w:rtl w:val="true"/>
        </w:rPr>
        <w:footnoteReference w:id="221"/>
      </w:r>
      <w:r>
        <w:rPr>
          <w:rFonts w:ascii="IRNazanin" w:hAnsi="IRNazanin" w:eastAsia="IRNazanin"/>
          <w:color w:val="111111"/>
          <w:sz w:val="28"/>
          <w:sz w:val="28"/>
          <w:szCs w:val="28"/>
          <w:rtl w:val="true"/>
          <w:lang w:bidi="fa-IR"/>
        </w:rPr>
        <w:t>أنّ هذه الإشکالات إنّما جاءت من دعوی عدم</w:t>
      </w:r>
    </w:p>
    <w:p>
      <w:pPr>
        <w:pStyle w:val="BookText"/>
        <w:rPr/>
      </w:pPr>
      <w:r>
        <w:rPr>
          <w:rFonts w:ascii="IRNazanin" w:hAnsi="IRNazanin" w:eastAsia="IRNazanin"/>
          <w:color w:val="111111"/>
          <w:sz w:val="28"/>
          <w:sz w:val="28"/>
          <w:szCs w:val="28"/>
          <w:rtl w:val="true"/>
          <w:lang w:bidi="fa-IR"/>
        </w:rPr>
        <w:t>امکان توجّه النهی عن الخروج قبل الدخول، و عرفت أیضا أنّ ذلک لا مانع منه، بل إنّ نظیره جار فی جمیع المحرّمات التدریجیة، فإنّ حرمة الجزء الأخیر من مثل صلاة الحائض داخل فی قوله فی خطابها لا تصلّی أیّتها الحائض، و من الواضح أنّ الجزء الأخیر إنّما یکون مقدورا لها بعد الفراغ ممّا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ذلک هو أنّ المنهی عنه هو ذلک الفعل المستمرّ المستطیل بنهی واحد من دون نظر إلی خصوص جزئه الأوّل أو الوسط أو الأخیر، فمن قال لا تغصب أو لا تتصرّف فی الدار المغصوبة لیس ناظرا إلی النهی عن نفس الدخول أو المکث و الخروج کلا بنهی مستقلّ، کی یقال إنّ النهی عن الخروج لا یعقل قبل ارتکاب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الواجب التدریجی الحصول، فإنّ الأمر یتعلّق به قبل الشروع و یکون الامتثال تدریجیا أو بآخر جزء، و علی کلّ حال هو مأمور قبل أن یشرع بجمیع الأجزاء حتّی الجزء الأخیر، و لیس أمره بالجزء الأخیر معلّقا أو مشروطا بالنسبة إلی الأجزاء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هذا النحو من الواجبات و المحرّمات و بین ما نحن فیه إلّا أنّ ما نحن فیه إذا دخل فی الجزء الأوّل لا یمکنه التخلّص من الجزء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فبدّل النهی فیما نحن فیه بالأمر و انظر ما ذا یکون حال الخروج بالنسبة إلی ذلک الأمر، هل یکون متعلّقا للأمر قبل الدخول، أو أنّ أمره مشروط أو معلّق بالدخول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بالأجزاء المتأخرة فعلا أو ترکا لیس من قبیل الواجب المشروط و لا من قبیل الواجب المعلّق مع فرض کون الأجزاء المتقدّمة مقدورة، کما إذا کانت هناک مقدّمة وجودیة اختیاریة تحتاج إلی مقدار من الزمان، فإنّها لا توجب جعل التکلیف بذیها مشروطا أو معلّقا، فراجع مبحث الواجب</w:t>
      </w:r>
    </w:p>
    <w:p>
      <w:pPr>
        <w:pStyle w:val="BookText"/>
        <w:rPr/>
      </w:pP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غایة ما یمکن أن یقال فی الإشکال علی ما أفاده شیخنا قدّس سرّه، و أنت ممّا حرّرناه فی توضیح مرام شیخنا قدّس سرّه من المقایسة المذکورة تعرف أنّه لا یتوجّه علیه شی‌ء ممّا فی هذه الحاشیة من التفرقة بین المقدّمات المفوّتة فی المحرّمات و المقدّمات المفوّتة فی الواجبات، کما أنّک قد عرفت فیما تقدّم </w:t>
      </w:r>
      <w:r>
        <w:rPr>
          <w:rStyle w:val="FootnoteAnchor"/>
          <w:rtl w:val="true"/>
        </w:rPr>
        <w:footnoteReference w:id="222"/>
      </w:r>
      <w:r>
        <w:rPr>
          <w:rFonts w:ascii="IRNazanin" w:hAnsi="IRNazanin" w:eastAsia="IRNazanin"/>
          <w:color w:val="111111"/>
          <w:sz w:val="28"/>
          <w:sz w:val="28"/>
          <w:szCs w:val="28"/>
          <w:rtl w:val="true"/>
          <w:lang w:bidi="fa-IR"/>
        </w:rPr>
        <w:t>أنّ مسألة الممنوع شرعا کالممتنع عقلا لا دخل لها بما نحن فیه من قاعدة الامتناع بالاختیار کما هو أساس الایراد فی الحاشیة السابقة و هذه الحاشیة،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أنّ الخروج فیما نحن فیه واجب فی الجملة و لو کان بحکم العقل، و ما کان کذلک لا یدخل تحت القاعدة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الطبعة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فیکشف ذلک عن کونه مقدورا و قابلا لتعلّق التکلیف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حرّرته عنه قدّس سرّه فی بیان هذا الأمر مقصور علی مفاد الجملة الأولی من دون تعرّض لاستکشاف أنّه مقدور، و هذا نصّ ما حرّرته عنه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هذه القاعدة أن یکون ذلک الفعل الممتنع غیر منطبق علیه أحد العناوین الموجبة لحسنه، المنافیة لوقوعه علی صفة المبغوضیة و لاستحقاق العقاب علیه، و الخروج فیما نحن فیه لیس کذلک، لأنّه معنون بعنوان یحکم العقل بحسنه، أعنی عنوان التخلّص من الغصب، فلا یمکن أن یکون واقعا علی صفة المبغوضیة و مستحقّا علیه العقاب، و إن سلّمنا أنّه ممتنع بسوء الاختیار،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بنحو ذلک حرّره المرحوم الشیخ محمّد علی </w:t>
      </w:r>
      <w:r>
        <w:rPr>
          <w:rStyle w:val="FootnoteAnchor"/>
          <w:rtl w:val="true"/>
        </w:rPr>
        <w:footnoteReference w:id="224"/>
      </w:r>
      <w:r>
        <w:rPr>
          <w:rFonts w:ascii="IRNazanin" w:hAnsi="IRNazanin" w:eastAsia="IRNazanin"/>
          <w:color w:val="111111"/>
          <w:sz w:val="28"/>
          <w:sz w:val="28"/>
          <w:szCs w:val="28"/>
          <w:rtl w:val="true"/>
          <w:lang w:bidi="fa-IR"/>
        </w:rPr>
        <w:t>من دون تعرّض لاستکشاف کونه مقدورا، و حینئذ لا یتوجّه علیه ما فی الحاشیة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الخروج واجبا بحکم العقل و إن کان لا بدّ فیه من کونه مقدورا تکوینا، إلّا أنّه مع ذلک غیر قابل لتعلّق التکلیف التحریمی به بعد تحقّق الدخول، ضرورة أنّ تحریمه الفعلی مساوق للعجز عنه تشریعا، و من الواضح أنّه لا یجتمع مع کون التصرّف بغیر الخروج حراما بالفعل کما هو المفروض، لاستلزامه التکلیف بما لا یطاق و هو غیر معقول الخ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 عدم توجّه هذا الایراد هو أنّ شیخنا لا یرید بذلک الوجه الرابع إلّا بیان أنّ الخروج لا یکون مبغوضا کی یکون داخلا فی قاعدة الامتناع بالاختیار، بل یرید أن یدّعی أنّ الخروج من أوّل الأمر غیر منهی عنه، و أنّ الکاشف عن کونه غیر منهی عنه و لو بالنهی السابق هو کونه فی حدّ نفسه معنونا بعنوان حسن، و ما یکون فی حدّ نفسه معنونا بعنوان حسن یستحیل أن یتعلّق به النهی لا فعلا و لا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أنّه قدّس سرّه أراد ببیان ذلک الحسن العقلی استکشاف کونه مقدورا فذلک أیضا فی محلّه، لأنّ ما یحکم العقل بحسنه لا بدّ أن یکون مقدورا تکوینیا، بل إنّ تحریم ما عداه شرعا کاشف أیضا عن کونه فی حدّ نفسه مقدورا، إذ لو کان فی حدّ نفسه قهریا و مضطرا إلیه لما صحّ تحریم ما عداه شرعا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دعوی أنّ تحریم ما عداه مدخلة له فی الممتنع ترکه المضطرّ إلیه بسوء الاختیار فقد عرفت فیما تقدّم </w:t>
      </w:r>
      <w:r>
        <w:rPr>
          <w:rStyle w:val="FootnoteAnchor"/>
          <w:rtl w:val="true"/>
        </w:rPr>
        <w:footnoteReference w:id="226"/>
      </w:r>
      <w:r>
        <w:rPr>
          <w:rFonts w:ascii="IRNazanin" w:hAnsi="IRNazanin" w:eastAsia="IRNazanin"/>
          <w:color w:val="111111"/>
          <w:sz w:val="28"/>
          <w:sz w:val="28"/>
          <w:szCs w:val="28"/>
          <w:rtl w:val="true"/>
          <w:lang w:bidi="fa-IR"/>
        </w:rPr>
        <w:t>أنّ الاضطرار إلی الشی‌ء الناشئ عن تحریم ما</w:t>
      </w:r>
    </w:p>
    <w:p>
      <w:pPr>
        <w:pStyle w:val="BookText"/>
        <w:rPr/>
      </w:pPr>
      <w:r>
        <w:rPr>
          <w:rFonts w:ascii="IRNazanin" w:hAnsi="IRNazanin" w:eastAsia="IRNazanin"/>
          <w:color w:val="111111"/>
          <w:sz w:val="28"/>
          <w:sz w:val="28"/>
          <w:szCs w:val="28"/>
          <w:rtl w:val="true"/>
          <w:lang w:bidi="fa-IR"/>
        </w:rPr>
        <w:t>عداه لا یدخله فی قاعدة الامتناع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مناقشة سیأتی </w:t>
      </w:r>
      <w:r>
        <w:rPr>
          <w:rStyle w:val="FootnoteAnchor"/>
          <w:rtl w:val="true"/>
        </w:rPr>
        <w:footnoteReference w:id="227"/>
      </w:r>
      <w:r>
        <w:rPr>
          <w:rFonts w:ascii="IRNazanin" w:hAnsi="IRNazanin" w:eastAsia="IRNazanin"/>
          <w:color w:val="111111"/>
          <w:sz w:val="28"/>
          <w:sz w:val="28"/>
          <w:szCs w:val="28"/>
          <w:rtl w:val="true"/>
          <w:lang w:bidi="fa-IR"/>
        </w:rPr>
        <w:t xml:space="preserve">إن شاء اللّه تعالی التعرّض لها، و هی المنع من کونه معنونا بعنوان حسن و هو التوصّل به إلی الواجب الذی هو ردّ المغصوب، للمنع من کون ردّ المغصوب واجبا، نعم إنّ العقل یحکم به لا من باب حسنه المذکور، بل من باب ارتکاب أقلّ القبیحین و أهون العقابین، و منه یعلم أنّ المورد من موارد القاعدة، نظرا إلی ما عرفته فیما تقدّم </w:t>
      </w:r>
      <w:r>
        <w:rPr>
          <w:rStyle w:val="FootnoteAnchor"/>
          <w:rtl w:val="true"/>
        </w:rPr>
        <w:footnoteReference w:id="228"/>
      </w:r>
      <w:r>
        <w:rPr>
          <w:rFonts w:ascii="IRNazanin" w:hAnsi="IRNazanin" w:eastAsia="IRNazanin"/>
          <w:color w:val="111111"/>
          <w:sz w:val="28"/>
          <w:sz w:val="28"/>
          <w:szCs w:val="28"/>
          <w:rtl w:val="true"/>
          <w:lang w:bidi="fa-IR"/>
        </w:rPr>
        <w:t>فی شرح مراد الکفایة من کونه بعد الدخول یکون مضطرا إلی ارتکاب أحد المحرّمین إمّا الخروج و إمّا المکث، و أنّ الأوّل یعیّنه العقل لکونه أخفّهما، و لا ینافی ذلک استحقاقه العقاب علی کلّ منهما لو ارتکبه، لأنّ اضطراره إلی أحدهما کان بسوء اختیاره، و ما یکون امتناعه بسوء الاختیار لا ینافی الاختیار فی أصل الارتکاب الذی هو المصحّح لذلک العقاب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لک أنّه لا وجه لما فی هذه الحاشیة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لما أفید فی المتن من دعوی الملازمة بین الالتزام بکون الخروج واجبا عقلا و الالتزام بعدم سقوط حکمه الثابت له شرعا، انتهی </w:t>
      </w:r>
      <w:r>
        <w:rPr>
          <w:rStyle w:val="FootnoteAnchor"/>
          <w:rtl w:val="true"/>
        </w:rPr>
        <w:footnoteReference w:id="229"/>
      </w:r>
      <w:r>
        <w:rPr>
          <w:rFonts w:ascii="IRNazanin" w:hAnsi="IRNazanin" w:eastAsia="IRNazanin"/>
          <w:color w:val="111111"/>
          <w:sz w:val="28"/>
          <w:sz w:val="28"/>
          <w:szCs w:val="28"/>
          <w:rtl w:val="true"/>
          <w:lang w:bidi="fa-IR"/>
        </w:rPr>
        <w:t>یعنی التحریم السابق، لما عرفت من أنّ شیخنا قدّس سرّه لا یرید الانتقال من هذا الحسن العقلی إلی أنّ الخروج مقدور و الانتقال من کونه مقدورا إلی بقاء حکمه السابق الذی هو التحریم، بل إنّما یرید الانتقال من هذا الحسن العقلی الثابت للخروج فی حدّ ذاته إلی أنّه لا یعقل أن یکون حکمه السابق هو التحریم، لأنّ ما یکون فی حدّ نفسه حسنا لکونه</w:t>
      </w:r>
      <w:bookmarkStart w:id="122" w:name="pg19667_765096"/>
    </w:p>
    <w:p>
      <w:pPr>
        <w:pStyle w:val="BookText"/>
        <w:rPr/>
      </w:pPr>
      <w:bookmarkEnd w:id="122"/>
      <w:r>
        <w:rPr>
          <w:rFonts w:ascii="IRNazanin" w:hAnsi="IRNazanin" w:eastAsia="IRNazanin"/>
          <w:color w:val="111111"/>
          <w:sz w:val="28"/>
          <w:sz w:val="28"/>
          <w:szCs w:val="28"/>
          <w:rtl w:val="true"/>
          <w:lang w:bidi="fa-IR"/>
        </w:rPr>
        <w:t>ردّا للمغصوب لا یعقل أن یکون محرّما فی وقت من الأوقات، کی یکون داخلا بعد الدخول فی الاضطرار إلی المحرّم بسوء الاختیار، لیکون من موارد قاعدة الامتناع بسوء الاختیار لا ینافی الاختیار فتأمّل</w:t>
      </w:r>
      <w:r>
        <w:rPr>
          <w:rFonts w:eastAsia="IRNazanin" w:cs="IRNazanin"/>
          <w:color w:val="111111"/>
          <w:sz w:val="28"/>
          <w:szCs w:val="28"/>
          <w:rtl w:val="true"/>
          <w:lang w:bidi="fa-IR"/>
        </w:rPr>
        <w:t>.</w:t>
      </w:r>
    </w:p>
    <w:p>
      <w:pPr>
        <w:pStyle w:val="Heading4"/>
        <w:numPr>
          <w:ilvl w:val="3"/>
          <w:numId w:val="1"/>
        </w:numPr>
        <w:rPr/>
      </w:pPr>
      <w:bookmarkStart w:id="123" w:name="__RefHeading___Toc3538531_2314609296"/>
      <w:bookmarkStart w:id="124" w:name="_Toc43"/>
      <w:bookmarkEnd w:id="123"/>
      <w:r>
        <w:rPr>
          <w:rtl w:val="true"/>
        </w:rPr>
        <w:t>[</w:t>
      </w:r>
      <w:r>
        <w:rPr>
          <w:rtl w:val="true"/>
        </w:rPr>
        <w:t>تتمّة أو توضیح فی صحّة النهی عن الخروج علی نحو الاطلاق</w:t>
      </w:r>
      <w:bookmarkEnd w:id="124"/>
    </w:p>
    <w:p>
      <w:pPr>
        <w:pStyle w:val="BookText"/>
        <w:rPr/>
      </w:pPr>
      <w:r>
        <w:rPr>
          <w:rFonts w:ascii="IRNazanin" w:hAnsi="IRNazanin" w:eastAsia="IRNazanin"/>
          <w:color w:val="111111"/>
          <w:sz w:val="28"/>
          <w:sz w:val="28"/>
          <w:szCs w:val="28"/>
          <w:rtl w:val="true"/>
          <w:lang w:bidi="fa-IR"/>
        </w:rPr>
        <w:t>تتمیم أو توضیح لما تقدّمت الاشارة إلیه من إمکان تطرّق التأمّل فیما أفاده شیخنا قدّس سرّه من عدم معقولیة النهی عن الخروج فنقول بعونه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قد تقدّم منه قدّس سرّه فی مبحث الواجب المعلّق </w:t>
      </w:r>
      <w:r>
        <w:rPr>
          <w:rStyle w:val="FootnoteAnchor"/>
          <w:rtl w:val="true"/>
        </w:rPr>
        <w:footnoteReference w:id="230"/>
      </w:r>
      <w:r>
        <w:rPr>
          <w:rFonts w:ascii="IRNazanin" w:hAnsi="IRNazanin" w:eastAsia="IRNazanin"/>
          <w:color w:val="111111"/>
          <w:sz w:val="28"/>
          <w:sz w:val="28"/>
          <w:szCs w:val="28"/>
          <w:rtl w:val="true"/>
          <w:lang w:bidi="fa-IR"/>
        </w:rPr>
        <w:t>أنّه لیس من الواجب المعلّق ما یکون من الأفعال الواجبة متوقّفا علی مقدّمة اختیاریة تحتاج إلی مقدار من الزمان، کما فی التکلیف بالکون فی مسجد الکوفة بالنسبة إلی من یحتاج فی ذلک إلی قطع مقدار من المسافة و لو قلیلا، و هکذا الأجزاء المتأخرة بالنسبة إلی ما یتقدّمها من الأجزاء، فإنّ ذلک کلّه لیس من قبیل الواجب المعلّق و لا الواجب المشروط، بمعنی أنّ التکلیف بالأفعال المتأخرة الموقوفة علی أفعال متقدّمة لا یکون مشروطا بالنسبة إلی تلک الأفعال المتقدّمة و لا واجبا معلّقا، بل إنّ الوجوب المتعلّق فعلا بتلک الأفعال المسبوقة بأفعال أخر یکون مطلقا بالنسبة إلی الأفعال السابقة، فإنّ اللاحقة و إن کانت مقیّدة بالسابقة و کان وجودها متوقّفا علی وجودها، إلّا أنّ ذلک لا یوجب تقیّد تلک الأفعال اللاحقة بزمانها اللاحق کی تکون من قبیل الواجب المعلّق بما لو تقیّدت الأفعال بالزمان اللاحق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السرّ فی ذلک هو أنّ تقیّدها بالزمان مع فرض کون الوجوب حالیا غیر مشروط بذلک الزمان یکون مستدعیا لجرّ الزمان و هو محال غیر مقدور للمکلّف، بخلاف ما لو کان القید أو المقدّمة الوجودیة هو الأفعال الاختیاریة</w:t>
      </w:r>
    </w:p>
    <w:p>
      <w:pPr>
        <w:pStyle w:val="BookText"/>
        <w:rPr/>
      </w:pPr>
      <w:r>
        <w:rPr>
          <w:rFonts w:ascii="IRNazanin" w:hAnsi="IRNazanin" w:eastAsia="IRNazanin"/>
          <w:color w:val="111111"/>
          <w:sz w:val="28"/>
          <w:sz w:val="28"/>
          <w:szCs w:val="28"/>
          <w:rtl w:val="true"/>
          <w:lang w:bidi="fa-IR"/>
        </w:rPr>
        <w:t>السابقة، فإنّ أقصی ما فی الجمع بین کونها قیدا فی الفعل اللاحق أو مقدّمة وجودیة له و کون التکلیف غیر مشروط بها هو لزوم الاتیان بها فعلا، و ذلک ممکن مقدور و هو المطلوب للآمر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الأوامر المتعلّقة بفعل موقوف علی فعل سابق علی وجودها أو بفعل مرکّب أو استمراری، و منه یعلم الحال فی النواهی المتعلّقة بهذا النحو من الأفعال، مثل ما لو توجّه النهی عن دخول مسجد الکوفة، فإنّه لا یفرق فی صحّة توجّهه بین کون المتوجّه إلیه واقفا علی الباب، و بین کونه بعیدا عنه علی وجه لو أراد الدخول لاحتاج إلی طی مقدار من المسافة و لو قلیلا، فإنّه یصحّ أن یتوجّه الخطاب إلیه بالنهی عن الدخول مطلقا غیر مشروط بطی تلک المسافة و لا معلّق علیها، و إلّا لاختصّ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بُیُوتَ النَّبِیِ </w:t>
      </w:r>
      <w:r>
        <w:rPr>
          <w:rStyle w:val="FootnoteAnchor"/>
          <w:rtl w:val="true"/>
        </w:rPr>
        <w:footnoteReference w:id="231"/>
      </w:r>
      <w:r>
        <w:rPr>
          <w:rFonts w:ascii="IRNazanin" w:hAnsi="IRNazanin" w:eastAsia="IRNazanin"/>
          <w:color w:val="111111"/>
          <w:sz w:val="28"/>
          <w:sz w:val="28"/>
          <w:szCs w:val="28"/>
          <w:rtl w:val="true"/>
          <w:lang w:bidi="fa-IR"/>
        </w:rPr>
        <w:t>بمن کان واقفا علی الباب و لم یکن محتاجا فی دخوله إلی اعمال فعل و قطع مسافة إلّا رفع قدمه من خارج البیت إلی داخلها، و ذلک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النهی عن فعل استمراری أو مرکّب، فإنّ النهی یتعلّق فعلا بمجموع ذلک الفعل، و لا یکون تعلّقه بالجزء الأخیر منه مشروطا أو معلّقا علی الأجزاء الأول و إلّا لکان کلّ محرّم کذلک، إذ ما من فعل محرّم إلّا و له مبدأ و وسط و آخر، فلو لم یصحّ النهی عن الآخر قبل فعل الأوّل و لا بعد فعل الجزء الأوّل امتنع النهی عن کلّ فعل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ینسدّ باب التکالیف التحریمیة بالمرّة، إذ لیس لنا فعل بسیط غیر مشتمل علی جزء أوّل و وسط و آخر مهما قلّ زمانه و ضاق استمراره، مثلا لو کان قراءة البیت الفلانی من الشعر محرّما لکان النهی متعلّقا بکلّ کلمة من کلماته،</w:t>
      </w:r>
    </w:p>
    <w:p>
      <w:pPr>
        <w:pStyle w:val="BookText"/>
        <w:rPr/>
      </w:pPr>
      <w:r>
        <w:rPr>
          <w:rFonts w:ascii="IRNazanin" w:hAnsi="IRNazanin" w:eastAsia="IRNazanin"/>
          <w:color w:val="111111"/>
          <w:sz w:val="28"/>
          <w:sz w:val="28"/>
          <w:szCs w:val="28"/>
          <w:rtl w:val="true"/>
          <w:lang w:bidi="fa-IR"/>
        </w:rPr>
        <w:t>فتکون الأخیرة التی فی ضمنه أعنی الواقعة بعد الکلمات السابقة المقیّدة بسبق تلک الکلمات علیها محرّمة قبل الشروع فی الکلمات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الحرف الأخیر من الکلمة الواحدة لو کانت محرّمة فیتوجّه فیها الإشکال المزبور، و هو أنّ ترک الأخیر بقید کونه أخیرا یکون قهریا علیه فلا یعقل تحریمه قبل الشروع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یتّضح لک صحّة توجّه النهی عن الخروج من الدار المغصوبة علی نحو الاطلاق، لا مشروطا بالدخول و لا معلّقا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النهی المتوجّه إنّما هو النهی عن التصرّف، و هذه الحرکات أعنی الحرکات الدخولیة و الحرکات المکثیة و الحرکات الخروجیة کلّها متساویة الاقدام فی الدخول تحت هذه الطبیعة بنسبة واحدة، من دون طولیة فی البین تستدعی کون النهی عن الدخول قبل النهی عن الخروج، بحیث یکون النهی عن الخروج بعد الدخول، إذ لیس المنظور إلیه فی هذا النهی إلی هذه العناوین للحرکات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لو سلّمنا أنّ الذی ینهی عن ذلک یکون ناظرا إلی تلک الحرکات، فهو إنّما ینظر إلی الحرکة الواحدة المستمرّة من أوّل الدخول إلی آخر الخروج فینهی عنها بنهی واحد، و قد عرفت أنّ النهی عن الفعل المستمرّ المتعاقب الأجزاء لا یکون النهی عن الجزء الأخیر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معلّقا علی الجزء الأوّل، کما عرفت فی الواجبات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أنّه لا بدّ فی الواجب المتعاقب الأجزاء من کون الجزء الأخیر بالنسبة إلی الجزء الأوّل من قبیل الواجب المعلّق، بمعنی أنّ وجوبه یکون متحقّقا قبل وجود الجزء الأوّل، و إن کان هو أعنی الجزء الأخیر لا یکون إلّا بعد الجزء</w:t>
      </w:r>
    </w:p>
    <w:p>
      <w:pPr>
        <w:pStyle w:val="BookText"/>
        <w:rPr/>
      </w:pPr>
      <w:r>
        <w:rPr>
          <w:rFonts w:ascii="IRNazanin" w:hAnsi="IRNazanin" w:eastAsia="IRNazanin"/>
          <w:color w:val="111111"/>
          <w:sz w:val="28"/>
          <w:sz w:val="28"/>
          <w:szCs w:val="28"/>
          <w:rtl w:val="true"/>
          <w:lang w:bidi="fa-IR"/>
        </w:rPr>
        <w:t>الأوّل، لقلنا إنّ الحال فیما نحن فیه کذلک، بمعنی أنّ النهی عن الخروج یکون متوجّها قبل الدخول، و إن کان المنهی عنه الذی هو الخروج لا یکون إلّا بعد الدخول، و لا ضیر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أفاده شیخنا قدّس سرّه </w:t>
      </w:r>
      <w:r>
        <w:rPr>
          <w:rStyle w:val="FootnoteAnchor"/>
          <w:rtl w:val="true"/>
        </w:rPr>
        <w:footnoteReference w:id="232"/>
      </w:r>
      <w:r>
        <w:rPr>
          <w:rFonts w:ascii="IRNazanin" w:hAnsi="IRNazanin" w:eastAsia="IRNazanin"/>
          <w:color w:val="111111"/>
          <w:sz w:val="28"/>
          <w:sz w:val="28"/>
          <w:szCs w:val="28"/>
          <w:rtl w:val="true"/>
          <w:lang w:bidi="fa-IR"/>
        </w:rPr>
        <w:t xml:space="preserve">هنا فی الردّ علی صاحب الفصول </w:t>
      </w:r>
      <w:r>
        <w:rPr>
          <w:rStyle w:val="FootnoteAnchor"/>
          <w:rtl w:val="true"/>
        </w:rPr>
        <w:footnoteReference w:id="233"/>
      </w:r>
      <w:r>
        <w:rPr>
          <w:rFonts w:ascii="IRNazanin" w:hAnsi="IRNazanin" w:eastAsia="IRNazanin"/>
          <w:color w:val="111111"/>
          <w:sz w:val="28"/>
          <w:sz w:val="28"/>
          <w:szCs w:val="28"/>
          <w:rtl w:val="true"/>
          <w:lang w:bidi="fa-IR"/>
        </w:rPr>
        <w:t>بعدم إمکان جعل النهی عن الخروج کذلک لأنّه بعد الدخول یمتنع ترک الخروج و یسقط النهی عنه، یمکن الجواب عنه بأنّه لیس باللازم الباطل، إذ لا مانع من الالتزام بتوجّه النهی عن الخروج قبل الدخول و إن کان بعد الدخول یسقط النهی، و أثر ذلک النهی السابق هو استحقاق العقاب لو أقدم علی المخالفة و دخل، کما أنّه یمکنه الاطاعة بأن لا یدخل، و یکون حاله حال من کان وقوعه فی الزنا مثلا متوقّفا علی خروجه من مجمع الناس و دخوله الدار التی یقع فیها الزنا، علی وجه لو دخل الدار یقع فی الزنا لا محالة و لو بالاجبار علیه، فإنّ مثل هذا الشخص یصحّ أن یتوجّه إلیه النهی عن الزنا فی حال کونه موجودا فی المجمع قبل دخوله تلک الدار، من دون أن یکون ذلک النهی مشروطا، و لو صحّت دعوی أنّ النهی فی مثل ذلک یکون معلّقا و أغضینا النظر عن أصل الإشکال فی المعلّق لقلنا إنّ ما نحن فیه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شی‌ء لعلّه هو کان المنشأ فی دعوی عدم صحّة توجّه النهی عن الخروج قبل الدخول، و هو وضوح سماجة قولک للشخص الموجود أمامک غیر داخل فی الدار لا تخرج من الدار، بل یکون هذا النهی مستهجنا عند العقلاء</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هذه السماجة الذوقیة و تلک الهجنة العقلائیة ناشئة عن أنّ الظاهر لدی</w:t>
      </w:r>
    </w:p>
    <w:p>
      <w:pPr>
        <w:pStyle w:val="BookText"/>
        <w:rPr/>
      </w:pPr>
      <w:r>
        <w:rPr>
          <w:rFonts w:ascii="IRNazanin" w:hAnsi="IRNazanin" w:eastAsia="IRNazanin"/>
          <w:color w:val="111111"/>
          <w:sz w:val="28"/>
          <w:sz w:val="28"/>
          <w:szCs w:val="28"/>
          <w:rtl w:val="true"/>
          <w:lang w:bidi="fa-IR"/>
        </w:rPr>
        <w:t>العقلاء من مثل لا تخرج من الدار هو التحریض علی استمرار البقاء فیها، فلا یستحسن توجّهه إلی من هو غیر داخل فعلا و لم یتلبّس بعد بالبقاء فیها کی یقال له استمرّ علی بقائک فیها و لا تخرج منها، أو أنّ الظاهر من النهی المذکور هو النهی عن تخلیتها الذی هو عنوان ثانوی للخروج،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الواضح أنّ الخروج المدّعی کون النهی متعلّقا به قبل الدخول إنّما یراد به الحرکات الأخیرة من الحرکات المستمرّة من حین دخوله فیها، و أنّ النهی عنها إنّما هو باعتبار کونها حرکات فی الدار و تصرّفات فیها لا باعتبار کونها خروجا و تخلیة، و لا أنّ النهی راجع إلی الحثّ علی استمرار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الخروج إنّما یستهجن توجّهه قبل الدخول إذا کان بمعنی الحثّ علی استمرار البقاء فیها، أو کان بمعنی الحثّ علی عدم التخلیة، أمّا إذا کان بمعنی الحثّ علی ترک ذات الحرکة الخروجیة غیر منظور بها عنوانها الخروجی فالظاهر أنّه لا مانع عنه، بل لا بدّ منه بعد فرض أنّ جمیع الحرکات فی الدار المغصوبة تعد محرّم و ظلم ممنوع عنه شرعا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شی‌ء آخر، و هو دعوی أنّ تلک الحرکات و إن کانت فی حدّ نفسها تصرّفات فی ملک الغیر بغیر إذنه، و مقتضی ذلک أن تکون محرّمة و ممنوعة، لکن لمّا کانت معنونة بعنوان التخلیة و ردّ المغصوب و نحو ذلک من العناوین الموجبة لحسنها عقلا و وجوبها شرعا لا تکون منهیا عنها، لا من جهة کون النهی عنها قبل الدخول من قبیل السالبة بانتفاء الموضوع و بعده تکون مضطرّا إلیها، بل من جهة أنّها فی حدّ نفسها بواسطة انطباق ذلک العنوان علیها لا یعقل أن تکون مبغوضة، بل تکون حسنة و محبوبة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الأمر الثانی من الأمرین اللذین هما أساس ما أفاده شیخنا قدّس سرّه فی</w:t>
      </w:r>
    </w:p>
    <w:p>
      <w:pPr>
        <w:pStyle w:val="BookText"/>
        <w:rPr/>
      </w:pPr>
      <w:r>
        <w:rPr>
          <w:rFonts w:ascii="IRNazanin" w:hAnsi="IRNazanin" w:eastAsia="IRNazanin"/>
          <w:color w:val="111111"/>
          <w:sz w:val="28"/>
          <w:sz w:val="28"/>
          <w:szCs w:val="28"/>
          <w:rtl w:val="true"/>
          <w:lang w:bidi="fa-IR"/>
        </w:rPr>
        <w:t xml:space="preserve">هذا المقام، لکن سیأتی </w:t>
      </w:r>
      <w:r>
        <w:rPr>
          <w:rStyle w:val="FootnoteAnchor"/>
          <w:rtl w:val="true"/>
        </w:rPr>
        <w:footnoteReference w:id="234"/>
      </w:r>
      <w:r>
        <w:rPr>
          <w:rFonts w:ascii="IRNazanin" w:hAnsi="IRNazanin" w:eastAsia="IRNazanin"/>
          <w:color w:val="111111"/>
          <w:sz w:val="28"/>
          <w:sz w:val="28"/>
          <w:szCs w:val="28"/>
          <w:rtl w:val="true"/>
          <w:lang w:bidi="fa-IR"/>
        </w:rPr>
        <w:t>إن شاء اللّه تعالی أنّ هذه العناوین لیست إلّا منتزعة من ترک الظلم و الغصب، لا أنّها أمور أخر غیر ترک الظلم کی یحکم العقل بحسنه، و أی حسن فی رفع الید عن القبیح الذی هو الظلم و الغصب و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ذلک إلّا مثل من هو مقبل علی ضرب الیتیم مثلا فأقلع عنه، فإنّ بقاء ضربه و استمراره علیه و إن کان ظلما قبیحا إلّا أنّ رفع یده عنه لا یعدّ حسنا، بل أقصی ما فیه أنّه ترک للقبیح، و أمّا نفس الحرکة الخروجیة التی یتولّد منها ذلک الاقلاع عن الظلم فهی لیست إلّا مصداقا من تلک المصادیق الظلمیة، و إن ترتّب علیها رفع الظلم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w:t>
      </w:r>
      <w:r>
        <w:rPr>
          <w:rStyle w:val="FootnoteAnchor"/>
          <w:rtl w:val="true"/>
        </w:rPr>
        <w:footnoteReference w:id="235"/>
      </w:r>
      <w:r>
        <w:rPr>
          <w:rFonts w:ascii="IRNazanin" w:hAnsi="IRNazanin" w:eastAsia="IRNazanin"/>
          <w:color w:val="111111"/>
          <w:sz w:val="28"/>
          <w:sz w:val="28"/>
          <w:szCs w:val="28"/>
          <w:rtl w:val="true"/>
          <w:lang w:bidi="fa-IR"/>
        </w:rPr>
        <w:t>إن شاء اللّه تعالی بیان أنّه لا دلیل علی لزوم ذلک و وجوبه شرعا، و أنّه لیس فی البین إلّا حرمة التصرّف و الاستمرار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المنهی عنه هو ذات الحرکة الخروجیة لا عنوان الخروج الذی یکون النهی عنه مستهجنا قبل الدخول، لکنّا مع ذلک نقول إنّ تلک الحرکة قبل الدخول تکون منعدمة قهرا علی المکلّف، فیکون النهی عنها و التکلیف بترکها قبل الدخول تحصیلا للحاصل أو بغیر المقدور، لأنّه کما یشترط فی متعلّق النهی أن یکون ترکه اختیاریا للمکلّف فکذلک یشترط أیضا کون فعله اختیاریا، و إلّا کان من قبیل النهی عن الممتنع، و حینئذ یتمّ ما أفاده شیخنا قدّس سرّه من أنّ تلک الحرکة غیر منهی عنها قبل الدخول کما أنّه بعد الدخول یکون مضطرّا إلیها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النهی عنها قبل الدخول من قبیل النهی عن الممتنع أو من قبیل تحصیل الحاصل، فلا یعقل توجّه النهی عن تلک الحرکة، و یکون ذلک</w:t>
      </w:r>
    </w:p>
    <w:p>
      <w:pPr>
        <w:pStyle w:val="BookText"/>
        <w:rPr/>
      </w:pPr>
      <w:r>
        <w:rPr>
          <w:rFonts w:ascii="IRNazanin" w:hAnsi="IRNazanin" w:eastAsia="IRNazanin"/>
          <w:color w:val="111111"/>
          <w:sz w:val="28"/>
          <w:sz w:val="28"/>
          <w:szCs w:val="28"/>
          <w:rtl w:val="true"/>
          <w:lang w:bidi="fa-IR"/>
        </w:rPr>
        <w:t>من قبیل توجّه الخطاب بشی‌ء یکون الخطاب به فی ظرف إمکانه و تحقّق الابتلاء به ساقطا، لکون الابتلاء به بامکان إیجاده إنّما یکون بعد الدخول، و هو فی ذلک الظرف مضطرّ إلیه لا یعقل توجّه الخطاب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تلک الحرکة قبل الدخول ممتنعة فقد عرفت الجواب بأنّها فی ذلک الظرف غیر ممتنعة، لامکان إیجادها بتوسّط إمکان ما تتوقّف علیه الذی هو الدخول، و أمّا کونها من قبیل تحصیل الحاصل فلما هو واضح من أنّ المطلوب فی باب النهی لیس هو العدم الصرف، و إنّما هو إدامة ذلک العدم و إبقاؤه، و من الواضح أنّ إدامة عدم الخروج فی إمکان المکلّف و فی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المطلوب بالنهی نقض الوجود لیختصّ توجّهه بما إذا کان متعلّقه الذی هو الفعل موجودا مشغولا به المکلّف، لیکون معنی النهی عنه هو نقض ذلک الوجود و تبدیله بالعدم، کی یکون توجّه النهی إلی الشی‌ء فی حال کونه معدوما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تلک الحرکة قد توجّه إلیه قبل الدخول و صار ذلک النهی فعلیا فی حقّه، و هو فی ذلک الحال یمکنه إطاعته بادامة ذلک العدم الحاصل بادامة عدم الدخول، کما أنّه یمکنه عصیانه بنقض ذلک العدم و هدمه، و ذلک بایجاد الدخول المستتبع لتلک الحرکة الخروجیة، و لا ریب أنّ الإقدام علی مقدّمة ملجئة إلی ارتکاب المنهی عنه محقّق لعصیانه، و من الواضح أنّ ظرف العصیان ظرف السقوط</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لذلک النهی المتعلّق بتلک الحرکة دور إطاعة و دور عصیان، و دور الاطاعة هو ما دام قبل الدخول، ثمّ بعد ارتکاب الدخول یکون الدور دور العصیان و خروج الاطاعة من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و فی هذا الدور یکون</w:t>
      </w:r>
      <w:bookmarkStart w:id="125" w:name="pg19667_765103"/>
    </w:p>
    <w:p>
      <w:pPr>
        <w:pStyle w:val="BookText"/>
        <w:rPr/>
      </w:pPr>
      <w:bookmarkEnd w:id="125"/>
      <w:r>
        <w:rPr>
          <w:rFonts w:ascii="IRNazanin" w:hAnsi="IRNazanin" w:eastAsia="IRNazanin"/>
          <w:color w:val="111111"/>
          <w:sz w:val="28"/>
          <w:sz w:val="28"/>
          <w:szCs w:val="28"/>
          <w:rtl w:val="true"/>
          <w:lang w:bidi="fa-IR"/>
        </w:rPr>
        <w:t xml:space="preserve">الخطاب ساقطا، کما هو الشأن فی جمیع النواهی المتعلّقة بما لا یمکن التخلّص بعد الاقدام علی المقدّمة الملجئة إلی ارتکابه، فإنّه لم یلتزم أحد بأنّ مثل تلک المتعلّقات لا تکون منهیا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مثل الالتجاء إلی ارتکاب الزنا عند الدخول إلی الدار، فإنّ من علم ذلک لا یخرج الزنا المذکور فی حقّه عن کونه منهیا عنه و مخاطبا بترکه قبل الدخول، نعم بعد الدخول و الوقوع فیما یلجئه إلی ارتکاب الزنا یسقط حینئذ الخطاب بترکه، مع أنّه مثل الخروج فی أنّه قبل الدخول یکون منترکا، و بعده یکون الوقوع فی اختیاره قهریا علیه، فتأمّل</w:t>
      </w:r>
      <w:r>
        <w:rPr>
          <w:rFonts w:eastAsia="IRNazanin" w:cs="IRNazanin"/>
          <w:color w:val="111111"/>
          <w:sz w:val="28"/>
          <w:szCs w:val="28"/>
          <w:rtl w:val="true"/>
          <w:lang w:bidi="fa-IR"/>
        </w:rPr>
        <w:t>.</w:t>
      </w:r>
    </w:p>
    <w:p>
      <w:pPr>
        <w:pStyle w:val="Heading4"/>
        <w:numPr>
          <w:ilvl w:val="3"/>
          <w:numId w:val="1"/>
        </w:numPr>
        <w:rPr/>
      </w:pPr>
      <w:bookmarkStart w:id="126" w:name="__RefHeading___Toc3538533_2314609296"/>
      <w:bookmarkStart w:id="127" w:name="_Toc44"/>
      <w:bookmarkEnd w:id="126"/>
      <w:r>
        <w:rPr>
          <w:rtl w:val="true"/>
        </w:rPr>
        <w:t>[</w:t>
      </w:r>
      <w:r>
        <w:rPr>
          <w:rtl w:val="true"/>
        </w:rPr>
        <w:t>التعلیق علی ما ذهب إلیه الماتن قدّس سرّه من دخول المقام فی قاعدة ردّ المال إلی صاحبه</w:t>
      </w:r>
      <w:bookmarkEnd w:id="12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داخل فی قاعدة أخری و هی وجوب ردّ مال الغیر إلی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أساس ذلک هو ما نقله فی الکفایة عن تقریرات درس الشیخ قدّس سرّه </w:t>
      </w:r>
      <w:r>
        <w:rPr>
          <w:rStyle w:val="FootnoteAnchor"/>
          <w:rtl w:val="true"/>
        </w:rPr>
        <w:footnoteReference w:id="237"/>
      </w:r>
      <w:r>
        <w:rPr>
          <w:rFonts w:ascii="IRNazanin" w:hAnsi="IRNazanin" w:eastAsia="IRNazanin"/>
          <w:color w:val="111111"/>
          <w:sz w:val="28"/>
          <w:sz w:val="28"/>
          <w:szCs w:val="28"/>
          <w:rtl w:val="true"/>
          <w:lang w:bidi="fa-IR"/>
        </w:rPr>
        <w:t>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التصرّف بالخروج الذی یترتّب علیه رفع الظلم، و یتوقّف علیه التخلّص عن التصرّف الحرام، فهو لیس بحرام،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لا یکون الخروج بملاحظة کونه مصداقا للتخلّص عن الحرام أو سببا له إلّا مطلوبا، و یستحیل أن یتّصف بغیر المحبوبیة الخ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غایة ما یمکن أن یشکل به علی ذلک هو أنّ وجوب التخلّص عن الحرام لیس تکلیفا استقلالیا، و إنّما هو عبارة عن لزوم ترک الحرام الذی هو منتزع من النهی عنه، فلیس لنا فی البین تکلیف إلّا حرمة التصرّف، و قد تقرّر فی محلّه </w:t>
      </w:r>
      <w:r>
        <w:rPr>
          <w:rStyle w:val="FootnoteAnchor"/>
          <w:rtl w:val="true"/>
        </w:rPr>
        <w:footnoteReference w:id="239"/>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ترک الحرام لیس بواجب کما أنّ ترک الواجب لیس بحرام، و إلّا لنقصت الأحکام عن الخمسة أو لترامت و لزم التسلسل، و هکذا فی الأحکام العقلیة فإنّ ترک القبیح لا یکون حسنا کما أنّ ترک الحسن لا یکون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العقل بعد أن حکم بلزوم الاطاعة فی النواهی کالأوامر کان حاکما فی المقام بلزوم ترک هذا التصرّف من باب الاطاعة، فلیس فی البین واجب شرعی یتوقّف حصوله علی تلک الحرکة الخروجیة أو أنّه یکون عین تلک الحرکة الخروجیة، و لیس وجوب الخروج فی ذلک إلّا کوجوب نزع لباس الحریر أو الذهب فی أنّه مجرّد تغییر عبارة عن حرمة بقاء اللبس، و هذه الحرکة الخروجیة لیست إلّا عبارة عن بقاء ذلک التصرّف المحرّم، غایته أنّ الخطاب بترک تلک الحرکة الخروجیة یکون ساقطا مع بقائها علی ما هی علیه من المبغوضیة و استحقاق العقاب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الحرکة الخروجیة لو کانت واجبة لانطباق عنوان التخلّص علیها أو عنوان الردّ أو کونها مقدّمة له و لم تکن مبغوضة بالذات لکونها عصیانا للنهی، لکان اللازم هو عدم الاحتیاج فیها إلی الاستئذان من المالک لو کان ذلک ممکنا، و لا أظنّ أنّ أحدا یقول إنّه لا یجب علیه الاستئذان لو کان قد أمکنه ذلک فتأمّل، لامکان القول بأنّ الاستئذان لو أمکن فهو تسلیم فعلی مقدّم علی الخروج</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لزوم ردّ المال إلی صاحبه فهو لا یجری فی کثیر من الداخلین، کمن دخل لزیارة صدیقه الغاصب الموجود فی الدار مع فرض أنّ دخوله لا یکون محرّما إلّا من باب التصرّف فی المغصوب، لا من باب أنّه یکون ذا ید علی الدار علی وجه یجب علیه ردّ تلک الدار إلی مالکها بواسطة خروجه منها</w:t>
      </w:r>
      <w:r>
        <w:rPr>
          <w:rFonts w:eastAsia="IRNazanin" w:cs="IRNazanin"/>
          <w:color w:val="111111"/>
          <w:sz w:val="28"/>
          <w:szCs w:val="28"/>
          <w:rtl w:val="true"/>
          <w:lang w:bidi="fa-IR"/>
        </w:rPr>
        <w:t>.</w:t>
      </w:r>
      <w:bookmarkStart w:id="128" w:name="pg19667_765105"/>
    </w:p>
    <w:p>
      <w:pPr>
        <w:pStyle w:val="Heading4"/>
        <w:numPr>
          <w:ilvl w:val="3"/>
          <w:numId w:val="1"/>
        </w:numPr>
        <w:rPr/>
      </w:pPr>
      <w:bookmarkStart w:id="129" w:name="__RefHeading___Toc3538535_2314609296"/>
      <w:bookmarkStart w:id="130" w:name="_Toc45"/>
      <w:bookmarkEnd w:id="128"/>
      <w:bookmarkEnd w:id="129"/>
      <w:r>
        <w:rPr>
          <w:rtl w:val="true"/>
        </w:rPr>
        <w:t>[</w:t>
      </w:r>
      <w:r>
        <w:rPr>
          <w:rtl w:val="true"/>
        </w:rPr>
        <w:t>تحقیق رشیق فی عدم دلیل علی وجوب ردّ مال الغیر سوی ما دلّ علی حرمة الغصب</w:t>
      </w:r>
      <w:bookmarkEnd w:id="130"/>
    </w:p>
    <w:p>
      <w:pPr>
        <w:pStyle w:val="BookText"/>
        <w:rPr/>
      </w:pPr>
      <w:r>
        <w:rPr>
          <w:rFonts w:ascii="IRNazanin" w:hAnsi="IRNazanin" w:eastAsia="IRNazanin"/>
          <w:color w:val="111111"/>
          <w:sz w:val="28"/>
          <w:sz w:val="28"/>
          <w:szCs w:val="28"/>
          <w:rtl w:val="true"/>
          <w:lang w:bidi="fa-IR"/>
        </w:rPr>
        <w:t xml:space="preserve">و أمّا الداخل الذی هو صاحب الید العادیة الموجبة لضمانه فهو و إن لزمه الردّ عقلا باعتبار کونه ترکا للغصب کما ذکرناه فی المتصرّف، إلّا أنّه لا دلیل علی وجوب ردّ المغصوب وجوبا شرعیا مولویا فی عرض حرمة الغصب، علی وجه یعاقب عقابین أحدهما علی عصیان حرمة الغصب و الآخر علی ترک الردّ، و لیس فی البین إلّا حرمة بقائه فی یده، و ذلک و إن کان لا یقتضی أزید من رفع یده، إلّا أنّه لأجل دفع الضمان عن نفسه المتوقّف علی التسلیم لا یخرج من عهدة ذلک الضمان إلّا بردّه إلی صاحبه کما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مضافا إلی أنّ مجرّد رفع یده مع عدم تسلیمه إلی مالکه یکون تضییعا و اتلافا و هو محرّم آخر یقع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ما نحن فیه لا یحتاج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فی الشرائع و الجواهر من قولهما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الثانی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بیننا فی أنّه یجب ردّ المغصوب ما دام باقیا، بل الإجماع بقسمیه علیه إن لم یکن ضرورة من المذهب، مضافا إلی قوله علیه السّلام فی النصوص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مغصوب مردود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نعم فی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المغصوب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بنحو ذلک صرّح المحقّق الرشتی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الغاصب ردّ المغصوب إلی الحالة التی غصب علیها بالأدلّة الأربعة، و من السنّة قوله علیه 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ذلک هو الدلیل علی</w:t>
      </w:r>
    </w:p>
    <w:p>
      <w:pPr>
        <w:pStyle w:val="BookText"/>
        <w:rPr/>
      </w:pPr>
      <w:r>
        <w:rPr>
          <w:rFonts w:ascii="IRNazanin" w:hAnsi="IRNazanin" w:eastAsia="IRNazanin"/>
          <w:color w:val="111111"/>
          <w:sz w:val="28"/>
          <w:sz w:val="28"/>
          <w:szCs w:val="28"/>
          <w:rtl w:val="true"/>
          <w:lang w:bidi="fa-IR"/>
        </w:rPr>
        <w:t xml:space="preserve">وجوب أصل الردّ، أعنی رفع الظلم المدلول علیه بالأدلّة الأربعة، انتهی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أنّ جمیع هذه الأدلّة کلّها لا تتعدّی حرمة الغصب حدوثا و بقاء، حتّی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مغصوب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ذلک هو الدلیل علی وجوب أصل الردّ أعنی رفع الظلم الخ إیماء إلی ذلک، فإنّه فسّر الردّ بأنّه رفع الظلم الذی هو ذلک الاستیلاء الاستمراری، فإنّ بقاءه أیضا ظلم کأصل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أیضا أنّ هذه الأدلّة الأربعة نقلها فی الجواهر</w:t>
      </w:r>
      <w:r>
        <w:rPr>
          <w:rStyle w:val="FootnoteAnchor"/>
          <w:rtl w:val="true"/>
        </w:rPr>
        <w:footnoteReference w:id="243"/>
      </w:r>
      <w:r>
        <w:rPr>
          <w:rFonts w:ascii="Amiri" w:hAnsi="Amiri" w:eastAsia="Amiri" w:cs="Amiri"/>
          <w:color w:val="111111"/>
          <w:sz w:val="28"/>
          <w:sz w:val="28"/>
          <w:szCs w:val="28"/>
          <w:rtl w:val="true"/>
          <w:lang w:bidi="ar-SA"/>
        </w:rPr>
        <w:t>فی آخر أوّل صفحة من کتاب الغصب عن الدروس أدلّة علی تحریم الغصب، و هذا نصّ عبارة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الغصب، و تحریمه عقلی و اجماعی و کتابی و سنّی،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w:t>
      </w:r>
      <w:r>
        <w:rPr>
          <w:rStyle w:val="FootnoteAnchor"/>
          <w:rtl w:val="true"/>
        </w:rPr>
        <w:footnoteReference w:id="244"/>
      </w:r>
      <w:r>
        <w:rPr>
          <w:rFonts w:ascii="Amiri" w:hAnsi="Amiri" w:eastAsia="Amiri" w:cs="Amiri"/>
          <w:color w:val="111111"/>
          <w:sz w:val="28"/>
          <w:sz w:val="28"/>
          <w:szCs w:val="28"/>
          <w:rtl w:val="true"/>
          <w:lang w:bidi="ar-SA"/>
        </w:rPr>
        <w:t xml:space="preserve">وَیْلٌ لِلْمُطَفِّفِینَ </w:t>
      </w:r>
      <w:r>
        <w:rPr>
          <w:rStyle w:val="FootnoteAnchor"/>
          <w:rtl w:val="true"/>
        </w:rPr>
        <w:footnoteReference w:id="245"/>
      </w:r>
      <w:r>
        <w:rPr>
          <w:rFonts w:ascii="Amiri" w:hAnsi="Amiri" w:eastAsia="Amiri" w:cs="Amiri"/>
          <w:color w:val="111111"/>
          <w:sz w:val="28"/>
          <w:sz w:val="28"/>
          <w:szCs w:val="28"/>
          <w:rtl w:val="true"/>
          <w:lang w:bidi="ar-SA"/>
        </w:rPr>
        <w:t>إِنَّ الَّذِینَ یَأْکُلُونَ أَمْوالَ الْیَتامی ظُلْماً</w:t>
      </w:r>
      <w:r>
        <w:rPr>
          <w:rStyle w:val="FootnoteAnchor"/>
          <w:rtl w:val="true"/>
        </w:rPr>
        <w:footnoteReference w:id="246"/>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دماءکم و أموالکم علیکم حرام</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دم امرئ مسلم و لا ماله إلّا بطیبة نفسه</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عن طیب نفس</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مکان المصلّی 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یأخذنّ أحدکم متاع أخیه جادّا و لا لاعبا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ردّ المغصوب إلی مالکه إجماعا، و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یظهر أنّ تلک الأدلّة الأربعة إنّما هی فی حرمة الغصب لا فی وجوب ردّه، و إنّما نطبّقها علیه باعتبار حرمة الغصب بقاء، إذ لو کانت منطبقة علیه حقیقة لکان الأولی الاستدلال بها لوجوبه، دون الاقتصار علی الإجماع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دلیل قطعی علی وجوب الردّ وجوبا شرعیا مولویا فی عرض حرمة الغصب و حرمة التصرّف فی المغصوب و بقائه تحت یده، علی وجه یکون استمراره علی الغصب و علی إبقائه تحت یده و تحت تصرّفه عصیانا لتکلیفین، أحدهما حرمة الغصب و التصرّف فی المغصوب و الآخر وجوب ردّه، علی وجه یکون معاقبا بعقابین، لا أظنّ أنّهم یلتزمون بذلک، فیکون عدم التزامهم به کاشفا عن أنّه لیس فی البین إلّا تکلیف واحد و هو حرمة الغصب و التصرّف فی المغصوب حدوثا و بقاء،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تمّ فإنّما یتمّ فی المغصوب الذی یکون تحت الید، دون مثل ما نحن فیه ممّا لا یکون فیه أخذ و لا ید و لیس فی البین إلّا مجرّد التصرّف فی العین بالجلوس فیها مثلا، التی لا یتوقّف رفع الغصب علی ردّ المغصوب بل یکفی فیه مجرّد التخلیة، هذا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أنّا لو التزمنا بکون الخروج معنونا بعنوان مأمور به و هو ردّ المغصوب فالظاهر أنّ هذا العنوان لیس من العناوین القصدیة، بحیث إنّ تحقّقها</w:t>
      </w:r>
    </w:p>
    <w:p>
      <w:pPr>
        <w:pStyle w:val="BookText"/>
        <w:rPr/>
      </w:pPr>
      <w:r>
        <w:rPr>
          <w:rFonts w:ascii="IRNazanin" w:hAnsi="IRNazanin" w:eastAsia="IRNazanin"/>
          <w:color w:val="111111"/>
          <w:sz w:val="28"/>
          <w:sz w:val="28"/>
          <w:szCs w:val="28"/>
          <w:rtl w:val="true"/>
          <w:lang w:bidi="fa-IR"/>
        </w:rPr>
        <w:t>واقعا متوقّف علی قصد الردّ، بل الظاهر أنّ الخروج و التخلیة بنفسه ردّ، و حینئذ یکون اللازم عدم التفرقة بین التائب و غیره، و أنّ الصلاة فی حاله تکون صحیحة علی کلّ حال، نعم ربما یقال إنّ غیر التائب یکون قاصدا للحرام لتخیّله أنّه حرام فیکون من قبیل التجرّی، و لأجل ذلک لا تکون صلاته صحیحة،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ثلاثة لوازم لکون الخروج واجبا لا أظنّ أن یلتزموا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الخارج لا یحتاج إلی الإذن من المالک فیما لو أمکنه ذلک، اللهمّ إلّا أن یقال إنّ الاستئذان تسلیم فعلی عاجل، فیکون فی حال التمکّن منه مقدّما علی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تعدّد العقاب لو تعمّد البقاء</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الخروج غیر محرّم واقعا علی غیر التائب، و الظاهر أنّهم لا یلتزمون بذلک، بل الظاهر ممّا عن الشیخ قدّس سرّه فی التقریرات </w:t>
      </w:r>
      <w:r>
        <w:rPr>
          <w:rStyle w:val="FootnoteAnchor"/>
          <w:rtl w:val="true"/>
        </w:rPr>
        <w:footnoteReference w:id="251"/>
      </w:r>
      <w:r>
        <w:rPr>
          <w:rFonts w:ascii="IRNazanin" w:hAnsi="IRNazanin" w:eastAsia="IRNazanin"/>
          <w:color w:val="111111"/>
          <w:sz w:val="28"/>
          <w:sz w:val="28"/>
          <w:szCs w:val="28"/>
          <w:rtl w:val="true"/>
          <w:lang w:bidi="fa-IR"/>
        </w:rPr>
        <w:t>هو اختصاص هذا الوجوب بما إذا کان بعنوان التخلّص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الجواهر أیضا فإنّه ذکر عبارة المتن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الوقت و کان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آخذا فی الخروج متشاغلا به صلّی علی هذا الحال و صحّت صلاته، و إن کان قد أثم بابتداء الکون و استدامته إلی الخروج، أمّا هو فلا ریب فی اطاعته و عدم النهی له عنه، و إلّا کان تکلیفا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ظهر من المحکی </w:t>
      </w:r>
      <w:r>
        <w:rPr>
          <w:rStyle w:val="FootnoteAnchor"/>
          <w:rtl w:val="true"/>
        </w:rPr>
        <w:footnoteReference w:id="252"/>
      </w:r>
      <w:r>
        <w:rPr>
          <w:rFonts w:ascii="IRNazanin" w:hAnsi="IRNazanin" w:eastAsia="IRNazanin"/>
          <w:color w:val="111111"/>
          <w:sz w:val="28"/>
          <w:sz w:val="28"/>
          <w:szCs w:val="28"/>
          <w:rtl w:val="true"/>
          <w:lang w:bidi="fa-IR"/>
        </w:rPr>
        <w:t xml:space="preserve">عن المنتهی الإجماع علیه کما ستسمع، فالجمع حینئذ بین هذین الواجبین الفوریین لیس إلّا بذلک، لکن عن أبی هاشم </w:t>
      </w:r>
      <w:r>
        <w:rPr>
          <w:rStyle w:val="FootnoteAnchor"/>
          <w:rtl w:val="true"/>
        </w:rPr>
        <w:footnoteReference w:id="253"/>
      </w:r>
      <w:r>
        <w:rPr>
          <w:rFonts w:ascii="IRNazanin" w:hAnsi="IRNazanin" w:eastAsia="IRNazanin"/>
          <w:color w:val="111111"/>
          <w:sz w:val="28"/>
          <w:sz w:val="28"/>
          <w:szCs w:val="28"/>
          <w:rtl w:val="true"/>
          <w:lang w:bidi="fa-IR"/>
        </w:rPr>
        <w:t>أنّ الخروج تصرّف فی المغصوب فیکون معصیة، فلا تصحّ الصلاة</w:t>
      </w:r>
    </w:p>
    <w:p>
      <w:pPr>
        <w:pStyle w:val="BookText"/>
        <w:rPr/>
      </w:pPr>
      <w:r>
        <w:rPr>
          <w:rFonts w:ascii="IRNazanin" w:hAnsi="IRNazanin" w:eastAsia="IRNazanin"/>
          <w:color w:val="111111"/>
          <w:sz w:val="28"/>
          <w:sz w:val="28"/>
          <w:szCs w:val="28"/>
          <w:rtl w:val="true"/>
          <w:lang w:bidi="fa-IR"/>
        </w:rPr>
        <w:t>حینئذ و هو خارج، سواء تضیّق الوقت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المنتهی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عندنا باطل </w:t>
      </w:r>
      <w:r>
        <w:rPr>
          <w:rStyle w:val="FootnoteAnchor"/>
          <w:rtl w:val="true"/>
        </w:rPr>
        <w:footnoteReference w:id="254"/>
      </w:r>
      <w:r>
        <w:rPr>
          <w:rFonts w:ascii="IRNazanin" w:hAnsi="IRNazanin" w:eastAsia="IRNazanin"/>
          <w:color w:val="111111"/>
          <w:sz w:val="28"/>
          <w:sz w:val="28"/>
          <w:szCs w:val="28"/>
          <w:rtl w:val="true"/>
          <w:lang w:bidi="fa-IR"/>
        </w:rPr>
        <w:t>بل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أطبق العقلاء کافّة علی تخطئة أبی هاشم فی هذا المقام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صحّة کلامه إذا کان الخروج لا عن ندم علی الغصب و لا إعراض، ضرورة کونه علی هذا الفرض کالدخول تصرّفا فیه، أمّا مع التوبة و الندم و إرادة التخلّص من الغصب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التوبة بعد التخلّص، و التخلّص بلا إثم هنا غیر ممکن بعد قاعدة الامتناع بالاختیار لا ینافی الاختیار، فلا قبح حینئذ فی تکلیفه بالخروج مع تحریمه علیه کما حقّق فی الأصول، فیتّجه حینئذ قول أبی هاشم بحرمة الصلاة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ظاهره أنّ صورة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خارجة عن محل الکلام فی صحّة الصلاة و وجوب الخروج، و أنّ الخروج إنّما یقع علی صفة الوجوب مع کونه فی حدّ نفسه محرّما فی خصوص صورة التوبة، و مع ذلک یکون المختار عنده هو البطلان لکون الفعل فی حدّ نفسه مبغوضا، فراجع تمام کلامه، و راجع ما أفاده المرحوم الحاج آقا رضا فی هذا المقام من صلاته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أنّه بناء علی هذا الذی حرّرناه تندفع محاذیر إیجاب ما هو مبغوض، إذ لا إیجاب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حرّرناه من معقولیة کون الخروج مشمولا للنهی عن الغصب المتوجّه إلیه قبل الدخول یتّضح لک أنّه لا بدّ من الالتزام بأنّ</w:t>
      </w:r>
      <w:bookmarkStart w:id="131" w:name="pg19667_765110"/>
    </w:p>
    <w:p>
      <w:pPr>
        <w:pStyle w:val="BookText"/>
        <w:rPr/>
      </w:pPr>
      <w:bookmarkEnd w:id="131"/>
      <w:r>
        <w:rPr>
          <w:rFonts w:ascii="IRNazanin" w:hAnsi="IRNazanin" w:eastAsia="IRNazanin"/>
          <w:color w:val="111111"/>
          <w:sz w:val="28"/>
          <w:sz w:val="28"/>
          <w:szCs w:val="28"/>
          <w:rtl w:val="true"/>
          <w:lang w:bidi="fa-IR"/>
        </w:rPr>
        <w:t>تلک الحرکة الواقعة فی حال الخروج هی منهی عنها بالنهی السابق، الساقط بالاقدام علی عصیانه، مع فرض علمه بعدم تمکّنه من التخلّص بعد ذلک الاقدام علی العصیان، فلیس فی البین واجب و هو الردّ أو التخلیة و مقدّمة واجب و هو الحرکة الخروجیة کی نحتاج إلی القول بسقوط الخطاب بذلک الواجب، کسقوط الخطاب بالنهی عن مقدّمته التی یتوقّف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شرب الخمر لأجل حفظ النفس بعد تعمّده ما ألقاه فی ذلک الاضطرار یقع موقعا لهذا الإشکال، و لا بدّ حینئذ من الالتزام ببقاء مبغوضیة الشرب مع انطباق محبوبیة حفظ النفس، من دون أن یکون خطاب شرعی بترک ذاک و لا بفعل هذا، مع الالتزام بأنّه لو شرب عوقب علی الشرب و لو ترک عوقب علی تضییع نفسه، کلّ ذلک من جهة سوء اختیاره</w:t>
      </w:r>
      <w:r>
        <w:rPr>
          <w:rFonts w:eastAsia="IRNazanin" w:cs="IRNazanin"/>
          <w:color w:val="111111"/>
          <w:sz w:val="28"/>
          <w:szCs w:val="28"/>
          <w:rtl w:val="true"/>
          <w:lang w:bidi="fa-IR"/>
        </w:rPr>
        <w:t>.</w:t>
      </w:r>
    </w:p>
    <w:p>
      <w:pPr>
        <w:pStyle w:val="Heading4"/>
        <w:numPr>
          <w:ilvl w:val="3"/>
          <w:numId w:val="1"/>
        </w:numPr>
        <w:rPr/>
      </w:pPr>
      <w:bookmarkStart w:id="132" w:name="__RefHeading___Toc3538537_2314609296"/>
      <w:bookmarkStart w:id="133" w:name="_Toc46"/>
      <w:bookmarkEnd w:id="132"/>
      <w:r>
        <w:rPr>
          <w:rtl w:val="true"/>
        </w:rPr>
        <w:t>[</w:t>
      </w:r>
      <w:r>
        <w:rPr>
          <w:rtl w:val="true"/>
        </w:rPr>
        <w:t>مناقشات المصنّف مع السیّد الخوئی قدّس سرّهما فی المقام</w:t>
      </w:r>
      <w:bookmarkEnd w:id="133"/>
    </w:p>
    <w:p>
      <w:pPr>
        <w:pStyle w:val="BookText"/>
        <w:rPr/>
      </w:pPr>
      <w:r>
        <w:rPr>
          <w:rFonts w:ascii="IRNazanin" w:hAnsi="IRNazanin" w:eastAsia="IRNazanin"/>
          <w:color w:val="111111"/>
          <w:sz w:val="28"/>
          <w:sz w:val="28"/>
          <w:szCs w:val="28"/>
          <w:rtl w:val="true"/>
          <w:lang w:bidi="fa-IR"/>
        </w:rPr>
        <w:t>و من الغریب ما فی الحاشیة</w:t>
      </w:r>
      <w:r>
        <w:rPr>
          <w:rStyle w:val="FootnoteAnchor"/>
          <w:rtl w:val="true"/>
        </w:rPr>
        <w:footnoteReference w:id="258"/>
      </w:r>
      <w:r>
        <w:rPr>
          <w:rFonts w:ascii="IRNazanin" w:hAnsi="IRNazanin" w:eastAsia="IRNazanin"/>
          <w:color w:val="111111"/>
          <w:sz w:val="28"/>
          <w:sz w:val="28"/>
          <w:szCs w:val="28"/>
          <w:rtl w:val="true"/>
          <w:lang w:bidi="fa-IR"/>
        </w:rPr>
        <w:t>من الالتزام بوجوب حفظ النفس هنا شرعا مع الالتزام بمبغوضیة مقدّمته التی هی الشرب، و کیف یعقل أن یکلّف الحکیم بشی‌ء و یوجّه الخطاب به مع علمه بأنّه متوقّف علی شی‌ء هو مبغوض له فعلا، و حینئذ فلا محیص لنا إلّا الالتزام فیه بما ذکرناه فی مسألة الخروج بعد الدخول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المکلّف بعد تلک العملیة قد اضطرّ إلی أحد العصیانین، أعنی عصیان الأمر بحفظ النفس أو عصیان النهی عن شرب الخمر، و العقل یلزمه بأخفّهما قبحا و هو الشرب، و مع ذلک یکون معاقبا علیه من دون أن یکون خطاب فی هذا و لا فی ذاک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مراجعة الکفایة</w:t>
      </w:r>
      <w:r>
        <w:rPr>
          <w:rStyle w:val="FootnoteAnchor"/>
          <w:rtl w:val="true"/>
        </w:rPr>
        <w:footnoteReference w:id="259"/>
      </w:r>
      <w:r>
        <w:rPr>
          <w:rFonts w:ascii="IRNazanin" w:hAnsi="IRNazanin" w:eastAsia="IRNazanin"/>
          <w:color w:val="111111"/>
          <w:sz w:val="28"/>
          <w:sz w:val="28"/>
          <w:szCs w:val="28"/>
          <w:rtl w:val="true"/>
          <w:lang w:bidi="fa-IR"/>
        </w:rPr>
        <w:t>فإنّه أوّلا أجاب عن إن قلت الأخیرة بما ذکره</w:t>
      </w:r>
    </w:p>
    <w:p>
      <w:pPr>
        <w:pStyle w:val="BookText"/>
        <w:rPr/>
      </w:pPr>
      <w:r>
        <w:rPr>
          <w:rFonts w:ascii="IRNazanin" w:hAnsi="IRNazanin" w:eastAsia="IRNazanin"/>
          <w:color w:val="111111"/>
          <w:sz w:val="28"/>
          <w:sz w:val="28"/>
          <w:szCs w:val="28"/>
          <w:rtl w:val="true"/>
          <w:lang w:bidi="fa-IR"/>
        </w:rPr>
        <w:t>المحشی هنا، لکنّه قدّس سرّه أصلحه بأنّ الخروج لمّا حکم العقل بلزومه دفعا لأشدّ المحذورین فلا مانع من تعلّق الإیجاب الشرعی بما یتوقّف علیه، لکن المحشّی أخذه بدون إصلاح، ثمّ أجاب ثانیا بما ذکرناه من أنّه لا خطاب بذلک الواجب مع الالتزام بملاکه و استحقاق العقاب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من ذلک ما ذکره فی الحاشیة من الایراد علی ما أفاده شیخنا قدّس سرّه ممّا تقدّم انکارنا له، أعنی کون الخروج واجبا من باب وجوب ردّ المال إلی مالکه، فإنّه فی الحاشیة المذکورة سلّم وجوب التخلیة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التخلیة بین المال و مالکه لا یستلزم وجوب الحرکات الخروجیة المتوقّف علیها الکون فی خارج الدار، لأنّها لیست معنونة بعنوان التخلیة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فنراه أعرض عن وجوب الردّ و بدّله بوجوب التخلیة، و أنکر کون الحرکات الخروجیة مصداقا لها، مع ما هو واضح من أنّ تلک الحرکات بالنسبة إلی التخلیة من قبیل العنوان الأوّلی و الثانوی الذی یلزمه الاتّحاد الخارجی، فلو التزمنا بوجوبها کانت نفس الحرکة الخروجیة واجبة، غایته أنّ تلک الحرکات تکون واجبة بعنوانها الثانوی أعنی التخلیة دون العنوان الأوّلی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أغرب من ذلک أنّه جعل سند هذا الانکار هو کون الحرکات المذکورة غصبا، و مع کونها غصبا لا یعقل کونها مصداقا للتخلیة الواجبة، و ما التفت إلی کون التخلیة عنوانا ثانویا لها و هو موجب بالضرورة لصدقها علیها، و مع کونها مصداقا للتخلیة تخرج عن کونها مبغوضة و ظلما، و إن کانت تصرّفا فی المکان بدون رضا مالکه، إذ لیس کلّ تصرّف بغیر الرضا یکون ظلما و مبغوضا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تعرف الجواب عمّا ذکره فی الحاشیة</w:t>
      </w:r>
      <w:r>
        <w:rPr>
          <w:rStyle w:val="FootnoteAnchor"/>
          <w:rtl w:val="true"/>
        </w:rPr>
        <w:footnoteReference w:id="261"/>
      </w:r>
      <w:r>
        <w:rPr>
          <w:rFonts w:ascii="IRNazanin" w:hAnsi="IRNazanin" w:eastAsia="IRNazanin"/>
          <w:color w:val="111111"/>
          <w:sz w:val="28"/>
          <w:sz w:val="28"/>
          <w:szCs w:val="28"/>
          <w:rtl w:val="true"/>
          <w:lang w:bidi="fa-IR"/>
        </w:rPr>
        <w:t>من دعوی التفرقة بین الخروج فی الاضطرار لا بسوء الاختیار، و بینه فی الاضطرار بسوء الاختیار فی هذا الحکم العقلی، أعنی حسن الردّ و التخلیة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ذکر دعوی وجوب الحرکات المذکورة مقدّمة للتخلیة المنطبقة علی الکون فی خارج الدار، و ردّ هذه الدعوی بتسلیم کون الحرکات المذکورة مقدّمة للکون خارج الدار، لکن منع وجوب ذلک الکون و التزم بأنّه غیر التخلیة، و أنّ عنوان التخلیة لا ینطبق علی الکون فی خارج الدار، لأنّه عبارة عن إیجاد خلاء الدار من التصرّف فیها، فهو ملازم للکون خارج الدار لا أنّه منطبق علیه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 لیت شعری بعد فرض الاعتراف بکون التخلیة عنوانا من العناوین الواجبة، و بعد فرض إنکار انطباقه علی نفس الحرکة الخروجیة، و انکار انطباقه علی الکون خارج الدار، إذن ما ذا یکون مصداقه، و أی فعل یفعله ذلک المکلّف المسکین امتثالا و إطاعة لذلک الأمر المتعلّق بالتخلیة، هل یمکن أن نقول إنّ الشارع الحکیم قد أمره بعنوان بلا 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یعرف الإشکال فی الحاشیة الأولی و الثانیة علی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الحاشیة علی ص </w:t>
      </w:r>
      <w:r>
        <w:rPr>
          <w:rFonts w:eastAsia="IRNazanin" w:cs="IRNazanin"/>
          <w:color w:val="111111"/>
          <w:sz w:val="28"/>
          <w:szCs w:val="28"/>
          <w:lang w:bidi="fa-IR"/>
        </w:rPr>
        <w:t>381</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ینحصر التخلّص من دعوی وجوب الخروج بما ذکرناه من أنّه لیس فی البین إلّا حرمة الغصب، و أنّ کلّ ما یعبّر به فی المقام من وجوب الردّ أو وجوب التخلیة إنّما هو عبارة عن حرمة الغصب و الظلم، فلیس فی البین تکلیف</w:t>
      </w:r>
      <w:bookmarkStart w:id="134" w:name="pg19667_765113"/>
    </w:p>
    <w:p>
      <w:pPr>
        <w:pStyle w:val="BookText"/>
        <w:rPr/>
      </w:pPr>
      <w:bookmarkEnd w:id="134"/>
      <w:r>
        <w:rPr>
          <w:rFonts w:ascii="IRNazanin" w:hAnsi="IRNazanin" w:eastAsia="IRNazanin"/>
          <w:color w:val="111111"/>
          <w:sz w:val="28"/>
          <w:sz w:val="28"/>
          <w:szCs w:val="28"/>
          <w:rtl w:val="true"/>
          <w:lang w:bidi="fa-IR"/>
        </w:rPr>
        <w:t>آخر زائد علی حرمة الغصب</w:t>
      </w:r>
      <w:r>
        <w:rPr>
          <w:rFonts w:eastAsia="IRNazanin" w:cs="IRNazanin"/>
          <w:color w:val="111111"/>
          <w:sz w:val="28"/>
          <w:szCs w:val="28"/>
          <w:rtl w:val="true"/>
          <w:lang w:bidi="fa-IR"/>
        </w:rPr>
        <w:t>.</w:t>
      </w:r>
    </w:p>
    <w:p>
      <w:pPr>
        <w:pStyle w:val="Heading4"/>
        <w:numPr>
          <w:ilvl w:val="3"/>
          <w:numId w:val="1"/>
        </w:numPr>
        <w:rPr/>
      </w:pPr>
      <w:bookmarkStart w:id="135" w:name="__RefHeading___Toc3538539_2314609296"/>
      <w:bookmarkStart w:id="136" w:name="_Toc47"/>
      <w:bookmarkEnd w:id="135"/>
      <w:r>
        <w:rPr>
          <w:rtl w:val="true"/>
        </w:rPr>
        <w:t>[</w:t>
      </w:r>
      <w:r>
        <w:rPr>
          <w:rtl w:val="true"/>
        </w:rPr>
        <w:t>تعالیق علی کلمات صاحب الکفایة قدّس سرّه فی المقام</w:t>
      </w:r>
      <w:bookmarkEnd w:id="136"/>
    </w:p>
    <w:p>
      <w:pPr>
        <w:pStyle w:val="BookText"/>
        <w:rPr/>
      </w:pPr>
      <w:r>
        <w:rPr>
          <w:rFonts w:ascii="IRNazanin" w:hAnsi="IRNazanin" w:eastAsia="IRNazanin"/>
          <w:color w:val="111111"/>
          <w:sz w:val="28"/>
          <w:sz w:val="28"/>
          <w:szCs w:val="28"/>
          <w:rtl w:val="true"/>
          <w:lang w:bidi="fa-IR"/>
        </w:rPr>
        <w:t>و لا یخفی أنّ صاحب الکفایة قدّس سرّه قد علّق فی الهامش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لم یکن هناک توقّف علیه إلخ، توضیحا لذلک التوقّف فقال فی الهامش ما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أنّه لا توقّف هاهنا حقیقة، بداهة أنّ الخروج إنّما هو مقدّمة للکون فی خارج الدار، لا مقدّمة لترک الکون فیها الواجب لکونه ترک الحرام، نعم بینهما ملازمة لأجل التضادّ بین الکونین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الکون خارج الدار و الکون فی الدار الذی ادّعی کون ترکه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وضوح الملازمة بین وجود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الکون خارج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الکون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الکون فی خارج الدار عرضا لوجوب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ترک الکون 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الواجب الحقیقی هو ترک الکون داخل الدار و الواجب بالعرض هو الکون 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فتجب مقدّمته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مقدّمة الکون خارج الدار، و تلک المقدّمة هی الخروج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وجوبا غیریا بالعارض، کوجوب ذیها الذی هو الکون خارج الدار، فإنّ وجوبه بالعارض ناش عن وجوب ملازمه الذی هو ترک الکون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الوجه فی المماشاة و الجری علی أنّ مثل الخروج یکون مقدّمة لما هو الواجب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أنّا إنّما قلنا بأنّ الخروج مقدّمة للواجب من باب محض المماشاة، و إلّا فلیس فی البین واجب یکون الخروج مقدّمة له، لأنّه إنّما یکون مقدّمة للکون خارج الدار، و الکون فی خارجها لیس بواجب و إنّما هو ملازم لما یدّعی أنّه واجب و هو ترک الکون فیها لکونه ترکا للحرام، و من الواضح أنّ ترک الحرام لیس</w:t>
      </w:r>
    </w:p>
    <w:p>
      <w:pPr>
        <w:pStyle w:val="BookText"/>
        <w:rPr/>
      </w:pPr>
      <w:r>
        <w:rPr>
          <w:rFonts w:ascii="IRNazanin" w:hAnsi="IRNazanin" w:eastAsia="IRNazanin"/>
          <w:color w:val="111111"/>
          <w:sz w:val="28"/>
          <w:sz w:val="28"/>
          <w:szCs w:val="28"/>
          <w:rtl w:val="true"/>
          <w:lang w:bidi="fa-IR"/>
        </w:rPr>
        <w:t>بواجب شرعی، إذ لیس هناک تکلیف آخر غیر نفس الحرمة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مراد صاحب الکفایة قدّس سرّه و قد أوضحه بحاشیة أخری </w:t>
      </w:r>
      <w:r>
        <w:rPr>
          <w:rStyle w:val="FootnoteAnchor"/>
          <w:rtl w:val="true"/>
        </w:rPr>
        <w:footnoteReference w:id="265"/>
      </w:r>
      <w:r>
        <w:rPr>
          <w:rFonts w:ascii="IRNazanin" w:hAnsi="IRNazanin" w:eastAsia="IRNazanin"/>
          <w:color w:val="111111"/>
          <w:sz w:val="28"/>
          <w:sz w:val="28"/>
          <w:szCs w:val="28"/>
          <w:rtl w:val="true"/>
          <w:lang w:bidi="fa-IR"/>
        </w:rPr>
        <w:t>له فی هذا المقام علی قوله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التخلّص إلّا منتزعا عن ترک الحرام المسبّب عن الخروج لا عنوانا 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قدّس سرّه ینکر أنّ فی البین واجبا آخر غیر ترک الحرام الذی عرفت أنّه لا تکلیف فی ناحیته إلّا حرمة ذلک المتروک، لکن المحشّی التزم بأنّ فی البین واجبا و هو التخلیة، و مع ذلک جری علی ما فی حاشیة الکفایة من انکار انطباقه علی الخروج، و انکار کون الخروج مقدّمة له، و أنّه إنّما یکون مقدّمة للکون خارج الدار الذی هو ملازم لذلک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لیته حینما جری علی هذا المقدار قد أخذ الباقی و نفی وجوب شی‌ء فی البین، فإنّه لو صنع ذلک لم یرد علیه شی‌ء ممّا أوردناه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الحاشیة الثانیة 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ممّا علّقت علی الهامش أنّ ترک الحرام غیر مسبّب عن الخروج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لنقول إنّ الخروج مقدّمة لترک الحرام لعدم کون ترک الحرام مسبّبا عنه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المسبّب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الملازم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لترک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ذلک الملازم لترک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الکون فی خارج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یکون الخروج مقدّمة للکون خارج الدار، و الکون خارج</w:t>
      </w:r>
    </w:p>
    <w:p>
      <w:pPr>
        <w:pStyle w:val="BookText"/>
        <w:rPr/>
      </w:pPr>
      <w:r>
        <w:rPr>
          <w:rFonts w:ascii="IRNazanin" w:hAnsi="IRNazanin" w:eastAsia="IRNazanin"/>
          <w:color w:val="111111"/>
          <w:sz w:val="28"/>
          <w:sz w:val="28"/>
          <w:szCs w:val="28"/>
          <w:rtl w:val="true"/>
          <w:lang w:bidi="fa-IR"/>
        </w:rPr>
        <w:t>الدار ملازم لترک الحرام الذی هو الکون فی داخلها، فلیس ترک الحرام مسبّبا حقیقة عن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مسامحة و عرضا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ملازما لمسبّبه الحقیقی الذی هو الکون خارج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انقدح بذلک أنّه لا دلیل فی البین إلّا علی حرمة 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یخفی أنّه لم ینقدح من ذلک إلّا عدم کون الخروج مقدّمة لترک الحرام، و إنّما هو مقدّمة لملازمه الذی هو الکون خارج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ینبغی حینئذ هو ابدال هذه العبارة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 فی محلّه أنّ ترک الحرام لیس بواجب، فلا یکون ترک الغصب واجبا، إذ لا دلیل إلّا علی حرمة الغصب و أنّ کلا من البقاء و الخروج غصب، و حینئذ یکون حرمة کلّ منهما مع الانحصار بسوء الاختیار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 لاستقلال العقل بلزوم الخروج من باب أنّه أقلّ المحذورین و أنّه لا دلیل علی وجوبه بعنوان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ککونه بنفسه ترکا للحرام أو کونه مقدّمة لترک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یجب اعماله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دلّ الدلیل علی وجوب الخروج لقلنا بأنّه یجب اعمال الوجوب و الحکم بأنّه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بجواز الاجتماع کاعمال النهی عن الغصب لیکون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 به و منهیا عنه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فی مکان و علم أنّه لو بقی فی ذلک المکان لابتلی بالمحرّم کسماع الغیبة مثلا، فإنّه یجب علیه الخروج من ذلک المکان لئلّا یقع فی ذلک المحرّم، و حینئذ نقول إنّه لو توقّف امتثال النهی عن شی‌ء علی فعل وجودی کان ذلک الفعل الوجودی واجبا، و لیس ذلک مبنیا علی أنّ ترک الحرام واجب، بل علی أنّ امتثال التکلیف سواء کان هو الوجوب أو کان هو النهی و الحرمة لو توقّف</w:t>
      </w:r>
    </w:p>
    <w:p>
      <w:pPr>
        <w:pStyle w:val="BookText"/>
        <w:rPr/>
      </w:pPr>
      <w:r>
        <w:rPr>
          <w:rFonts w:ascii="IRNazanin" w:hAnsi="IRNazanin" w:eastAsia="IRNazanin"/>
          <w:color w:val="111111"/>
          <w:sz w:val="28"/>
          <w:sz w:val="28"/>
          <w:szCs w:val="28"/>
          <w:rtl w:val="true"/>
          <w:lang w:bidi="fa-IR"/>
        </w:rPr>
        <w:t>علی فعل وجودی مقدور کان ذلک الفعل واجبا غیریا من باب المقدّمة لامتثال ذلک التکلیف، و ما نحن فیه من هذا القبیل، لأنّ امتثال النهی المتوجّه إلی الکون البقائی متوقّف علی الخروج فیکون الخروج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وجوب الخروج عن المکان الذی یبتلی فیه باستماع الغیبة، و لا معنی للوجوب الترشّحی من ناحیة الحرمة، فإنّ الحرمة إنّما یترشّح منها التحریم، کما أنّ الوجوب النفسی لا یترشّح منه الحرمة و إنّما یترشّح منه الوجوب، و حینئذ فأقصی ما یکون فی البین هو أن یکون بقاؤه فی ذلک المکان محرّما، لکون بقائه فیه موقعا له فی الحرام، و إنّما یلزمه الخروج لا من باب أنّه واجب و لو غیریا، بل من باب أنّ ترکه و استمرار البقاء موجب لوقوعه فی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ففیما نحن فیه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ترکه الخروج من الدار المغصوبة یکون حراما لکونه مؤدّیا إلی البقاء، بل هو بعینه البقاء الذی هو الحرام، فلا یرد أنّه کیف یکون ترک الخروج من الدار المغصوبة حراما مع فرض کون الخروج المذکور بنفسه حراما، لنحتاج إلی الجواب عن ذلک بأنّ المصحّح له هو سوء الاختیار غایته أنّه یسقط الخطاب بکلّ من الحرمتین، إذ لا حاجة إلی ذلک بعد فرض کون ترک الخروج هو بعینه البقاء الذی هو المحرّم، لا شی‌ء آخر مؤدّ إلی المحرّم، نعم یتّجه الإشکال فیه من ناحیة أخری، و هی أنّه کیف یکون الخروج حراما مع کون البقاء حراما، و حینئذ یجاب عنه بأنّ ذلک من جهة سوء الاختیار الذی لا یوجب إلّا سقوط الخطاب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فیما تقدّم من المثال إنّه یجب الخروج عن المکان الذی یبتلی</w:t>
      </w:r>
    </w:p>
    <w:p>
      <w:pPr>
        <w:pStyle w:val="BookText"/>
        <w:rPr/>
      </w:pPr>
      <w:r>
        <w:rPr>
          <w:rFonts w:ascii="IRNazanin" w:hAnsi="IRNazanin" w:eastAsia="IRNazanin"/>
          <w:color w:val="111111"/>
          <w:sz w:val="28"/>
          <w:sz w:val="28"/>
          <w:szCs w:val="28"/>
          <w:rtl w:val="true"/>
          <w:lang w:bidi="fa-IR"/>
        </w:rPr>
        <w:t>فیه باستماع الغیبة فیه وجوبا شرعیا غیریا توصّلا إلی امتثال النهی عن الغیبة لا أنّ البقاء محرّم، و قلنا فیما نحن فیه بمثل ذلک بأن نقول إنّ الحرام الزائد فی البقاء یتوقّف امتثاله علی الخروج، فیکون الخروج واجبا مقدّمة لامتثال النهی المتعلّق بذلک الزائد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ذلک الزائد و النهی عنه تکون موجبة لتوجّه الأمر الغیری إلی الفعل الوجودی الذی هو الخروج، المتوقّف علیه امتثال ذلک النهی عن التصرّف الزائد للبقاء علی التصرّف الخروجی، لکن لو کان لذلک الشخص فعلان أحدهما محرّم و الآخر مباح کان الأمر الغیری متوجّها إلی ذلک المباح دون المحرّم، و لو انحصر بالمحرّم کان من التزاحم بین حرمة ذلک الزائد و حرمة ذلک الفعل المحرّم، نظیر ما لو انحصرت مقدّمة الواجب بفعل الحرام، و مع فرض کون ذی المقدّمة الذی هو حرمة الزائد أهمّ لکون المخالفة فیها أکثر یسقط التحریم عن مقدّمتها، لکن ذلک إذا لم یکن الانحصار بسوء الاختیار، أمّا لو کان بسوء الاختیار کما فیما نحن فیه، لأنّه بسوء اختیاره جعل امتثال ذلک النهی المهمّ متوقّفا علی ارتکاب الحرام، فلا أثر لذلک الانحصار إلّا سقوط کلا الخطابین مع بقاء کلّ منهما علی ما هو علیه من المبغوضیة و استحقاق العقاب، نظیر ما ذکرناه فی من أقدم بسوء اختیاره علی جعل حفظ نفسه متوقّفا علی ارتکاب الحرام أعنی شرب الخمر، فإنّ ذلک لا یوجب إلّا سقوط الخطاب بکلّ منهما، أمّا الشرب فلحکم العقل بارتکابه لکونه أقلّ القبیحین، و أمّا حفظ النفس فلأنّه مع مبغوضیة ما یتوقّف علیه لا یمکن توجّه الخطاب به، و حینئذ یکون الخطاب بکلّ منهما ساقطا، و یکون کلّ منهما مبغوضا فعلا مستحقّا علیه العقاب فتأمّل</w:t>
      </w:r>
      <w:r>
        <w:rPr>
          <w:rFonts w:eastAsia="IRNazanin" w:cs="IRNazanin"/>
          <w:color w:val="111111"/>
          <w:sz w:val="28"/>
          <w:szCs w:val="28"/>
          <w:rtl w:val="true"/>
          <w:lang w:bidi="fa-IR"/>
        </w:rPr>
        <w:t>.</w:t>
      </w:r>
      <w:bookmarkStart w:id="137" w:name="pg19667_765118"/>
    </w:p>
    <w:p>
      <w:pPr>
        <w:pStyle w:val="Heading4"/>
        <w:numPr>
          <w:ilvl w:val="3"/>
          <w:numId w:val="1"/>
        </w:numPr>
        <w:rPr/>
      </w:pPr>
      <w:bookmarkStart w:id="138" w:name="__RefHeading___Toc3538541_2314609296"/>
      <w:bookmarkStart w:id="139" w:name="_Toc48"/>
      <w:bookmarkEnd w:id="137"/>
      <w:bookmarkEnd w:id="138"/>
      <w:r>
        <w:rPr>
          <w:rtl w:val="true"/>
        </w:rPr>
        <w:t>[</w:t>
      </w:r>
      <w:r>
        <w:rPr>
          <w:rtl w:val="true"/>
        </w:rPr>
        <w:t>التعلیق علی ما ذهب إلیه الماتن قدّس سرّه من عدم حرمة الخروج</w:t>
      </w:r>
      <w:bookmarkEnd w:id="13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بنینا علی أنّ الشارع لا یرید وقوع التصرّف فی مال الغیر بدون إذنه حتّی إذا کان بعنوان الخروج کما هو لیس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الشارع حیث إنّه لا یرضی بوجود شرب الخمر من أی شخص کان، و لیس حاله حال ترک الصلاة من الحائض حتّی لا یکون فیه ملاک المبغوضیة، و لذا لو توسّلت المرأة إلی الحیض لم یکن فی ذلک بأس أصلا، فلا محالة یحرم المقدّمة التی بها یضطرّ المکلّف إلی شرب الخمر، و لکن بعد عصیان هذا التکلیف التحریمی لا یقع الشرب إلّا محبوبا عقلا و شرعا، فیکون حال الخروج أیضا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الجمل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لا یرید وقوع التصرّف فی مال الغیر بدون إذنه حتّی إذا کان بعنوان الخروج کما هو لیس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یکون فیه ملاک المبغوضیة، لا تخلو من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 هذه الجمل عبّر المرحوم الشیخ موسی،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یدّعی أنّ بعض الأمور ممّا لا یرضی الشارع بإیجاده فی الخارج بأی عنوان، فإذا ارتکب الفاعل المختار ما یوجب الوقوع فیه فالموجب له یصیر حراما، و فی المقام یصیر الدخول محرّما من جهتین، من جهة أنّه بنفسه تصرّف و من جهة استلزامه لتصرّف زائد، و لکن هذا أیضا لا یفید، لمبغوضیة الخروج کما هو المدّعی،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أهون العبارات إشکالا ما حرّرته أنا عنه قدّس سرّه فی هذا المقام و هذا نصّه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قد ظهر لک أنّ الخروج أجنبی بالمرّة عن قاعدة الامتناع بالاختیار</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الدخول و إن ترتّب علیه الاضطرار إلی ذلک المقدار من التصرّف الغصبی أعنی التصرّف الخروجی، إلّا أنّه لیس مطلق التصرّف فی المغصوب محرّما، بل إنّه إذا کان بعنوان التخلّص و ردّ المغصوب لم یکن محرّما، بل یکون واجبا بحکم العقل، و إن کان الضمان باقیا، إذ لا ملازمة بین بقاء الضمان و بقاء التحریم، حیث إنّ الموجب لانقطاع الضمان إنّما هو التأدیة المأخوذة غایة للضمان فی ضمان الید، فما لم تحصل التأدیة لا ینقطع الضمان و إن انقطع التحریم بواسطة الانقلاب إلی ما یحکم العقل بحسنه و لزومه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الانقلاب لیس من قبیل الانقلاب الموضوعی کالحاضر و المسافر و الحائض و الطاهر، بحیث إنّه یسوغ للشخص أن یجعل نفسه مسافرا بعد أن کان حاضرا، أو أنّ المرأة تشرب ما یوجب حیضها بعد أن کانت طاهرا، فإنّ ذلک مباح لا ریب فیه، بل فی المقام شی‌ء آخر غیر مجرّد تبدیل الموضوع، و هو أنّه بعد أن علمنا أنّ الشارع المقدّس یمنع من شرب الخمر مثلا کان کلّ ما أوقع فیه ممنوعا منه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الحال فی التصرّف الغصبی، فإنّه لمّا منع عنه الشارع کان کلّ ما یوجب الوقوع فیه ممنوعا منه عنده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نسبة المعلول إلی العلّة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 قبیل العناوین التولیدیة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ترتّب الفعل علیه قهریا بلا اختیار من الفاعل، کما فی مثال الصبّ و جریان الماء إلی المکان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اختیار الفعل مترتّبا علیه، کما فی مثل شرب الدواء الموجب للمرض المهلک المتوقّف علاجه و الشفاء منه علی شرب الخمر، فإنّ شرب ذلک الدواء یکون علّة لاختیار المکلّف شرب الخمر لحفظ نفسه، و الدخول بالقیاس إلی ذلک المقدار من التصرّف المضطرّ إلیه الممتنع ترکه بعد الدخول یکون من النحو الثانی، و بالنسبة إلی ذلک الخروج یکون من قبیل النحو الثالث</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یکون الدخول محرّما من جهتین،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بنفسه تصرّف فی المغصوب فیکون محرّما بنفسه،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کونه علّة لذلک المقدار من التصرّف الغصبی الذی اضطرّ إلیه و احتاج إلی صرفه فی الخروج کان محرّما نفسیا بالغیر، إلّا أنّ حرمته من هذه الجهة لا توجب حرمة الخروج أو کونه مبغوضا أو معاقبا علیه، کما أنّ حرمة شرب الدواء الموجب للمرض المنحصر علاجه بشرب الخمر لا یکون موجبا لحرمة شرب الخمر للتداوی، بل هو باق علی ما هو علیه من کون شربه تداویا و حفظا للنفس المحترمة لیس بحرام بل واجب عقلا، فکذلک الخروج الذی هو التخلّص من الغصب و ردّ المغصوب إلی</w:t>
      </w:r>
    </w:p>
    <w:p>
      <w:pPr>
        <w:pStyle w:val="BookText"/>
        <w:rPr/>
      </w:pPr>
      <w:r>
        <w:rPr>
          <w:rFonts w:ascii="IRNazanin" w:hAnsi="IRNazanin" w:eastAsia="IRNazanin"/>
          <w:color w:val="111111"/>
          <w:sz w:val="28"/>
          <w:sz w:val="28"/>
          <w:szCs w:val="28"/>
          <w:rtl w:val="true"/>
          <w:lang w:bidi="fa-IR"/>
        </w:rPr>
        <w:t>أهله، یکون باقیا علی ما هو علیه من الحسن العقلی و عدم التحریم الشرعی، و إن کان الموجب للوقوع فیه أعنی الدخول محرّما من جهة کونه موقعا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بظاهرها مناقضة لما یدّعیه شیخنا من کون الخروج و شرب الخمر لحفظ النفس محبوبا شرعا و حسنا عقلا، و الالتزام بهذه الجمل محتاج إلی دعوی الانقلاب، بأن یدّعی أنّ الخروج قبل الدخول یکون مبغوضا لکنّه بعد الدخول ینقلب إلی المحبوبیة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مراد شیخنا قدّس سرّه فی هذا المقام هو دفع ما ربما یستبعد هنا من أنّ لازم کون الشرب محبوبا هو أن لا یکون المقدم علی ما یوجب اضطراره إلی شرب الخمر معاقبا أصلا، و هکذا الحال فی المقدم علی الدخول الموجب لمحبوبیة الخروج أن لا یکون معاقبا من ناحیة ذلک الخروج أصلا، و یکون حالهما حال إقدام المرأة علی ما یوجب وقوعها فی الحیض الذی یوجب ترک الصلاة، فأراد قدّس سرّه الجواب عن هذا الاستبعاد بالالتزام بحرمة المقدّمة الموقعة فی ذلک، و فرق بین أمثال هذه المقامات و مقام الحیض بأنّ الثانی من قبیل تبدّل الموضوع بخلاف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الفرق هو ما أشار إلیه المرحوم الشیخ محمّد علی فی تحریراته،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فالعقاب لو کان إنّما یکون فی شرب ذلک الدواء لو کان شرب الخمر من الأمور التی لم یرد الشارع وقوعها فی الخارج لما فیه من المفسدة، فإنّه حینئذ یحرم علی الشخص إدخال نفسه فی موضوع یوجب شرب الخمر، و لیس ذلک کشرب المرأة الدواء الموجب للحیض المستلزم لعدم أمرها بالصلاة، حیث إنّه یمکن القول بجواز شربها للدواء، إذ لم یعلم من مذاق الشارع مبغوضیة إیقاع الشخص نفسه فی موضوع یوجب عدم تکلیفه بالصلاة، و هذا بخلاف شرب الخمر، فإنّ إدخال الشخص نفسه فی موضوع یوجب تکلیفه</w:t>
      </w:r>
    </w:p>
    <w:p>
      <w:pPr>
        <w:pStyle w:val="BookText"/>
        <w:rPr/>
      </w:pPr>
      <w:r>
        <w:rPr>
          <w:rFonts w:ascii="IRNazanin" w:hAnsi="IRNazanin" w:eastAsia="IRNazanin"/>
          <w:color w:val="111111"/>
          <w:sz w:val="28"/>
          <w:sz w:val="28"/>
          <w:szCs w:val="28"/>
          <w:rtl w:val="true"/>
          <w:lang w:bidi="fa-IR"/>
        </w:rPr>
        <w:t xml:space="preserve">بشرب الخمر مبغوض للشارع، کما أنّ إدخال الشخص نفسه فی موضوع یوجب تکلیفه بالتصرّف فی مال الغیر مبغوض للشارع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إنّ موقع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لیس ببعید</w:t>
      </w:r>
      <w:r>
        <w:rPr>
          <w:rStyle w:val="FootnoteAnchor"/>
          <w:rtl w:val="true"/>
        </w:rPr>
        <w:footnoteReference w:id="271"/>
      </w:r>
      <w:r>
        <w:rPr>
          <w:rFonts w:ascii="IRNazanin" w:hAnsi="IRNazanin" w:eastAsia="IRNazanin"/>
          <w:color w:val="111111"/>
          <w:sz w:val="28"/>
          <w:sz w:val="28"/>
          <w:szCs w:val="28"/>
          <w:rtl w:val="true"/>
          <w:lang w:bidi="fa-IR"/>
        </w:rPr>
        <w:t>، هو هذه الجهة أعنی دعوی حرمة المقدّمة التی توقعه فیما یوجب تکلیفه بشرب الخمر حفظا لنفسه، مع کون الشرب فی ذلک الحال حسنا عقلا و محبوبا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الحیض شرط ملاکی، و لأجل ذلک جاز للمرأة أن تعمل ما یوجب إیقاعها فیه، بخلاف مثل مطلق الطهور فإنّه شرط خطابی، و لأجل ذلک کانت المرأة غیر معاقبة علی ذلک العمل و لا علی ترک الصلاة، و هذا بخلاف ما لو تعمّد ما یوجب عدم تمکّنه من مطلق الطهور، فإنّه معاقب علی ترک الصلاة من حین إقدامه علیه و إن سقط به الخطاب بها مع بقاء ترک الصلاة مبغوضا بحاله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التصرّف الخروجی و شرب الخمر للعلاج و حفظ النفس، و کذا ترک الصوم لمن أوقع نفسه فی مرض یضرّه فیه الصوم، إن کانت هذه الأمور من قبیل صلاة الحائض لم یکن المقدم علی مقدّماتها مستحقّا للعقاب، لا علی المقدّمة و لا علی المخالفة فی هذه الأمور، و إن کانت من قبیل صلاة فاقد الطهورین کان مستحقّا للعقاب علی المخالفة فیها لا علی المقدّمة، فإنّ هذا الباب حینئذ من باب المقدّمات المفوّتة و التکلیف فیها طریقی، و العقاب فیها إنّما یکون علی مخالفة التکالیف التی تؤدّی تلک المقدّمات </w:t>
      </w:r>
      <w:r>
        <w:rPr>
          <w:rStyle w:val="FootnoteAnchor"/>
          <w:rtl w:val="true"/>
        </w:rPr>
        <w:footnoteReference w:id="272"/>
      </w:r>
      <w:r>
        <w:rPr>
          <w:rFonts w:ascii="IRNazanin" w:hAnsi="IRNazanin" w:eastAsia="IRNazanin"/>
          <w:color w:val="111111"/>
          <w:sz w:val="28"/>
          <w:sz w:val="28"/>
          <w:szCs w:val="28"/>
          <w:rtl w:val="true"/>
          <w:lang w:bidi="fa-IR"/>
        </w:rPr>
        <w:t>إلی الاضطرار إلی</w:t>
      </w:r>
    </w:p>
    <w:p>
      <w:pPr>
        <w:pStyle w:val="BookText"/>
        <w:rPr/>
      </w:pPr>
      <w:r>
        <w:rPr>
          <w:rFonts w:ascii="IRNazanin" w:hAnsi="IRNazanin" w:eastAsia="IRNazanin"/>
          <w:color w:val="111111"/>
          <w:sz w:val="28"/>
          <w:sz w:val="28"/>
          <w:szCs w:val="28"/>
          <w:rtl w:val="true"/>
          <w:lang w:bidi="fa-IR"/>
        </w:rPr>
        <w:t>مخالفتها، و دخلت فی قاعدة الامتناع بالاختیار لا ینافی الاختیار، و هذا هو عین ما یدّعیه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المقدّمة الموجبة للوقوع فی الاضطرار إلی شرب الخمر لحفظ النفس لیست حرمتها من ناحیة الاضطرار إلی شرب الخمر، الموجب لحفظ النفس الذی هو حسن علی کلّ حال، بل إنّ حرمتها من ناحیة أنّها مؤدّیة إلی هلاک النفس، غایته أنّه بعد الوقوع فی الإشراف علی الهلاک یکون شرب الخمر حسنا، لأنّه رافع لذلک الهلاک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العصیان بنفسه هو مورد إطاعة اللاحق، فیکون الأمر به علی تقدیر العصیان المذکور تحصیلا للحاصل منه قدّس 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الحال فی الدخول، فإنّه مع حرمته نفسا یکون حراما باعتبار ما یترتّب علیه من دوام الغصب، غایته أنّ علاج ذلک المحذور یکون بالخروج و التخلیة لو أراد التخلّص بعد الوقوع فی تلک الورطة، فیکون الخروج حینئذ حسنا عقلا و واجبا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المقدم علی ما یوجب مرضه الذی لا یتمکّن معه من الصوم، فإنّ إقدامه علی ما یوجب مرضه یکون حراما لکونه موقعا له فی المرض، غایته أنّ حکم ذلک المرض هو عدم وجوب الصوم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تکن تلک المقدّمة موجبة لوقوعه فی المرض، بل کانت موجبة لکون الصوم مضرّا له مع فرض کونه غیر مریض، لکان حرمتها طریقیة من ناحیة</w:t>
      </w:r>
      <w:bookmarkStart w:id="140" w:name="pg19667_765124"/>
    </w:p>
    <w:p>
      <w:pPr>
        <w:pStyle w:val="BookText"/>
        <w:rPr/>
      </w:pPr>
      <w:bookmarkEnd w:id="140"/>
      <w:r>
        <w:rPr>
          <w:rFonts w:ascii="IRNazanin" w:hAnsi="IRNazanin" w:eastAsia="IRNazanin"/>
          <w:color w:val="111111"/>
          <w:sz w:val="28"/>
          <w:sz w:val="28"/>
          <w:szCs w:val="28"/>
          <w:rtl w:val="true"/>
          <w:lang w:bidi="fa-IR"/>
        </w:rPr>
        <w:t>استلزامها عدم القدرة علی الصوم، فیکون ترک الصوم فی ذلک نظیر ترک الصلاة لمن أقدم علی اعدام الطهورین فی کون ذلک الترک مبغوضا، و إن کان الخطاب به 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هو المراد لشیخنا قدّس سرّه من الالتزام بحرمة المقدّمة مع الالتزام بحسن ما تؤدّی إلیه من شرب الخمر العلاجی أو الخروج التخلّصی، لکن العبائر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حرّرته أنا عنه قدّس سرّه فإنّه قریب ممّا حرّره المرحوم الشیخ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منها ذلک،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فی مسألة الصوم لا یخلو من إشکال، إذ لیس حکم المریض بما أنّه مریض هو ترک الصوم، و إن کان ذلک هو الظاهر البدوی من الآیة الشریفة</w:t>
      </w:r>
      <w:r>
        <w:rPr>
          <w:rStyle w:val="FootnoteAnchor"/>
          <w:rtl w:val="true"/>
        </w:rPr>
        <w:footnoteReference w:id="274"/>
      </w:r>
      <w:r>
        <w:rPr>
          <w:rFonts w:ascii="IRNazanin" w:hAnsi="IRNazanin" w:eastAsia="IRNazanin"/>
          <w:color w:val="111111"/>
          <w:sz w:val="28"/>
          <w:sz w:val="28"/>
          <w:szCs w:val="28"/>
          <w:rtl w:val="true"/>
          <w:lang w:bidi="fa-IR"/>
        </w:rPr>
        <w:t>حیث جعلته فی مقابل المسافر، بل إنّه إنّما یکون حکمه ترک الصوم باعتبار کونه مضرّا له، و حینئذ فلا فرق فیه بین الصورتین، و یکون الالتزام بحرمة ذلک الشرب و حسن ترک الصوم و وجوب الافطار موردا للسؤال السابق، و هو أنّ عدم الضرر إن کان شرطا ملاکیا کان حاله حال شرب المرأة الدواء للحیض، و إن کان أجنبیا عن الملاک کان حاله حال تعمّد فقدان مطلق الطهور فتأمّل جیّدا، فإنّ المتّبع هو الدلیل علی حرمة ذلک التفویت، و لا یمکن اتمام المسألة بحسب القواعد، فراجع ما حرّرناه فی مبحث المقدّمات المفوّتة</w:t>
      </w:r>
      <w:r>
        <w:rPr>
          <w:rFonts w:eastAsia="IRNazanin" w:cs="IRNazanin"/>
          <w:color w:val="111111"/>
          <w:sz w:val="28"/>
          <w:szCs w:val="28"/>
          <w:rtl w:val="true"/>
          <w:lang w:bidi="fa-IR"/>
        </w:rPr>
        <w:t>.</w:t>
      </w:r>
    </w:p>
    <w:p>
      <w:pPr>
        <w:pStyle w:val="Heading4"/>
        <w:numPr>
          <w:ilvl w:val="3"/>
          <w:numId w:val="1"/>
        </w:numPr>
        <w:rPr/>
      </w:pPr>
      <w:bookmarkStart w:id="141" w:name="__RefHeading___Toc3538543_2314609296"/>
      <w:bookmarkStart w:id="142" w:name="_Toc49"/>
      <w:bookmarkEnd w:id="141"/>
      <w:r>
        <w:rPr>
          <w:rtl w:val="true"/>
        </w:rPr>
        <w:t>[</w:t>
      </w:r>
      <w:r>
        <w:rPr>
          <w:rtl w:val="true"/>
        </w:rPr>
        <w:t>حکم الصلاة حال الخروج من الغصب</w:t>
      </w:r>
      <w:bookmarkEnd w:id="14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القبح الفاعلی المانع عن التقرّب فلا یکون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 قدّس سرّه علّل الصحّة أوّلا علی القول بالجواز، و علی القول بأنّ الخروج معاقب علیه و أنّه غیر مأمور به، بعد الحکم ببطلانها علی القول بالامتناع،</w:t>
      </w:r>
    </w:p>
    <w:p>
      <w:pPr>
        <w:pStyle w:val="BookText"/>
        <w:rPr/>
      </w:pPr>
      <w:r>
        <w:rPr>
          <w:rFonts w:ascii="IRNazanin" w:hAnsi="IRNazanin" w:eastAsia="IRNazanin"/>
          <w:color w:val="111111"/>
          <w:sz w:val="28"/>
          <w:sz w:val="28"/>
          <w:szCs w:val="28"/>
          <w:rtl w:val="true"/>
          <w:lang w:bidi="fa-IR"/>
        </w:rPr>
        <w:t>بما هذا لفظه حسبما حرّرته عنه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 لکونها إیمائیة تکون أجنبیة عن جهة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الصلاة الإیمائیة فی حال الخروج إن کانت تعدّ تصرّفا فی المکان و لو من جهة الإیماء إلی الرکوع و السجود، لم یکن فرق بین القول بالامتناع و القول بالجواز فی الحکم ببطلانها، أمّا الأوّل فواضح، و أمّا الثانی فلأنّها لمّا کانت تصرّفا فی المغصوب وقع التزاحم بین جهة الغصب و جهة الصلاة، فیکون التکلیف بها مع العقاب علیها تکلیفا بغیر المقدور، و لا یبعد أن یقال بسقوط الأمر بالصلاة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الصلاة المذکورة تصرّفا فی المغصوب کانت صحیحة علی القول بالامتناع کالقول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هذه الصلاة داخلة فی مسألة الاجتماع کان اللازم الحکم ببطلانها علی کلا القولین، و کان اللازم سقوط الأمر بالصلاة ترجیحا لجانب حرمة الغصب، و لو مع عدم المندوحة کما هو المفروض، و إن کانت خارجة عن مسألة الاجتماع کانت صحیحة علی کلا القولین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أفاد بعد ذلک أنّه لا ریب فی کون الصلاة فی حال الخروج تصرّفا فی المکان المغصوب، و لو من جهة کون القیام جزءا منها، و هو قیام فی المغصوب، و حینئذ فإن قلنا بأنّ الخروج مأمور به و لیس بمنهی عنه و لا معصیة حکمیة لم یکن إشکال فی صحّة الصلاة المذکورة، و إن قلنا بأنّه منهی عنه أو أنّه معصیة حکمیة کانت الصلاة فی حاله داخلة فی النزاع فی مسألة الاجتماع، فإن قلنا بالامتناع لم یمکن أن تکون تلک الصلاة مأمورا بها و کانت باطلة، و إن قلنا بالجواز من حیث الجهة الأولی کانت الصلاة المذکورة صحیحة، فإنّ صحّة الصلاة فی مورد عدم المندوحة و إن کانت محلّ تأمّل و إشکال، لوقوع التزاحم</w:t>
      </w:r>
    </w:p>
    <w:p>
      <w:pPr>
        <w:pStyle w:val="BookText"/>
        <w:rPr/>
      </w:pPr>
      <w:r>
        <w:rPr>
          <w:rFonts w:ascii="IRNazanin" w:hAnsi="IRNazanin" w:eastAsia="IRNazanin"/>
          <w:color w:val="111111"/>
          <w:sz w:val="28"/>
          <w:sz w:val="28"/>
          <w:szCs w:val="28"/>
          <w:rtl w:val="true"/>
          <w:lang w:bidi="fa-IR"/>
        </w:rPr>
        <w:t>بین الأمر و النهی فیها، إلّا أنّ ما نحن فیه أجنبی عن مورد عدم المندوحة، لأنّ ذلک المورد إنّما یکون فیما إذا لم یکن واقعا فی الغصب علی کلّ حال، فیدور الأمر بین ترک الصلاة و بین ارتکاب الغصب، فیقع التأمّل و الإشکال فی أنّ أیّا منهما هو المقدّم، أمّا ما نحن فیه فهو واقع فی الغصب علی کلّ حال، فلا یکون من قبیل الدوران بین ترک الصلاة و الغصب،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بنحو هذا صرّح المرحوم الشیخ موسی فیما حرّره عنه قدّس سرّهما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الجواز فلأنّ المبغوضیة غیر مانعة عن قصد التقرّب، لأنّ المبغوض یصدر عن المکلّف علی أی حال صلّی فیه أم لم یصلّ، فإیجاد فعل الصلاة لیس موجبا لایجاد المبغوض، و لا یؤثّر اجتماع عنوان المبغوض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القبح الفاعلی الذی کان هو المانع عنده قدّس سرّه من الجواز من حیث الجهة الثانیة متحقّق فی هذه الصورة علی الظاهر،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القبح الفاعلی إنّما یتحقّق بعد تقدیم جانب النهی، و حینئذ نقول فی مورد عدم المندوحة لا ریب فی وقوع التزاحم بین الأمر و النهی، فإن قدّمنا جانب النهی تحقّق القبح الفاعلی و کان مقتضاه بطلان الصلاة و سقوط الأمر بها، و إن قدّمنا جانب الأمر کانت الصلاة صحیحة و سقط النهی، و إن تردّدنا فی ذلک لأنّ کلا منهما لیس له البدل توقّفنا فی الحکم بالصحّة إذا کان عدم المندوحة بمعنی أنّه لا یتمکّن من الصلاة إلّا فی المکان المغصوب، و لم یکن فی نفسه مضطرّا إلی ذلک المکان، علی إشکال فی ذلک تقدّم ذکره </w:t>
      </w:r>
      <w:r>
        <w:rPr>
          <w:rStyle w:val="FootnoteAnchor"/>
          <w:rtl w:val="true"/>
        </w:rPr>
        <w:footnoteReference w:id="276"/>
      </w:r>
      <w:r>
        <w:rPr>
          <w:rFonts w:ascii="IRNazanin" w:hAnsi="IRNazanin" w:eastAsia="IRNazanin"/>
          <w:color w:val="111111"/>
          <w:sz w:val="28"/>
          <w:sz w:val="28"/>
          <w:szCs w:val="28"/>
          <w:rtl w:val="true"/>
          <w:lang w:bidi="fa-IR"/>
        </w:rPr>
        <w:t>و بیان أنّ النهی فی مثل ذلک یکون مقدّما علی الصلاة إذ لا إشکال فی أنّه لا یشرع له الغصب لأن یصلّی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عدم المندوحة لأجل اضطراره إلی المکان المغصوب صلّی أو</w:t>
      </w:r>
    </w:p>
    <w:p>
      <w:pPr>
        <w:pStyle w:val="BookText"/>
        <w:rPr/>
      </w:pPr>
      <w:r>
        <w:rPr>
          <w:rFonts w:ascii="IRNazanin" w:hAnsi="IRNazanin" w:eastAsia="IRNazanin"/>
          <w:color w:val="111111"/>
          <w:sz w:val="28"/>
          <w:sz w:val="28"/>
          <w:szCs w:val="28"/>
          <w:rtl w:val="true"/>
          <w:lang w:bidi="fa-IR"/>
        </w:rPr>
        <w:t>لم یصلّ، فإن کان الاضطرار لا بسوء الاختیار کان موجبا لسقوط النهی، فلا یکون فی البین قبح فاعلی و لا نهی فعلی و لا نهی حکمی کی یکون مانعا من صحّة الصلاة، فلا مانع فیه من صحّة الصلاة لا خطابا و لا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الاضطرار بسوء الاختیار و قلنا إنّ الاضطرار المذکور لا یخرج الخروج عن کونه معصیة حکمیة، و إن سقط به الخطاب الفعلی بالنهی، وقعت المزاحمة بین کونه معصیة حکمیة و بین الأمر بالصلاة، فإن قدّمنا جانب الأمر صحّت الصلاة المذکورة لعدم القبح الفاعلی، و إن لم نقدّم جانب الأمر کما هو الظاهر کان القبح الفاعلی مانعا من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قدّس سرّه یقدّم جانب الأمر استنادا فی ذلک إلی أنّ الأمر إنّما تزاحمه المعصیة الحکمیة إذا لم یکن واقعا فیها علی کلّ حال، أمّا إذا کان واقعا فیها علی کلّ حال فلا تکون مزاحمة للأمر، لعدم الدوران بینها و بین امتثال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تأمّل، لأنّ مجرّد کونه واقعا فی المعصیة الحکمیة علی کلّ حال لو کان مخرجا للفعل عن کونه معصیة کما فی الاضطرار لا بسوء الاختیار، لکانت غیر مزاحمة للأمر، لکونها ساقطة بواسطة الوقوع فیها علی کلّ حال، یعنی أنّها ساقطة بالاضطرار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وقوعه فیها علی کلّ حال مخرجا للفعل عن کونه معصیة حکمیة، کما إذا کان الاضطرار بسوء الاختیار، فلا تخرج به المعصیة الحکمیة عن کونها مزاحمة للأمر، و مانعة عن إمکان التقرّب بذلک الفعل، لتحقّق القبح الفاعلی فیه المانع من صحّة الامتثال و التقرّب به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ینبغی أن یقال فی هذه الصورة هو بطلان الصلاة، و سقوط الأمر بها فی الوقت و لزوم قضائها فی خارج الوقت سقوطا خطابیا، فیکون مستحقّا</w:t>
      </w:r>
    </w:p>
    <w:p>
      <w:pPr>
        <w:pStyle w:val="BookText"/>
        <w:rPr/>
      </w:pPr>
      <w:r>
        <w:rPr>
          <w:rFonts w:ascii="IRNazanin" w:hAnsi="IRNazanin" w:eastAsia="IRNazanin"/>
          <w:color w:val="111111"/>
          <w:sz w:val="28"/>
          <w:sz w:val="28"/>
          <w:szCs w:val="28"/>
          <w:rtl w:val="true"/>
          <w:lang w:bidi="fa-IR"/>
        </w:rPr>
        <w:t>للعقاب أیضا علی ترک الصلاة فی وقتها، کما أنّه مستحقّ للعقاب علی ذلک المقدار من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عین ما کنت حرّرته عنه قدّس سرّه و علّقته علیه فی وقته، نقلته علی علّاته و إن کان مشتملا علی ما لا دخل له فی خصوص هذه المسألة التی نحن فیها، و لم أغیّر شیئا منه سوی تبدیل دام ظلّه بلفظ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هذا التحریر و غیره من التمسّک لصحّة الصلاة المذکورة بحدیث إنّ الصلاة لا تسقط بحال </w:t>
      </w:r>
      <w:r>
        <w:rPr>
          <w:rStyle w:val="FootnoteAnchor"/>
          <w:rtl w:val="true"/>
        </w:rPr>
        <w:footnoteReference w:id="277"/>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الاستحاضة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الاعتراف بالقبح الفاعلی، ففیه تأمّل و إشکال، بل هو ممنوع علی الظاهر، فإنّ هذا الحدیث إنّما هو فی مقام تعذّر بعض الأجزاء أو الشرائط دون مسألة القبح الفاعلی، و لأجل ذلک منع قدّس سرّه من التمسّک به فی مسألة الاضطرار إلی الصلاة فی الحرام مع کونه فی حدّ نفسه لم یکن مضطرّا إلی الحرام، کما لو أجبره شخص علی أنّه إذا أردت الصلاة فلا أدعک تصلّی إلّا مع المغصوب، فإنّه قدّس سرّه منع من التمسّک لصحّة الصلاة فی ذلک بحدیث لا تسقط بحال، کما نقله عنه المرحوم الشیخ محمّد علی، فإنّه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یجری فیه قوله علیه السّلام الصلاة لا تسقط بحال، لأنّه إنّما یکون بالنسبة إلی القیود الغیر المحرّمة ذاتا، انتهی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نقله فی مسألة الاضطرار إلی مخالفة القیود العدمیة فراجع</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الإشکال إنّما هو عدم إمکان التقرّب بما هو</w:t>
      </w:r>
    </w:p>
    <w:p>
      <w:pPr>
        <w:pStyle w:val="BookText"/>
        <w:rPr/>
      </w:pPr>
      <w:r>
        <w:rPr>
          <w:rFonts w:ascii="IRNazanin" w:hAnsi="IRNazanin" w:eastAsia="IRNazanin"/>
          <w:color w:val="111111"/>
          <w:sz w:val="28"/>
          <w:sz w:val="28"/>
          <w:szCs w:val="28"/>
          <w:rtl w:val="true"/>
          <w:lang w:bidi="fa-IR"/>
        </w:rPr>
        <w:t xml:space="preserve">مبغوض فعلا، أو بما اقترن بالمبغوض، بناء علی ما قدّمناه </w:t>
      </w:r>
      <w:r>
        <w:rPr>
          <w:rStyle w:val="FootnoteAnchor"/>
          <w:rtl w:val="true"/>
        </w:rPr>
        <w:footnoteReference w:id="278"/>
      </w:r>
      <w:r>
        <w:rPr>
          <w:rFonts w:ascii="IRNazanin" w:hAnsi="IRNazanin" w:eastAsia="IRNazanin"/>
          <w:color w:val="111111"/>
          <w:sz w:val="28"/>
          <w:sz w:val="28"/>
          <w:szCs w:val="28"/>
          <w:rtl w:val="true"/>
          <w:lang w:bidi="fa-IR"/>
        </w:rPr>
        <w:t>فی وجه القول المختار، أعنی الامتناع من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أنّ المکلّف واقع فی هذا المبغوض علی کلّ حال صلّی أو لم یصلّ، کما نقلناه عنه قدّس سرّه و حرّره عنه المرحوم الشیخ موسی رحمه اللّه إنّما یؤثّر لو کان المنشأ فی الإشکال المزبور هو کون المسألة من وادی التزاحم و تقدیم جانب النهی، فیقال إنّ التزاحم مورده الدوران بین الغصب و الصلاة، لا ما إذا کان واقعا فی الغصب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أنّ منشأ الإشکال هو عدم تحقّق التقرّب بما هو مبغوض أو مقارن للمبغوض و ملازم له و لو فی الوجود علی ما شرحناه فیما تقدّم فی توجیه الامتناع من الجهة الثانیة، و حینئذ لا یکون الوقوع بسوء الاختیار فی المبغوض علی کلّ حال رافعا لهذه الجهة من الإشکال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یمکن التمسّک لرفعها بحدیث إنّ الصلاة لا تسقط بحال، لما عرفت فیما تقدّم نقله من أنّه إنّما سیق لتعذّر بعض الأجزاء و الشرائط، لا ما إذا کان فی البین نهی أو مبغوضیة تمنع من امکان التقرّب، هذا مضافا إلی أنّ حدیث لا تسقط الصلاة لا یمکن أن یرفع الحکم العقلی القائل إنّه لا یمکن تحقّق التقرّب بما قارنه المبغوض إلّا برفع الحکم الذی نشأت عنه المبغوضیة، التی کان منع</w:t>
      </w:r>
    </w:p>
    <w:p>
      <w:pPr>
        <w:pStyle w:val="BookText"/>
        <w:rPr/>
      </w:pPr>
      <w:r>
        <w:rPr>
          <w:rFonts w:ascii="IRNazanin" w:hAnsi="IRNazanin" w:eastAsia="IRNazanin"/>
          <w:color w:val="111111"/>
          <w:sz w:val="28"/>
          <w:sz w:val="28"/>
          <w:szCs w:val="28"/>
          <w:rtl w:val="true"/>
          <w:lang w:bidi="fa-IR"/>
        </w:rPr>
        <w:t>العقل من امکان التقرّب مستندا إلیها، و لأجل ذلک حاول إصلاح هذا التمسّک فی الطبعة الجدیدة بأنّ هذا الحدیث یستفاد منه بالدلالة الالتزامیة ارتفاع القبح الفاعلی عند مزاحمته لترک الصلاة رأسا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المنع من هذه الدلالة، و لعلّها من قبیل ما منعه شیخنا فی باب العموم من أنّه لو توقّف عموم العام و شموله للمورد الفلانی علی اعمال عنایة فی ذلک المورد، و لو بمثل رفع حرمته الرافعة للمبغوضیة المانعة من امکان التقرّب، لم یمکن الحکم بشموله لذلک المورد استنادا إلی 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قد عرفت أنّ الاستدلال بهذا الحدیث فیما نحن فیه لم یذکره المرحوم الشیخ موسی، و لم أجده فی تحریراتی، نعم ذکره المرحوم الشیخ محمّد علی رحمه اللّه و ذکر فی المسألة وجوها و تفاصیل کلّها لا تخلو عن إشکال، و لقد توسّع فی عموم هذا الحدیث حتّی أنّه حاول التمسّک به علی القول بالامتناع، لکنّه رحمه اللّه اعترف بعدم خلو ذلک عن الإشکال، و بأنّ شیخنا قدّس سرّه لم یستوف الکلام فی الحکم الوضعی علی ما ینبغی، انتهی </w:t>
      </w:r>
      <w:r>
        <w:rPr>
          <w:rStyle w:val="FootnoteAnchor"/>
          <w:rtl w:val="true"/>
        </w:rPr>
        <w:footnoteReference w:id="281"/>
      </w:r>
      <w:r>
        <w:rPr>
          <w:rFonts w:ascii="IRNazanin" w:hAnsi="IRNazanin" w:eastAsia="IRNazanin"/>
          <w:color w:val="111111"/>
          <w:sz w:val="28"/>
          <w:sz w:val="28"/>
          <w:szCs w:val="28"/>
          <w:rtl w:val="true"/>
          <w:lang w:bidi="fa-IR"/>
        </w:rPr>
        <w:t>فراجع و تأمّل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أظنّ أنّ التمسّک فی هذا المقام بحدیث الصلاة لا تسقط بحال، و کذلک ما حرّرته عنه قدّس سرّه أوّلا من أنّ هذه الصلاة لکونها إیمائیة تکون أجنبیة عن جهة الغصب، کلّ ذلک مأخوذ ممّا أفاده فی الجواهر، فإنّه قدّس سرّه بعد أن اختار البطلان فیما نقلناه عنه فیما تقدّم </w:t>
      </w:r>
      <w:r>
        <w:rPr>
          <w:rStyle w:val="FootnoteAnchor"/>
          <w:rtl w:val="true"/>
        </w:rPr>
        <w:footnoteReference w:id="2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إنّ الکون حال تشاغله بالخروج لیس صلاتیا کی یقتضی حرمته فسادها، بل الصلاة لیس إلّا النیّة</w:t>
      </w:r>
    </w:p>
    <w:p>
      <w:pPr>
        <w:pStyle w:val="BookText"/>
        <w:rPr/>
      </w:pPr>
      <w:r>
        <w:rPr>
          <w:rFonts w:ascii="IRNazanin" w:hAnsi="IRNazanin" w:eastAsia="IRNazanin"/>
          <w:color w:val="111111"/>
          <w:sz w:val="28"/>
          <w:sz w:val="28"/>
          <w:szCs w:val="28"/>
          <w:rtl w:val="true"/>
          <w:lang w:bidi="fa-IR"/>
        </w:rPr>
        <w:t>و الأقوال بناء علی أنّها لیست من التصرّف، و حینئذ فلا بأس بتکلیفه بالصلاة فی هذا الحال، لعدم سقوط الصلاة بحال، و المیسور بالمعسور</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تمام کلامه قدّس سرّه و تأمّل، و راجع ما أفاده المرحوم الحاج آقا رضا قدّس سرّه فی المقام من صلاته </w:t>
      </w:r>
      <w:r>
        <w:rPr>
          <w:rStyle w:val="FootnoteAnchor"/>
          <w:rtl w:val="true"/>
        </w:rPr>
        <w:footnoteReference w:id="284"/>
      </w:r>
      <w:r>
        <w:rPr>
          <w:rFonts w:ascii="Amiri" w:hAnsi="Amiri" w:eastAsia="Amiri" w:cs="Amiri"/>
          <w:color w:val="111111"/>
          <w:sz w:val="28"/>
          <w:sz w:val="28"/>
          <w:szCs w:val="28"/>
          <w:rtl w:val="true"/>
          <w:lang w:bidi="ar-SA"/>
        </w:rPr>
        <w:t>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أنّه بناء علی هذا الذی أفاده فی الجواهر من أنّ الصلاة فی ذلک الحال لا تکون إلّا النیة و الأقوال، و لا یعتبر فیها شی‌ء من الأفعال حتّی الایماء بالرأس أو بالطرف و نحو ذلک، یکون البحث عن صحّة تلک الصلاة فی ذلک الحال ساقطا، إذ لا یکون فی هذه الصلاة شائبة التصرّف فی المغصوب کی یندرج فی قاعدة الامتناع أو لا یندرج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لاحظ شیخنا قدّس سرّه هذه الجهة من الإشکال فأدخل القیام، فإنّه و إن کان فی حال الرکض للخروج إلّا أنّه لا یخرج عن کونه جزءا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یخلو عن إشکال، لامکان فرض الخروج بغیر القیام، کما إذا أمکن خروجه محمولا فی السیارة لکونها أسرع من خروجه راکضا، هذا مضافا إلی أنّ القیام لیس بجزء دائما، و إنّما هو فی غیر الرکوع و ما بعده، و یمکن القول بأنّ فعله لا یکون فی هذا الحال جزءا أو شرطا، لأنّه لازم الخروج لا أنّه قد فعله بعنوان الجزء من الصلاة،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الطبعة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وقعت فی ضیق الوقت أو ممّن هو غیر مکلّف إلّا بمثل ما یأتی به حال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الجملة الأخیرة المتعرّضة لفرد نادر زیادة علی الطبعة الأولی لم أجدها</w:t>
      </w:r>
    </w:p>
    <w:p>
      <w:pPr>
        <w:pStyle w:val="BookText"/>
        <w:rPr/>
      </w:pPr>
      <w:r>
        <w:rPr>
          <w:rFonts w:ascii="IRNazanin" w:hAnsi="IRNazanin" w:eastAsia="IRNazanin"/>
          <w:color w:val="111111"/>
          <w:sz w:val="28"/>
          <w:sz w:val="28"/>
          <w:szCs w:val="28"/>
          <w:rtl w:val="true"/>
          <w:lang w:bidi="fa-IR"/>
        </w:rPr>
        <w:t>فی غیره من التحاریر، فإنّ کلامه قدّس سرّه فی هذه الفروض منحصر فی خصوص ضیق الوقت، و حینئذ لا حاجة إلی ما علّقه فی الحاشیة</w:t>
      </w:r>
      <w:r>
        <w:rPr>
          <w:rStyle w:val="FootnoteAnchor"/>
          <w:rtl w:val="true"/>
        </w:rPr>
        <w:footnoteReference w:id="286"/>
      </w:r>
      <w:r>
        <w:rPr>
          <w:rFonts w:ascii="IRNazanin" w:hAnsi="IRNazanin" w:eastAsia="IRNazanin"/>
          <w:color w:val="111111"/>
          <w:sz w:val="28"/>
          <w:sz w:val="28"/>
          <w:szCs w:val="28"/>
          <w:rtl w:val="true"/>
          <w:lang w:bidi="fa-IR"/>
        </w:rPr>
        <w:t>من التنبیه علی خروج هذه الصورة ممّا نقله عن شیخنا قدّس سرّه من حکم المسألة علی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هذه الحاشیة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قد عرفت فیما تقدّم أنّه لا أساس لدعوی القبح الفاعلی فی أمثال المقام، فلا مانع من التقرّب بما یأتی به حال الخروج الخ، فکأنّه غفل عمّا ذکره هناک، فإنّ مقتضاه هو صحّة الصلاة فی الدار المغصوبة بقول مطلق کما صرّح به هو هناک، فراجع ص </w:t>
      </w:r>
      <w:r>
        <w:rPr>
          <w:rFonts w:eastAsia="IRNazanin" w:cs="IRNazanin"/>
          <w:color w:val="111111"/>
          <w:sz w:val="28"/>
          <w:szCs w:val="28"/>
          <w:lang w:bidi="fa-IR"/>
        </w:rPr>
        <w:t>370</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ذکره فی الحاشیة الثانیة</w:t>
      </w:r>
      <w:r>
        <w:rPr>
          <w:rStyle w:val="FootnoteAnchor"/>
          <w:rtl w:val="true"/>
        </w:rPr>
        <w:footnoteReference w:id="288"/>
      </w:r>
      <w:r>
        <w:rPr>
          <w:rFonts w:ascii="IRNazanin" w:hAnsi="IRNazanin" w:eastAsia="IRNazanin"/>
          <w:color w:val="111111"/>
          <w:sz w:val="28"/>
          <w:sz w:val="28"/>
          <w:szCs w:val="28"/>
          <w:rtl w:val="true"/>
          <w:lang w:bidi="fa-IR"/>
        </w:rPr>
        <w:t xml:space="preserve">من أنّه یستفاد من هذا الحدیث سقوط المبغوضیة، ففیه أن لازم ذلک هو صحّة الصلاة المذکورة علی القول بالامتناع، مع أنّه فی الکتاب حکم ببطلانها، و قد عرفت فیما تقدّم </w:t>
      </w:r>
      <w:r>
        <w:rPr>
          <w:rStyle w:val="FootnoteAnchor"/>
          <w:rtl w:val="true"/>
        </w:rPr>
        <w:footnoteReference w:id="289"/>
      </w:r>
      <w:r>
        <w:rPr>
          <w:rFonts w:ascii="IRNazanin" w:hAnsi="IRNazanin" w:eastAsia="IRNazanin"/>
          <w:color w:val="111111"/>
          <w:sz w:val="28"/>
          <w:sz w:val="28"/>
          <w:szCs w:val="28"/>
          <w:rtl w:val="true"/>
          <w:lang w:bidi="fa-IR"/>
        </w:rPr>
        <w:t>وجه هذه الاستفادة و الإشکال فیها، و أنّ المرحوم الشیخ محمّد علی رحمه اللّه قد حرّر عن شیخنا قدّس سرّه محاولة التصحیح بذلک فیما نحن فیه حتّی علی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یلتزم بدلالة حدیث لا تسقط علی سقوط المبغوضیة یلزمه أن یقول بأنّ الصلاة صحیحة حینئذ حتّی علی القول بالامتناع، هذا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ینبغی هو التأمّل فیما أفاده قدّس سرّه فی وجه عدم تأتّی القبح الفاعلی حسبما حرّرته و حرّره عنه المرحوم الشیخ موسی من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نحن فیه فهو واقع فی الغصب علی کلّ حال، فلا یکون من الدوران بین ترک الصلاة و الغصب،</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المرحوم الشیخ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المبغوضیة غیر مانعة من قصد التقرّب، لأنّ المبغوض یصدر من المکلّف علی أی حال صلّی فیه أم لم یصلّ، فإیجاد فعل الصلاة لیس موجبا لإیجاد المبغوض، فالصلاة صحیحة و لا یؤثّر اجتماع عنوان المبغوض معه،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الجمل ناظرة إلی ما مرّ منه قدّس سرّه </w:t>
      </w:r>
      <w:r>
        <w:rPr>
          <w:rStyle w:val="FootnoteAnchor"/>
          <w:rtl w:val="true"/>
        </w:rPr>
        <w:footnoteReference w:id="290"/>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هذا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توجیه الفساد علی القول بالجواز من الجهة الأولی و الامتناع من الجهة الثانیة بالقبح الفاعلی، الذی عرفت شرحه فیما تقدّم من وحدة الارادة و تعدّد المراد أو وحدة الایجاد و تعدّد الوجود، و بعبارة أصرح وحدة المعنی المصدری و تعدّد المعنی الاسم المصدری، و هذه الوحدة فی هذه الجهات هی المانعة من قصد التقرّب، و هی متأتّیة فیما لو کان خارج المغصوب و لکن هناک قاهر یمنعه من الصلاة إلّا فی المغصوب، فإنّه هناک یقع التزاحم بین حرمة الغصب و وجوب الصلاة، و مع تقدیم حرمة الغصب لا یمکن التقرّب، لأنّ إیجاد الصلاة فی ذلک یکون إیجادا للغصب، و هذا بخلاف ما نحن فیه لأنّه واقع فی الغصب علی کلّ حال، فلا یکون إیجاده الصلاة إیجادا للغصب، فلا یتحقّق فیها القبح الفاعلی الذی هو کون إیجادها إیجادا للغصب، فلا یتوجّه علی شیخنا قدّس سرّه شی‌ء ممّا تقدّم ذکره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التمسّک فی المقام بحدیث الصلاة لا تترک بحال، فعلی تقدیر صدوره منه قدّس سرّه فلعلّه کان فی مقام الاستدلال علی سقوط ما تفقده صلاة الخارج من الاستقرار و الرکوع و السجود التامّین و نحو ذلک، فیکون الحاصل أنّه قد استدلّ علی سقوط ذلک بحدیث الصلاة لا تسقط بحال، و علی عدم تحقّق القبح الفاعلی</w:t>
      </w:r>
    </w:p>
    <w:p>
      <w:pPr>
        <w:pStyle w:val="BookText"/>
        <w:rPr/>
      </w:pPr>
      <w:r>
        <w:rPr>
          <w:rFonts w:ascii="IRNazanin" w:hAnsi="IRNazanin" w:eastAsia="IRNazanin"/>
          <w:color w:val="111111"/>
          <w:sz w:val="28"/>
          <w:sz w:val="28"/>
          <w:szCs w:val="28"/>
          <w:rtl w:val="true"/>
          <w:lang w:bidi="fa-IR"/>
        </w:rPr>
        <w:t>المانع من صحّة التقرّب بما عرفت من عدم کون إیجاد الصلاة مشتملا علی إیجاد الغصب، لأنّه قد وقع فی الغصب علی کلّ حال، فلیس له إرادة جدیدة تتعلّق بالغصب حال الصلاة، نعم ربما قیل بأنّ الحال کذلک فی الصلاة فی الدار المغصوبة اختیارا، لأنّ الغصب واقع قبل الصلاة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شرحناه من أنّ المانع من التقرّب بهذه الصلاة هو تخصّصها بخصوصیة مبغوضة فعلا، و إن لم تکن منهیا عنها فعلا، بمعنی عدم الخطاب فعلا بترکها، فالذی ینبغی هو الحکم بالبطلان لاشتمالها علی الخصوصیة المبغوضة فعلا، فلاحظ و تأمّل</w:t>
      </w:r>
      <w:r>
        <w:rPr>
          <w:rFonts w:eastAsia="IRNazanin" w:cs="IRNazanin"/>
          <w:color w:val="111111"/>
          <w:sz w:val="28"/>
          <w:szCs w:val="28"/>
          <w:rtl w:val="true"/>
          <w:lang w:bidi="fa-IR"/>
        </w:rPr>
        <w:t>.</w:t>
      </w:r>
      <w:bookmarkStart w:id="143" w:name="pg19667_765135"/>
    </w:p>
    <w:p>
      <w:pPr>
        <w:pStyle w:val="Heading3"/>
        <w:numPr>
          <w:ilvl w:val="2"/>
          <w:numId w:val="1"/>
        </w:numPr>
        <w:rPr/>
      </w:pPr>
      <w:bookmarkStart w:id="144" w:name="__RefHeading___Toc3538545_2314609296"/>
      <w:bookmarkStart w:id="145" w:name="_Toc50"/>
      <w:bookmarkEnd w:id="143"/>
      <w:bookmarkEnd w:id="144"/>
      <w:r>
        <w:rPr>
          <w:rtl w:val="true"/>
        </w:rPr>
        <w:t>[</w:t>
      </w:r>
      <w:r>
        <w:rPr>
          <w:rtl w:val="true"/>
        </w:rPr>
        <w:t>دلالة النهی علی الفساد</w:t>
      </w:r>
      <w:r>
        <w:rPr>
          <w:rtl w:val="true"/>
        </w:rPr>
        <w:t>]</w:t>
      </w:r>
      <w:bookmarkEnd w:id="145"/>
    </w:p>
    <w:p>
      <w:pPr>
        <w:pStyle w:val="Heading4"/>
        <w:numPr>
          <w:ilvl w:val="3"/>
          <w:numId w:val="1"/>
        </w:numPr>
        <w:rPr/>
      </w:pPr>
      <w:bookmarkStart w:id="146" w:name="__RefHeading___Toc3538547_2314609296"/>
      <w:bookmarkStart w:id="147" w:name="_Toc51"/>
      <w:bookmarkEnd w:id="146"/>
      <w:r>
        <w:rPr>
          <w:rtl w:val="true"/>
        </w:rPr>
        <w:t>[</w:t>
      </w:r>
      <w:r>
        <w:rPr>
          <w:rtl w:val="true"/>
        </w:rPr>
        <w:t>الکلام فی شمول النهی فی المقام للنهی التنزیهی</w:t>
      </w:r>
      <w:bookmarkEnd w:id="14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المأمور به بخصوصه منهیا عنه، کما إذا کان اطلاق الأمر شمولیا، فلا محالة یقع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خارج عن محلّ الکلام قطعا، فإنّ محلّ الکلام فیما إذا کان التعارض و تقیید متعلّق الأمر من ناحیة دلالة النهی علی الفساد، و التعارض فی المورد لا یتوقّف علیها بالضرورة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هذه الجملة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أنّ نتیجة النزاع فی هذا المبحث هی الفساد، و بعد الحکم بفساد العبادة نرتکب طریقة التخصیص، الذی هو راجع إلی باب التعارض، بخلاف ما لو کان الأمر شمولیا و کان النهی التنزیهی متعلّقا ببعض أفراده، بحیث کان النهی متعلّقا بذات العبادة الخاصّة، فإنّه راجع إلی التخصیص و التعارض ابتداء، من دون توسط الحکم بفساده، و إن کنّا نحکم بفساده بعد إعمال قاعدة التعارض من التخصیص</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الجهة لم یتعرّض لها المرحوم الشیخ محمّد علی، بل اقتصر علی إنکار تعلّق النهی التنزیهی فی العبادات بذات العبادة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النواهی التنزیهیة الواردة فی الشریعة المتعلّقة بالعبادات لم تتعلّق بذات العبادة علی وجه یتّحد متعلّق الأمر و النهی علی ما تقدّم تفصیله، فالقول بأنّ النهی التنزیهی کالنهی</w:t>
      </w:r>
    </w:p>
    <w:p>
      <w:pPr>
        <w:pStyle w:val="BookText"/>
        <w:rPr/>
      </w:pPr>
      <w:r>
        <w:rPr>
          <w:rFonts w:ascii="IRNazanin" w:hAnsi="IRNazanin" w:eastAsia="IRNazanin"/>
          <w:color w:val="111111"/>
          <w:sz w:val="28"/>
          <w:sz w:val="28"/>
          <w:szCs w:val="28"/>
          <w:rtl w:val="true"/>
          <w:lang w:bidi="fa-IR"/>
        </w:rPr>
        <w:t>التحریمی داخل فی حریم اقتضاء النهی للفساد ضعیف جدّا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علیه یکون محصّل الجواب هو المناقشة فی الصغری، و من الواضح أنّه لا یدفع الإشکال، لأنّه متوجّه علی تقدیر تحقّق الصغری بأن نفرض أنّه کانت لنا عبادة تعلّق النهی التنزیهی بذاتها، فهل یکون ذلک النهی موجبا لفسادها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تصویر ذلک فی النوافل المبتدأة فی الأوقات الخاصّة، و أنّ ما أفاده شیخنا قدّس سرّه من التفکیک فیه بین متعلّق الأمر و متعلّق النهی بجعل الأوّل متعلّقا بذات العمل و الثانی بالتعبّد به، محلّ تأمّل و إشکال، فراجع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الذی وجدته فی تحریراتی عنه قدّس سرّه فی المقام هو أوسع ممّا فی هذا الکتاب، لأنّ فیه توسعة الإشکال إلی النهی التحریمی فی قبال الأمر الشمولی، و الحکم بأنّ هذا أیضا خارج عن محل النزاع کالنهی التنزیهی فی قبال الأمر الشمولی، و أنّ محلّ النزاع مقصور علی النهی التحریمی فی قبال الأمر البدلی، للجهة المشار إلیها، و هی أنّ ما یکون فی قبال الأمر الشمولی یکون راجعا ابتداء إلی باب التعارض بلا توسط الحکم بالفساد، و إن کنّا نحکم بفساده بعد ارتکاب طریقة التخصیص، أمّا ما یکون من النهی التحریمی فی قبال الأمر البدلی فإنّا نحکم بفساده أوّلا، ثمّ بعد الحکم بفساده یکون داخلا فی باب التعارض، هذا هو الذی یتحصّل ممّا حرّرته عنه قدّس سرّه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النهی التنزیهی فی قبال عموم الأمر البدلی فقد أحاله قدّس سرّه إلی مبحث العبادات المکروهة، فإنّ متعلّق النهی فیما له البدل الذی هو محصّل کون عموم الأمر بدلیا یکون غیر العبادة، فلا یکون داخلا فیما نحن فیه من النهی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باب التعارض و التخصیص و باب اقتضاء النهی للفساد و إن کان کلّ منهما أجنبیا عن الآخر، فإنّ النهی عن الشی‌ء معارض للأمر به لعدم اجتماعهما، و إن لم نقل بأنّ النهی یقتضی الفساد أو لم یکن الفعل المنهی عنه ممّا یفسده النهی، کما فی الأمر بغسل الثوب و النهی عن غسله فی حالة خاصّة، و کما فی الأمر ببیع العبد بقول مطلق و النهی عن بیعه فی وقت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کون النهی موجبا للفساد لا دخل له بباب التعارض، و لیس مبنیا علی تخصیص الأمر به، بل إنّ النهی یکون موجبا لفساد العبادة و إن لم یکن فی البین أمر متعلّق بها، کما لو نهی عن العبادة بالتکتّف قائما و کما فی النهی عن المعاملة لو قیل بأنّه مقتض للفساد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یتّضح ممّا أفاده فی توجیه اقتضاء النهی للفساد علی ما حرّرته عنه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لو کان بدلیا، و تعلّق النهی التحریمی ببعض أفراده، نقول إنّ أوّل ما یؤثّره ذلک النهی هو سلب قدرة المکلّف عن امتثال ذلک الأمر البدلی فی ذلک الفرد المنهی عنه، و الحکم العقلی بلزوم امتثاله فی الأفراد الأخر، فتکون المسألة حینئذ من صغریات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المقدار من أثر النهی لا یوجب فساد المأمور به لو أتی به فی ضمن ذلک الفرد المنهی عنه، بل یمکن أن یحکم بصحّته اکتفاء بملاکه، أو بالترتّب، أو کما یقوله المحقّق الثانی </w:t>
      </w:r>
      <w:r>
        <w:rPr>
          <w:rStyle w:val="FootnoteAnchor"/>
          <w:rtl w:val="true"/>
        </w:rPr>
        <w:footnoteReference w:id="294"/>
      </w:r>
      <w:r>
        <w:rPr>
          <w:rFonts w:ascii="IRNazanin" w:hAnsi="IRNazanin" w:eastAsia="IRNazanin"/>
          <w:color w:val="111111"/>
          <w:sz w:val="28"/>
          <w:sz w:val="28"/>
          <w:szCs w:val="28"/>
          <w:rtl w:val="true"/>
          <w:lang w:bidi="fa-IR"/>
        </w:rPr>
        <w:t>من أنّ الانطباق قهری و الامتثال وجدانی، کما أنّ هذا المقدار لا یوجب تحقّق المعارضة بین الأمر و النهی علی وجه یکون النهی مخصّصا للأمر تخصیصا شرعیا، و إنّما أقصی ما فی هذا المقدار هو التخصیص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یتحقّق ذلک کلّه بعد طی المرحلة الثانیة، و هی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النهی کما یوجب سلب الخطاب لکونه سالبا للقدرة، یکون موجبا لسلب الملاک بالتقریب الذی بیّنه قدّس سرّه فی محلّه ممّا سیأتی </w:t>
      </w:r>
      <w:r>
        <w:rPr>
          <w:rStyle w:val="FootnoteAnchor"/>
          <w:rtl w:val="true"/>
        </w:rPr>
        <w:footnoteReference w:id="295"/>
      </w:r>
      <w:r>
        <w:rPr>
          <w:rFonts w:ascii="IRNazanin" w:hAnsi="IRNazanin" w:eastAsia="IRNazanin"/>
          <w:color w:val="111111"/>
          <w:sz w:val="28"/>
          <w:sz w:val="28"/>
          <w:szCs w:val="28"/>
          <w:rtl w:val="true"/>
          <w:lang w:bidi="fa-IR"/>
        </w:rPr>
        <w:t>إن شاء اللّه تعالی، و بعد ارتفاع الأمر خطابا و ملاکا یتعیّن الحکم بفساد ذلک الفرد، و بعد ذلک کلّه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خارج عن العموم البدلی لذلک الأمر خطابا و ملاکا، و هو معنی التخصیص، فکان التخصیص متولّدا من الحکم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لک أنّ الحکم بالفساد له مساس بوقوع المعارضة، فلا یتمّ ما أورده فی الحاشیة المذکورة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بخلاف ما لو کان العموم فی ناحیة الأمر شمولیا، فإنّه لا یتطرّق إلیه احتمال إمکان امتثال ذلک الأمر المتعلّق بالطبیعة فی هذا الفرد المنهی عنه، کی نمنع ذلک بأنّ هذا الفرد لا یمکن امتثال الأمر فیه لعدم الملاک، لأنّ الفرض أنّ ذلک الفرد بنفسه مأمور به، و بعد فرض تعلّق النهی به لا یکون لنا أمر متعلّق بطبیعة کلّیة کی نمتثله فی ذلک الفرد الذی یکون انطباق الطبیعة علیه انطباقا قهریا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ففی هذه الصورة یکون المرجع الأوّل هو التخصیص، من دون توقّف علی الحکم بالفساد، نعم بعد عملیة التخصیص یکون ذلک الفرد فاسدا، و 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النهی الذی هو فی قبال الأمر الشمولی لا یدخل فی محلّ النزاع فی أنّ نفس النهی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اقتضاء النهی الفساد تارة یأتی من طریقة التخصیص و تلک خارجة عن المبحث، و أخری یأتی من طریقة أنّ النهی بنفسه یوجب فساد المنهی عنه عبادة کان أو غیرها، سواء کان فی قبال ذلک النهی أمر أو لم یکن، و هذه هی محلّ البحث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مسألة الأمر الشمولی یکون الفساد فیها من ناحیة الطریقة الأولی أعنی طریقة التخصیص، من دون فرق فی صورة الأمر الشمولی بین کون النهی تحریمیا و کونه تنزیهیا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فلا یتوجّه علیه شی‌ء ممّا فی الحاشیة من أنّه لا فرق بین النهی التنزیهی و النهی التحریمی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یتوجّه علیه أنّ النهی کما یخصّص العموم الشمولی فیحکم بالفساد لأجل التخصیص، فکذلک یقیّد الاطلاق فیحکم بالفساد لأجل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جوابه واضح ممّا تقدّم، فإنّه لو لا دلالة النهی علی سلب الملاک الموجب للفساد لا یکون فی البین تقیید تعارضی، و إنّما أقصی ما فی البین أن یکون تقیید عقلی ناشئ من عدم القدرة، و حینئذ فالتقیید الشرعی متوقّف علی کون النهی سالبا للملاک الذی هو عبارة أخری عن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یتّضح لک أنّه لا یتوجّه علیه ما فی الحاشیة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التعارض بین دلیلی الأمر و النهی متوقّفا علی دلالة النهی علی الفساد فلا مورد له أصلا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یتوجّه علی ذلک أنّ مثل قوله صلّ و لا تصلّ فی الدار المغصوبة متعارضان، فإنّ الأمر و لو کان بدلیا یکون فی ذلک الفرد معارضا و منافیا للنهی عنه، لا من جهة اقتضاء النهی للفساد، بل لو لم نقل بالفساد أو لم یکن الفعل</w:t>
      </w:r>
    </w:p>
    <w:p>
      <w:pPr>
        <w:pStyle w:val="BookText"/>
        <w:rPr/>
      </w:pPr>
      <w:r>
        <w:rPr>
          <w:rFonts w:ascii="IRNazanin" w:hAnsi="IRNazanin" w:eastAsia="IRNazanin"/>
          <w:color w:val="111111"/>
          <w:sz w:val="28"/>
          <w:sz w:val="28"/>
          <w:szCs w:val="28"/>
          <w:rtl w:val="true"/>
          <w:lang w:bidi="fa-IR"/>
        </w:rPr>
        <w:t>المذکور عبادیا کما فی قولک امش و لا تمش فی الدار المغصوبة، فإنّه یعد النهی منافیا لذلک الأمر البدلی، و لو باعتبار تضمّنه الترخیص فی ذلک الفعل، و علی هذا تدخل المسألة فی باب التعارض و یسقط النزاع فی اقتضاء النهی التحریمی للفساد، سواء کان فی قبال العموم البدلی أو کان فی قبال العموم الشمولی، و سواء کان الأمر وجوبیا أو کان استحبابیا، لکون ذلک کلّه داخلا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النهی التنزیهی باعتبار دلالته علی مرجوحیة متعلّقه، فإنّه مناف للأمر الشمولی أو البدلی لذلک، فإنّ ذلک الأمر الشمولی أو البدلی دالّ علی رجحانه فیقع التعارض بینهما و یحکم بالتخصیص أو التقیید، و لیس هذا التعارض ناشئا عن الحکم بفساد ذلک المنهی عنه، فإنّه آت حتّی لو قلنا إنّ النهی التنزیهی المتعلّق بذات العبادة لا یوجب فسادها و إن أوجب مرجوحیتها، و الشاهد علی ذلک أنّ نفس هذا التعارض جار فیما لو کان المنهی عنه تنزیها غیر عبادی، کما فی النهی التنزیهی عن کسر العود حول القبر مع فرض توجّه الأمر بالکسر إمّا شمولیا أو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یظهر لک التأمّل فیما تضمّنه المتن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التنزیهی عن فرد لا ینافی الرخصة الضمنیة المستفادة من اطلاق الأمر، فلا یکون بینهما معارضة حتّی یقیّد به إطلاقه الخ </w:t>
      </w:r>
      <w:r>
        <w:rPr>
          <w:rStyle w:val="FootnoteAnchor"/>
          <w:rtl w:val="true"/>
        </w:rPr>
        <w:footnoteReference w:id="299"/>
      </w:r>
      <w:r>
        <w:rPr>
          <w:rFonts w:ascii="IRNazanin" w:hAnsi="IRNazanin" w:eastAsia="IRNazanin"/>
          <w:color w:val="111111"/>
          <w:sz w:val="28"/>
          <w:sz w:val="28"/>
          <w:szCs w:val="28"/>
          <w:rtl w:val="true"/>
          <w:lang w:bidi="fa-IR"/>
        </w:rPr>
        <w:t xml:space="preserve">، لما عرفت من أنّ المنافاة إنّما هی بین اطلاق دلیل الأمر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رجحان متعلّقه علی نحو یکون مقتضاه رجحان هذا الفرد أیضا مع ما یدلّ علیه النهی من المرجوحیة، و هذه المنافاة لا یفرق فیها بین کون النهی تحریمیا و کونه تنزیهیا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مدرک المنافاة هو اقتضاء النهی عدم الرخصة فی فعل متعلّقه مع</w:t>
      </w:r>
    </w:p>
    <w:p>
      <w:pPr>
        <w:pStyle w:val="BookText"/>
        <w:rPr/>
      </w:pPr>
      <w:r>
        <w:rPr>
          <w:rFonts w:ascii="IRNazanin" w:hAnsi="IRNazanin" w:eastAsia="IRNazanin"/>
          <w:color w:val="111111"/>
          <w:sz w:val="28"/>
          <w:sz w:val="28"/>
          <w:szCs w:val="28"/>
          <w:rtl w:val="true"/>
          <w:lang w:bidi="fa-IR"/>
        </w:rPr>
        <w:t>ما یقتضیه الأمر من عدم الرخصة فی ترکه، لکانت مختصّة بباب النهی التحریمی و الأمر الوجوبی، لکنّک قد عرفت أنّ التنافی إنّما هو فی الدلالة علی المرجوحیة و الرجحان و هما متنافیان، من دون فرق بین کون الأمر و النهی الزامیین أو کونهما غیر الزامیین، و قد مرّ</w:t>
      </w:r>
      <w:r>
        <w:rPr>
          <w:rStyle w:val="FootnoteAnchor"/>
          <w:rtl w:val="true"/>
        </w:rPr>
        <w:footnoteReference w:id="300"/>
      </w:r>
      <w:r>
        <w:rPr>
          <w:rFonts w:ascii="IRNazanin" w:hAnsi="IRNazanin" w:eastAsia="IRNazanin"/>
          <w:color w:val="111111"/>
          <w:sz w:val="28"/>
          <w:sz w:val="28"/>
          <w:szCs w:val="28"/>
          <w:rtl w:val="true"/>
          <w:lang w:bidi="fa-IR"/>
        </w:rPr>
        <w:t>شطر من الکلام فی ذلک فی مبحث العبادات المکروهة عند التعرّض لقولهم بعدم جریان أحکام الاطلاق و التقیید فی المستحبّات،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صرفنا النهی إلی جهة أخری غیر نفس ما تعلّق به الأمر ارتفع التنافی بینهما من الجهة الأولی، و یبقی الکلام فی الجهة الثانیة و هی القدرة علی الامتثال، و حینئذ ینفتح باب القدرة علی الامتثال بهذه الجملة، أعنی عدم الالزام فی هذا الفرد من الأمر، لکون العموم فیه بدلیا مشتملا ضمنا علی الترخیص فی ترک ذلک الفرد، کما أنّ النهی لیس الزامیا، بل هو لکونه تنزیهیا مقرون بالترخیص بالفعل، فلا یکون أحدهما سالبا للقدرة علی الآخر، فلا یکون بینهما تزاحم فی مقام الامتثال کما تقدّم </w:t>
      </w:r>
      <w:r>
        <w:rPr>
          <w:rStyle w:val="FootnoteAnchor"/>
          <w:rtl w:val="true"/>
        </w:rPr>
        <w:footnoteReference w:id="301"/>
      </w:r>
      <w:r>
        <w:rPr>
          <w:rFonts w:ascii="IRNazanin" w:hAnsi="IRNazanin" w:eastAsia="IRNazanin"/>
          <w:color w:val="111111"/>
          <w:sz w:val="28"/>
          <w:sz w:val="28"/>
          <w:szCs w:val="28"/>
          <w:rtl w:val="true"/>
          <w:lang w:bidi="fa-IR"/>
        </w:rPr>
        <w:t>تفصیله فی توجیه العبادات المکروهة، فراجع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البحث أو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فساد العبادة الآتی من ناحیة کون النهی عنها مخصّصا للأمر خارج عمّا هو محلّ کلامنا من اقتضاء النهی بنفسه لفساد العبادة المنهی عنها، لأنّ التخصیص جار حتّی فیما لو لم یکن المنهی عنه ممّا یتّصف بصحّة و لا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یتّصف بذلک من العبادة یحکم بفساده بعد تحقّق التخصیص، لا لأجل أنّ النهی اقتضی فساده، بل لأجل أنّه بعد أن خرج</w:t>
      </w:r>
    </w:p>
    <w:p>
      <w:pPr>
        <w:pStyle w:val="BookText"/>
        <w:rPr/>
      </w:pPr>
      <w:r>
        <w:rPr>
          <w:rFonts w:ascii="IRNazanin" w:hAnsi="IRNazanin" w:eastAsia="IRNazanin"/>
          <w:color w:val="111111"/>
          <w:sz w:val="28"/>
          <w:sz w:val="28"/>
          <w:szCs w:val="28"/>
          <w:rtl w:val="true"/>
          <w:lang w:bidi="fa-IR"/>
        </w:rPr>
        <w:t>عن حیّز الأمر خروجا واقعیا خطابا و ملاکا یکون فاسدا بلا إشکال، و لو کان المخرج له دلیل آخر غیر دلیل النهی، بأن یقول صلّ ثمّ یقول إنّ الصلاة فی الدار المغصوبة غیر مأمور بها أو هی خارجة عن ذلک العموم، أو نحو ذلک من العبارات الدالّة علی نفی ذلک الوجوب عن الصلاة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کون النهی موجبا لفساد العبادة المنهی عنها جار حتّی لو لم یکن فی قباله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یتّضح ذلک فی النهی عن المعاملة بمعناها الاسم المصدری، فإنّه بنفسه موجب لفسادها، لکونه سالبا لسلطنة المکلّف علیها فی عالم التشریع، نعم إنّ سلب هذه السلطنة عن هذه المعاملة یکون موجبا لخروجها عن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لکن ذلک لا دخل له فیما نحن بصدده من عموم أمر فی البین، بل إنّ هذا یوجب فساد هذه المعاملة بنفس کونه سالبا للقدرة علیها فی مرحلة التشریع، و إن لم یکن بأیدینا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 الأمر إمّا أن یکون بدلیا أو شمولیا، و النهی إمّا أن یکون تنزیهیا أو تحریمیا، فهناک 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عموم الأمر بدلیا و النهی تنزیهیا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الصورة أخرجها شیخنا قدّس سرّه من مسألتنا، أعنی مسألة النهی عن العبادة موجب لفسادها، و أحالها علی ما تقدّم فی العبادات المکروهة التی لها بدل، و هی عبارة عن کون عموم الأمر بدلیا، لأنّ النهی لم یکن فی ذلک القسم متعلّقا بذات العبادة، بل تعلّق بشی‌ء آخر، فتخرج عمّا نحن فیه من النهی عن ذات العبادة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لو کان عموم الأمر بدلیا و النهی تحریمیا مثل صلّ و لا تصلّ فی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شیخنا قدّس سرّه جعل هذه هی محلّ النزاع فیما نحن فیه، و أنّ</w:t>
      </w:r>
    </w:p>
    <w:p>
      <w:pPr>
        <w:pStyle w:val="BookText"/>
        <w:rPr/>
      </w:pPr>
      <w:r>
        <w:rPr>
          <w:rFonts w:ascii="IRNazanin" w:hAnsi="IRNazanin" w:eastAsia="IRNazanin"/>
          <w:color w:val="111111"/>
          <w:sz w:val="28"/>
          <w:sz w:val="28"/>
          <w:szCs w:val="28"/>
          <w:rtl w:val="true"/>
          <w:lang w:bidi="fa-IR"/>
        </w:rPr>
        <w:t>الحکم فیها بالفساد مقدّم رتبة علی ارتکاب التخصیص،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ما یصنعه النهی فی ذلک هو جعل الصلاة فی ذلک المکان غیر مقدورة شرعا، و بذلک ینصرف الأمر عن ذلک الفرد، و ینحصر امتثاله بحکم العقل فیما عدا ذلک الفرد من الأفراد، و یکون هذا المقدار من قبیل التخصیص العقلی غیر الموجب لفساد ذلک الفرد، لامکان تصحیحه بالملاک أو بالترتّب أو بما أفاده المحقّق الثانی </w:t>
      </w:r>
      <w:r>
        <w:rPr>
          <w:rStyle w:val="FootnoteAnchor"/>
          <w:rtl w:val="true"/>
        </w:rPr>
        <w:footnoteReference w:id="303"/>
      </w:r>
      <w:r>
        <w:rPr>
          <w:rFonts w:ascii="IRNazanin" w:hAnsi="IRNazanin" w:eastAsia="IRNazanin"/>
          <w:color w:val="111111"/>
          <w:sz w:val="28"/>
          <w:sz w:val="28"/>
          <w:szCs w:val="28"/>
          <w:rtl w:val="true"/>
          <w:lang w:bidi="fa-IR"/>
        </w:rPr>
        <w:t>من کون الانطباق قهریا و الامتثال وجدانیا، ثمّ بعد ذلک ننظر فی حال ذلک النهی، و أنّه مولوی نفسی ناشئ عن مفسدة إمّا غالبة علی صلاح أصل الطبیعة أو موجبة لارتفاع أصل المصلحة، و أیّا ما کان یکون ذلک موجبا لسقوط الأمر ملاکا، کما کانت العملیة الأولی موجبة لسقوطه خطابا، و ذلک عبارة أخری عن الفساد، و بذلک یکون قوله لا تصلّ فی الدار المغصوبة مخصّصا لقوله صلّ، أو مقیّدا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أنّ هذه الصورة تکون عملیة التعارض و التخصیص متأخرة عن عملیة الحکم بفساد العبادة الآتی من ناحیة نفس النهی، فتکون هذه الصورة داخلة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الثالثة و الرابعة و هما ما لو کان الأمر شمولیا و النهی تحریمیا أو کان تنزیهیا، فحیث إنّ الأمر فیهما متوجّه إلی خصوص ذلک الفرد الذی هو مورد النهی، فأوّل عملیة تحصل من النهی هی رفعه الأمر فی مورده، لا من جهة عدم القدرة فقط، بل من جهة عدم إمکان اجتماع الأمر و النهی فی شی‌ء واحد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الصورة السابقة، لما عرفت من إمکان بقاء الأمر متعلّقا بالطبیعة، غایته أنّه لعدم المقدوریة یحکم العقل بانحیازه إلی ما عدا ذلک الفرد</w:t>
      </w:r>
    </w:p>
    <w:p>
      <w:pPr>
        <w:pStyle w:val="BookText"/>
        <w:rPr/>
      </w:pPr>
      <w:r>
        <w:rPr>
          <w:rFonts w:ascii="IRNazanin" w:hAnsi="IRNazanin" w:eastAsia="IRNazanin"/>
          <w:color w:val="111111"/>
          <w:sz w:val="28"/>
          <w:sz w:val="28"/>
          <w:szCs w:val="28"/>
          <w:rtl w:val="true"/>
          <w:lang w:bidi="fa-IR"/>
        </w:rPr>
        <w:t>من الأفراد، فلا یکون إلّا من قبیل التخصیص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لا یتأتّی فی الصورتین المذکورتین، لأنّ الأمر لمّا کان شمولیا کان کلّ فرد مأمورا به علی حدة، فذلک الفرد الخاصّ یکون الأمر فیه منافیا للنهی، و بعد تقدیم النهی یخرج ذلک الفرد عن ذلک العموم الشمولی للأمر، و بعد خروجه عنه تخصیصا شرعیا نحکم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أفاده شیخنا قدّس سرّه حسبما فهمته، و لکن عمدة التأمّل فی ذلک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فرض کون النهی التنزیهی فی قبال العموم البدلی متعلّقا بنفس العبادة لا بشی‌ء خارج عنها، و حینئذ یدخل فی النهی عن العبادة، و لکن حیث إنّه لا یسلب القدرة لا تتأتّی فیه العملیة التی ذکرناها فی النهی التحریمی، فیکون أیضا داخلا فی باب التعارض، و لأجل تخصیص ذلک العموم بذلک النهی نحکم بفساد ذلک الفرد، فیتمّ ما أفاده شیخنا قدّس سرّه من خروج النهی التنزیهی بجمیع أقسامه عن مسألتنا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من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راجعة إلی امکان المناقشة فیما أفاده فی وجه الحکم بفساد الصلاة فی مثل النهی التحریمی عن الصلاة فی الدار المغصوبة فی قبال الأمر البدلی بقوله صلّ،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فی ذلک إلی هذا التطویل، بل إنّ نفس قوله لا تصلّ فی الدار المغصوبة معارض لقوله صلّ، و إن لم نحکم بفساد تلک الصلاة، کما تراه فی مثل قوله اقرأ و لا تقرأ ملحونا، و قم و لا تقم ضاحکا، فإنّ الثانی معارض للأوّل مقیّد له، من دون توسّط الحکم بفساد ذلک المنهی عنه، فکذلک الحال فی قوله صلّ و لا تصلّ فی الدار المغصوبة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ذلک یکون الحکم بالفساد فی جمیع هذه الصور الأربع متولّدا</w:t>
      </w:r>
      <w:bookmarkStart w:id="148" w:name="pg19667_765145"/>
    </w:p>
    <w:p>
      <w:pPr>
        <w:pStyle w:val="BookText"/>
        <w:rPr/>
      </w:pPr>
      <w:bookmarkEnd w:id="148"/>
      <w:r>
        <w:rPr>
          <w:rFonts w:ascii="IRNazanin" w:hAnsi="IRNazanin" w:eastAsia="IRNazanin"/>
          <w:color w:val="111111"/>
          <w:sz w:val="28"/>
          <w:sz w:val="28"/>
          <w:szCs w:val="28"/>
          <w:rtl w:val="true"/>
          <w:lang w:bidi="fa-IR"/>
        </w:rPr>
        <w:t>من التعارض و التخصیص أو التقیید، و لم یکن عندنا صورة یکون منشأ فساد العبادة فیها هو مجرّد النهی عنها من دون أن یکون فی البین أمر حتّی مثل ما تقدّم من مثال القیام متکتّفا، فإنّه یکفی فی عدم صحّته عدم الأمر و کونه تشریعا،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لا تصلّ، عند ملاحظته مع قوله صلّ، یکون بالنظر العرفی معارضا له، و بالنظر إلی الجمع العرفی الارتکازی یکون مخصّصا له، قبل النظر إلی أنّ هذا النهی سالب للقدرة و أنّ ملاکه مذهب لملاک الأمر أو غالب علیه، فإنّ هذه الجهات متأخرة عمّا ذکرناه من التعارض العرفی و الجمع الارتکازی فتأمّل، فإنّ هذا التعارض و الجمع حاصل حتّی لو قلنا بعدم تبعیة الأحکام للمصالح و المفاسد</w:t>
      </w:r>
      <w:r>
        <w:rPr>
          <w:rFonts w:eastAsia="IRNazanin" w:cs="IRNazanin"/>
          <w:color w:val="111111"/>
          <w:sz w:val="28"/>
          <w:szCs w:val="28"/>
          <w:rtl w:val="true"/>
          <w:lang w:bidi="fa-IR"/>
        </w:rPr>
        <w:t>.</w:t>
      </w:r>
    </w:p>
    <w:p>
      <w:pPr>
        <w:pStyle w:val="Heading4"/>
        <w:numPr>
          <w:ilvl w:val="3"/>
          <w:numId w:val="1"/>
        </w:numPr>
        <w:rPr/>
      </w:pPr>
      <w:bookmarkStart w:id="149" w:name="__RefHeading___Toc3538549_2314609296"/>
      <w:bookmarkStart w:id="150" w:name="_Toc52"/>
      <w:bookmarkEnd w:id="149"/>
      <w:r>
        <w:rPr>
          <w:rtl w:val="true"/>
        </w:rPr>
        <w:t>[</w:t>
      </w:r>
      <w:r>
        <w:rPr>
          <w:rtl w:val="true"/>
        </w:rPr>
        <w:t>الکلام فی شمول النهی للنهی الغیری</w:t>
      </w:r>
      <w:bookmarkEnd w:id="15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الفساد کما عرفت سابقا إنّما یدور مدار عدم الأمر و الملاک معا، و ما یکون مضادّا للنهی الغیری و یکون هو کاشفا عن عدمه هو الأمر بالصلاة لا کونها واجدة للملاک، فیصحّ التقرّب بها من جهة الملاک و إن لم یکن مأمورا بها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الغیری فی هذا المقام لا یرفع إلّا ضدّه الذی هو الأمر، فلا یکون دلیلا إلّا علی عدم الأمر، و لا دلالة فیه علی عدم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التأمّل فی ذلک، إذ لیس لنا دلیلان أحدهما دلّ علی الأمر و الآخر علی الملاک، کی یکون سقوط ما دلّ علی الأمر</w:t>
      </w:r>
      <w:r>
        <w:rPr>
          <w:rStyle w:val="FootnoteAnchor"/>
          <w:rtl w:val="true"/>
        </w:rPr>
        <w:footnoteReference w:id="305"/>
      </w:r>
      <w:r>
        <w:rPr>
          <w:rFonts w:ascii="IRNazanin" w:hAnsi="IRNazanin" w:eastAsia="IRNazanin"/>
          <w:color w:val="111111"/>
          <w:sz w:val="28"/>
          <w:sz w:val="28"/>
          <w:szCs w:val="28"/>
          <w:rtl w:val="true"/>
          <w:lang w:bidi="fa-IR"/>
        </w:rPr>
        <w:t>بمعارضة النهی غیر موجب لسقوط ما دلّ علی الملاک، و لیس أیضا من قبیل الدلالتین لدلیل واحد، بحیث یکون لنا دلیل واحد یدلّ علی</w:t>
      </w:r>
    </w:p>
    <w:p>
      <w:pPr>
        <w:pStyle w:val="BookText"/>
        <w:rPr/>
      </w:pPr>
      <w:r>
        <w:rPr>
          <w:rFonts w:ascii="IRNazanin" w:hAnsi="IRNazanin" w:eastAsia="IRNazanin"/>
          <w:color w:val="111111"/>
          <w:sz w:val="28"/>
          <w:sz w:val="28"/>
          <w:szCs w:val="28"/>
          <w:rtl w:val="true"/>
          <w:lang w:bidi="fa-IR"/>
        </w:rPr>
        <w:t>الأمر و یدلّ أیضا بدلالة أخری علی الملاک، کی یقال إنّ سقوط الدلالة الأولی بالمعارضة لا یوجب سقوط الثانیة، بل إنّه لیس لنا فی المقام إلّا ثبوت الأمر بدلیله، و نحن بعد ثبوت الأمر بدلیله نستکشف منه وجود الملاک فی المورد الذی ثبت الأمر فیه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أنّه بعد فرض سقوط الدلیل علی الأمر فی مورد من جهة معارضته لدلیل النهی، لا یبقی لنا فی ذلک المورد ما یدلّ علی الأمر کی نستکشف منه وجود الملاک فی ذلک المورد، إذ لیس هذا التخصیص إلّا کسائر التخصیصات الشرعیة الثابتة بالأدلّة الاجتهادیة، الموجبة لخروج المورد عن تحت عموم الأمر أو اطلاقه خطابا و ملاکا، و لیس هو من قبیل التخصیص العقلی الناشئ عن عدم القدرة علی المهمّ بعد تقدیم الأهمّ، لأنّ المسألة حینئذ من باب اجتماع الأمر و النهی فی الصلاة التی صار ترکها مقدّمة للازالة، و لیس الترکیب انضمامیا بل هو اتّحادی، بل لا ترکیب أصلا، لأنّ المأمور به هو الصلاة بعنوانها و المنهی عنه هو الصلاة أیضا بعنوانها، غایة الأمر أنّ علّة النهی هو کون ترکها مقدّمة للازالة، و قد حقّق فی محلّه </w:t>
      </w:r>
      <w:r>
        <w:rPr>
          <w:rStyle w:val="FootnoteAnchor"/>
          <w:rtl w:val="true"/>
        </w:rPr>
        <w:footnoteReference w:id="306"/>
      </w:r>
      <w:r>
        <w:rPr>
          <w:rFonts w:ascii="IRNazanin" w:hAnsi="IRNazanin" w:eastAsia="IRNazanin"/>
          <w:color w:val="111111"/>
          <w:sz w:val="28"/>
          <w:sz w:val="28"/>
          <w:szCs w:val="28"/>
          <w:rtl w:val="true"/>
          <w:lang w:bidi="fa-IR"/>
        </w:rPr>
        <w:t>أنّ عنوان المقدّمیة من الجهات التعلیلیة لا التقییدیة، فتکون المسألة خارجة عن مسألة الاجتماع، بل هی من تعارض العموم من وجه، فإنّ الأمر بترک أضداد الازالة مع الأمر بالصلاة بینهما عموم من وجه، لأنّ مفاد الأوّل اترک الأضداد سواء کانت صلاة أو غیرها، و مفاد الثانی صلّ سواء کانت الصلاة ضدّا للازالة أو غیرها، و حینئذ عند اجتماعهما فی المورد لا بدّ من إعمال قواعد المعارضة، و بعد تقدیم دلیل النهی تکون الصلاة المذکورة</w:t>
      </w:r>
    </w:p>
    <w:p>
      <w:pPr>
        <w:pStyle w:val="BookText"/>
        <w:rPr/>
      </w:pPr>
      <w:r>
        <w:rPr>
          <w:rFonts w:ascii="IRNazanin" w:hAnsi="IRNazanin" w:eastAsia="IRNazanin"/>
          <w:color w:val="111111"/>
          <w:sz w:val="28"/>
          <w:sz w:val="28"/>
          <w:szCs w:val="28"/>
          <w:rtl w:val="true"/>
          <w:lang w:bidi="fa-IR"/>
        </w:rPr>
        <w:t>خارجة عن حیّز الأمر خطابا و ملاکا فتکون فاسدة،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 فی توجیه خروج النهی الغیری المتعلّق بالعبادة عن محلّ النزاع من کون النهی مقتضیا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محلّ الکلام فی اقتضاء نفس النهی للفساد إنّما هو مع قطع النظر عن کونه موجبا لخروج العبادة عن عموم الأمر، و ذلک من جهة کون النهی موجبا للمبغوضیة المانعة عن إمکان التقرّب بذلک المنهی عنه، و من الواضح اختصاص ذلک بالنهی النفسی، أمّا النهی الغیری فهو لأجل أنّه لا یستتبع عقابا و لا ثوابا لا یکون موجبا للمبغوضیة، فلا یکون بنفسه موجبا لفساد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العبادة فاسدة من ناحیة أنّ ذلک النهی و لو کان غیریا یکون موجبا لتخصیص الأمر و خروجها عن عمومه خطابا و ملاکا، فذلک أمر آخر لا ربط له بما نحن فیه من کون النهی بذاته موجبا للفساد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المقدار من الفساد الآتی من ناحیة التخصیص کاف فی تصحیح قولهم إنّ ثمرة النزاع فی اقتضاء الأمر بالشی‌ء النهی عن ضدّه فساده إذا کان عبادة، فلا یکون هذا القول مؤیّدا لدخول النهی الغیری أو التبعی فیما نحن فیه من اقتضاء النهی الفساد کما فی الکفایة</w:t>
      </w:r>
      <w:r>
        <w:rPr>
          <w:rStyle w:val="FootnoteAnchor"/>
          <w:rtl w:val="true"/>
        </w:rPr>
        <w:footnoteReference w:id="307"/>
      </w:r>
      <w:r>
        <w:rPr>
          <w:rFonts w:ascii="IRNazanin" w:hAnsi="IRNazanin" w:eastAsia="IRNazanin"/>
          <w:color w:val="111111"/>
          <w:sz w:val="28"/>
          <w:sz w:val="28"/>
          <w:szCs w:val="28"/>
          <w:rtl w:val="true"/>
          <w:lang w:bidi="fa-IR"/>
        </w:rPr>
        <w:t>، لما عرفت من أنّ فساد الضدّ علی القول بأنّ الأمر بالشی‌ء یقتضی النهی عن ضدّه لا یتوقّف علی کون نفس النهی مفسدا له، بل یمکن أن یحکم بفساده من ناحیة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النهی التبعی، فإنّ المراد هو النهی الناشئ عن ملازمة ترک الضدّ للواجب المأمور به، و إن لم یکن ذلک الترک مقدّمة، و حینئذ یکون حاله فی عدم الدخول فی محلّ النزاع حال النهی الغیری فی أنّه لا یکون بنفسه موجبا للفساد، لعدم اشتمال کلّ منهما علی المبغوضیة الموجبة لعدم إمکان التقرّب، و إن کان ذلک النهی مخصّصا</w:t>
      </w:r>
    </w:p>
    <w:p>
      <w:pPr>
        <w:pStyle w:val="BookText"/>
        <w:rPr/>
      </w:pPr>
      <w:r>
        <w:rPr>
          <w:rFonts w:ascii="IRNazanin" w:hAnsi="IRNazanin" w:eastAsia="IRNazanin"/>
          <w:color w:val="111111"/>
          <w:sz w:val="28"/>
          <w:sz w:val="28"/>
          <w:szCs w:val="28"/>
          <w:rtl w:val="true"/>
          <w:lang w:bidi="fa-IR"/>
        </w:rPr>
        <w:t>للأمر، و کان ذلک التخصیص موجبا لفساد متعلّقه لخروجه عن حیّز الأمر خطابا و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یدّعی أنّ کلا من النهی الغیری و التبعی مؤثّر فی المبغوضیة، فیکون بنفسه موجبا للفساد، کما ربما یدّعی ظهور ذلک من الکفایة کما تضمّنته حاشیة القوچانی رحمه اللّه </w:t>
      </w:r>
      <w:r>
        <w:rPr>
          <w:rStyle w:val="FootnoteAnchor"/>
          <w:rtl w:val="true"/>
        </w:rPr>
        <w:footnoteReference w:id="308"/>
      </w:r>
      <w:r>
        <w:rPr>
          <w:rFonts w:ascii="IRNazanin" w:hAnsi="IRNazanin" w:eastAsia="IRNazanin"/>
          <w:color w:val="111111"/>
          <w:sz w:val="28"/>
          <w:sz w:val="28"/>
          <w:szCs w:val="28"/>
          <w:rtl w:val="true"/>
          <w:lang w:bidi="fa-IR"/>
        </w:rPr>
        <w:t>لکن عهدة هذه الدعوی علی مدّعیها، بل الظاهر أنّها ممنوعة أشدّ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لک الحال فی النهی التنزیهی، فإنّه بنفسه لا یوجب فساد العبادة، لعدم اقتضائه المبغوضیة المانعة من امکان التقرّب، فلا یکون داخلا فی محلّ النزاع من اقتضاء النهی بذاته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النهی التنزیهی یدلّ أو یقتضی مرجوحیة متعلّقه، و هو لا یجتمع مع دلیل الأمر العبادی الذی یدلّ أو یقتضی رجحان متعلّقه، فیکون ذلک النهی مخصّصا لذلک الأمر، و موجبا لخروج متعلّق ذلک النهی عن عموم ذلک الأمر خطابا و ملاکا، فتکون العبادة بدونه تشریعا محرّما فتکون فاسدة، إلّا أنّ ذلک کلّه إنّما هو من جهة اجراء قاعدة التعارض، و هو خارج عمّا نحن بصدده من اقتضاء النهی بذاته للفساد بواسطة اقتضائه مبغوضیة متعلّقه الموجبة لعدم امکان التقرّب به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یصحّ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اقتضاء النهی للفساد فی الرتبة السابقة علی رتبة إعمال قواعد التعارض، فیکون الفساد المبحوث عنه فیما نحن فیه هو الفساد الحاصل فی هذه الرتبة، دون الفساد الحاصل من قواعد التعارض، الذی هو مفروض فی الرتبة الثانیة من تعلّق النهی به و کون النهی منافیا للأمر به و کونه مخصّصا لذلک الأمر، فإنّ هذا الفساد الآتی من نتیجة إعمال قواعد</w:t>
      </w:r>
    </w:p>
    <w:p>
      <w:pPr>
        <w:pStyle w:val="BookText"/>
        <w:rPr/>
      </w:pPr>
      <w:r>
        <w:rPr>
          <w:rFonts w:ascii="IRNazanin" w:hAnsi="IRNazanin" w:eastAsia="IRNazanin"/>
          <w:color w:val="111111"/>
          <w:sz w:val="28"/>
          <w:sz w:val="28"/>
          <w:szCs w:val="28"/>
          <w:rtl w:val="true"/>
          <w:lang w:bidi="fa-IR"/>
        </w:rPr>
        <w:t>التعارض خارج عن محلّ هذا البحث، فإنّه متحقّق حتّی لو قلنا إنّ النهی بذاته لا یقتضی الفساد، کما أنّ الفساد المبحوث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اقتضاء النهی للمبغوضیة المانعة من إمکان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حتّی لو فرضنا عدم الأمر أو عدم کون النهی مخصّصا للأمر، و لعلّ هذا هو المراد لشیخنا قدّس سرّه فیما تقدّم </w:t>
      </w:r>
      <w:r>
        <w:rPr>
          <w:rStyle w:val="FootnoteAnchor"/>
          <w:rtl w:val="true"/>
        </w:rPr>
        <w:footnoteReference w:id="309"/>
      </w:r>
      <w:r>
        <w:rPr>
          <w:rFonts w:ascii="IRNazanin" w:hAnsi="IRNazanin" w:eastAsia="IRNazanin"/>
          <w:color w:val="111111"/>
          <w:sz w:val="28"/>
          <w:sz w:val="28"/>
          <w:szCs w:val="28"/>
          <w:rtl w:val="true"/>
          <w:lang w:bidi="fa-IR"/>
        </w:rPr>
        <w:t>فیما أفاده فی توجیه خروج النهی التنزیهی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المرجوحیة التی کشف عنها النهی التنزیهی کافیة فی فساد العبادة المفروض اعتبار الرجحان فیها، بل هو داخل فی قوامها، و حینئذ یکون حال النهی التنزیهی حال النهی التحریمی فی اقتضائه الفساد فی المرتبة السابقة علی تخصیص الأمر به، فتأمّل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الفساد المبحوث عنه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مسألة اقتضاء النهی عن العبادة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الفساد الناشئ عن عدم الأمر، فإنّ ذلک لا یحتاج إلی توسّط النهی، بل یکفی فیه أصالة عدم المشروعیة فی العبادة و أصالة عدم ترتّب الأثر فی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لیس المراد به الفساد الناشئ عن کون النهی مخصّصا لدلیل الأمر، فیکون دلیل النهی بعد کونه مخصّصا لدلیل الأمر أو لعموم ما دلّ علی نفوذ المعاملة مثل أَوْفُوا بِالْعُقُودِ</w:t>
      </w:r>
      <w:r>
        <w:rPr>
          <w:rStyle w:val="FootnoteAnchor"/>
          <w:rtl w:val="true"/>
        </w:rPr>
        <w:footnoteReference w:id="310"/>
      </w:r>
      <w:r>
        <w:rPr>
          <w:rFonts w:ascii="IRNazanin" w:hAnsi="IRNazanin" w:eastAsia="IRNazanin"/>
          <w:color w:val="111111"/>
          <w:sz w:val="28"/>
          <w:sz w:val="28"/>
          <w:szCs w:val="28"/>
          <w:rtl w:val="true"/>
          <w:lang w:bidi="fa-IR"/>
        </w:rPr>
        <w:t>و نحوه من عمومات المعاملات کدلیل اجتهادی یدلّ علی عدم مشروعیة العبادة أو عدم نفوذ المعاملة، و من الواضح أنّه لا خصوصیة للنهی فی ذلک، بل إنّ کلّ ما یوجب تخصیص تلک العمومات و لو بمثل ما یدلّ علی إباحة الفعل و عدم وجوبه أو عدم استحبابه یکون</w:t>
      </w:r>
    </w:p>
    <w:p>
      <w:pPr>
        <w:pStyle w:val="BookText"/>
        <w:rPr/>
      </w:pPr>
      <w:r>
        <w:rPr>
          <w:rFonts w:ascii="IRNazanin" w:hAnsi="IRNazanin" w:eastAsia="IRNazanin"/>
          <w:color w:val="111111"/>
          <w:sz w:val="28"/>
          <w:sz w:val="28"/>
          <w:szCs w:val="28"/>
          <w:rtl w:val="true"/>
          <w:lang w:bidi="fa-IR"/>
        </w:rPr>
        <w:t>منتجا لهذه النتیجة، کما أنّ کلّ ما یدلّ علی خروج المعاملة الکذائیة عن عموم نفوذ المعاملة و لو بمثل قوله إنّ المعاملة الکذائیة غیر نافذة یکون مخصّصا لعموم الصحّة و النفوذ، و لا خصوصیة للنهی فی ذلک، سواء کان نهیا تنزیهیا أو کان نهیا غیریا أو کان نهیا تبعیا، و یکون الضابط هو أنّ کلّ ما یکون مخصّصا للعموم یکون موجبا للفساد، سواء کان نهیا أو غیره من المخصّصات، و سواء کان النهی تحریمیا أو کان تنزیهیا أو کان غیریا أو کان تبعیا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النهی التنزیهی أو التبعی لا یکون مخصّصا لعموم المعاملة، بل ربما یقال إنّ النهی التحریمی لا یکون مخصّصا لعموم المعاملة إلّا باعتبار سلب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التخصیص لا یوجب الحرمة الذاتیة فی الخارج، و أقصی ما فیه هو أنّه یوجب حرمته التشریعیة، و ذلک لا ینافی الاتیان به من باب الاحتیاط لاحتمال الخطأ فی التخصیص، و هذا بخلاف النهی عن العبادة فإنّه یوجب الحرمة الذاتیة و یمنع من الاحتیاط، فالنهی التنزیهی خارج عنه، فلا یکون داخلا فی البحث عن أنّ النهی یوجب الفساد، نعم إنّه یوجب التخصیص فیکون موجبا للفساد، من دون أن یکون فی البین حرمة ذاتیة، فإنّ الفساد الذی هو محلّ الکلام فی النهی عن العبادة هو الفساد الآتی من ناحیة کونه موجبا للمبغوضیة المانعة عن التقرّب، فیختصّ بالنهی التحریمی، و ربما نقول بشموله للنهی التنزیهی باعتبار کونه مقتضیا للمرجوحیة المانعة من صحّته عبادة، لاعتبار الرجحان فیها، هذا فی العبادات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المعاملات فالمراد به هو التحریمی، لکونه موجبا لسلب السلطنة، فیکون مخصّصا لعموم السلطنة، و ذلک مختصّ بالتحریمی دون التنزیهی</w:t>
      </w:r>
    </w:p>
    <w:p>
      <w:pPr>
        <w:pStyle w:val="BookText"/>
        <w:rPr/>
      </w:pPr>
      <w:r>
        <w:rPr>
          <w:rFonts w:ascii="IRNazanin" w:hAnsi="IRNazanin" w:eastAsia="IRNazanin"/>
          <w:color w:val="111111"/>
          <w:sz w:val="28"/>
          <w:sz w:val="28"/>
          <w:szCs w:val="28"/>
          <w:rtl w:val="true"/>
          <w:lang w:bidi="fa-IR"/>
        </w:rPr>
        <w:t>و الغیری و التبعی، بل یمکن أن یقال إنّ النهی الغیری و کذا التبعی یشارک التحریمی فی سلب السلطنة،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البحث فی العبادات ساقط من أصله، لأنّ اقتضاء النهی الفساد إنّما یکون بعد تمامیة حجّیته، و ما دام العام باقیا بحاله لا یمکن الأخذ بما یخالفه من الدلیل الخاص الذی هو النهی، فلا بدّ أوّلا من إسقاط العموم بتخصیصه، و بعد تخصیصه تکون العبادة فاسدة و إن أغضینا النظر عن عدم إمکان التقرّب بها لکونها مبغوضة فعلا، فأی أثر لهذا البحث، إذ ما من عبادة إلّا و لها عموم یدلّ علی مشروعیتها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فرضنا و لو محالا عدم عموم یدلّ علی مشروعیة هذه العبادة التی وقعت موردا للنهی یظهر لهذا البحث أثر، و هو أنّا لو لم نقل باقتضاء ذلک النهی الفساد من جهة اقتضائه المبغوضیة، یکون الحکم بفسادها من باب أصالة عدم المشروعیة، بخلاف ما لو قلنا بالاقتضاء فإنّ النهی حینئذ یکون کدلیل اجتهادی علی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ذلک فی المعاملات المبتکرة إذا لم یکن فی البین عموم یشملها، و شککنا فی نفوذها و صحّتها و ترتّب الأثر علیها، و لم نرجع فی ذلک إلی عموم السلطنة، لعدم ورودها فی مقام تشریع السبب و إنّما هی واردة فی مقام نفوذه و عدم الحجر بعد فرض کونه سببا فی حدّ نفسه، یکون المرجع هو أصالة عدم ترتّب الأثر لو لم یکن فی البین ذلک النهی عن نفس المعاملة بمعنی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النهی لتحجیر شرعی سالبا لسلطان المالک علی تلک المعاملة، فتکون فاسدة بذلک الدلیل، لا بمجرّد أصالة عدم ترتّب الأثر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أنّا لا مندوحة لنا عن ملاحظة النهی عن العبادة أو</w:t>
      </w:r>
      <w:bookmarkStart w:id="151" w:name="pg19667_765152"/>
    </w:p>
    <w:p>
      <w:pPr>
        <w:pStyle w:val="BookText"/>
        <w:rPr/>
      </w:pPr>
      <w:bookmarkEnd w:id="151"/>
      <w:r>
        <w:rPr>
          <w:rFonts w:ascii="IRNazanin" w:hAnsi="IRNazanin" w:eastAsia="IRNazanin"/>
          <w:color w:val="111111"/>
          <w:sz w:val="28"/>
          <w:sz w:val="28"/>
          <w:szCs w:val="28"/>
          <w:rtl w:val="true"/>
          <w:lang w:bidi="fa-IR"/>
        </w:rPr>
        <w:t>المعاملة بالقیاس إلی ما بیدنا من العموم، و تحکیم ذلک النهی علی ذلک العموم و جعله مخصّصا له، فإن کان المنهی عنه عبادة کان ذلک التخصیص موجبا لفسادها، لا من باب أصالة عدم الأمر و عدم المشروعیة، بل من باب کون ذلک النهی مخصّصا لعمومات المشروعیة، أیّة کانت تلک العمومات و لو مثل عموم أوامر العبادة، و أیّا کان ذلک النهی، سواء کان نهیا تحریمیا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نفسیا کان أو غیریا أو تبعیا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نهیا تنزیهیا، و حینئذ یکون هذا البحث بالنسبة إلی العبادات من توابع باب التعارض و التخصیص، فلا وجه لعقده بحثا مستقلا، بل هو حینئذ من الثمرات الفقهیة المترتّبة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المعاملة فلا یکون النهی فیها مخصّصا لعمومات أصل مشروعیتها و نفوذها، بل یکون مخصّصا لحدیث السلطنة</w:t>
      </w:r>
      <w:r>
        <w:rPr>
          <w:rStyle w:val="FootnoteAnchor"/>
          <w:rtl w:val="true"/>
        </w:rPr>
        <w:footnoteReference w:id="311"/>
      </w:r>
      <w:r>
        <w:rPr>
          <w:rFonts w:ascii="IRNazanin" w:hAnsi="IRNazanin" w:eastAsia="IRNazanin"/>
          <w:color w:val="111111"/>
          <w:sz w:val="28"/>
          <w:sz w:val="28"/>
          <w:szCs w:val="28"/>
          <w:rtl w:val="true"/>
          <w:lang w:bidi="fa-IR"/>
        </w:rPr>
        <w:t>، فتفسد المعاملة بذلک، و ذلک مختصّ بالنهی التحریمی دون التنزیهی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الغیری و التبعی فیمکن القول بالحاقه بالنهی التحریمی النفسی فی کونه سالبا للسلطنة، و یکون موجبا لفساد المعاملة، علی تأمّل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یکون محصّل البحث فی النهی عن المعاملة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عنها هل یکون موجبا لسلب السلطنة علیها أو لا، و لا یکون من ثمرات تخصیص العموم الوارد فی باب المعاملة، بل یکون نزاعا صغرویا فی کونه سالبا للسلطنة لیکون واردا أو حاکما علی حدیث الناس مسلّطون، فتأمّل</w:t>
      </w:r>
      <w:r>
        <w:rPr>
          <w:rFonts w:eastAsia="IRNazanin" w:cs="IRNazanin"/>
          <w:color w:val="111111"/>
          <w:sz w:val="28"/>
          <w:szCs w:val="28"/>
          <w:rtl w:val="true"/>
          <w:lang w:bidi="fa-IR"/>
        </w:rPr>
        <w:t>.</w:t>
      </w:r>
    </w:p>
    <w:p>
      <w:pPr>
        <w:pStyle w:val="Heading4"/>
        <w:numPr>
          <w:ilvl w:val="3"/>
          <w:numId w:val="1"/>
        </w:numPr>
        <w:rPr/>
      </w:pPr>
      <w:bookmarkStart w:id="152" w:name="__RefHeading___Toc3538551_2314609296"/>
      <w:bookmarkStart w:id="153" w:name="_Toc53"/>
      <w:bookmarkEnd w:id="152"/>
      <w:r>
        <w:rPr>
          <w:rtl w:val="true"/>
        </w:rPr>
        <w:t>[</w:t>
      </w:r>
      <w:r>
        <w:rPr>
          <w:rtl w:val="true"/>
        </w:rPr>
        <w:t>مراحل فساد العبادة</w:t>
      </w:r>
      <w:r>
        <w:rPr>
          <w:rtl w:val="true"/>
        </w:rPr>
        <w:t>]</w:t>
      </w:r>
      <w:bookmarkEnd w:id="153"/>
    </w:p>
    <w:p>
      <w:pPr>
        <w:pStyle w:val="BookText"/>
        <w:rPr/>
      </w:pPr>
      <w:r>
        <w:rPr>
          <w:rFonts w:ascii="IRNazanin" w:hAnsi="IRNazanin" w:eastAsia="IRNazanin"/>
          <w:color w:val="111111"/>
          <w:sz w:val="28"/>
          <w:sz w:val="28"/>
          <w:szCs w:val="28"/>
          <w:rtl w:val="true"/>
          <w:lang w:bidi="fa-IR"/>
        </w:rPr>
        <w:t>و لمزید التوضیح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فساد العبادة یکون له مراحل ثلاثة مترتّبة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فی مقام الثبوت و الواقع بواسطة تعلّق النهی أو التحریم بها، و فی هذه المرحلة لا عموم و لا تخصیص، حیث إنّها مرحلة واقعیة ثبوتیة فی</w:t>
      </w:r>
    </w:p>
    <w:p>
      <w:pPr>
        <w:pStyle w:val="BookText"/>
        <w:rPr/>
      </w:pPr>
      <w:r>
        <w:rPr>
          <w:rFonts w:ascii="IRNazanin" w:hAnsi="IRNazanin" w:eastAsia="IRNazanin"/>
          <w:color w:val="111111"/>
          <w:sz w:val="28"/>
          <w:sz w:val="28"/>
          <w:szCs w:val="28"/>
          <w:rtl w:val="true"/>
          <w:lang w:bidi="fa-IR"/>
        </w:rPr>
        <w:t>عالم أصل التشریع و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المرحلة هی محلّ العنوان فی هذه المسألة، أعنی مسألة النهی عن العبادة یقتضی فسادها، لکونه فی ذلک المقام موجبا لمبغوضیتها فتفسد و لا یمکن التقرّب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الاثبات و مقام إعمال الدلیل الاجتهادی، بأن یکون لنا أمر عام یشمل هذه العبادة، و مع ذلک یوجد لنا دلیل خاص یتضمّن النهی عن هذه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المرحلة هی مرحلة إعمال الأدلّة الاجتهادیة بدفع التعارض بتخصیص ذلک العام و إخراج مورد النهی عنه، فیکون ذلک موجبا لفساده بحکم الدلیل الاجتهادی، أعنی الدلیل الخاص المفروض تقدّمه علی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الفساد یکفی فیه مجرّد کون النهی منافیا للأمر، مع قطع النظر عن کونه موجبا لمبغوضیة متعلّقه، و هذا المقدار لا یکون مختصّا بالنهی، بل یجری فی کلّ خاص مخالف للعام فی الحکم، حتّی لو کان بلسان أنّ الفعل الفلانی لیس بواجب أو لیس بمستحبّ أو هو مباح متساوی الطرفین أو أنّه مکروه، و 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الفساد الحاصل من هذه المرحلة خارج عن محلّ النزاع فی اقتضاء النهی عن العبادة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مرحلة الوظیفة العملیة عند الشکّ فی مشروعیة العبادة، و هی أصالة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المرحلة أجنبیة عمّا هو محلّ النزاع بمراحل، فلا معنی لأن یقال إنّ النهی عن العبادة یخرجها عن عموم الأمر، و بعد هذا یشکّ فی مشروعیتها فنحکم بفسادها عملا بأصالة عدم المشروعیة،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التأمّل فی ذلک من جهات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الفساد فی مقام الثبوت لا یختصّ بالنهی التحریمی، بل إنّ کلّ حکم واقعی یکون علی خلاف ما یقتضی عبادیة ذلک الفعل، کالإباحة و الکراهة</w:t>
      </w:r>
    </w:p>
    <w:p>
      <w:pPr>
        <w:pStyle w:val="BookText"/>
        <w:rPr/>
      </w:pPr>
      <w:r>
        <w:rPr>
          <w:rFonts w:ascii="IRNazanin" w:hAnsi="IRNazanin" w:eastAsia="IRNazanin"/>
          <w:color w:val="111111"/>
          <w:sz w:val="28"/>
          <w:sz w:val="28"/>
          <w:szCs w:val="28"/>
          <w:rtl w:val="true"/>
          <w:lang w:bidi="fa-IR"/>
        </w:rPr>
        <w:t>و النهی الغیری و النهی التبعی، فإنّ هذه کلّها لو طرأ شی‌ء منها فی الواقع و فی مقام الثبوت علی فعل من الأفعال لا یبقی مجال فیه لکونه عبادة صحیحة مأمورا بها قابلة للتقرّب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التی أوجبت الفساد فی النهی المولوی التحریمی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المبغوضیة المانعة من إمکان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نظیرها فی النهی الکراهتی، لأنّه موجب لمرجوحیة متعلّقه، و مع فرض کونه مرجوحا لا یمکن الحکم بصحّته عبادة، إذ لا بدّ فی العبادة من کونها راجحة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الفساد الثبوتی الثابت فی نفس الأمر و الواقع للعبادة التی ورد علیها النهی فی نفس الأمر من دون أن یکون فی البین عموم فی مقابله، إذ لا عموم و لا تخصیص فی هذه المرحلة کی یکون الفساد المذکور ناشئا عن إعمال قواعد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الفساد هو المراد من قولهم إنّ النهی عن العبادة یوجب فسادها، فإنّ مرادهم به هو الفساد الواقعی الثابت فی نفس الأمر و الواقع، من دون أن یکون فی قباله عموم أصلا، فلا یکون هذا الفساد إلّا معلولا لنفس النهی الموجب للمبغوضیة المانعة من إمکان التقرّب بها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إن کان فی الفساد الواقعی فی مقام الثبوت الذی هو راجع إلی المرحلة الأولی، فلا معنی للقول بأنّه بعد تحقّق الفساد المذکور یحکم بالتخصیص، فإنّ الحکم بالتخصیص إنّما هو فی مقام الاثبات لا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هذا التخصیص لیس بتخصیص شرعی، و إنّما هو بحکم العقل، فإنّ الحاکم بأنّ العبادة المبغوضة لا یمکن التقرّب بها و أنّها خارجة عن عموم الأمر إنّما هو العقل دون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الحرمة الواقعیة لا طریق لنا إلیها إلّا من جهة هذا الدلیل الخاصّ، الناهی عن صوم یوم العید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الدلیل الخاصّ إنّما یترتّب علیه الفساد بعد ثبوت مدلوله الذی هو النهی و الحرمة، و ما دام عموم الأمر موجودا و لو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لا یمکننا الحکم بحرمة صوم یوم العید کی نرتّب علیه الفساد، و إنّما یتسنّی لنا ذلک کلّه بعد اسکات ذلک العموم بتخصیصه بذلک النهی الخاصّ، و بعد التخصیص و خروج یوم العید عن عمومات الأمر بالصوم خطابا و ملاکا، کما هو الشأن فی التخصیصات الواقعیة، یکون صوم یوم العید فاسدا، و حینئذ تکون عملیة التخصیص سابقة فی الرتبة علی الحکم بالفساد، و یکون الفساد مستندا إلی التخصیص لا إلی نفس النهی و المبغوضیة، و بناء علیه یکون المناسب إرجاع هذه الثمرة إلی باب التعارض، و یکون الفساد هنا من ناحیة الجمع الدلالی، أعنی تحکیم الخاصّ علی العام، سواء کان ذلک الخاص متضمّنا للنهی المولوی التحریمی أو النهی الغیری أو النهی التبعی أو النهی الکراهتی، أو کان متضمّنا لعدم الوجوب و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الالتزام بالجهة الثانیة، بل بالجهة الأولی باخراج النهی الغیری و التبعی و الالتزام بکون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تساوی الطرفین و عدم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منافیا للعبادة و موجبا لفسادها، و لا ضیر فی ذلک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مع قطع النظر عن هذه الجهة من المنافاة الواقعیة بین العبادیة و بین المبغوضیة أو المرجوحیة أو تساوی الطرفین القاضی بالفساد، یمکن التطرّق إلی الفساد من ناحیة أخری، هی دعوی کون التحریم أو الکراهة أو الاباحة بل الاستحباب لا یجتمع مع الوجوب، فیکون ما دلّ علی تحریم هذا الفعل أو کراهته أو إباحته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 لما دلّ بعمومه علی وجوبه سواء</w:t>
      </w:r>
    </w:p>
    <w:p>
      <w:pPr>
        <w:pStyle w:val="BookText"/>
        <w:rPr/>
      </w:pPr>
      <w:r>
        <w:rPr>
          <w:rFonts w:ascii="IRNazanin" w:hAnsi="IRNazanin" w:eastAsia="IRNazanin"/>
          <w:color w:val="111111"/>
          <w:sz w:val="28"/>
          <w:sz w:val="28"/>
          <w:szCs w:val="28"/>
          <w:rtl w:val="true"/>
          <w:lang w:bidi="fa-IR"/>
        </w:rPr>
        <w:t>کان العموم شمولیا أو کان بدلیا، و بعد التخصیص الواقعی یبقی ذلک الفعل مجرّدا عن الأمر و الملاک، فلا یصحّ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دلّ الدلیل علی استحبابه فهو و إن أخرجه عن عموم الوجوب إلّا أنّه لا یوجب فساده، لکونه حینئذ مأمورا به بالأمر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الاستدلال علی اقتضاء النهی عن العبادة فسادها بکلّ من الطریقتین مع قطع النظر عن الأخری، و علی هذا یکون النهی التنزیهی داخلا فی محلّ النزاع کالتحریمی، سواء کان العموم المقابل لذلک بدلیا أو کان شمولیا، أو لم یکن فی البین أمر أصلا إن تصوّرنا ذلک، و کذلک تدخل الاباحة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تساوی الطرفین و عدم رجحان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حینئذ تنافی العبادة القاضیة برجحان الفعل علی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أنّ جمیع هذا الذی حرّرناه فیما سلف من الدورات السابقة فیما یرجع إلی هذه الجهة إنّما هو خبط عشواء فی اللیلة الظلماء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تنفرد الطریقة الأولی أعنی المنافاة مع قطع النظر عن العموم فیما لو فرض عدم العموم فی البین، مثل ما ذکرناه من العبادة بالتکتّف قائما نحو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تنفرد الطریقة الثانیة أعنی طریقة التخصیص فیما لم یکن الاخراج بواسطة دلیل التحریم، بل کان بالاستثناء أو بمجرّد قوله مثلا إنّ صوم یوم العید خارج عن استحباب صوم کلّ یوم، و من ذلک کلّه یتبیّن لک أنّ الجهة الثالثة لیست بمانعة عن الاستدلال بالطریقة الأولی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النهی الغیری المتعلّق بالعبادة الناشئ عن الأمر بضدّها، کما فی الصلاة فی مورد الأمر بالازالة، فهو خارج عن محلّ البحث بالطریقة الأولی، لعدم تأتّیها فیه، إذ لا یکون مثل ذلک النهی موجبا للمبغوضیة و لا للمرجوحیة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الطریقة</w:t>
      </w:r>
    </w:p>
    <w:p>
      <w:pPr>
        <w:pStyle w:val="BookText"/>
        <w:rPr/>
      </w:pPr>
      <w:r>
        <w:rPr>
          <w:rFonts w:ascii="IRNazanin" w:hAnsi="IRNazanin" w:eastAsia="IRNazanin"/>
          <w:color w:val="111111"/>
          <w:sz w:val="28"/>
          <w:sz w:val="28"/>
          <w:szCs w:val="28"/>
          <w:rtl w:val="true"/>
          <w:lang w:bidi="fa-IR"/>
        </w:rPr>
        <w:t xml:space="preserve">الثانیة فالظاهر أیضا خروجه عنها، لما سیأتی بیانه </w:t>
      </w:r>
      <w:r>
        <w:rPr>
          <w:rStyle w:val="FootnoteAnchor"/>
          <w:rtl w:val="true"/>
        </w:rPr>
        <w:footnoteReference w:id="313"/>
      </w:r>
      <w:r>
        <w:rPr>
          <w:rFonts w:ascii="IRNazanin" w:hAnsi="IRNazanin" w:eastAsia="IRNazanin"/>
          <w:color w:val="111111"/>
          <w:sz w:val="28"/>
          <w:sz w:val="28"/>
          <w:szCs w:val="28"/>
          <w:rtl w:val="true"/>
          <w:lang w:bidi="fa-IR"/>
        </w:rPr>
        <w:t>إن شاء اللّه تعالی من أنّ هذا الخروج عن عموم الأمر لا یکون خروجا واقعیا ناشئا عن التعارض، و إنّما من باب التزاحم، و هو لا یقتضی انتفاء الأمر ملاکا و إن نفاه خطابا، هذا کلّه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المعاملات فالوجه فی اقتضائه للفساد هو أنّ عمومات المعاملة مقیّدة أو مخصّصة بعموم السلطنة، بمعنی أنّ تلک العمومات لا تجری فیما یکون المالک فیه مسلوب السلطنة، و لا بدّ فی جریانها و الحکم بالنفوذ فیها من الاعتماد علی حدیث السلطنة، و إخراج المورد عن احتمال کونه محجرا علیه من ناحیة هذه المعاملة لکونه ممنوعا منها، و حینئذ یکون النهی التحریمی سالبا للسلطنة و واردا أو حاکما علی حدیثها فتفسد، و لا یمکن الحکم بترتّب الأثر علیها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النهی الغیری و التبعی یشارکان النهی التحریمی النفسی فی هذه الجهة، فلم یخرج عن ذلک إلّا النهی التنزیهی، فإنّه لا یوجب سلب السلطنة، و حینئذ یکون الحکم بالفساد فی ذلک ناشئا عن النهی نفسه، لا عن کونه مخصّصا لعموم فی البین کی یکون من ثمرات ذلک التخصیص، بل هو ناش عن نفس النهی التحریمی لکونه موجبا لسلب السلطنة، فتفسد لکونه غیر مسلّط علیها، و یکون النزاع فی ذلک صغرویا، بمعنی أنّه هل یکون التحریم الوارد علی المعاملة موجبا لسلب السلطنة کی یکون بذلک حاکما أو واردا علی حدیثها، و لیس ذلک من باب التخصیص فی شی‌ء، لأنّ عمومات المعاملة قد تقیّدت و تخصّصت بحدیث السلطنة، بمعنی کون تلک المعاملات قد خرج منها کلّ ما لا سلطان للمالک علیه، و إنّما أقصی ما یحدثه النهی هو سلب السلطنة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غایة ما یمکن من توجیه کون اقتضاء النهی الفساد للمعاملة راجعا إلی الجهة الأولی، و حاصله المقابلة بین باب العبادة و باب المعاملة، فکما أنّ العبادة یعتبر فیها إمکان الرجحان و التقرّب، و النهی یوجب سلب الرجحان و عدم إمکان التقرّب بها، فیفسدها فی المرتبة الأولی من دون حاجة إلی إعمال أدلّة اجتهادیة فی البین، فکذلک المعاملة هی معتبر فیها السلطنة، و النهی یسلب السلطنة عن تلک المعاملة فتفسد، من دون حاجة إلی إعمال أدلّة اجتهادیة و قواعد تخصیصیة، کی یکون ذلک الفساد خارجا عمّا نحن فیه و راجعا إلی الفساد من ناحیة التخصیص و الجمع بین الأدلّة، و هو الفساد فی المرتبة الثانیة التی قلنا إنّه خارج عن محلّ النزاع فیما نحن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الفرق الواضح، فإنّ الحاکم بتوقّف صحّة العبادة هو العقل، و هو الحاکم بأنّ المبغوض لا یمکن التقرّب به، فلا یکون الفساد الآتی من قبل النهی متوقّفا علی إعمال تحکیم و لا علی تخصیص فی دلیل اجتهادی، بل یکون الفساد ابتدائیا بمجرّد تعلّق النهی، و هذا بخلاف باب المعاملات فإنّ الحاکم بأنّه یعتبر فیها السلطنة إنّما هو الشرع حسبما أفاده الجمع بین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Style w:val="FootnoteAnchor"/>
          <w:rtl w:val="true"/>
        </w:rPr>
        <w:footnoteReference w:id="314"/>
      </w:r>
      <w:r>
        <w:rPr>
          <w:rFonts w:ascii="IRNazanin" w:hAnsi="IRNazanin" w:eastAsia="IRNazanin"/>
          <w:color w:val="111111"/>
          <w:sz w:val="28"/>
          <w:sz w:val="28"/>
          <w:szCs w:val="28"/>
          <w:rtl w:val="true"/>
          <w:lang w:bidi="fa-IR"/>
        </w:rPr>
        <w:t>و مثل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حینئذ یکون النهی عن المعاملة مؤثّرا فی سلب السلطنة، و بذلک یکون موجبا لخروجه عن عموم أَحَلَّ اللَّهُ الْبَیْعَ فیکون فاسدا بواسطة ذلک، لا بمجرّد ارتفاع السلطنة و سلبها کی یکون راجعا إلی المرتبة الأولی من مراتب الفساد، فتأمّل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تکرّر فی هذه الأوراق من کون دلیل النهی عن المعاملة حاکما أو</w:t>
      </w:r>
    </w:p>
    <w:p>
      <w:pPr>
        <w:pStyle w:val="BookText"/>
        <w:rPr/>
      </w:pPr>
      <w:r>
        <w:rPr>
          <w:rFonts w:ascii="IRNazanin" w:hAnsi="IRNazanin" w:eastAsia="IRNazanin"/>
          <w:color w:val="111111"/>
          <w:sz w:val="28"/>
          <w:sz w:val="28"/>
          <w:szCs w:val="28"/>
          <w:rtl w:val="true"/>
          <w:lang w:bidi="fa-IR"/>
        </w:rPr>
        <w:t>واردا علی حدیث السلطنة ممنوع، بل هو مخصّص لحدیث السلطنة، فإنّ مفاد الحدیث هو أنّ المالک مسلّط علی أن یتصرّف فی ماله جمیع التصرّفات، و حینئذ یکون النهی عن هذه المعاملة موجبا لخروجها عن تلک التصرّفات، و موجبا لرفع السلطنة علی ذلک التصرّف الذی هو تلک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فرض کون عموم مثل أَحَلَّ اللَّهُ الْبَیْعَ مقیّدا بالبیع الذی للمالک سلطان علیه یکون النهی عن بیع خاصّ حاکما علی ذلک العموم، فالفساد الآتی من ناحیة هذا النهی إنّما هو بواسطة ذلک التخصیص و تلک الحکومة، فلا یکون إلّا من ناحیة إعمال الأدلّة الاجتهادیة و تحکیم بعضها علی بعض، فلا یکون الفساد المذکور الناشئ عن ذلک إلّا عبارة عن الفساد الناشئ عن الجمع بین الأدلّة الاجتهادیة، و تخصیص بعضها علی بعض و تحکیم بعضها علی بعض، فلا یکون حاله حال الفساد الطارئ علی العبادة الآتی من ناحیة النهی نفسه،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المقام إشکالا، و هو کیف تکون المعاملة المنهی عنها خارجة عن حدیث السلطنة، بحیث إنّها لو لا النهی لکانت داخلة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إنّما یکون فی مثل معاملة المریض، فإنّه لو نهی عنها خرجت عن عموم السلطنة القاضی بنفوذها، و لا یتأتّی ذلک فی المعاملة الجدیدة التی لم یشملها عموم حتّی حدیث السلطنة، لکون الشکّ من جهة السبب غیر داخل فی حدیث السلطنة، فلو ورد النهی عنها لم یکن ذلک النهی مخرجا لها عن حدیث السلطنة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ما ذکرناه من کون النهی الغیری أو التبعی موجبا للفساد 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مماشاة مع القوم القائلین بأنّ ثمرة کون الأمر بالشی‌ء مقتضیا للنهی عن ضدّه هو فساد ذلک الضدّ لو کان عبادة، و أنّ النهی</w:t>
      </w:r>
    </w:p>
    <w:p>
      <w:pPr>
        <w:pStyle w:val="BookText"/>
        <w:rPr/>
      </w:pPr>
      <w:r>
        <w:rPr>
          <w:rFonts w:ascii="IRNazanin" w:hAnsi="IRNazanin" w:eastAsia="IRNazanin"/>
          <w:color w:val="111111"/>
          <w:sz w:val="28"/>
          <w:sz w:val="28"/>
          <w:szCs w:val="28"/>
          <w:rtl w:val="true"/>
          <w:lang w:bidi="fa-IR"/>
        </w:rPr>
        <w:t>الغیری یکون موجبا للفساد، کلّ ذلک بناء علی کون النهی المذکور مخصّصا لدلیل الأمر و إن کان بینهما عموم من وجه، لما تقدّم من الاتّحاد بین المتعلّقین، بمعنی أنّ الصلاة المزاحمة بالازالة تکون مأمورا بها، نظرا إلی مثل قوله تعالی أَقِیمُوا الصَّلاةَ</w:t>
      </w:r>
      <w:r>
        <w:rPr>
          <w:rStyle w:val="FootnoteAnchor"/>
          <w:rtl w:val="true"/>
        </w:rPr>
        <w:footnoteReference w:id="316"/>
      </w:r>
      <w:r>
        <w:rPr>
          <w:rFonts w:ascii="IRNazanin" w:hAnsi="IRNazanin" w:eastAsia="IRNazanin"/>
          <w:color w:val="111111"/>
          <w:sz w:val="28"/>
          <w:sz w:val="28"/>
          <w:szCs w:val="28"/>
          <w:rtl w:val="true"/>
          <w:lang w:bidi="fa-IR"/>
        </w:rPr>
        <w:t>الشامل لما إذا کانت ضدّا للازالة أو لم تکن، کما أنّها بنفسها تکون منهیا عنها، نظرا إلی ما دلّ علی حرمة الفعل الذی هو ضدّ للمأمور به أعنی الازالة، سواء کان ذلک الضدّ هو الصلاة أو کان غیرها، فیجتمعان فی الصلاة المزاحمة بالازالة، و بعد تقدیم دلیل الحرمة علی دلیل الوجوب تکون الصلاة المذکورة خارجة عن عموم الأمر خروجا واقعیا و تخصیصا شرعیا، موجبا لاخراجها عن الأمر خطابا و ملاکا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إنّما یتمّ لو کان لنا دلیل یدلّ علی حرمة الضدّ استقلالا ذا</w:t>
      </w:r>
      <w:r>
        <w:rPr>
          <w:rStyle w:val="FootnoteAnchor"/>
          <w:rtl w:val="true"/>
        </w:rPr>
        <w:footnoteReference w:id="317"/>
      </w:r>
      <w:r>
        <w:rPr>
          <w:rFonts w:ascii="IRNazanin" w:hAnsi="IRNazanin" w:eastAsia="IRNazanin"/>
          <w:color w:val="111111"/>
          <w:sz w:val="28"/>
          <w:sz w:val="28"/>
          <w:szCs w:val="28"/>
          <w:rtl w:val="true"/>
          <w:lang w:bidi="fa-IR"/>
        </w:rPr>
        <w:t>کیان فی حدّ نفسه، أمّا إذا لم یکن ذلک التحریم إلّا مولدا من الأمر بالازالة الذی لا ریب فی کون نسبته إلی الأمر بالصلاة نسبة التزاحم دون التعارض، فحینئذ یستحیل کون ذلک التحریم المولد من الأمر بالازالة معارضا للأمر بالصلاة، بل لا یکون بینهما إلّا عین تلک النسبة أعنی نسبة التزاحم، و حینئذ لا یکون تقدّم ذلک التحریم الغیری الطارئ علی الصلاة إلّا من قبیل التقدّم فی باب المزاحمة دون التعارض، و حیث کان التقدیم المذکور تقدیما تزاحمیا لا تقدیما تعارضیا فلا یکون نتیجته إلّا إسقاط الأمر بالصلاة خطابا لا ملاکا، و حینئذ یتأتّی تصحیح الصلاة المذکورة بالملاک کما یتأتّی تصحیحها بالترتّب، و یکون حال الصلاة المذکورة علی القول بأنّ الأمر بالشی‌ء یقتضی النهی عن ضدّه الخاصّ کحالها فیما</w:t>
      </w:r>
    </w:p>
    <w:p>
      <w:pPr>
        <w:pStyle w:val="BookText"/>
        <w:rPr/>
      </w:pPr>
      <w:r>
        <w:rPr>
          <w:rFonts w:ascii="IRNazanin" w:hAnsi="IRNazanin" w:eastAsia="IRNazanin"/>
          <w:color w:val="111111"/>
          <w:sz w:val="28"/>
          <w:sz w:val="28"/>
          <w:szCs w:val="28"/>
          <w:rtl w:val="true"/>
          <w:lang w:bidi="fa-IR"/>
        </w:rPr>
        <w:t>لو لم نقل بذلک، فی جریان تصحیحها بالملاک أو بالأمر الترتّبی کما أفاده شیخنا قدّس سرّه، و کأنّ القول بأنّها لا بدّ من الالتزام بفسادها بناء علی القول المزبور، ناشئ عن دعوی کون ذلک النهی و التحریم کسائر النواهی یکون حکما مستقلا ذا کیان استقلالی، کما إذا ورد النهی عن المزاحم للازالة بنهی و تحریم مستقل غیر متولّد من الأمر بالازالة، فإنّه بناء علی هذه الدعوی لا بدّ من إعمال قواعد التخصیص الشرعی، الذی یکون لازمه خروج الصلاة المذکورة عن عموم الأمر خطابا و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قد عرفت المنع من هذه الدعوی، و أنّ هذا النهی علی تقدیر القول به لا یکون إلّا متفرّعا عن الأمر بالازالة و متولّدا عنه، بل لیس ذلک النهی الناشئ عن ذلک الأمر إلّا کوجود ظلّی لذلک الأمر، فیستحیل أن یکون ذلک النهی أقوی من ذلک الأمر، علی وجه تکون منافاته للأمر بالصلاة منافاة تعارض مع فرض کون منافاة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الأمر بالازالة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الأمر بالصلاة منافاة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أن یکون تقدیم ذلک النهی علی الأمر بالصلاة موجبا لخروجها عن حیّز الأمر خطابا و ملاکا، مع فرض أنّ تقدیم أصله و أساسه الذی هو الأمر بالازالة علی الأمر بالصلاة لا یکون موجبا لخلل فی الصلاة، إلّا من حیث سقوط وجوبها خطابا فقط، من دون أدنی خلل یمسّ کرامة ملاکها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إقامة البرهان علی ذلک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الغیری عن الصلاة معلول للأمر بالازالة، فلو کان ذلک النهی معارضا للأمر بالصلاة علی وجه لا یجتمعان فی عالم التشریع، بحیث کان النهی عن ضدّ الازالة منافیا فی عالم التشریع للأمر بالصلاة، کانت هذه المنافاة فی عالم التشریع ساریة بالضرورة إلی علّة ذلک النهی الذی هو الأمر بالازالة، فلازمه أن تکون هذه العلّة منافیة فی عالم التشریع و معارضة للأمر بالصلاة، و قد تقرّر أنّه لا منافاة فی عالم التشریع بین الأمر بالصلاة</w:t>
      </w:r>
    </w:p>
    <w:p>
      <w:pPr>
        <w:pStyle w:val="BookText"/>
        <w:rPr/>
      </w:pPr>
      <w:r>
        <w:rPr>
          <w:rFonts w:ascii="IRNazanin" w:hAnsi="IRNazanin" w:eastAsia="IRNazanin"/>
          <w:color w:val="111111"/>
          <w:sz w:val="28"/>
          <w:sz w:val="28"/>
          <w:szCs w:val="28"/>
          <w:rtl w:val="true"/>
          <w:lang w:bidi="fa-IR"/>
        </w:rPr>
        <w:t>و الأمر بالازالة، هذا خلف، و حینئذ لا بدّ أن نقول إنّ ذلک المعلول غیر مناف للأمر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نستکشف من عدم التعارض و عدم المنافاة بین الأمر بالإزالة و الأمر بالصلاة عدم ذلک التنافی بین الثانی و هو الأمر بالصلاة و معلول الأوّل و هو النهی عنها، إذ لو کان المعلول المذکور منافیا لکانت علّته أیضا منافیة بالضرورة، و نتیجة ذلک کلّه هو أنّ النهی المذکور لیس إلّا وجودا ظلّیا للأمر بالازالة، و کلّ أثر راجع إلی ذلک النهی من تقدیمه علی الأمر بالصلاة و اخراجها عن عموم الأمر إنّما هو فی الحقیقة راجع إلی أساسه و أصله الذی هو الأمر بالازالة، فإنّ ذلک الفعل و التأثیر لذلک النهی إنّما هو بقوّة ذلک الأساس الذی هو الأمر بالازالة، فلا بدّ أن یکون تقدیم ذلک النهی علی الأمر بالصلاة مقصورا علی المقدار الذی یتأتّی من الأمر بالازالة من التصرّف فی ناحیة الأمر بالصلاة فی المرحلة الخطابیة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حال هذا النهی الغیری عن الصلاة الناشئ عن الأمر بالازالة بالنسبة إلی نفس الأمر النفسی بالصلاة إلّا کحال الأمر الغیری المتعلّق بسلوک الأرض المغصوبة لإنقاذ الغریق بالنسبة إلی حرمة السلوک نفسیا، فی أنّ تنافیهما لا یکون إلّا من باب التزاحم دون باب التعارض، و إن کان بینهما فرق فی جریان الترتّب فیما نحن فیه دون مسألة حرمة السلوک مقدّمة لإنقاذ الغریق، کما حقّقه شیخنا قدّس سرّه فی تنبیهات الترتّب </w:t>
      </w:r>
      <w:r>
        <w:rPr>
          <w:rStyle w:val="FootnoteAnchor"/>
          <w:rtl w:val="true"/>
        </w:rPr>
        <w:footnoteReference w:id="31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النهی المذکور لا یوجب الفساد، لا من جهة عدم</w:t>
      </w:r>
    </w:p>
    <w:p>
      <w:pPr>
        <w:pStyle w:val="BookText"/>
        <w:rPr/>
      </w:pPr>
      <w:r>
        <w:rPr>
          <w:rFonts w:ascii="Amiri" w:hAnsi="Amiri" w:eastAsia="Amiri" w:cs="Amiri"/>
          <w:color w:val="111111"/>
          <w:sz w:val="28"/>
          <w:sz w:val="28"/>
          <w:szCs w:val="28"/>
          <w:rtl w:val="true"/>
          <w:lang w:bidi="ar-SA"/>
        </w:rPr>
        <w:t xml:space="preserve">ترتّب العقاب علیه کما عن المحقّق القمی قدّس سرّه </w:t>
      </w:r>
      <w:r>
        <w:rPr>
          <w:rStyle w:val="FootnoteAnchor"/>
          <w:rtl w:val="true"/>
        </w:rPr>
        <w:footnoteReference w:id="319"/>
      </w:r>
      <w:r>
        <w:rPr>
          <w:rFonts w:ascii="IRNazanin" w:hAnsi="IRNazanin" w:eastAsia="IRNazanin"/>
          <w:color w:val="111111"/>
          <w:sz w:val="28"/>
          <w:sz w:val="28"/>
          <w:szCs w:val="28"/>
          <w:rtl w:val="true"/>
          <w:lang w:bidi="fa-IR"/>
        </w:rPr>
        <w:t>لکی یرد علیه ما فی الکفایة</w:t>
      </w:r>
      <w:r>
        <w:rPr>
          <w:rStyle w:val="FootnoteAnchor"/>
          <w:rtl w:val="true"/>
        </w:rPr>
        <w:footnoteReference w:id="320"/>
      </w:r>
      <w:r>
        <w:rPr>
          <w:rFonts w:ascii="IRNazanin" w:hAnsi="IRNazanin" w:eastAsia="IRNazanin"/>
          <w:color w:val="111111"/>
          <w:sz w:val="28"/>
          <w:sz w:val="28"/>
          <w:szCs w:val="28"/>
          <w:rtl w:val="true"/>
          <w:lang w:bidi="fa-IR"/>
        </w:rPr>
        <w:t xml:space="preserve">و ما عن الشیخ قدّس سرّه فی التقریرات </w:t>
      </w:r>
      <w:r>
        <w:rPr>
          <w:rStyle w:val="FootnoteAnchor"/>
          <w:rtl w:val="true"/>
        </w:rPr>
        <w:footnoteReference w:id="321"/>
      </w:r>
      <w:r>
        <w:rPr>
          <w:rFonts w:ascii="IRNazanin" w:hAnsi="IRNazanin" w:eastAsia="IRNazanin"/>
          <w:color w:val="111111"/>
          <w:sz w:val="28"/>
          <w:sz w:val="28"/>
          <w:szCs w:val="28"/>
          <w:rtl w:val="true"/>
          <w:lang w:bidi="fa-IR"/>
        </w:rPr>
        <w:t>، بل من جهة أنّ الفساد فی المرتبة التی قدّمنا ذکرها إنّما ینشأ عن المبغوضیة، و النهی الغیری لا یؤثّر فی المبغوضیة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 المحقّق القمی قدّس سرّه من استتباع العقاب هو لازمه، أعنی المبغوضیة التی هی تمام الملاک فی اقتضاء النهی الفساد، فلا یرد علیه حینئذ ما أورداه قدّس سرّهما من أنّه لیس الملاک فی افساد النهی هو استتباعه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الفساد فی المرتبة الثانیة التی هی ناشئة عن التخصیص فهی إنّما تتمّ لو کان ذلک التخصیص ناشئا عن التعارض، و المفروض أنّه لیس من هذا القبیل، و أنّ المسألة لیست من وادی التعارض، بل هی من وادی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التأمّل فیما فی الکفایة</w:t>
      </w:r>
      <w:r>
        <w:rPr>
          <w:rStyle w:val="FootnoteAnchor"/>
          <w:rtl w:val="true"/>
        </w:rPr>
        <w:footnoteReference w:id="322"/>
      </w:r>
      <w:r>
        <w:rPr>
          <w:rFonts w:ascii="IRNazanin" w:hAnsi="IRNazanin" w:eastAsia="IRNazanin"/>
          <w:color w:val="111111"/>
          <w:sz w:val="28"/>
          <w:sz w:val="28"/>
          <w:szCs w:val="28"/>
          <w:rtl w:val="true"/>
          <w:lang w:bidi="fa-IR"/>
        </w:rPr>
        <w:t xml:space="preserve">من کون ملاک الفساد متحقّقا فی النهی الغیری، سیّما بعد تفسیر الملاک بما فی حاشیة المرحوم القوچانی </w:t>
      </w:r>
      <w:r>
        <w:rPr>
          <w:rStyle w:val="FootnoteAnchor"/>
          <w:rtl w:val="true"/>
        </w:rPr>
        <w:footnoteReference w:id="323"/>
      </w:r>
      <w:r>
        <w:rPr>
          <w:rFonts w:ascii="IRNazanin" w:hAnsi="IRNazanin" w:eastAsia="IRNazanin"/>
          <w:color w:val="111111"/>
          <w:sz w:val="28"/>
          <w:sz w:val="28"/>
          <w:szCs w:val="28"/>
          <w:rtl w:val="true"/>
          <w:lang w:bidi="fa-IR"/>
        </w:rPr>
        <w:t>بالمبغوضیة، فراجع و تأمّل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العبادة المأمور بضدّها علی القول بأنّ الأمر بالشی‌ء یقتضی النهی عن ضدّه الخاصّ، و أمّا المعاملة الواقعة ضدّا لما هو الواجب، فینبغی القول بعدم الفساد فیها، و لو بناء علی ما تقدّم من کون تحریم المعاملة موجبا لبطلانها و سلب السلطنة علیها، و ذلک لأنّ هذا النهی لمّا کان متولّدا من الأمر بالضدّ الذی</w:t>
      </w:r>
    </w:p>
    <w:p>
      <w:pPr>
        <w:pStyle w:val="BookText"/>
        <w:rPr/>
      </w:pPr>
      <w:r>
        <w:rPr>
          <w:rFonts w:ascii="IRNazanin" w:hAnsi="IRNazanin" w:eastAsia="IRNazanin"/>
          <w:color w:val="111111"/>
          <w:sz w:val="28"/>
          <w:sz w:val="28"/>
          <w:szCs w:val="28"/>
          <w:rtl w:val="true"/>
          <w:lang w:bidi="fa-IR"/>
        </w:rPr>
        <w:t>هو غیر معارض لدلیل نفوذ تلک المعاملة بل و لا مزاحم له، لم یعقل کون ذلک النهی المتولّد منه معارضا لدلیل نفوذ تلک المعاملة أو مخصّصا له بل و لا مزاحما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ینبغی التأمّل فی المسألة، فإنّه قد تحقّق فی محلّه فی بعض مباحث المکاسب و باب الاجارة أنّه لا تصحّ الاجارة علی ما یضادّ الواجب، فلو آجر نفسه نهارا تامّا بطلت الاجارة فیه بمقدار أداء الصلاة الیومیة، لأنّ الأمر الفعلی بتلک الصلاة سالب للقدرة علی العمل المضادّ لها،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بالازالة مثلا یکون سالبا للقدرة علی نفس المعاملة الواقعة ضدّا له، فیکون هذا الشخص المأمور فوریا بالازالة غیر قادر فی عالم التشریع علی البیع مثلا فی وقتها، فیکون ذلک عبارة أخری عن کونه فی عالم التشریع مسلوب السلطنة علی تلک المعاملة، فینبغی القول بفسادها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المناقشة فی ذلک من باب المناقشة المثالیة،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المضادّ للازالة لیس هو نفس المعاملة بمعناها الاسم المصدری، بل هو بمعناها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المزاحم للازالة إنّما هو السبب، و سلب القدرة فی عالم التشریع علی السبب لا یوجب سلبها عن المسبّب، و علی کلّ حال فالمطلب الکبروی هو أنّ المسبّب بنفسه لو وقع ضدّا لما هو الواجب فهل یکون ذلک موجبا لفساده أم لا، و مقتضی ما ذکره قدّس سرّه فی مثل الشاة المنذورة للصدقة و نحوها من بطلان البیع، لکون وجوب الوفاء بالنذر سالبا للسلطنة علی البیع، هو الحکم بالفساد فیما ذکرناه من المعاملة التی هی ضدّ للواجب، فإنّ من الواضح أنّ نفس البیع لم یکن فیه ما یوجب الفساد سوی کونه ضدّا للواجب الذی هو التصدّق، سواء قلنا إنّ النذر کالشرط محدث للحقّ للمنذور له أو للشارع، أو کونه تکلیفا</w:t>
      </w:r>
      <w:bookmarkStart w:id="154" w:name="pg19667_765165"/>
    </w:p>
    <w:p>
      <w:pPr>
        <w:pStyle w:val="BookText"/>
        <w:rPr/>
      </w:pPr>
      <w:bookmarkEnd w:id="154"/>
      <w:r>
        <w:rPr>
          <w:rFonts w:ascii="IRNazanin" w:hAnsi="IRNazanin" w:eastAsia="IRNazanin"/>
          <w:color w:val="111111"/>
          <w:sz w:val="28"/>
          <w:sz w:val="28"/>
          <w:szCs w:val="28"/>
          <w:rtl w:val="true"/>
          <w:lang w:bidi="fa-IR"/>
        </w:rPr>
        <w:t>صرفا، و حینئذ تکون النتیجة هی بطلان المعاملة الواقعة ضدّا للواجب، سواء قلنا بأنّ الأمر بالشی‌ء یقتضی النهی عن ضدّه الخاصّ أو لم نقل، لکفایة وجوب ذلک الواجب فی سلب سلطنة المالک علی المعاملة التی هی ضدّه، و قد تقرّر أنّ من شرط نفوذ المعاملة هو کون المالک مسلّطا علیها، و أنّ کلّ ما یوجب عدم سلطنته علیها فی عالم التشریع یکون موجبا لبطلانها،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تلخّص لک من جمیع ما حرّرناه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المأمور بضدّها تکون صحیحة بالملاک أو بالترتّب حتّی علی القول بأن الأمر بالشی‌ء یقتضی النهی عن ضدّه الخاصّ، و أنّ المعاملة المأمور بضدّها تکون فاسدة حتّی علی القول بأنّ الأمر بالشی‌ء لا یقتضی النهی عن ضدّه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انتظر تتمّة لذلک فی مبحث اقتضاء النهی عن المعاملة فسادها، فإنّا قد حقّقنا هناک </w:t>
      </w:r>
      <w:r>
        <w:rPr>
          <w:rStyle w:val="FootnoteAnchor"/>
          <w:rtl w:val="true"/>
        </w:rPr>
        <w:footnoteReference w:id="324"/>
      </w:r>
      <w:r>
        <w:rPr>
          <w:rFonts w:ascii="IRNazanin" w:hAnsi="IRNazanin" w:eastAsia="IRNazanin"/>
          <w:color w:val="111111"/>
          <w:sz w:val="28"/>
          <w:sz w:val="28"/>
          <w:szCs w:val="28"/>
          <w:rtl w:val="true"/>
          <w:lang w:bidi="fa-IR"/>
        </w:rPr>
        <w:t>أنّه لیس کلّ ضدّ یکون الأمر به سالبا للسلطنة علی المعاملة، بل إنّما هو خصوص ما یکون تصرّفا فی المال بنحو یضادّ المعاملة، مثل وجوب التصدّق بالمال المعیّن بنذر أو شبهه فی قبال بیعه، دون مثل إزالة النجاسة عند وقوع البیع مزاحما لها، فإنّه و إن سلب القدرة علی البیع إلّا أنّه لا یوجب سلب السلطنة علیه، و لیست المعاملة مقیّدة بالقدرة شرعا، و إنّما هی مقیّدة بالسلطنة علی المال و عدم الحجر علیه، فراجع و تأمّل</w:t>
      </w:r>
      <w:r>
        <w:rPr>
          <w:rFonts w:eastAsia="IRNazanin" w:cs="IRNazanin"/>
          <w:color w:val="111111"/>
          <w:sz w:val="28"/>
          <w:szCs w:val="28"/>
          <w:rtl w:val="true"/>
          <w:lang w:bidi="fa-IR"/>
        </w:rPr>
        <w:t>.</w:t>
      </w:r>
    </w:p>
    <w:p>
      <w:pPr>
        <w:pStyle w:val="Heading4"/>
        <w:numPr>
          <w:ilvl w:val="3"/>
          <w:numId w:val="1"/>
        </w:numPr>
        <w:rPr/>
      </w:pPr>
      <w:bookmarkStart w:id="155" w:name="__RefHeading___Toc3538553_2314609296"/>
      <w:bookmarkStart w:id="156" w:name="_Toc54"/>
      <w:bookmarkEnd w:id="155"/>
      <w:r>
        <w:rPr>
          <w:rtl w:val="true"/>
        </w:rPr>
        <w:t>[</w:t>
      </w:r>
      <w:r>
        <w:rPr>
          <w:rtl w:val="true"/>
        </w:rPr>
        <w:t>معنی العبادة فی المقام</w:t>
      </w:r>
      <w:bookmarkEnd w:id="156"/>
    </w:p>
    <w:p>
      <w:pPr>
        <w:pStyle w:val="BookText"/>
        <w:rPr/>
      </w:pPr>
      <w:r>
        <w:rPr>
          <w:rFonts w:ascii="IRNazanin" w:hAnsi="IRNazanin" w:eastAsia="IRNazanin"/>
          <w:color w:val="111111"/>
          <w:sz w:val="28"/>
          <w:sz w:val="28"/>
          <w:szCs w:val="28"/>
          <w:rtl w:val="true"/>
          <w:lang w:bidi="fa-IR"/>
        </w:rPr>
        <w:t>قوله قدّس سرّه فی الکفایة فی 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أنّها بواحد منها لا یکاد یمکن أن یتعلّق بها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المراد من تفسیر العبادة فی قولهم النهی عن العبادة یوجب فسادها</w:t>
      </w:r>
    </w:p>
    <w:p>
      <w:pPr>
        <w:pStyle w:val="BookText"/>
        <w:rPr/>
      </w:pPr>
      <w:r>
        <w:rPr>
          <w:rFonts w:ascii="IRNazanin" w:hAnsi="IRNazanin" w:eastAsia="IRNazanin"/>
          <w:color w:val="111111"/>
          <w:sz w:val="28"/>
          <w:sz w:val="28"/>
          <w:szCs w:val="28"/>
          <w:rtl w:val="true"/>
          <w:lang w:bidi="fa-IR"/>
        </w:rPr>
        <w:t>بما نقله قدّس سرّه هو أنّها تکون کذلک بعد تعلّق النهی بها، بحیث إنّها تکون مصداقا لأحد هذه العناوین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أمر به لأجل التعبّد به، أو ما یتوقّف صحّته علی النیّة، أو ما لا یعلم انحصار المصلحة فیه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ملاحظة تعلّق النهی بها، فذلک ضروری البطلان کما أفاده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فواضح، إذ لا یعقل تعلّق النهی بما هو مأمور به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یتّضح لک عدم معقولیة الاجتماع علی التفسیرین الأخیرین، حیث إنّ توقّف الصحّة علی نیة التقرّب لا یکون إلّا من جهة کون الأمر به یستدعی توقّف صحّته علی نیّة التقرّب، و کذلک الوجه الأخیر أعنی کونه لا یعلم انحصار المصلحة فیه فی شی‌ء، إذ المراد أنّه لا یعلم المصلحة الداعیة إلی الأمر به، فکان الأمر الفعلی معتبرا علی کلا الوجهین، و لا یمکن اجتماعه مع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 من قال إنّ المراد بالعبادة هو ما یکون فی حدّ نفسه لو لا لحاظ تعلّق النهی مصداقا لأحد هذه العناوین فذلک واضح لا غبار علیه، غایته أنّه بعد لحاظ طرو النهی علیه یکون خارجا عن ذلک، لکون النهی مخصّصا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لک التأمّل فیما أفاده أوّلا من تفسیر العبادة بما یکون فی حدّ نفسه خضوعا أو خشوعا، أو سجودا له تعالی أو تسبیحا أو تقدیسا له تعالی، أو ما لو أمر به لکان عبادة، فإنّ جمیع هذه العبادات المنهی عنها تکون لو لا النهی مأمورا بها، و لا أقل من عمومات إقامة الصلاة، و الندب إلی الصوم، و البعث علی العبادة و لو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لِیَعْبُدُوا اللَّهَ مُخْلِصِینَ لَهُ الدِّینَ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 یحتمل أن یرید بذلک قوله تعالی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فَادْعُوهُ مُخْلِصِینَ لَهُ الدِّینَ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أو قوله تعالی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فَاعْبُدِ اللَّهَ مُخْلِصاً لَهُ الدِّینَ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من</w:t>
      </w:r>
      <w:bookmarkStart w:id="157" w:name="pg19667_765167"/>
    </w:p>
    <w:p>
      <w:pPr>
        <w:pStyle w:val="BookText"/>
        <w:rPr/>
      </w:pPr>
      <w:bookmarkEnd w:id="157"/>
      <w:r>
        <w:rPr>
          <w:rFonts w:ascii="IRNazanin" w:hAnsi="IRNazanin" w:eastAsia="IRNazanin"/>
          <w:color w:val="111111"/>
          <w:sz w:val="28"/>
          <w:sz w:val="28"/>
          <w:szCs w:val="28"/>
          <w:rtl w:val="true"/>
          <w:lang w:bidi="fa-IR"/>
        </w:rPr>
        <w:t>الأدلّة العامّة، فإنّ عموم هذه الأدلّة شامل لما ذکره قدّس سرّه من العبادات، غیر أنّه بعد لحاظ تحقّق النهی عنها تکون خارجة عن تلک العمومات، لکون النهی عنها مخصّصا أو مقیّدا لتلک العمومات، و کأنّه قدّس سرّه یرید أنّ قولهم النهی عن العبادة یوجب فسادها أنّها بعد النهی تکون عبادة، غایته أنّها عبادة فاسدة، فاضطرّ إلی تفسیر العبادة بما یکون فی حدّ نفسه عبادة و إن کان منهیا عنه فعلا، و هو العبادة الذاتیة المنهی عنها فعلا، أو ما یکون عبادة و مأمورا به لو لم یکن منهیا عنه،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داعی إلی هذه المضایقة، بل الظاهر أنّ المراد بالعبادة فی ذلک ما یکون عبادة فی حدّ نفسه مع قطع النظر عن تعلّق النهی به، و إن خرج عن کونه عبادة بواسطة تعلّق النهی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بالعبادة ما یکون فی حدّ ذاته مقرّبا أو یکون مقرّبا بواسطة الأمر، لکن بملاحظة تعلّق النهی به یخرج الأوّل عن کونه مقرّبا بل یکون مبعدا، و یخرج الثانی عن کونه مأمورا به، بل یکون محرّما و منهیا عنه، و حینئذ یلتئم قولهم النهی عن العبادة یوجب فسادها مع کلّ واحد من تفاسیر العبادة الراجعة إلی ما یکون مقرّبا، من دون حاجة إلی هذا التکلّف،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قدّس سرّه قد ارتکب هذا التسامح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بنفسه مقرّبا لو لا حرمته، فإنّه إن صحّ هذا التسامح فلم لا یصحّحه فی تفسیر العبادة بما أمر به، و یکون المراد أنّه مأمور به لو لا حرمته، کما قال قدّس سرّه إنّه یکون مقرّبا لو لا حرمته، فتأمّل</w:t>
      </w:r>
      <w:r>
        <w:rPr>
          <w:rFonts w:eastAsia="IRNazanin" w:cs="IRNazanin"/>
          <w:color w:val="111111"/>
          <w:sz w:val="28"/>
          <w:szCs w:val="28"/>
          <w:rtl w:val="true"/>
          <w:lang w:bidi="fa-IR"/>
        </w:rPr>
        <w:t>.</w:t>
      </w:r>
    </w:p>
    <w:p>
      <w:pPr>
        <w:pStyle w:val="Heading4"/>
        <w:numPr>
          <w:ilvl w:val="3"/>
          <w:numId w:val="1"/>
        </w:numPr>
        <w:rPr/>
      </w:pPr>
      <w:bookmarkStart w:id="158" w:name="__RefHeading___Toc3538555_2314609296"/>
      <w:bookmarkStart w:id="159" w:name="_Toc55"/>
      <w:bookmarkEnd w:id="158"/>
      <w:r>
        <w:rPr>
          <w:rtl w:val="true"/>
        </w:rPr>
        <w:t>[</w:t>
      </w:r>
      <w:r>
        <w:rPr>
          <w:rtl w:val="true"/>
        </w:rPr>
        <w:t>معنی المعاملة فی المقام</w:t>
      </w:r>
      <w:bookmarkEnd w:id="15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المعاملة لیس کلّ ما لم یکن عبادة حتّی یشمل مثل الحیازة و التحجیر و أمثالهما، بداهة أنّ غیر العقود و الایقاعات لم یتوهّم فیها دلالة النهی علی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أنّ للعبادة اطلاقین،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w:t>
      </w:r>
    </w:p>
    <w:p>
      <w:pPr>
        <w:pStyle w:val="BookText"/>
        <w:rPr/>
      </w:pPr>
      <w:r>
        <w:rPr>
          <w:rFonts w:ascii="IRNazanin" w:hAnsi="IRNazanin" w:eastAsia="IRNazanin"/>
          <w:color w:val="111111"/>
          <w:sz w:val="28"/>
          <w:sz w:val="28"/>
          <w:szCs w:val="28"/>
          <w:rtl w:val="true"/>
          <w:lang w:bidi="fa-IR"/>
        </w:rPr>
        <w:t>بالمعنی الأخصّ، و هو ما أمر به لأن یتعبّد به، بحیث کان قصد التقرّب معتبرا فیه بنحو من الأنحاء، کما فی الصلاة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بالمعنی الأعمّ، و هو ما یکون الأمر به صالحا لأنّ یتعبّد به، سواء کان مقیّدا بقصد التعبّد أو کان غیر مقیّد بذلک، و لکنّه کان بحیث لو أتی بمتعلّقه بقصد الامتثال و التعبّد لترتّب علیه الثواب، کما فی تطهیر الثوب و نحوه، و کلّ منهما یکون النهی عنه موجبا لفساده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فیکون النهی عنه موجبا لفساده فی نفسه لکونه بنفسه عبادة، فلا یقع مسقطا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فیکون موجبا لفساد جهة عبادیته مع بقائه علی ما هو علیه من کونه مسقطا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المعاملة فلها ثلاثة إطلاقات، کلّ واحد أخصّ من لاحقه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بین شخصین، کما فی جمیع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واقعا بانشاء و جعل من الشخص، أعمّ من أن یکون قائما بین شخصین کما فی العقود، أو یکون عن شخص کما فی الایقاعات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أفعال الشخص منشأ لأثر شرعی و لم یعتبر فی صحّته قصد الامتثال و التقرّب، فیشمل العقود و الایقاعات و جمیع أبواب المعاملات کما فی التذکیة و احیاء الموات و السبق إلی الوقف و الحیازة و نحو ذلک، بل یشمل جمیع أبواب الفقه ما عدا الواجبات العبادیة، حتّی فی مثل الغسل من الخبث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بالمعاملة فی هذه المسألة هی المعاملة بالاطلاق الثانی، فیشمل العقود و الایقاعات، و لا یشمل مثل إحیاء الموات و الحیازات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النهی فی مثل ذلک إرشادا إلی عدم ترتّب الأثر المرغوب من متعلّقه کان دالا علی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خارج عمّا هو محلّ النزاع من النهی التحریمی فتأمّل،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النهی عن الحیازة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کحیازة الماء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 إلی التصرّف بالآلة الغصبیة، کما مثّل به المرحوم الشیخ محمّد علی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النهی عن الاحیاء بالآلة الغصبیة مثلا لا یوجب فساد الاحیاء، و ذلک واضح، إلّا إذا کان النهی إرشادا إلی عدم کون المحیاة ملکا للمحیی، و هذا خارج عمّا نحن فیه، انتهی </w:t>
      </w:r>
      <w:r>
        <w:rPr>
          <w:rStyle w:val="FootnoteAnchor"/>
          <w:rtl w:val="true"/>
        </w:rPr>
        <w:footnoteReference w:id="328"/>
      </w:r>
      <w:r>
        <w:rPr>
          <w:rFonts w:ascii="IRNazanin" w:hAnsi="IRNazanin" w:eastAsia="IRNazanin"/>
          <w:color w:val="111111"/>
          <w:sz w:val="28"/>
          <w:sz w:val="28"/>
          <w:szCs w:val="28"/>
          <w:rtl w:val="true"/>
          <w:lang w:bidi="fa-IR"/>
        </w:rPr>
        <w:t>کان خارجا عمّا نحن فیه من النهی الموجب لفساد المنهی عنه، لأنّه من باب الاجتماع باعتبار کون المنهی عنه هو التصرّف بالمغصوب، و الذی هو منشأ الأثر هو نفس الحیازة، و یکون حاله حال التستّر الواجب إذا حصل باللباس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الاحیاء بالآلة المغصوبة متوجّه إلی سبب المعاملة، و الکلام فی النهی عن نفس المعاملة، فلو توجّه النهی إلی نفس الاحیاء أو إلی نفس الحیازة أو إلی نفس التحجیر فلا یبعد القول باقتضائه الفساد، بمعنی أنّ ذلک النهی یکون سالبا لسلطنة المکلّف علی إیجاد ذلک الأثر، کما قلناه فی النهی عن البیع المتوجّه إلی نفس المعاملة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النهی متوجّها إلی المسبّب الذی یحدث بفعل المکلّف لا إلی الفعل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متوجّه إلی المعنی الاسم المصدری لا إلی نفس المصدر، فلو قال لا تسبق العالم أو العلوی إلی الصفّ الأوّل فی المسجد عند صلاة الجماعة کان ذلک موجبا لعدم ترتّب الأثر علی السبق المذکور، لامکان القول بأنّ النهی عن السبق المذکور یکون موجبا لعدم ذلک السبق فی عالم التشریع، و یکون مخصّصا لمثل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إلی ما</w:t>
      </w:r>
    </w:p>
    <w:p>
      <w:pPr>
        <w:pStyle w:val="BookText"/>
        <w:rPr/>
      </w:pPr>
      <w:r>
        <w:rPr>
          <w:rFonts w:ascii="IRNazanin" w:hAnsi="IRNazanin" w:eastAsia="IRNazanin"/>
          <w:color w:val="111111"/>
          <w:sz w:val="28"/>
          <w:sz w:val="28"/>
          <w:szCs w:val="28"/>
          <w:rtl w:val="true"/>
          <w:lang w:bidi="fa-IR"/>
        </w:rPr>
        <w:t>لم یسبقه إلیه أحد فهو أحقّ بذلک</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تأمّل، نعم لو کان مرجع النهی إلی الارشاد إلی عدم ترتّب الأثر، أو إلی بیان أنّه لیس له حقّ السبق فی مثل ذلک، لتمّ ما ذکرناه من الفساد، أمّا مجرّد تحریم السبق تحریما مولویا فلا یکون موجبا لعدم ترتّب الأثر إلّا إذا قلنا إنّ السبق أو الحیازة و نحوهما من الأمور القصدیة الانشائیة، بمعنی أنّه ینشئ بتلک الأفعال تحقّق الملکیة أو الحقّیة، فإنّه حینئذ یکون حاله حال المعاملات الانشائیة، فلو کان النهی متوجّها إلی أثرها المقصود إنشاؤه بذلک الفعل کان موجبا لعدم قدرته فی عالم التشریع علی إیجاده،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استشکل شیخنا قدّس سرّه </w:t>
      </w:r>
      <w:r>
        <w:rPr>
          <w:rStyle w:val="FootnoteAnchor"/>
          <w:rtl w:val="true"/>
        </w:rPr>
        <w:footnoteReference w:id="330"/>
      </w:r>
      <w:r>
        <w:rPr>
          <w:rFonts w:ascii="IRNazanin" w:hAnsi="IRNazanin" w:eastAsia="IRNazanin"/>
          <w:color w:val="111111"/>
          <w:sz w:val="28"/>
          <w:sz w:val="28"/>
          <w:szCs w:val="28"/>
          <w:rtl w:val="true"/>
          <w:lang w:bidi="fa-IR"/>
        </w:rPr>
        <w:t xml:space="preserve">فی حواشیه علی العروة من حصول الطهارة بالاستنجاء بالروث و العظم، و لعلّ منشأ تخصیص الإشکال بالروث و العظم ما فی بعض الأخبار العامیة بعد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أن یستنجی بروث أو عظم،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إنّهما لا یطهّران</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فراجع و تأمّل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بعدم حصول الطهارة فی المبسوط</w:t>
      </w:r>
      <w:r>
        <w:rPr>
          <w:rStyle w:val="FootnoteAnchor"/>
          <w:rtl w:val="true"/>
        </w:rPr>
        <w:footnoteReference w:id="332"/>
      </w:r>
      <w:r>
        <w:rPr>
          <w:rFonts w:ascii="IRNazanin" w:hAnsi="IRNazanin" w:eastAsia="IRNazanin"/>
          <w:color w:val="111111"/>
          <w:sz w:val="28"/>
          <w:sz w:val="28"/>
          <w:szCs w:val="28"/>
          <w:rtl w:val="true"/>
          <w:lang w:bidi="fa-IR"/>
        </w:rPr>
        <w:t>و المعتبر</w:t>
      </w:r>
      <w:r>
        <w:rPr>
          <w:rStyle w:val="FootnoteAnchor"/>
          <w:rtl w:val="true"/>
        </w:rPr>
        <w:footnoteReference w:id="333"/>
      </w:r>
      <w:r>
        <w:rPr>
          <w:rFonts w:ascii="IRNazanin" w:hAnsi="IRNazanin" w:eastAsia="IRNazanin"/>
          <w:color w:val="111111"/>
          <w:sz w:val="28"/>
          <w:sz w:val="28"/>
          <w:szCs w:val="28"/>
          <w:rtl w:val="true"/>
          <w:lang w:bidi="fa-IR"/>
        </w:rPr>
        <w:t xml:space="preserve">کما عن ابن إدریس </w:t>
      </w:r>
      <w:r>
        <w:rPr>
          <w:rStyle w:val="FootnoteAnchor"/>
          <w:rtl w:val="true"/>
        </w:rPr>
        <w:footnoteReference w:id="334"/>
      </w:r>
      <w:r>
        <w:rPr>
          <w:rFonts w:ascii="IRNazanin" w:hAnsi="IRNazanin" w:eastAsia="IRNazanin"/>
          <w:color w:val="111111"/>
          <w:sz w:val="28"/>
          <w:sz w:val="28"/>
          <w:szCs w:val="28"/>
          <w:rtl w:val="true"/>
          <w:lang w:bidi="fa-IR"/>
        </w:rPr>
        <w:t xml:space="preserve">بل ربما نقل عن المرتضی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قلنا لا یجوز استعماله لحرمته أو لکونه نجسا إن استعمل فی ذلک و نقی به الموضع لا یجزی، لأنّه منهی عنه، و النهی یقتضی الفساد، انتهی ما نقله فی الجواهر</w:t>
      </w:r>
      <w:r>
        <w:rPr>
          <w:rStyle w:val="FootnoteAnchor"/>
          <w:rtl w:val="true"/>
        </w:rPr>
        <w:footnoteReference w:id="336"/>
      </w:r>
      <w:r>
        <w:rPr>
          <w:rFonts w:ascii="IRNazanin" w:hAnsi="IRNazanin" w:eastAsia="IRNazanin"/>
          <w:color w:val="111111"/>
          <w:sz w:val="28"/>
          <w:sz w:val="28"/>
          <w:szCs w:val="28"/>
          <w:rtl w:val="true"/>
          <w:lang w:bidi="fa-IR"/>
        </w:rPr>
        <w:t>عن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قدّس سرّه فیما حکاه عنه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بالشی‌ء هو العبادة بالمعنی الأعمّ، و المعاملة التی تتّصف بالصحّة و الفساد شرعا، و قد عرفت وجه التخصیص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وجه التعمیم فیه بالنسبة إلی ما یتّصف بالصحّة فأمران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الأدلّة 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قدّس سرّه فی محکی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نقل عبارة المبسوط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نقله فی المعتبر، و لم یعترض علیه بخروجه عن محلّ الکلام کغیره، و إنّما اعترضوا بعدم اقتضاء النهی الفساد الخ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شهادة من أستاذی الفنّ بأنّ النهی عن المعاملة فی هذه المسألة شامل لمثل الأفعال التی لها آثار شرعیة، و لا یختصّ بالعقود و الایقاعات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بعد فرض دخوله فی محل النزاع لا یلزمنا القول بکون النهی عن مثل الاستنجاء بالعظم أو الروث موجبا للفساد، إمّا لانکار أصل کون النهی فی المعاملة یوجب الفساد، و إمّا لتسلیم کون النهی فی المعاملة موجبا لفسادها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إنّما هو فی المعاملة التی یتوقّف نفوذها علی الاعتماد علی حدیث السلطنة</w:t>
      </w:r>
      <w:r>
        <w:rPr>
          <w:rStyle w:val="FootnoteAnchor"/>
          <w:rtl w:val="true"/>
        </w:rPr>
        <w:footnoteReference w:id="338"/>
      </w:r>
      <w:r>
        <w:rPr>
          <w:rFonts w:ascii="IRNazanin" w:hAnsi="IRNazanin" w:eastAsia="IRNazanin"/>
          <w:color w:val="111111"/>
          <w:sz w:val="28"/>
          <w:sz w:val="28"/>
          <w:szCs w:val="28"/>
          <w:rtl w:val="true"/>
          <w:lang w:bidi="fa-IR"/>
        </w:rPr>
        <w:t>و النهی یسلب السلطنة فتفسد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النحو من المعاملات فلما</w:t>
      </w:r>
    </w:p>
    <w:p>
      <w:pPr>
        <w:pStyle w:val="BookText"/>
        <w:rPr/>
      </w:pPr>
      <w:r>
        <w:rPr>
          <w:rFonts w:ascii="IRNazanin" w:hAnsi="IRNazanin" w:eastAsia="IRNazanin"/>
          <w:color w:val="111111"/>
          <w:sz w:val="28"/>
          <w:sz w:val="28"/>
          <w:szCs w:val="28"/>
          <w:rtl w:val="true"/>
          <w:lang w:bidi="fa-IR"/>
        </w:rPr>
        <w:t>لم یکن ترتّب الأثر علیه منوطا بحدیث السلطنة فلم یکن النهی مؤثّرا فی ناحیة من نواحی ترتّب الأثر علیه فلا یکون موجبا لفساده، و لأجل ذلک نقول إنّه لو نذر أن لا یستنجی إلّا بالماء و خالف، ترتّب الأثر علی فعله من الطهارة و إن کان قد عصی و أحنث، و حینئذ یکون المختار هو عدم اقتضاء النهی فی مثل ذلک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اختیار لنا، لا أنّه یوجب خروجه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طریقة أخری لاقتضاء الفساد هی غیر سلب السلطنة، و هی أنّ کلّ فعل من هذه الأفعال التی هی مورد ترتّب الأثر لا بدّ له من عموم، مثل أوامر الغسل و أوامر الاستنجاء، أو عموم إباحة مثل عموم أدلّة الاحیاء و الحیازة و السبق و نحو ذلک، فإذا تعلّق النهی بفعل من تلک الأفعال کان ذلک النهی مخصّصا لذلک العموم الوارد فی ذلک الباب، سواء کان أمرا أو کان من مجرد الاباحة، و بعد خروج المنهی عنه عن ذلک العموم نحتاج فی ترتّب الأثر علیه إلی دلیل، و حیث لا دلیل کانت أصالة عدم ترتّب الأثر علیه محکّمة فیه، فتکون النتیجة حینئذ هی الفساد فی المرتبة الثالثة، فتأمّل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 فی أثناء شرحه لعبارة المصنّف قدّس سرّه و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منع من الاستنجاء بالعظم و الروث و المحترم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استعمل شیئا من ذلک لم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القول بعدم الطهارة عن الشیخ فی المبسوط</w:t>
      </w:r>
      <w:r>
        <w:rPr>
          <w:rStyle w:val="FootnoteAnchor"/>
          <w:rtl w:val="true"/>
        </w:rPr>
        <w:footnoteReference w:id="339"/>
      </w:r>
      <w:r>
        <w:rPr>
          <w:rFonts w:ascii="IRNazanin" w:hAnsi="IRNazanin" w:eastAsia="IRNazanin"/>
          <w:color w:val="111111"/>
          <w:sz w:val="28"/>
          <w:sz w:val="28"/>
          <w:szCs w:val="28"/>
          <w:rtl w:val="true"/>
          <w:lang w:bidi="fa-IR"/>
        </w:rPr>
        <w:t>و نقل عبارة المبسوط التی تمسّک فیها علی عدم حصول الطهارة بذلک بأنّ النهی عن المعاملة یقتضی الفساد، ثمّ نقل القول بحصول الطهارة عن العلّامة</w:t>
      </w:r>
      <w:r>
        <w:rPr>
          <w:rStyle w:val="FootnoteAnchor"/>
          <w:rtl w:val="true"/>
        </w:rPr>
        <w:footnoteReference w:id="340"/>
      </w:r>
      <w:r>
        <w:rPr>
          <w:rFonts w:ascii="IRNazanin" w:hAnsi="IRNazanin" w:eastAsia="IRNazanin"/>
          <w:color w:val="111111"/>
          <w:sz w:val="28"/>
          <w:sz w:val="28"/>
          <w:szCs w:val="28"/>
          <w:rtl w:val="true"/>
          <w:lang w:bidi="fa-IR"/>
        </w:rPr>
        <w:t>و جمع من المتأخرین،</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أقصی ما یمکن أن یستدلّ به للأوّل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حصول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عدم شمول ما دلّ علی الاستنجاء لما نهی الشارع عنه، و لا أقل من إفادته الإذن التی لا تشمل المنهی عنه،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أقصی ما یمکن أن یستدلّ به للثانی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حصول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الاطلاقات و العمومات، و النهی لا یقتضی الفساد فی مثل المقام، لکونه من قبیل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عدم تناولها له لاستفادة الإذن منها فلا تشمل المنهی عنه یدفعها أنّ الحکم الوضعی المستفاد منها شامل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الاستفادة لیس من المدلول فی شی‌ء، و علی تقدیره فلا دلالة فیها علی شرطیة الإذن بالنسبة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الأقوی التفصیل بین ما نهی عن الاستنجاء به کالعظم و الروث، فإنّا و إن لم نقل باقتضاء الفساد فی مثله عقلا، لکن نقول باستفادته عرفا کما لا یخفی، إذ هو کالنهی عن نفس المعاملة و نحوه ممّا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الأثر علیه، 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ظاهر فی عدم ترتّب الأثر الشرعی علیه، و بین ما لم ینه عن الاستنجاء به، بل جاءت حرمة الاستنجاء به لأمر خارج مثل المحترمات، فإنّه لا نهی عن الاستنجاء بها، لکنّه یحصل الحرمة من جهة منافاته للاحترام المأمور به، فحالها کحال الحجر المغصوب و نحوه </w:t>
      </w:r>
      <w:r>
        <w:rPr>
          <w:rStyle w:val="FootnoteAnchor"/>
          <w:rtl w:val="true"/>
        </w:rPr>
        <w:footnoteReference w:id="342"/>
      </w:r>
      <w:r>
        <w:rPr>
          <w:rFonts w:ascii="IRNazanin" w:hAnsi="IRNazanin" w:eastAsia="IRNazanin"/>
          <w:color w:val="111111"/>
          <w:sz w:val="28"/>
          <w:sz w:val="28"/>
          <w:szCs w:val="28"/>
          <w:rtl w:val="true"/>
          <w:lang w:bidi="fa-IR"/>
        </w:rPr>
        <w:t>، انتهی ما أردنا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نظر شیخنا قدّس سرّه </w:t>
      </w:r>
      <w:r>
        <w:rPr>
          <w:rStyle w:val="FootnoteAnchor"/>
          <w:rtl w:val="true"/>
        </w:rPr>
        <w:footnoteReference w:id="343"/>
      </w:r>
      <w:r>
        <w:rPr>
          <w:rFonts w:ascii="IRNazanin" w:hAnsi="IRNazanin" w:eastAsia="IRNazanin"/>
          <w:color w:val="111111"/>
          <w:sz w:val="28"/>
          <w:sz w:val="28"/>
          <w:szCs w:val="28"/>
          <w:rtl w:val="true"/>
          <w:lang w:bidi="fa-IR"/>
        </w:rPr>
        <w:t>فی التفصیل فی الإشکال بین المحترمات و بین الروث و العظم إلی هذه الجهة التی أفادها فی الجواهر من الفرق بین النوعین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فإنّ الغرض من نقل هذه العبارة بطولها بیان مطلبین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اقتضاء النهی عن المعاملة الفساد شامل لمثل هذه الأفعال التی یترتّب علیها الأثر الشرعی، و إن لم تکن من قبیل العقود و الایقاعات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لم نقل بأنّ النهی عن المعاملة یقتضی الفساد، أو قلنا بذلک لکن لم نقل به فی مثل هذه الأفعال، من جهة أنّا إنّما نقول به فی المعاملة التی یعتبر فیها السلطنة لیکون النهی عنها سالبا للسلطنة، دون مثل هذه الأفعال التی لا مدخل للسلطنة فی ترتّب الأثر علیها، و مع ذلک کلّه یمکننا الحکم بفساده من ناحیة کون النهی مخصّصا لما دلّ علیه دلیل کونها مطهّرة، من کونها مأذونا فیها، و یکون الحاصل أنّ دلیل المطهّریة یدلّ علی المأذونیة الشرعیة فی ذلک الفعل المطهّر، و النهی عن بعض أفراد ذلک الفعل أو بعض أنواعه یخرجه عن المأذونیة المذکورة، و حینئذ یبقی دلیل کون ذلک الفعل مطهّرا غیر شامل لما هو مورد النهی، فیکون حصول أثره و هو المطهّریة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فیما لو کان المقابل لذلک النهی هو الأمر، کما فی الأمر بغسل الثوب للصلاة، و اتّفق أن صار بعض أفراد الغسل موردا للنهی، فإنّه أیضا یخصّص ذلک الأمر، و یبقی ترتّب الأثر علی ذلک المنهی عنه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الغرض من ذلک کلّه هو الاختیار أو تقویة هذه الاستدلالات، بل الغرض هو بیان أنّ مثل هذه الأفعال داخلة فی محلّ النزاع فی اقتضاء النهی الفساد، سواء کان من طریق دعوی سلب السلطنة، أو کان من طریق دعوی تخصیص ما دلّ علی ترتّب الأثر من تلک الأوامر أو تلک الاذن و الاباحة، فتأمّل جیّدا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بالعبادات هنا ما احتاج صحّتها إلی النیّة، و بعبارة أخری ما لم یعلم انحصار المصلحة فیها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بالمعاملات</w:t>
      </w:r>
    </w:p>
    <w:p>
      <w:pPr>
        <w:pStyle w:val="BookText"/>
        <w:rPr/>
      </w:pPr>
      <w:r>
        <w:rPr>
          <w:rFonts w:ascii="IRNazanin" w:hAnsi="IRNazanin" w:eastAsia="IRNazanin"/>
          <w:color w:val="111111"/>
          <w:sz w:val="28"/>
          <w:sz w:val="28"/>
          <w:szCs w:val="28"/>
          <w:rtl w:val="true"/>
          <w:lang w:bidi="fa-IR"/>
        </w:rPr>
        <w:t xml:space="preserve">هنا ما قابل ذلک أی ما لا یحتاج صحّتها إلی النیّة، سواء کان من الواجبات کغسل الثیاب و الأوانی، أو من العقود أو الایقاعات، فإنّ المصالح فیها واضحة لا یتوقّف حصولها علی قصد الامتثال، و إن لم یحصل الثواب فی الواجبات، و حصل العقاب فی إتیانها و اتیان المعاملات علی الطریق المحرّم، و لذلک لا یکلّف من غسل ثوبه بماء مغصوب أو باجبار غیره علیه، أو بحصوله من مسلم دون اطّلاعه باعادة الغسل، و کذلک ترتّب الآثار علی الأفعال فی المعاملات المحرّمة کترتّب المهر و الارث و الولد لمن دخل بزوجته فی حال الحیض و غیر ذلک، انتهی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فصرّح بأنّ مثل غسل الثیاب داخل فی العنوان، مع أنّه قد صرّح بأنّه لو کان قد وقع علی جهة التحریم لم یکن ذلک موجبا لعدم ترتّب أثره علیه، و ما ذلک إلّا من جهة أنّ کونه بحسب نظره لا یقتضی الفساد لا ینافی کون العنوان شاملا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المرحوم الشیخ محمّد تقی فی حاشیة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 أنّ ما یتعلّق به النواهی قد تکون قابلة للصحّة و الفساد کالعبادات و العقود و الایقاعات، و غیرها من الأفعال الموضوعة لترتّب آثار معیّنة کغسل الثیاب و التذکیة، و قد لا تکون قابلة لذلک کالنهی عن الزنا و السرقة و نحوهما ممّا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ممّا لا کلام فیه، و لا کلام أیضا فی عدم خروجه عن حقیقة النهی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الخلاف هو الأوّل، سواء قام هناک دلیل عام علی الصحّة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المقرّر أنّ الأصل الأصیل فی الجمیع هو الفساد، لوضوح توقّف العبادة علی تعلّق الأمر بها، و هو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ترتّب الآثار علی المعاملات علی خلافه، لأصالة بقاء الشی‌ء 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فالحکم بصحّتها یتبع الدلیل الدالّ علیها من عموم أو خصوص، و حینئذ فإن قام دلیل علی صحّة العبادة أو المعاملة و تعلّق</w:t>
      </w:r>
    </w:p>
    <w:p>
      <w:pPr>
        <w:pStyle w:val="BookText"/>
        <w:rPr/>
      </w:pPr>
      <w:r>
        <w:rPr>
          <w:rFonts w:ascii="IRNazanin" w:hAnsi="IRNazanin" w:eastAsia="IRNazanin"/>
          <w:color w:val="111111"/>
          <w:sz w:val="28"/>
          <w:sz w:val="28"/>
          <w:szCs w:val="28"/>
          <w:rtl w:val="true"/>
          <w:lang w:bidi="fa-IR"/>
        </w:rPr>
        <w:t>النهی به کان ذلک دلیلا علی فسادها، و خصّ به الدلیل الدالّ علی الصحّة، بناء علی القول بافادته الفساد، و إن لم یقم دلیل علی الصحّة کان عدم الدلیل کافیا فی الحکم بالفساد من جهة الأصل، و النهی أیضا دلیل لفظی دالّ علی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 الدلیلین ظاهر، و لا أقل من کونه مؤکّدا، فتخصیص النزاع بالصورة الأولی کما نصّ علیه بعض الأفاضل ممّا لا وجه 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کلّه یظهر لک التأمّل فیما أفاده شیخنا قدّس سرّه بقوله فیما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أنّ غیر العقود و الایقاعات لم یتوهّم فیها دلالة النهی علی الفساد الخ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فإنّک قد عرفت أنّ ذلک قد قال به أساطین الفن و أساتذة الأصول، نعم الفساد المدّعی فی ذلک لیس هو الفساد فی المرتبة الأولی، أعنی به ما هو آت من ناحیة نفس النهی و لو لم یکن فی مقابله عموم أمر أو عموم إباحة و إذن، بل إنّ الفساد المدّعی هو الفساد فی المرتبة الثانیة، أعنی به ما هو آت من ناحیة التخصیص، أو لا أقل من الفساد فی المرتبة الثالثة الآتی من ناحیة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هذا النهی لا أثر له فی ناحیة الحکم بفساد تلک المعاملة، لأنّها حسب الفرض مورد لأصالة عدم ترتّب الأثر، سواء کان فی البین ذلک النهی أو لم یکن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فی البین إلّا الأمر بفعل من الأفعال ثمّ ورد النهی عن بعض أنواعه، کان ذلک النهی موجبا لخروج مورده عن حیّز الأمر، و لو کان له مورد آخر لوجبت الاعادة، مثل ما لو أمره بالتکلّم مع زید و نهاه عن شتمه</w:t>
      </w:r>
    </w:p>
    <w:p>
      <w:pPr>
        <w:pStyle w:val="BookText"/>
        <w:rPr/>
      </w:pPr>
      <w:r>
        <w:rPr>
          <w:rFonts w:ascii="IRNazanin" w:hAnsi="IRNazanin" w:eastAsia="IRNazanin"/>
          <w:color w:val="111111"/>
          <w:sz w:val="28"/>
          <w:sz w:val="28"/>
          <w:szCs w:val="28"/>
          <w:rtl w:val="true"/>
          <w:lang w:bidi="fa-IR"/>
        </w:rPr>
        <w:t>فکلّمه شاتما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لذلک الفعل المأمور به أثر وضعی مترتّب علیه کما فی غسل الثوب، فإن لم ینحصر الدلیل علی ذلک الأثر بذلک الأمر و وقع الفعل منهیا عنه بأن غسل الثوب بالماء المغصوب، لم یحصل امتثال الأمر و ذهب موضوعه، و لکن یترتّب الأثر استنادا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انحصر الدلیل علی ترتّب الأثر بذلک الأمر کما فی الأمر بالاستنجاء المخیّر بین الماء و الأجسام القالعة، و استجمر بالعظم و الروث أو بالجسم المحترم أو بالحجر المغصوب، فنظرا إلی خروج الجمیع عن حیّز الأمر ینبغی أن یقال بعدم حصول الطهارة، إذ لا دلیل علیها إلّا ذلک الأمر التخییری المفروض کون المورد قد خرج منه تخصیصا، إلّا أن یدّعی أنّ الأمر متعلّق بازالة النجاسة أعنی المسبّب، و النهی فی الأوّل متعلّق بالمسبّب فیفسد، بخلاف الأخیرین فإنّ النهی فیهما یتعلّق بالسبب فلا یوجب الفساد، أو یقال بأنّ الأمر متعلّق بالمسبّب و النهی فی الجمیع متعلّق بالسبب، إلّا الأوّل فإنّه یستفاد منه الارشاد إلی عدم الأثر، و ذلک من قوله صلّی اللّه علیه و آله بعد النهی إنّه لا یطهّر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لک الکلام فی الأفعال المباحة ذات الأثر الشرعی، مثل التذکیة و الحیازة و الاحیاء، فإنّ النهی فی ذلک إن تعلّق بالسبب لم یوجب الفساد، بخلاف ما لو تعلّق بالمسبّب فإنّه یوجب الفساد، کما هو الشأن فی المعاملات الانشائیة،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جهة آثار نفسها مع قطع النظر عن عبادیتها کحصول التطهیر فلا یدلّ النهی علی الفساد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هذا القسم من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الذی لم یکن مقیّدا بقصد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یتصوّر فیه کون النهی ناشئا عن مانعیة المنهی عنه أو عن شرطیة عدمه، کما أنّ النهی النفسی فیه المتعلّق بنفس العمل یکون موجبا لفساده، لا لخصوص عدم إمکان قصد التقرّب به مع بقائه مسقطا للأمر، بل یکون موجبا لفساده بمعنی عدم کونه مسقطا للأمر، لکونه بواسطة النهی خارجا عن عموم الأمر، بحیث إنّه لو أمر باکرام عالم و نهی عن إکرام العالم الفاسق أو عن إکرام العالم بالاطعام مثلا کان ذلک النهی موجبا لخروج ذلک الاکرام عن عموم الأمر أو عن إطلاقه، و کان یلزمه الاتیان باکرام آخر غیر منهی عنه، کما أفاده قدّس سرّه </w:t>
      </w:r>
      <w:r>
        <w:rPr>
          <w:rStyle w:val="FootnoteAnchor"/>
          <w:rtl w:val="true"/>
        </w:rPr>
        <w:footnoteReference w:id="350"/>
      </w:r>
      <w:r>
        <w:rPr>
          <w:rFonts w:ascii="IRNazanin" w:hAnsi="IRNazanin" w:eastAsia="IRNazanin"/>
          <w:color w:val="111111"/>
          <w:sz w:val="28"/>
          <w:sz w:val="28"/>
          <w:szCs w:val="28"/>
          <w:rtl w:val="true"/>
          <w:lang w:bidi="fa-IR"/>
        </w:rPr>
        <w:t>فی باب التعبّدی و التوصّلی من اقتضاء الأمر عدم الاکتفاء بالفعل الواقع علی جهة التحریم، و أنّ النهی یوجب تخصیص متعلّق الأمر بما عداه، و لا یمکن الاکتفاء بما وقع علی جهة التحریم إلّا بدلیل خاصّ، أو کان الفعل المحرّم معدما للموضوع، أو کان محصّلا للغایة المطلوبة من الأمر کما فی غسل الثوب بماء مغصوب و نحو ذلک، فتأمّل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الفساد من الجهة الأولی من المراتب التی قدّمنا ذکرها</w:t>
      </w:r>
      <w:r>
        <w:rPr>
          <w:rStyle w:val="FootnoteAnchor"/>
          <w:rtl w:val="true"/>
        </w:rPr>
        <w:footnoteReference w:id="351"/>
      </w:r>
      <w:r>
        <w:rPr>
          <w:rFonts w:ascii="IRNazanin" w:hAnsi="IRNazanin" w:eastAsia="IRNazanin"/>
          <w:color w:val="111111"/>
          <w:sz w:val="28"/>
          <w:sz w:val="28"/>
          <w:szCs w:val="28"/>
          <w:rtl w:val="true"/>
          <w:lang w:bidi="fa-IR"/>
        </w:rPr>
        <w:t>و إن لم یکن متأتّیا فی مثل ذلک، لکنّه بالنسبة إلی المرتبة الثانیة الراجعة إلی</w:t>
      </w:r>
      <w:bookmarkStart w:id="160" w:name="pg19667_765179"/>
    </w:p>
    <w:p>
      <w:pPr>
        <w:pStyle w:val="BookText"/>
        <w:rPr/>
      </w:pPr>
      <w:bookmarkEnd w:id="160"/>
      <w:r>
        <w:rPr>
          <w:rFonts w:ascii="IRNazanin" w:hAnsi="IRNazanin" w:eastAsia="IRNazanin"/>
          <w:color w:val="111111"/>
          <w:sz w:val="28"/>
          <w:sz w:val="28"/>
          <w:szCs w:val="28"/>
          <w:rtl w:val="true"/>
          <w:lang w:bidi="fa-IR"/>
        </w:rPr>
        <w:t xml:space="preserve">تخصیص العموم بذات النهی یتأتّی فیه، و لازمه عدم الاکتفاء بما وقع منهیا عنه، لکونه خارجا عن عموم ذلک الأمر، فلا یکتفی به فی سقوط الأمر إلّا إذا قام الدلیل علی السقوط بأحد الوجوه المذکورة، و حینئذ یمکن الحکم بفسادها من ناحیة التخصیص و دلالة النهی علی انحصار ذی الأثر فیما عداه، و لا أقل من أصالة عدم ترتّب الأثر، لکنّه مع ذلک خارج عن العبادات و داخل فی المعاملات بالمعنی الأعمّ حسبما عرفت فیما تقدّم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3538557_2314609296"/>
      <w:bookmarkStart w:id="162" w:name="_Toc56"/>
      <w:bookmarkEnd w:id="161"/>
      <w:r>
        <w:rPr>
          <w:rtl w:val="true"/>
        </w:rPr>
        <w:t>[</w:t>
      </w:r>
      <w:r>
        <w:rPr>
          <w:rtl w:val="true"/>
        </w:rPr>
        <w:t>بیان نوع التقابل بین الصحّة و الفساد</w:t>
      </w:r>
      <w:r>
        <w:rPr>
          <w:rtl w:val="true"/>
        </w:rPr>
        <w:t>]</w:t>
      </w:r>
      <w:bookmarkEnd w:id="16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التقابل بین الصحّة و الفساد لیس تقابل الایجاب و السلب یقینا، بداهة أنّه لا یکون إلّا فی العدم و الوجود المحمولیین اللذین لا یخلو منهما ماهیة من الماهیات، و من الواضح أنّ الصحّة و الفساد لیسا کذلک، بل یحتاج صدقهما إلی فرض محلّ قابل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تقابل الصحّة و الفساد من قبیل تقابل العدم و الملکة، لا من قبیل تقابل النقیضین أعنی الایجاب و السلب، و لا من قبیل تقابل الضدّین الوجودیین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أنّ تقابلهما لیس من قبیل تقابل الضدّین الوجودیین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الصحّة و إن کانت أمرا وجودیا إلّا أنّ الفساد لیس بأمر وجودی، لعدم توقّفه علی إفاضة وجود، بل یکفی فیه عدم تحقّق موجب الصحّة، فیکون أمرا عدمیا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أنّه لیس تقابلهما من قبیل تقابل النقیضین أعنی الایجاب</w:t>
      </w:r>
    </w:p>
    <w:p>
      <w:pPr>
        <w:pStyle w:val="BookText"/>
        <w:rPr/>
      </w:pPr>
      <w:r>
        <w:rPr>
          <w:rFonts w:ascii="IRNazanin" w:hAnsi="IRNazanin" w:eastAsia="IRNazanin"/>
          <w:color w:val="111111"/>
          <w:sz w:val="28"/>
          <w:sz w:val="28"/>
          <w:szCs w:val="28"/>
          <w:rtl w:val="true"/>
          <w:lang w:bidi="fa-IR"/>
        </w:rPr>
        <w:t>و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ضابط تقابل النقیضین هو التقابل الراجع إلی تقابل الوجود و العدم المحمولیین اللاحقین لکلّ ماهیة، ممکنة کانت أو ممتنعة، فإنّ أی ماهیة من الماهیات إمّا أن تکون موجودة فیحمل علیها الوجود و إمّا أن تکون معدومة فیحمل علیها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تقابل العدم و الملکة فهو التقابل الراجع إلی تقابل الوجود و العدم النعتیین اللاحقین لما من شأنه الاتّصاف بالصفة الکذائیة، فإمّا أن یکون متّصفا بها و إمّا أن یکون غیر متّصف بها، و یکون مورد الاتّصاف بالصفة الکذائیة و عدم الاتّصاف بها هو الشی‌ء بعد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کون الشی‌ء صحیحا أو فاسدا لیس من النحو الأوّل، فإنّ الفساد و إن کان أمرا عدمیا و الصحّة أمرا وجودیا إلّا أنّهما لیسا محمولیین، بل هما نعتیان لاحقان للشی‌ء بعد وجوده، فإنّ الشی‌ء بعد وجوده إمّا أن یکون واجدا لوصف الصحّة، و إمّا أن یکون وصف الصحّة معدوما فیه مع کونه من شأنه أن یکون صحیحا، فیکون تقابلهما فیه تقابل العدم و الملکة لا تقابل النقیضین،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ربما قیل إنّ الصحّة أمر عدمی، بمعنی عدم طرو المفسد، و ذلک کما فی صحّة الأشیاء الطبیعیة مثل مزاج الإنسان أو الحیوان، لکن ذلک خارج عمّا نحن فیه، فإنّ الصحّة المبحوث عنها هی الجامعیة، و یقابلها الفساد بمعنی انفقاد بعض الأجزاء أو الشرائط، فتکون الصحّة وجودیة و الفساد عدمیا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قدّس سرّه أنّ الصحّة و الفساد الذی هو عبارة عن عدم الصحّة لا ریب فی کونهما من قبیل الوجود و العدم، إلّا أنّ ما یطرؤه الوجود</w:t>
      </w:r>
    </w:p>
    <w:p>
      <w:pPr>
        <w:pStyle w:val="BookText"/>
        <w:rPr/>
      </w:pPr>
      <w:r>
        <w:rPr>
          <w:rFonts w:ascii="IRNazanin" w:hAnsi="IRNazanin" w:eastAsia="IRNazanin"/>
          <w:color w:val="111111"/>
          <w:sz w:val="28"/>
          <w:sz w:val="28"/>
          <w:szCs w:val="28"/>
          <w:rtl w:val="true"/>
          <w:lang w:bidi="fa-IR"/>
        </w:rPr>
        <w:t>و العدم إن کان من الجواهر فلا ریب فی أنّ نسبة کلّ منهما إلیه إنّما تکون باعتباره فی نفسه، و حینئذ یکون الوجود و العدم بالقیاس إلیه من قبیل الوجود و العدم المحمولیین، و یکون تقابلهما فیه من قبیل تقابل الایجاب و السلب، و هو تقابل النقیضین، و یعبّر حینئذ عن ذلک الوجود بمفاد کان التامّة، و عن ذلک العدم بمفاد لیس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یطرؤه الوجود و العدم من الأعراض مثل القیام و القعود و نحو ذلک، فتارة یکون نسبة الوجود و العدم إلیه باعتباره فی نفسه، و یکون حاله من هذه الجهة حال الجوهر فی أنّ وجوده و عدمه من قبیل الوجود و العدم المحمولیین، و یکون تقابلهما فیه من تقابل الایجاب و السلب و تقابل النقیضین، و یکون مفاد الوجود فیه مفاد کان التامّة، و مفاد العدم فیه مفاد لیس التامّة، و تارة یکون نسبة الوجود و العدم إلیه لا باعتباره فی حدّ نفسه، بل باعتباره وجوده لمعروضه المعبّر عنه بالموضوع و المحل الذی یقوم فیه، بحیث یلاحظ القیام بالنسبة إلی الذات التی یتقوّم بها فیقال إنّه موجود لتلک الذات أو إنّه معدوم منها، و یعبّر عن ذلک بقیام زید مثلا و بعدم قیامه، و لا ریب أنّ وجود القیام لزید و عدمه له إنّما یکون بعد فرض وجود زید، فیقال کان زید قائما أو لیس قائما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یکون وجود القیام و عدمه نعتیین لکونهما مأخوذین نعتا لزید، و یعبّر عن الأوّل بمفاد کان الناقصة، و عن الثانی بمفاد لیس الناقصة، فیکون زید بعد فرض وجوده منعوتا بوجود القیام له أو منعوتا بعدم وجود القیام له، و حینئذ یکون تقابلهما فیه من قبیل تقابل العدم و الملکة، لا من قبیل تقابل النقیضین و الایجاب و السلب الصرفین، بل إنّ ذلک السلب ملحوظ فیه جهة إیجاب فی الجملة و هی لحاظ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ذلک السلب أعنی سلب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ثابتا و لا حقا</w:t>
      </w:r>
    </w:p>
    <w:p>
      <w:pPr>
        <w:pStyle w:val="BookText"/>
        <w:rPr/>
      </w:pPr>
      <w:r>
        <w:rPr>
          <w:rFonts w:ascii="IRNazanin" w:hAnsi="IRNazanin" w:eastAsia="IRNazanin"/>
          <w:color w:val="111111"/>
          <w:sz w:val="28"/>
          <w:sz w:val="28"/>
          <w:szCs w:val="28"/>
          <w:rtl w:val="true"/>
          <w:lang w:bidi="fa-IR"/>
        </w:rPr>
        <w:t>لزید بعد تحقّق وجود نفسه و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الفساد و إن کان هو عبارة عن عدم الصحّة، إلّا أنّهما لم یکونا ملحوظین فی حدّ أنفسهما، بمعنی أنّ الصحّة عارض من عوارض الماهیة القابلة للاتّصاف بها، إلّا أنّها لم تلاحظ فی حدّ نفسها فیقال إنّ الصحّة موجودة و إنّها معدومة، لیکون نسبة الوجود و العدم إلی نفس الصحّة من قبیل الوجود و العدم المحمولی، و یکون التقابل حینئذ تقابل النقیضین، بل إنّما لوحظت الصحّة فی ذلک منسوبة إلی الماهیة القابلة للاتّصاف بها، فیقال إنّ وصف الصحّة وجد لتلک الماهیة و أنّه انعدم منها، و حینئذ یکون الوجود و العدم فی ذلک نعتیا، و یکون التقابل بینهما تقابل العدم و الملکة، و یکون نفس تلک الماهیة هی مرکز ذلک التقابل، و یکون حال تلک الماهیة بینهما کحال زید بین قیامه و عدم قیامه فی کون تقابلهما فیه تقابل العدم و الملکة، و أنّهما بالنسبة إلیه من قبیل الوجود و العدم النعتیین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مزید الایضاح فی ذلک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الصحّة بما أنّها عرض من الأعراض قابلة لأن یلاحظ وجودها وجودا محمولیا، فیکون عدمها أیضا عدما محمولیا، إلّا أنّ عنوان الفساد لیس هو عبارة عن مجرّد ذلک العدم المحمولی، لیکون حاله حال عدم القیام فی امکان أخذه عدما صرفا محمولا علی القیام فیقال إنّ القیام معدوم، بل هو مشتمل علی جهة زائدة علی أصل ذلک العدم الصرف، إذ لیس مجرّد عدم الصحّة فسادا، بل الفساد إنّما هو عدم کون الشی‌ء صحیحا، فلا بدّ فیه من لحاظ نسبة ذلک العدم إلی شی‌ء هو قابل لأن یعرضه وصف الصحّة فیقال إنّ ذلک الشی‌ء انعدمت صحّته، و حینئذ یکون العدم المأخوذ مصداقا للفساد هو العدم النعتی، و یکون مقابله الذی هو وجود وصف الصحّة وجودا</w:t>
      </w:r>
    </w:p>
    <w:p>
      <w:pPr>
        <w:pStyle w:val="BookText"/>
        <w:rPr/>
      </w:pPr>
      <w:r>
        <w:rPr>
          <w:rFonts w:ascii="IRNazanin" w:hAnsi="IRNazanin" w:eastAsia="IRNazanin"/>
          <w:color w:val="111111"/>
          <w:sz w:val="28"/>
          <w:sz w:val="28"/>
          <w:szCs w:val="28"/>
          <w:rtl w:val="true"/>
          <w:lang w:bidi="fa-IR"/>
        </w:rPr>
        <w:t>نعتیا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کلّ أمر عدمی عبّر عنه صورة بعنوان وجودی مثل العمی، فإنّه و إن کان عدم البصر إلّا أنّه لیس هو عدم البصر بما أنّه عدم صرف، بل بما أنّه عدم البصر عن شی‌ء قابل لأن یتّصف بالبصر، فلا یکون إلّا عدما نعتیا، و لا یکون مقابله الذی هو وجود البصر إلّا وجودا نعتیا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فوصف وجود الصحّة إن قوبل بعدم الصحّة کان حاله حال القیام المقابل بعدم القیام فی امکان أخذهما محمولیین فیکون تقابلهما تقابل النقیضین، و إمکان أخذهما نعتیین فیکون تقابلهما تقابل العدم و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قوبل بالفساد لم یمکن أخذهما محمولیین، بل یتعیّن أخذهما نعتیین، و کان تقابلهما 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البصر، فإنّه إن قوبل بعدم البصر کان من الممکن أخذهما محمولیین فیکون تقابلهما تقابل النقیضین، و أخذهما نعتیین فیکون تقابلهما تقابل العدم و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قوبل بالعمی تعیّن کونهما نعتیین و کان التقابل بینهما تقابل العدم و الملکة، و امتنع کونهما من تقابل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مرکز التقابل هو الشی‌ء القابل للاتّصاف بذلک الوصف الوجودی و عدمه، بخلاف ما لو أخذا محمولیین فإنّ ذلک الشی‌ء المعروض لهما لا یکون مرکزا للمقابلة بینهما، بل یکونان متقابلین فی حدّ أنفسهما من دون لحاظ ما یعرضان علیه، بمعنی أنّ نفس ذلک العارض یتقابل فیه الوجود و العدم، لا أنّ وجود ذلک العارض یتقابل مع عدمه بالنسبة إلی المعروض، کی یکون کلّ منهما نعتا لذلک المعروض</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علی هذا الضابط أثر مهمّ فی باب استصحاب العدم بما هو مفاد لیس التامّة، أو بما هو مفاد لیس الناقصة</w:t>
      </w:r>
      <w:r>
        <w:rPr>
          <w:rFonts w:eastAsia="IRNazanin" w:cs="IRNazanin"/>
          <w:color w:val="111111"/>
          <w:sz w:val="28"/>
          <w:szCs w:val="28"/>
          <w:rtl w:val="true"/>
          <w:lang w:bidi="fa-IR"/>
        </w:rPr>
        <w:t>.</w:t>
      </w:r>
      <w:bookmarkStart w:id="163" w:name="pg19667_765184"/>
    </w:p>
    <w:p>
      <w:pPr>
        <w:pStyle w:val="BookText"/>
        <w:rPr/>
      </w:pPr>
      <w:bookmarkEnd w:id="163"/>
      <w:r>
        <w:rPr>
          <w:rFonts w:ascii="IRNazanin" w:hAnsi="IRNazanin" w:eastAsia="IRNazanin"/>
          <w:color w:val="111111"/>
          <w:sz w:val="28"/>
          <w:sz w:val="28"/>
          <w:szCs w:val="28"/>
          <w:rtl w:val="true"/>
          <w:lang w:bidi="fa-IR"/>
        </w:rPr>
        <w:t>و الذی یؤیّد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الصحّة لو قوبلت بالعدم کانت المقابلة بینهما من قبیل مقابلة النقیضین، بمعنی امکان لحاظ نفس وجود الصحّة وجودا محمولیا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صرّح به المرحوم الشیخ موسی فیما حرّره عن شیخنا قدّس سرّه فی هذا المقام،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کون التقابل بینهما تقابل الایجاب و السلب لأنّ التقابل کذلک إنّما هو فی المهیات، فإنّها هی المتّصفة بالوجود و العدم المحمولی، لا فی أوصاف الشی‌ء و أعراضه فإنّه یتّصف بالوجود و العدم النعتی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أنّ الصحّة لیست وجودا محمولیا، فإنّ العرض لو لوحظ بما أنّه شی‌ء یکون موجودا أو معدوما، و أمّا لو لوحظ بما أنّه عارض فیکون إمّا وصفا للشی‌ء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فالعدم و الملکة عبارة عن الایجاب و السلب إلّا أنّهما أضیق من الایجاب و السلب، فإنّ المعروض القابل لأن یعرضه وصف إذا عرضه الوصف فهو الملکة، و إذا لم یعرضه فهو العدم، کالعمی و البصر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المحل قابلا للانقسام، انتهی</w:t>
      </w:r>
      <w:r>
        <w:rPr>
          <w:rFonts w:eastAsia="IRNazanin" w:cs="IRNazanin"/>
          <w:color w:val="111111"/>
          <w:sz w:val="28"/>
          <w:szCs w:val="28"/>
          <w:rtl w:val="true"/>
          <w:lang w:bidi="fa-IR"/>
        </w:rPr>
        <w:t>.</w:t>
      </w:r>
    </w:p>
    <w:p>
      <w:pPr>
        <w:pStyle w:val="Heading4"/>
        <w:numPr>
          <w:ilvl w:val="3"/>
          <w:numId w:val="1"/>
        </w:numPr>
        <w:rPr/>
      </w:pPr>
      <w:bookmarkStart w:id="164" w:name="__RefHeading___Toc3538559_2314609296"/>
      <w:bookmarkStart w:id="165" w:name="_Toc57"/>
      <w:bookmarkEnd w:id="164"/>
      <w:r>
        <w:rPr>
          <w:rtl w:val="true"/>
        </w:rPr>
        <w:t>[</w:t>
      </w:r>
      <w:r>
        <w:rPr>
          <w:rtl w:val="true"/>
        </w:rPr>
        <w:t>الکلام فیما یقابل الصحّة من الفساد و العیب</w:t>
      </w:r>
      <w:bookmarkEnd w:id="16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مقابل الصحّة قد یکون هو الفساد فیراد منه عدم ترتّب الأثر علی الشی‌ء بالمرّة، و قد یکون هو المعیب فیراد منه عدم ترتّب الأثر بتلک المرتبة المرغوبة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لنا علی الثانی، و أمّا الأوّل فتارة یکون فی الأمور الخارجیة و أخری فی الأمور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کلام لنا علی الأوّل، و أمّا الثانی فمورده لیس الأمور البسیطة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الصحّة فی مقابل المعیب بمعنی الناقص عن مجراه العادی أو الطبیعی یمکن إن یتأتّی فی العبادات و المعاملات بأن تکون فاقدة لشرط أو</w:t>
      </w:r>
    </w:p>
    <w:p>
      <w:pPr>
        <w:pStyle w:val="BookText"/>
        <w:rPr/>
      </w:pPr>
      <w:r>
        <w:rPr>
          <w:rFonts w:ascii="IRNazanin" w:hAnsi="IRNazanin" w:eastAsia="IRNazanin"/>
          <w:color w:val="111111"/>
          <w:sz w:val="28"/>
          <w:sz w:val="28"/>
          <w:szCs w:val="28"/>
          <w:rtl w:val="true"/>
          <w:lang w:bidi="fa-IR"/>
        </w:rPr>
        <w:t>جزء، و ذلک موجب لسرایة الفساد إلی باقی الأجزاء و الشرائط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خارج عمّا نحن فیه من الفساد الآتی من ناحیة النهی فإنّه یکون موجبا لفساد المجموع ابتداء، من دون توسّط فقدان الجزء أو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العیب ربما لم یکن ساریا إلی الباقی، کما فی عیوب الحیوان و نحوه من الجواهر، و هذا لا تتّصف به المعاملات و العبادات إلّا علی القول بوضعها للأعمّ من الصحیح و الفاسد، فإنّهم إنّما یریدون بالفاسد فی ذلک النزاع هو الفاقد لبعض الأجزاء و الشرائط، و ذلک الفقدان یوجب انفقاد الماهیة بما أنّها مأمور بها، بل یوجب انفقاد نفس الماهیة بناء علی الوضع لخصوص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بالأعمّ فلا یکون موجبا لانفقاد أصل الماهیة الموضوع لها اللفظ، و إن لم یترتّب علیها الأثر المهم الذی هو اسقاط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المرحلة یکون العیب فیها کعیوب الحیوان فتأمّل، هذا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الفساد المدّعی فی باب النهی عن العبادة أو المعاملة لیس إلّا عبارة عن فقدان أهمّ شروطهما، و هو إمکان التقرّب فی العبادة و السلطنة فی المعاملة، فإنّ النهی عن العبادة یوجب مبغوضیتها و عدم إمکان التقرّب بها الذی هو أهمّ شروطها، و النهی عن المعاملة یوجب سلب السلطنة فی عالم التشریع علیها، و هی أیضا أهمّ شروطها، و 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أن یکون ذلک المنهی عنه مرکّبا کی یکون النهی عنه موجبا لفقدانه لهذین الشرطین، حیث إنّ کلامنا إنّما هو فی الفساد الآتی ابتداء من ناحیة النهی، أمّا الفساد فی العبادة الآتی من ناحیة کون النهی مخصّصا للأمر بها خطابا و ملاکا فهو لا یتوقّف علی کونها مرکّبة، إذ لو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عبادة بسیطة اتّفق تعلّق النهی ببعض</w:t>
      </w:r>
    </w:p>
    <w:p>
      <w:pPr>
        <w:pStyle w:val="BookText"/>
        <w:rPr/>
      </w:pPr>
      <w:r>
        <w:rPr>
          <w:rFonts w:ascii="IRNazanin" w:hAnsi="IRNazanin" w:eastAsia="IRNazanin"/>
          <w:color w:val="111111"/>
          <w:sz w:val="28"/>
          <w:sz w:val="28"/>
          <w:szCs w:val="28"/>
          <w:rtl w:val="true"/>
          <w:lang w:bidi="fa-IR"/>
        </w:rPr>
        <w:t>أفرادها أو بعض أنواعها، لکان ذلک النهی موجبا لخروج متعلّقه عن عموم ذلک الأمر، و هو کاف فی الحکم بفسادها، إلّا أنّه من ناحیة الأمر و کون العبادة بدونه تشریعا محرّما، و هو خارج عن محلّ کلامنا من کون النهی موجبا للفساد مع قطع النظر عن کونها خارجة عن عموم الأمر و عن کونها تشریعا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المعاملات فیما لو قلنا بأنّها أسماء للمسبّبات البسیطة، فإنّ النهی عن بعض أنواعها لو فرضنا کونه مخصّصا للعموم الوارد فی مشروعیة تلک المعاملة من دلیل الحلّیة و النفوذ، إلّا أنّه خارج عمّا نحن فیه من کون النهی بنفسه موجبا لفسادها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حرّرناه سابقا، و فیه تأمّل، لأنّ المبغوضیة إنّما توجب الفساد لأنّ العبادة یعتبر فیها عدم المبغوضیة فکانت مرکّبة، و کان النهی موجبا لفقدان ذلک القید و هو عدم المبغوضیة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تمّ ذلک فی ناحیة المبغوضیة فهو جار فی ناحیة التخصیص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العبادة لا بدّ فی صحّتها من وجود الأمر و الملاک، و هذا النهی یوجب فقدان هذا القید أعنی الأمر و الملاک، فتفسد لفقد بعض الشرائط</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المعاملة بعد فرض کونها مقیّدة بالسلطنة، و یکون النهی عنها موجبا لفقدان ذلک القید، فلو قلنا إنّها اسم للمسبّب المفروض کونه بسیطا لا یکون ذلک موجبا لخروجها عمّا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فی کونها کذلک إشکالات أخر، نحتاج إلی دفعها بما حرّر فی محلّه </w:t>
      </w:r>
      <w:r>
        <w:rPr>
          <w:rStyle w:val="FootnoteAnchor"/>
          <w:rtl w:val="true"/>
        </w:rPr>
        <w:footnoteReference w:id="355"/>
      </w:r>
      <w:r>
        <w:rPr>
          <w:rFonts w:ascii="IRNazanin" w:hAnsi="IRNazanin" w:eastAsia="IRNazanin"/>
          <w:color w:val="111111"/>
          <w:sz w:val="28"/>
          <w:sz w:val="28"/>
          <w:szCs w:val="28"/>
          <w:rtl w:val="true"/>
          <w:lang w:bidi="fa-IR"/>
        </w:rPr>
        <w:t>من عدم کونها من قبیل الأسباب و المسبّبات، بل هی من قبیل الآلة و ذی الآلة</w:t>
      </w:r>
      <w:r>
        <w:rPr>
          <w:rFonts w:eastAsia="IRNazanin" w:cs="IRNazanin"/>
          <w:color w:val="111111"/>
          <w:sz w:val="28"/>
          <w:szCs w:val="28"/>
          <w:rtl w:val="true"/>
          <w:lang w:bidi="fa-IR"/>
        </w:rPr>
        <w:t>.</w:t>
      </w:r>
      <w:bookmarkStart w:id="166" w:name="pg19667_765187"/>
    </w:p>
    <w:p>
      <w:pPr>
        <w:pStyle w:val="Heading4"/>
        <w:numPr>
          <w:ilvl w:val="3"/>
          <w:numId w:val="1"/>
        </w:numPr>
        <w:rPr/>
      </w:pPr>
      <w:bookmarkStart w:id="167" w:name="__RefHeading___Toc3538561_2314609296"/>
      <w:bookmarkStart w:id="168" w:name="_Toc58"/>
      <w:bookmarkEnd w:id="166"/>
      <w:bookmarkEnd w:id="167"/>
      <w:r>
        <w:rPr>
          <w:rtl w:val="true"/>
        </w:rPr>
        <w:t>[</w:t>
      </w:r>
      <w:r>
        <w:rPr>
          <w:rtl w:val="true"/>
        </w:rPr>
        <w:t>مناقشة مع السیّد الخوئی قدّس سرّه فی اتّصاف المعاملات بالصحّة و الفساد</w:t>
      </w:r>
      <w:r>
        <w:rPr>
          <w:rtl w:val="true"/>
        </w:rPr>
        <w:t>]</w:t>
      </w:r>
      <w:bookmarkEnd w:id="168"/>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بحث الصحیح و الأعمّ أنّه لیس انشاء الملکیة مثلا عبارة عن إیجادها خارجا لما مرّ من أنّ الملکیة الشرعیة غیر قابلة لتعلّق الایجاد بها من غیر الشارع، مع أنّ المتبایعین ربما لا یلتفتان إلیها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یدّع شیخنا قدّس سرّه أنّ المجعول للمتبایعین هو الملکیة الشرعیة، و إنّما جلّ کلامه هو أنّ المجعول لهما إنّما هو الملکیة الانشائیة التی تکون هی محلّ الامضاء الشرعی أو عدم الامضاء، فإنّ الملکیة من الاضافات القابلة للجعل بالانشاء، و بجعلها انشاء تنجعل فی وعائها من عالم الاعتبار العقلائی الذی جری علیه العقلاء، و لیست هی إلّا من قبیل التکلیف الذی ینجعل بالجعل ممّن له الجعل، غایته أنّ الجاعل فی باب التکالیف الشرعیة لما کان هو المشرّع لم یحتج إلی امضاء ممض، بخلاف الملکیة المجعولة انشاء من قبل العاقد، فإنّها و إن تحقّقت فی عالم الانشاء إلّا أنّ ذلک لا یکفی ما لم یمضها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مجرّد اعتبار المالک لا یکفی فی تحقّقها فی وعاء الانشاء ما لم یکن فی البین انشاء و جعل، بل لا بدّ فی ذلک من إنشاء و جعل و لو کان ذلک بقوله جعلت الملکیة، أو کان بفعل من الأفعال التی تکون موجدة لها، و یکون جمیع ما تنشأ به تلک الملکیة من قبیل آلة إیجادها، و یکون نسبة الانشاء الذی هو إیجاد تلک الملکیة إلی نفس الملکیة التی وجدت فی عالم الانشاء من قبیل الایجاد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یدّع شیخنا قدّس سرّه أنّ نفس اللفظ یکون إیجادا لها کی یتوجّه علیه قول المحشی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یعقل أن یکون وجود اللفظ إیجادا للملکیة الخ</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لک ما فی قول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الملکیة الاعتباریة القائمة</w:t>
      </w:r>
    </w:p>
    <w:p>
      <w:pPr>
        <w:pStyle w:val="BookText"/>
        <w:rPr/>
      </w:pPr>
      <w:r>
        <w:rPr>
          <w:rFonts w:ascii="IRNazanin" w:hAnsi="IRNazanin" w:eastAsia="IRNazanin"/>
          <w:color w:val="111111"/>
          <w:sz w:val="28"/>
          <w:sz w:val="28"/>
          <w:szCs w:val="28"/>
          <w:rtl w:val="true"/>
          <w:lang w:bidi="fa-IR"/>
        </w:rPr>
        <w:t>بهما بالمباشرة فاعتبارها منهما لا یحتاج إلی سبب أو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ظهر لک أنّ الملکیة المجعولة للمتعاقدین لا بدّ فی جعلها من آلة تجعل بها فی عالم الانشاء، و لیس مجرّد البناء علی جعلها کافیا فی انجعالها، بل لا بدّ فی ذلک من آلة تکون آلة فی انشائها و جعلها، و یکون ذلک کافیا فی تحقّقها لدی العقلاء و فی ترتیب الأثر علیها عندهم، فإن أمضاه الشارع علی ما هو علیه عندهم فهو و حینئذ تکون الملکیة صحیحة عنده، و إلّا کانت تلک الملکیة التی اعتبروها غیر کافیة عنده فی عالم التشریع و کانت فاسدة من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اعتبر فی کیفیة انشائها أو فی آلة انشائها أو فی المتعاقدین أنفسهما أو فی أحد العوضین أو کلیهما أمورا أخر غیر ما هو عند العقلاء، کان جمیع ما هو فاقد لذلک فاسدا عنده، و حینئذ یکون مرکز الصحّة و الفساد هو نفس ذلک الانشاء و الجعل و لو باعتبار الخلل فی آلته و نحوها ممّا عرفت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المسبّب إذا کان هو الملکیة الشرعیة فهی لا تتّصف بالصحّة و الفساد، و إنّما تتّصف بالوجود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نفس الملکیة الانشائیة التی أوجدها المتعاقدان فی عالم الانشاء فهی تتّصف بذلک لا باعتبارها بنفسها، بل باعتبار إیجادها بآلتها و ما یرجع إلی آلتها من المتعاقدین أو العوضین، باعتبار جامعیة هذه الأمور لما اعتبره الشارع فی ترتیب الأثر عنده فی عالم التشریع، و اسم المعاملة کلفظ البیع إنّما هو موضوع لنفس ذلک النقل الانشائی الذی یوجده المتعاقدان، أعنی مبادلة المال بالمال، فتارة یؤخذ بمعناه الاسم المصدری و أخری یؤخذ بمعناه المصدری، أعنی أنّه یلاحظ فیه جهة صدوره من المتعاقدین التی هی عین انشائه، و هو فی هذه المرحلة و من هذه الناحیة یتّصف بالصحّة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الألفاظ المذکورة و إن قلنا إنّها موضوعة للصحیح إلّا أنّها لو</w:t>
      </w:r>
      <w:bookmarkStart w:id="169" w:name="pg19667_765189"/>
    </w:p>
    <w:p>
      <w:pPr>
        <w:pStyle w:val="BookText"/>
        <w:rPr/>
      </w:pPr>
      <w:bookmarkEnd w:id="169"/>
      <w:r>
        <w:rPr>
          <w:rFonts w:ascii="IRNazanin" w:hAnsi="IRNazanin" w:eastAsia="IRNazanin"/>
          <w:color w:val="111111"/>
          <w:sz w:val="28"/>
          <w:sz w:val="28"/>
          <w:szCs w:val="28"/>
          <w:rtl w:val="true"/>
          <w:lang w:bidi="fa-IR"/>
        </w:rPr>
        <w:t xml:space="preserve">وردت مطلقة و کان إطلاقها فی مقام البیان، نستکشف أنّ الشارع لم یعتبر فیها شیئا زائدا علی ما یعتبره العقلاء فیها، فلاحظ و تأمّل، و راجع ما حرّرناه فی هذه المسألة فی مبحث الصحیح و الأعمّ </w:t>
      </w:r>
      <w:r>
        <w:rPr>
          <w:rStyle w:val="FootnoteAnchor"/>
          <w:rtl w:val="true"/>
        </w:rPr>
        <w:footnoteReference w:id="357"/>
      </w:r>
      <w:r>
        <w:rPr>
          <w:rFonts w:ascii="Amiri" w:hAnsi="Amiri" w:eastAsia="Amiri" w:cs="Amiri"/>
          <w:color w:val="111111"/>
          <w:sz w:val="28"/>
          <w:sz w:val="28"/>
          <w:szCs w:val="28"/>
          <w:rtl w:val="true"/>
          <w:lang w:bidi="ar-SA"/>
        </w:rPr>
        <w:t>و تأمّل</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3538563_2314609296"/>
      <w:bookmarkStart w:id="171" w:name="_Toc59"/>
      <w:bookmarkEnd w:id="170"/>
      <w:r>
        <w:rPr>
          <w:rtl w:val="true"/>
        </w:rPr>
        <w:t>[</w:t>
      </w:r>
      <w:r>
        <w:rPr>
          <w:rtl w:val="true"/>
        </w:rPr>
        <w:t>تعالیق علی کلمات لصاحب الکفایة قدّس سرّه فی معنی الصحّة و الفساد</w:t>
      </w:r>
      <w:r>
        <w:rPr>
          <w:rtl w:val="true"/>
        </w:rPr>
        <w:t>]</w:t>
      </w:r>
      <w:bookmarkEnd w:id="171"/>
    </w:p>
    <w:p>
      <w:pPr>
        <w:pStyle w:val="BookText"/>
        <w:rPr/>
      </w:pPr>
      <w:r>
        <w:rPr>
          <w:rFonts w:ascii="IRNazanin" w:hAnsi="IRNazanin" w:eastAsia="IRNazanin"/>
          <w:color w:val="111111"/>
          <w:sz w:val="28"/>
          <w:sz w:val="28"/>
          <w:szCs w:val="28"/>
          <w:rtl w:val="true"/>
          <w:lang w:bidi="fa-IR"/>
        </w:rPr>
        <w:t>قوله قدّس سرّه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و هو أنّه لا شبهة فی أنّ الصحّة و الفساد عند المتکلّم وصفان اعتباریان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ما أفاده قدّس سرّه فی هذا التنبیه مخالف لما تقدّم </w:t>
      </w:r>
      <w:r>
        <w:rPr>
          <w:rStyle w:val="FootnoteAnchor"/>
          <w:rtl w:val="true"/>
        </w:rPr>
        <w:footnoteReference w:id="359"/>
      </w:r>
      <w:r>
        <w:rPr>
          <w:rFonts w:ascii="IRNazanin" w:hAnsi="IRNazanin" w:eastAsia="IRNazanin"/>
          <w:color w:val="111111"/>
          <w:sz w:val="28"/>
          <w:sz w:val="28"/>
          <w:szCs w:val="28"/>
          <w:rtl w:val="true"/>
          <w:lang w:bidi="fa-IR"/>
        </w:rPr>
        <w:t>من کون الصحّة و الفساد لا یختلف حالهما باختلاف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فإنّ نظره قدّس سرّه فی هذا التنبیه إلی نفس الأثر المترتّب علی الصحّة و الفساد، فالأثر الذی هو مهمّة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 موافقة الشریعة أو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انتزاعیا صرفا ناشئا عن مطابقة الفعل لما هو المأمور به و عدم مطابقته له، و الأثر المهمّ للفقیه الذی هو عبارة عن إسقاط الاعادة و القضاء لا یکون أمرا انتزاعیا، و لا حکما شرعیا مجعولا ابتداء أو تبعا لجعل شرعی، لیکون نظیر الجزئیة المجعولة فی نظره تبعا لجعل الأمر بالکل المشتمل علی ذلک الجزء، بل لا یکون هذا الأثر إلّا حکما عقلیا صرفا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فی نسبة کلّ فعل إلی أمره المتعلّق به، أمّا بالنسبة إلی غیره کالفعل الاضطراری بالنسبة إلی الأمر الواقعی الأوّلی و المأتی به مطابقا للأمر الظاهری بالنسبة إلی الأمر الواقعی مع فرض قیام الدلیل علی الإجزاء، فلا یکون ذلک الأثر الذی هو إسقاط الاعادة و القضاء بالنسبة إلی ذلک الأمر الواقعی الأوّلی إلّا حکما</w:t>
      </w:r>
    </w:p>
    <w:p>
      <w:pPr>
        <w:pStyle w:val="BookText"/>
        <w:rPr/>
      </w:pPr>
      <w:r>
        <w:rPr>
          <w:rFonts w:ascii="IRNazanin" w:hAnsi="IRNazanin" w:eastAsia="IRNazanin"/>
          <w:color w:val="111111"/>
          <w:sz w:val="28"/>
          <w:sz w:val="28"/>
          <w:szCs w:val="28"/>
          <w:rtl w:val="true"/>
          <w:lang w:bidi="fa-IR"/>
        </w:rPr>
        <w:t>شرعیا، هذا حال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المعاملات فحیث إنّ أثرها هو المسبّب و هو لا یکون إلّا حکما شرعیا، فلا جرم تکون الصحّة بالقیاس إلیه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لوحظت الآثار المترتّبة علی الصحّة فالظاهر کما أفاده قدّس سرّه، إلّا فی خصوص کون اسقاط الأمر الواقعی الأوّلی مجعولا، فإنّه لیس الاسقاط بمجعول مع فرض بقاء الشرطیة و الجزئیة بحالهما، بل إن التصرّف الشرعی إنّما هو فی اسقاط الجزئیة و الشرطیة، و حینئذ یکون الأثر المترتّب علی الفاقد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کونه مسقطا للاعادة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عقلیا صرفا، لکون أمره الواقعی قد تبدّل إلی ذلک الفاقد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الصحّة نفسها فلا تکون إلّا عبارة عن التمامیة و واجدیة جمیع ما هو منشأ الأثر المترتّب علیها، و لا تکون إلّا انتزاعیة 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قدّس سرّه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الصحّة و الفساد فی الموارد الخاصّة لا یکاد یکونان مجعولین، بل إنّما هی تتّصف بهما بمجرّد الانطباق علی ما هو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أنّا و لو فسّرنا الصحّة بمعنی إسقاط الاعادة و القضاء فلیست هی وصفا للکلّی المأمور به، فإنّ ذلک الکلّی الطبیعی لا یتّصف بصحّة و لا فساد، و إنّما المتّصف بذلک هو مصداقه الخارجی، و حینئذ فالذی نحکم علیه شرعا بأنّه مسقط للأمر الواقعی لیس هو کلّی ما تعلّق به الأمر الظاهری، فإنّ ذلک الکلّی فی حدّ نفسه لا یسقط الأمر الواقعی، و إنّما الذی یسقطه هو هذا الفعل الخارجی الذی وقع علی طبق الأمر الظاهری، و یکون ما هو موضوع إسقاط الأمر الواقعی هو متعلّق الأمر الظاهری، و یکون ذلک المتعلّق مأخوذا فی الحکم بالاسقاط علی</w:t>
      </w:r>
    </w:p>
    <w:p>
      <w:pPr>
        <w:pStyle w:val="BookText"/>
        <w:rPr/>
      </w:pPr>
      <w:r>
        <w:rPr>
          <w:rFonts w:ascii="IRNazanin" w:hAnsi="IRNazanin" w:eastAsia="IRNazanin"/>
          <w:color w:val="111111"/>
          <w:sz w:val="28"/>
          <w:sz w:val="28"/>
          <w:szCs w:val="28"/>
          <w:rtl w:val="true"/>
          <w:lang w:bidi="fa-IR"/>
        </w:rPr>
        <w:t>نحو القضیة الحقیقیة، بأن یقول إنّ ما تأتی به امتثالا للأمر الواقعی یکون محکوما علیه عندی بأنّه مسقط للأمر الواقعی، فلا یکون الاسقاط المذکور لا حقا لما هو متعلّق الأمر الظاهری إلّا بعد فرض وجوده خارجا، کما هو الشأن فی القضایا و الأحکام التی لا تکون إلّا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لو قلنا إنّ الصحّة بمعنی الاسقاط، و أنّ الاسقاط فی ذلک یکون مجعولا شرعا، یکون المتّصف بهذه الصحّة هو الفعل الخارجی، و تکون صحّته شرعیة لا انتزاعیة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یتّضح لک التأمّل فیما أفاده قدّس سرّه بعد هذا فی المعاملات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صحّة کلّ معاملة شخصیة و فسادها لیس إلّا لأجل انطباقها مع ما هو المجعول سببا و عدمه الخ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الصحّة لو أخذت بمعنی ترتّب الملکیة فالشارع لم یجعل علی طبیعة العقد، بل إنّما جعل الملکیة علی تقدیر تحقّق العقد، فیکون المتّصف بالصحّة المذکورة هو العقد بعد وجوده لا قبل وجوده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قدّس سرّه من قیاس المقام بمقام متعلّق التکلیف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التکلیفیة من الأحکام، ضرورة أنّ اتّصاف المأتی به بالوجوب أو الحرمة أو غیرهما لیس إلّا لانطباقه مع ما هو الواجب أو الحرام،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تأمّل، فإنّه علی الظاهر قیاس مع الفارق، حیث إنّ التکلیف کالوجوب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یعرض المتعلّق کالصلاة قبل وجودها، فهی قبل الوجود متّصفة بالوجوب، و لا بدّ حینئذ من أن نقول إنّما تتّصف هذه الصلاة الخارجیة بالوجوب لأجل انطباقها مع ذلک الذی طرأ علیه الوجوب و هو طبیعة الصلاة، و هذا هو الشأن فی متعلّقات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أین ذلک ممّا نحن فیه ممّا یکون من قبیل الموضوعات للحکم الشرعی، التی لا تکون مأخوذة إلّا علی نحو القضیة الحقیقیة، علی وجه أنّ ذلک</w:t>
      </w:r>
      <w:bookmarkStart w:id="172" w:name="pg19667_765192"/>
    </w:p>
    <w:p>
      <w:pPr>
        <w:pStyle w:val="BookText"/>
        <w:rPr/>
      </w:pPr>
      <w:bookmarkEnd w:id="172"/>
      <w:r>
        <w:rPr>
          <w:rFonts w:ascii="IRNazanin" w:hAnsi="IRNazanin" w:eastAsia="IRNazanin"/>
          <w:color w:val="111111"/>
          <w:sz w:val="28"/>
          <w:sz w:val="28"/>
          <w:szCs w:val="28"/>
          <w:rtl w:val="true"/>
          <w:lang w:bidi="fa-IR"/>
        </w:rPr>
        <w:t>الحکم لا یکون فعلیا و لا یتحقّق خارجا إلّا بعد وجود ذلک الموضوع خارجا، و لا یتّصف ذلک الکلّی المأخوذ موضوعا بذلک الحکم اتّصافا فعلیا إلّا بعد وجوده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قبل وجوده لیس إلّا الحکم التعلیقی الذی نعبّر عنه بالشرطیة اللزومیة القائلة إنّه لو وجد هذا الموضوع لکان محکوما علیه بکذا، فتأمّل</w:t>
      </w:r>
      <w:r>
        <w:rPr>
          <w:rFonts w:eastAsia="IRNazanin" w:cs="IRNazanin"/>
          <w:color w:val="111111"/>
          <w:sz w:val="28"/>
          <w:szCs w:val="28"/>
          <w:rtl w:val="true"/>
          <w:lang w:bidi="fa-IR"/>
        </w:rPr>
        <w:t>.</w:t>
      </w:r>
    </w:p>
    <w:p>
      <w:pPr>
        <w:pStyle w:val="Heading4"/>
        <w:numPr>
          <w:ilvl w:val="3"/>
          <w:numId w:val="1"/>
        </w:numPr>
        <w:rPr/>
      </w:pPr>
      <w:bookmarkStart w:id="173" w:name="__RefHeading___Toc3538565_2314609296"/>
      <w:bookmarkStart w:id="174" w:name="_Toc60"/>
      <w:bookmarkEnd w:id="173"/>
      <w:r>
        <w:rPr>
          <w:rtl w:val="true"/>
        </w:rPr>
        <w:t>[</w:t>
      </w:r>
      <w:r>
        <w:rPr>
          <w:rtl w:val="true"/>
        </w:rPr>
        <w:t>هل الصحّة و الفساد مجعولان أو غیر مجعولین؟</w:t>
      </w:r>
      <w:r>
        <w:rPr>
          <w:rtl w:val="true"/>
        </w:rPr>
        <w:t>]</w:t>
      </w:r>
      <w:bookmarkEnd w:id="17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بضمیمة ما ذکرنا فی باب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لک أنّ الصحّة فی موارد الأوامر الواقعیة الثانویة غیر قابلة للجعل حتّی بالنسبة إلی الأمر الواقعی الأوّلی أیضا، و أمّا الصحّة و الفساد فی موارد الأوامر الظاهریة بالنسبة إلی الأوامر الواقعیة فالحقّ أنّهما مجعولان بنفسهما قبل انکشاف الخلاف 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 فیما حرّرته عنه فی أثناء البحث علی کون الصحّة و الفساد مجعولین أو غیر مجعولین عند تعرّضه لصورة الاضطرار ما هذا لفظه حسبما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الواقعی فی حال الاضطرار یتبدّل و ینقلب إلی الأمر الاضطراری، لسقوط کلّ جزء أو شرط اضطرّ إلی ترکه، لم تکن الصحّة و الفساد قابلین للجعل، إذ لیست الصحّة حینئذ و الفساد إلّا عبارة عن مطابقة المأتی به لذلک الکلّی المأمور به الثانوی، أمّا الواقعی الأوّلی فقد سقط، و لا أثر لمطابقة المأتی به له و عدم مطابقته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الواقعی الأوّلی لم یسقط، بمعنی أنّه لم یتبدّل إلی الواقعی الثانوی، و أنّ غایة ما فی الباب هو اکتفاء الشارع بذلک المأتی به عن الواقعی الأوّلی، کان الحکم بالاکتفاء بذلک المأتی به عن ذلک الواقعی الأوّلی عبارة عن</w:t>
      </w:r>
    </w:p>
    <w:p>
      <w:pPr>
        <w:pStyle w:val="BookText"/>
        <w:rPr/>
      </w:pPr>
      <w:r>
        <w:rPr>
          <w:rFonts w:ascii="IRNazanin" w:hAnsi="IRNazanin" w:eastAsia="IRNazanin"/>
          <w:color w:val="111111"/>
          <w:sz w:val="28"/>
          <w:sz w:val="28"/>
          <w:szCs w:val="28"/>
          <w:rtl w:val="true"/>
          <w:lang w:bidi="fa-IR"/>
        </w:rPr>
        <w:t>تنزیله منزلة المنطبق علیه، و حینئذ تکون الصحّة مجعولة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الظاهری فیقع الکلام فیه تارة قبل انکشاف الخلاف و أخری بعده، أمّا قبل الانکشاف فبناء علی ما حقّقناه فی محلّه من أنّ الحکم الظاهری عبارة عن التنزیل الشرعی و جعل الهوهویة یکون مرجعه إلی جعل المأتی به بالأمر الظاهری منطبقا علی الکلّی الواقعی، فتکون الصحّة و کذلک الفساد فی هذه المرحلة مجعولة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انکشاف الخلاف فقد حقّقنا فی محلّه أنّ مجرّد الحکم الظاهری لا یقتضی الاجزاء بعد انکشاف الخلاف، فلا یتصوّر حینئذ الصحّة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دلّ الدلیل علی الاجزاء فی هذه المرحلة کان مرجعه إلی التصرّف فی مقام الامتثال و الحکم الشرعی بانطباق ذلک المأتی به علی ذلک الکلّی الواقعی، فتکون الصحّة فی هذه المرحلة مجعولة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ما حرّرته عنه قدّس سرّه فی هذا البحث، و هو مفصّل فإن شئت فراجعه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یظهر من هذا التحریر و من هذه الکلمات التی حرّرتها عنه قدّس سرّه أنّ شیخنا قدّس سرّه أخذ الصحّة من حیث مطابقة الفعل لما هو المأمور به أو لما هو المشرّع، و هذه المطابقة تکون انتزاعیة صرفة إلّا فی الفعل المأمور به بالأمر الظاهری بالنسبة إلی ما هو المأمور به واقعا، فإنّ هذه المطابقة لا تکون إلّا بحکم الشارع بتنزیل المأتی به منزلة الواجد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المطلب بعد محتاج إلی التأمّل، أمّا بالنسبة إلی الأمر الظاهری قبل انکشاف الخلاف فلأنّ مرجع الأمر الظاهری إلی تنقیح ما هو المأمور به واقعا، و بعد تنقیحه بالأمر الظاهری یکون انطباق المأتی به علی ذلک المأمور به الواقعی الثابت بدلیل الأمر الظاهری انطباقا قهریا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دخل له بالجعل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بالنسبة إلی ما بعد انکشاف الخلاف فلأنّ مرجع الحکم بالإجزاء إن کان بلسان إسقاط الجزء أو الشرط الذی کان المأتی به فاقدا له کان انطباقه علی المأمور به انطباقا قهریا، و کذلک لو قلنا إنّ مرجع الإجزاء إلی تنزیل الفاقد منزلة الواجد، إذ لا محصّل لذلک التنزیل بعد انکشاف الخلاف إلّا إسقاط لزوم ذلک الذی انفقد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بأنّ الإجزاء من باب اکتفاء الشارع بالفاقد کما أفاده قدّس سرّه فی أواخر البراءة فقد شرحنا هناک </w:t>
      </w:r>
      <w:r>
        <w:rPr>
          <w:rStyle w:val="FootnoteAnchor"/>
          <w:rtl w:val="true"/>
        </w:rPr>
        <w:footnoteReference w:id="364"/>
      </w:r>
      <w:r>
        <w:rPr>
          <w:rFonts w:ascii="IRNazanin" w:hAnsi="IRNazanin" w:eastAsia="IRNazanin"/>
          <w:color w:val="111111"/>
          <w:sz w:val="28"/>
          <w:sz w:val="28"/>
          <w:szCs w:val="28"/>
          <w:rtl w:val="true"/>
          <w:lang w:bidi="fa-IR"/>
        </w:rPr>
        <w:t>أنّه لا یمکن إلّا بأن یکون ذلک الفاقد مفوّتا لمصلحة الواجد، و موجبا لعدم إمکان استیفائها، و معه لا صحّة أصلا کی نتکلّم فی کونها مجعولة أو منتزعة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کلّه یظهر الحال فی الأوامر الاضطراریة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بعد هذا الذی تقدّم ممّا یظهر منه أنّ الصحّة فی موارد الحکم الظاهری و فی موارد الاجزاء تکون مجعولة، أفاد حسبما حرّرته عنه توضیحا أو استدراکا لما تقدّم بما هذا لفظه حسبما حرّرته عنه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دائما انتزاعیة، و إنّما الاختلاف فیما تنتزع عنه، فما ینتزع عنه صحّة کلّ مأتی به بالنسبة إلی کلیّه الواقع فی درجته یکون واقعیا لا تناله ید الجعل، و ما ینتزع عنه صحّة المأتی به بالنسبة إلی کلّی آخر، أعنی ذلک الحکم الشرعی الوارد علی ذلک المصداق بأنّه مطابق للکلّی الواقعی الأوّلی یکون مجعولا للشارع، انتهی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بنحو ذلک صرّح المرحوم الشیخ محمّد علی فی هذا المقام، فإنّه قال فیما حرّره عنه قدّس سرّه بعد ذکره الخلاف فی کونهما مجعولین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کونهما من الأمور الانتزاعیة مطلقا فی العبادات و المعاملات، کالسببیة و الشرطیة و الجزئیة و المانعیة، و إنّما المجعول هو منشأ الانتزاع، و هذا لیس علی اطلاقه، بل ربما یکون منشأ الانتزاع أیضا غیر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 تفصیل ذلک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الصحّة و الفساد أینما کانا فإنّما یکونان من الانتزاعیات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یکون منشأ الانتزاع أیضا غیر مجعول، موارد الفعل بالنسبة إلی أمره المتعلّق به لا بالنسبة إلی أمر آخر، فإنّ منشأ الانتزاع فی الأوّل کنفس عنوان الصحّة المنتزع غیر مجعول،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صرّح بذلک کلّه فی باب الاستصحاب ص </w:t>
      </w:r>
      <w:r>
        <w:rPr>
          <w:rFonts w:eastAsia="IRNazanin" w:cs="IRNazanin"/>
          <w:color w:val="111111"/>
          <w:sz w:val="28"/>
          <w:szCs w:val="28"/>
          <w:lang w:bidi="fa-IR"/>
        </w:rPr>
        <w:t>146</w:t>
      </w:r>
      <w:r>
        <w:rPr>
          <w:rStyle w:val="FootnoteAnchor"/>
          <w:rtl w:val="true"/>
        </w:rPr>
        <w:footnoteReference w:id="366"/>
      </w:r>
      <w:r>
        <w:rPr>
          <w:rFonts w:ascii="IRNazanin" w:hAnsi="IRNazanin" w:eastAsia="IRNazanin"/>
          <w:color w:val="111111"/>
          <w:sz w:val="28"/>
          <w:sz w:val="28"/>
          <w:szCs w:val="28"/>
          <w:rtl w:val="true"/>
          <w:lang w:bidi="fa-IR"/>
        </w:rPr>
        <w:t xml:space="preserve">فراجعه بما علّقناه علیه </w:t>
      </w:r>
      <w:r>
        <w:rPr>
          <w:rStyle w:val="FootnoteAnchor"/>
          <w:rtl w:val="true"/>
        </w:rPr>
        <w:footnoteReference w:id="367"/>
      </w:r>
      <w:r>
        <w:rPr>
          <w:rFonts w:ascii="IRNazanin" w:hAnsi="IRNazanin" w:eastAsia="IRNazanin"/>
          <w:color w:val="111111"/>
          <w:sz w:val="28"/>
          <w:sz w:val="28"/>
          <w:szCs w:val="28"/>
          <w:rtl w:val="true"/>
          <w:lang w:bidi="fa-IR"/>
        </w:rPr>
        <w:t>و کذلک صرّح المرحوم الشیخ موسی فیما عثرت علیه من تحریراته عنه قدّس سرّه فی هذا المقام، فإنّه بعد تعرّضه للصحّة فی مورد الأمر الظاهری قبل انکشاف الخلاف و لها فیه بعد انکشاف الخلاف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فالحقّ أنّهما منتزعان فی خصوص هذین الموردین، و أمّا فی غیرهما فلا هما مجعولان متأصلا و لا انتزاعا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هذا کلّه فالمطلب بعد یحتاج إلی التأمّل، فإنّ الشارع فی مورد انکشاف الخلاف إن أسقط جزئیة الجزء المفقود کانت الصحّة غیر مجعولة کمنشإ انتزاعها، و کان حال ذلک الفاقد فی کون صحّته انتزاعیة و کون منشأ انتزاعها غیر مجعول حال المأمور به الواقعی بالنسبة إلی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یسقط الجزئیة المذکورة کان اللازم هو الاعادة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التنزیل الذی أفاده شیخنا قدّس سرّه لا یجتمع مع بقاء وجوب ذلک الجزء بحاله، و لیس المتحصّل من تنزیل الفاقد فی هذا الحال منزلة الواجد إلّا أنّ هذا فی هذا الحال کالواجد فی حال الالتفات، فی کون کلّ منهما مطابقا لما تعلّق به من الأمر، و ذلک عبارة أخری عن سقوط الجزئیة فی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صحّة</w:t>
      </w:r>
    </w:p>
    <w:p>
      <w:pPr>
        <w:pStyle w:val="BookText"/>
        <w:rPr/>
      </w:pPr>
      <w:r>
        <w:rPr>
          <w:rFonts w:ascii="IRNazanin" w:hAnsi="IRNazanin" w:eastAsia="IRNazanin"/>
          <w:color w:val="111111"/>
          <w:sz w:val="28"/>
          <w:sz w:val="28"/>
          <w:szCs w:val="28"/>
          <w:rtl w:val="true"/>
          <w:lang w:bidi="fa-IR"/>
        </w:rPr>
        <w:t>التنزیل المذکور مع فرض أنّ الشارع لم یسقط وجوب ذلک الجزء، کان مرجعه إلی جعل هذا الفاقد منطبقا تنزیلا و تعبّدا مع ذلک الواجد، و حینئذ یکون نفس الصحّة التی هی المطابقة لما هو الواقع المأمور به مجعولة من جانب الشارع، لا أنّ المجعول هو شی‌ء آخر و الصحّة بمعنی المطابقة منتزعة عنه، إذ لیس فی البین شی‌ء قابل للتصرّف الشرعی و مغایر لاسقاط الجزئیة إلّا ذلک التنزیل الراجع إلی جعل المطابقة، و حینئذ تکون الصحّة مجعولة شرعا،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w:t>
      </w:r>
      <w:r>
        <w:rPr>
          <w:rStyle w:val="FootnoteAnchor"/>
          <w:rtl w:val="true"/>
        </w:rPr>
        <w:footnoteReference w:id="368"/>
      </w:r>
      <w:r>
        <w:rPr>
          <w:rFonts w:ascii="IRNazanin" w:hAnsi="IRNazanin" w:eastAsia="IRNazanin"/>
          <w:color w:val="111111"/>
          <w:sz w:val="28"/>
          <w:sz w:val="28"/>
          <w:szCs w:val="28"/>
          <w:rtl w:val="true"/>
          <w:lang w:bidi="fa-IR"/>
        </w:rPr>
        <w:t>له مزید توضیح إن شاء اللّه تعالی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الأمر الظاهری بعد انکشاف الخلاف، و أمّا هو قبل الانکشاف فتارة یکون فی مقام الجعل و التعلّق، کأصالة البراءة من الجزئیة و الشرطیة فی مسألة الأقل و الأکثر، بل کالخبر الوارد بأنّ الجزء الفلانی لیس بواجب أو أنّه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یکون فی مقام الفراغ و وادی الامتثال، مثل قاعدة التجاوز و الفراغ و نحوهما ممّا یجری فی وادی تحقّق الامتثال، و لو مثل الأمارة القائمة علی الاتیان بالجزء، کالظنّ بناء علی حجّیته فی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الأوّل فهو أجنبی عن جعل الصحّة لا ظاهرا و لا واقعا، إذ لیس هو إلّا منقّح لما هو المأمور به کلّیة، و یتفرّع علی ذلک مطابقة المأتی به له و عدم مطابقته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فکذلک أیضا، إذ لیس الحکم فی ذلک کلّه إلّا من قبیل الأحکام الظاهریة الجاریة فی تحقیق الموضوعات الخارجیة، مثل موت زید و حیاة عمرو، إذ لا فرق بین قیام الحکم الظاهری بأنّ زیدا قد مات فی ترتّب أثره علیه من قسمة میراثه، و بین قیام الحکم الظاهری علی هذا فی الرکوع بعد الفراغ، بأنّه قد رکع بمقتضی قاعدة الفراغ أو بمقتضی الظنّ مثلا، فی ترتّب أثر الرکوع علیه من سقوط الأمر و عدم الاعادة،</w:t>
      </w:r>
    </w:p>
    <w:p>
      <w:pPr>
        <w:pStyle w:val="BookText"/>
        <w:rPr/>
      </w:pPr>
      <w:r>
        <w:rPr>
          <w:rFonts w:ascii="IRNazanin" w:hAnsi="IRNazanin" w:eastAsia="IRNazanin"/>
          <w:color w:val="111111"/>
          <w:sz w:val="28"/>
          <w:sz w:val="28"/>
          <w:szCs w:val="28"/>
          <w:rtl w:val="true"/>
          <w:lang w:bidi="fa-IR"/>
        </w:rPr>
        <w:t>و لیس ذلک فی شی‌ء من جعل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التی هی عبارة عن مطابقة العمل للواقع أو التمامیة هی من الأمور الواقعیة، فیکون حالها حال الأمور الواقعیة فی کونها قابلة للثبوت بالأمارات الشرعیة، و بما جعله الشارع مثبتا لها مثل قاعدة الفراغ، فیترتّب علی ذلک آثارها الشرعیة، من سقوط الأمر و عدم وجوب الاعادة و القضاء و غیر ذلک، و لیس ذلک من قبیل جعل الصحّة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فرق بین من صلّی ثمّ شکّ فی کونه صلّی إلی القبلة و جرت فی حقّه قاعدة الفراغ، و من قامت عنده البیّنة بعد صلاته بأنّها کانت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فی حقّهما معا هو کون تلک الصلاة قد وقعت إلی القبلة، فکانت مطابقة لما هو المأمور به واقعا، و یکون جمیع ذلک راجعا إلی جعل الصحّة ظاهرا، فتأمّل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البحث أو خلاصته أو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الکفایة قدّس سرّه </w:t>
      </w:r>
      <w:r>
        <w:rPr>
          <w:rStyle w:val="FootnoteAnchor"/>
          <w:rtl w:val="true"/>
        </w:rPr>
        <w:footnoteReference w:id="369"/>
      </w:r>
      <w:r>
        <w:rPr>
          <w:rFonts w:ascii="IRNazanin" w:hAnsi="IRNazanin" w:eastAsia="IRNazanin"/>
          <w:color w:val="111111"/>
          <w:sz w:val="28"/>
          <w:sz w:val="28"/>
          <w:szCs w:val="28"/>
          <w:rtl w:val="true"/>
          <w:lang w:bidi="fa-IR"/>
        </w:rPr>
        <w:t>نظر إلی أثر الصحّة، و حیث إنّه عند المتکلّم مطابقة المأمور به، فحکم بأنّها عند المتکلّم انتزاعیة صرفة، و لمّا کان أثرها عند الفقیه إسقاط الأمر المتعلّق بالعبادة و هو عقلی بالنسبة إلی الأمر المتعلّق بذلک الفعل المأتی به، حکم بأنّها عند الفقیه عقلیة صرفة لا انتزاعیة و لا جعلیة لا أصالة و لا تبعا، نعم بالنسبة إلی إسقاط الاعادة أو القضاء عن الأمر الآخر الواقعی الأوّلی، الذی هو عبارة عن الإجزاء الذی لا یکون إلّا بحکم الشارع، حکم بأنّها فی ذلک مجعولة للشارع، کما هو الحال فی صحّة المعاملة لکون أثرها و هو الملکیة مثلا مجعولا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الکلّیات، و أمّا انطباق هذا الشخص من الفعل الخارجی الذی أوقعه المکلّف فهی لا تکون إلّا منتزعة 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أنّه مناف لما حقّقه </w:t>
      </w:r>
      <w:r>
        <w:rPr>
          <w:rStyle w:val="FootnoteAnchor"/>
          <w:rtl w:val="true"/>
        </w:rPr>
        <w:footnoteReference w:id="370"/>
      </w:r>
      <w:r>
        <w:rPr>
          <w:rFonts w:ascii="IRNazanin" w:hAnsi="IRNazanin" w:eastAsia="IRNazanin"/>
          <w:color w:val="111111"/>
          <w:sz w:val="28"/>
          <w:sz w:val="28"/>
          <w:szCs w:val="28"/>
          <w:rtl w:val="true"/>
          <w:lang w:bidi="fa-IR"/>
        </w:rPr>
        <w:t>أوّلا من أنّ الصحّة لیست إلّا عبارة عن التمامیة، و أنّ هذه لا تکون إلّا آثارا للصحّة، و حینئذ لا تکون الصحّة إلّا ذلک الأمر الواقعی الذی هو الواجدیة لتمام ما اعتبر فیها فی ترتّب الأثر المطلوب علیها، فلا تکون الصحّة مجعولة فی شی‌ء من الموارد، و إنّما المجعول فی بعض الموارد المذکورة هو أثرها المترتّب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نفس الأثر فی صورة الإجزاء لا یکون مجعولا، فإنّ الإجزاء لا یکون إلّا بعد فرض إسقاط الشارع جزئیة المفقود، و حینئذ یکون المأمور به فی ذلک الحال هو ذلک الفاقد، و لا ریب أنّ إسقاطه القضاء و الاعادة حینئذ لا یکون إلّا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قدّس سرّه أخذ الصحّة بمعنی انطباق المأتی به علی ذلک الکلّی المأمور به، أو انطباقه علی ذلک الکلّی الذی رتّب علیه الشارع الملکیة، و هذا أعنی الانطباق المذکور لا یکون إلّا عقلیا، نعم فی موارد الإجزاء ربما کان الانطباق بجعل الشارع، فتکون الصحّة حینئذ مجعولة إذا فرضنا بقاء المجعول الواقعی علی حاله، و کان مرجع الحکم بالانطباق إلی التنزیل منزلة الواجد، کما فی موارد الإجزاء فی الأمر الظاهری بعد انکشاف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موارد الإجزاء فی الأوامر الاضطراریة فحیث إنّه إنّما یکون بتبدّل التکلیف عن الواجد إلی ذلک الفاقد، لا یکون الانطباق المذکور إلّا عقلیا و انتزاعیا صرفا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محلّ التأمّل هو ما أفاده قدّس سرّه فی موارد إجزاء الأمر الظاهری عند انکشاف الخلاف، فإنّه أیضا لا بدّ لنا من الالتزام بسقوط الأمر بذلک الجزء المفقود، و حینئذ یکون حاله حال الإجزاء فی الأوامر الاضطراریة، لکنّه قدّس سرّه التزم</w:t>
      </w:r>
    </w:p>
    <w:p>
      <w:pPr>
        <w:pStyle w:val="BookText"/>
        <w:rPr/>
      </w:pPr>
      <w:r>
        <w:rPr>
          <w:rFonts w:ascii="IRNazanin" w:hAnsi="IRNazanin" w:eastAsia="IRNazanin"/>
          <w:color w:val="111111"/>
          <w:sz w:val="28"/>
          <w:sz w:val="28"/>
          <w:szCs w:val="28"/>
          <w:rtl w:val="true"/>
          <w:lang w:bidi="fa-IR"/>
        </w:rPr>
        <w:t xml:space="preserve">هنا حسبما حرّره عنه فی هذا الکتاب </w:t>
      </w:r>
      <w:r>
        <w:rPr>
          <w:rStyle w:val="FootnoteAnchor"/>
          <w:rtl w:val="true"/>
        </w:rPr>
        <w:footnoteReference w:id="371"/>
      </w:r>
      <w:r>
        <w:rPr>
          <w:rFonts w:ascii="IRNazanin" w:hAnsi="IRNazanin" w:eastAsia="IRNazanin"/>
          <w:color w:val="111111"/>
          <w:sz w:val="28"/>
          <w:sz w:val="28"/>
          <w:szCs w:val="28"/>
          <w:rtl w:val="true"/>
          <w:lang w:bidi="fa-IR"/>
        </w:rPr>
        <w:t>بأنّ الأمر بالجزء المفقود باق بحاله، و أنّ الأمر الواقعی لم یتغیّر عمّا هو علیه من تعلّقه بالمرکّب التامّ، غیر أنّ الشارع من باب التسهیل و المنّة علی المکلّفین حکم بأنّ هذا الفاقد منزل منزلة الواجد، و أنّه مطابق لذلک الواجد مطابقة تنزیلیة بحکم الشارع، فیکون المجعول الأوّلی هو هذه الجهة أعنی المطابقة، فتکون المطابقة مجعولة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یظهر ممّا حرّره عنه المرحوم الشیخ محمّد علی </w:t>
      </w:r>
      <w:r>
        <w:rPr>
          <w:rStyle w:val="FootnoteAnchor"/>
          <w:rtl w:val="true"/>
        </w:rPr>
        <w:footnoteReference w:id="372"/>
      </w:r>
      <w:r>
        <w:rPr>
          <w:rFonts w:ascii="IRNazanin" w:hAnsi="IRNazanin" w:eastAsia="IRNazanin"/>
          <w:color w:val="111111"/>
          <w:sz w:val="28"/>
          <w:sz w:val="28"/>
          <w:szCs w:val="28"/>
          <w:rtl w:val="true"/>
          <w:lang w:bidi="fa-IR"/>
        </w:rPr>
        <w:t>و غیره هو أنّ الصحّة عنوان منتزع من المطابقة، فإن کانت المطابقة واقعیة لم تکن الصحّة مجعولة، کما أنّ منشأ انتزاعها الذی هو المطابقة لم یکن مجعولا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المطابقة واقعیة، بل کانت تنزیلیة بجعل الشارع، کما فی موارد الأحکام الظاهریة قبل الانکشاف أو بعده لو قلنا بالاجزاء، کانت المطابقة التی هی منشأ انتزاع عنوان الصحّة مجعولة، و لکن الصحّة نفسها لا تکون مجعولة، بل هی کما فی بقیة الموارد انتزاعیة 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لا یتوقّف علی کون الصحّة منتزعة من المطابقة، بل الظاهر تأتّیه لو قلنا بأنّها منتزعة من 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الأوّل الذی حرّره عنه قدّس سرّه فی هذا الکتاب لا یتوقّف علی دعوی کون الصحّة عبارة عن نفس المطابقة، بل یتأتّی مع دعوی کونها عبارة عن التمامیة، فإنّ نفس التمامیة یتأتّی فیها ما تأتّی فی المطابقة، بأن یقال إنّ التمامیة تارة تکون واقعیة و أخری تکون جعلیة تنزیلیة، کما فی موارد الأمر الظاهری قبل انکشاف الخلاف و بعده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عمدة التأمّل فی هذا الذی أفاده قدّس سرّه بکلا تقریریه هو من ناحیة أنّ التنزیل</w:t>
      </w:r>
    </w:p>
    <w:p>
      <w:pPr>
        <w:pStyle w:val="BookText"/>
        <w:rPr/>
      </w:pPr>
      <w:r>
        <w:rPr>
          <w:rFonts w:ascii="IRNazanin" w:hAnsi="IRNazanin" w:eastAsia="IRNazanin"/>
          <w:color w:val="111111"/>
          <w:sz w:val="28"/>
          <w:sz w:val="28"/>
          <w:szCs w:val="28"/>
          <w:rtl w:val="true"/>
          <w:lang w:bidi="fa-IR"/>
        </w:rPr>
        <w:t>لیس بمقصور علی نفس المطابقة أو علی نفس التمامیة، بل یکون مرجعه إلی إسقاط جزئیة المفقود بعد انکشاف الخلاف، فیکون حال إجزاء الأمر الظاهری بعد انکشاف الخلاف حال إجزاء الأمر الاضطراری فی کون الصحّة فیه غیر مجعولة، سواء فسّرناها بالمطابقة أو بالتمامیة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الأمر الظاهری قبل انکشاف الخلاف فلیس حاله إلّا کحال الأوامر الظاهریة الجاریة فی الشبهات الموضوعیة فی عدم تکفّله إلّا للحکم الظاهری بترتیب أثر الصحّة الواقعیة من دون حاجة إلی الالتزام بجعل صحّة ظاهریة، بل نقول إنّ الصحّة عبارة عن التمامیة أو عن المطابقة، و هذه من جملة الموضوعات الخارجیة لها آثار عملیة، فمرجع التعبّد بتحقّقها کمرجع التعبّد بحیاة زید أو موته فی أنّه غیر متضمّن لجعل موت أو حیاة، بحیث یکون لنا موت أو حیاة مجعولان شرعا و لو جعلا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تضمّنه تقریر المرحوم الشیخ محمّد علی من أنّ الصحّة منتزعة من المطابقة ربما لا یساعد علیه الذوق، فإنّ الظاهر أنّ نفس المطابقة منتزعة من التمامیة، و التمامیة هی الصحّة نفسها لا أنّها أمر آخر منتزع من 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لیست منتزعة من التمامیة و لا من المطابقة، بل هی إمّا التمامیة نفسها و إمّا المطابقة نفسها، و إذا کان فی البین جعل فإنّما هو راجع إلی نفس التمامیة أو إلی نفس المطابقة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قد عرفت أنّه لا جعل بالنسبة إلی التمامیة و لا بالنسبة إلی نفس المطابقة، بل إنّ کلا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المطابقة أو 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الأمور الواقعیة ذات الآثار الشرعیة العملیة، فبالنسبة إلی ما قبل الانکشاف یکون جریان الحکم الظاهری فیها کجریانه فی غیرها من الموضوعات الواقعیة، فی کونه لا یتضمّن الجعل و لو ظاهرا بالنسبة إلی نفس الموضوع الخارجی، و إنّما یتضمّن الجعل</w:t>
      </w:r>
    </w:p>
    <w:p>
      <w:pPr>
        <w:pStyle w:val="BookText"/>
        <w:rPr/>
      </w:pPr>
      <w:r>
        <w:rPr>
          <w:rFonts w:ascii="IRNazanin" w:hAnsi="IRNazanin" w:eastAsia="IRNazanin"/>
          <w:color w:val="111111"/>
          <w:sz w:val="28"/>
          <w:sz w:val="28"/>
          <w:szCs w:val="28"/>
          <w:rtl w:val="true"/>
          <w:lang w:bidi="fa-IR"/>
        </w:rPr>
        <w:t>الظاهری بالنسبة إلی آثاره،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شیخنا قدّس سرّه أنکر فی محلّه </w:t>
      </w:r>
      <w:r>
        <w:rPr>
          <w:rStyle w:val="FootnoteAnchor"/>
          <w:rtl w:val="true"/>
        </w:rPr>
        <w:footnoteReference w:id="373"/>
      </w:r>
      <w:r>
        <w:rPr>
          <w:rFonts w:ascii="IRNazanin" w:hAnsi="IRNazanin" w:eastAsia="IRNazanin"/>
          <w:color w:val="111111"/>
          <w:sz w:val="28"/>
          <w:sz w:val="28"/>
          <w:szCs w:val="28"/>
          <w:rtl w:val="true"/>
          <w:lang w:bidi="fa-IR"/>
        </w:rPr>
        <w:t xml:space="preserve">جعل الأحکام الظاهریة حتّی ما کان منها جاریا فی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أفاد هناک أنّه لیس فی مثل قیام الخبر الصحیح علی وجوب الشی‌ء الفلانی إلّا جعل الحجّیة، الذی یعبّر عنه بجعل الهوهویة، من دون تکفّل بجعل وجوب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ما بعد انکشاف الخلاف ینقطع ذلک الحکم الظاهری، و یکون الدور هو دور الإجزاء، فإن دلّ دلیل علی الإجزاء کان محصّله هو سقوط اعتبار ذلک المفقود من جزء أو شرط، و یکون حال المکلّف حینئذ فیما بعد الانکشاف کحال من أتی بما هو المأمور به الواقعی، و علی تقدیر الحکم بالصحّة تکون الصحّة واقعیة لا ظاهریة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توضیحا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شیخنا قدّس سرّه أخرج مسألة إجزاء الأمر الاضطراری عمّا هو محلّ الکلام، و جعلها من قبیل تبدّل الأمر الواقعی من الواجد إلی الفاقد، و یکون حینئذ حاله بعد ارتفاع الاضطرار کحال من قد أتی بما هو المأمور به واقعا، فی کون الصحّة فیه بمعنی التمامیة أو بمعنی المطابقة لما هو الواقع، غیر مجعولة لا هی بنفسها و لا بما هو منشأ انتزاعها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یکون الحال فی الأجزاء الذکریة و الشرائط العملیة کذلک، یعنی من قبیل التبدّل و أنّ ذلک الجزء المفقود أو الشرط المفقود لنسیان أو جهل لا یکون معتبرا فی ذلک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جمیع ما هو مورد لحدیث لا تعاد</w:t>
      </w:r>
      <w:r>
        <w:rPr>
          <w:rStyle w:val="FootnoteAnchor"/>
          <w:rtl w:val="true"/>
        </w:rPr>
        <w:footnoteReference w:id="374"/>
      </w:r>
      <w:r>
        <w:rPr>
          <w:rFonts w:ascii="IRNazanin" w:hAnsi="IRNazanin" w:eastAsia="IRNazanin"/>
          <w:color w:val="111111"/>
          <w:sz w:val="28"/>
          <w:sz w:val="28"/>
          <w:szCs w:val="28"/>
          <w:rtl w:val="true"/>
          <w:lang w:bidi="fa-IR"/>
        </w:rPr>
        <w:t>و نحوه ممّا دلّ علی عدم لزوم الاعادة عند حدوث خلل فیه، و إن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مقرونا بلزوم قضائه بعد الصلاة، مثل السجدة المنسیة أو التشهّد المنسی</w:t>
      </w:r>
    </w:p>
    <w:p>
      <w:pPr>
        <w:pStyle w:val="BookText"/>
        <w:rPr/>
      </w:pPr>
      <w:r>
        <w:rPr>
          <w:rFonts w:ascii="IRNazanin" w:hAnsi="IRNazanin" w:eastAsia="IRNazanin"/>
          <w:color w:val="111111"/>
          <w:sz w:val="28"/>
          <w:sz w:val="28"/>
          <w:szCs w:val="28"/>
          <w:rtl w:val="true"/>
          <w:lang w:bidi="fa-IR"/>
        </w:rPr>
        <w:t>و نحوهما، سواء کان ذلک من باب النسیان المحض، أو کان من باب الاعتماد علی مثل قاعدة التجاوز ثمّ بعد أن فات محلّه انکشف الخلاف، فإنّ جمیع ذلک لا یکون من قبیل إجزاء الأمر الظاهری، بل هو من باب سقوط اعتبار ذلک المفقود فی ذلک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فراجع ما حرّرناه عنه قدّس سرّه </w:t>
      </w:r>
      <w:r>
        <w:rPr>
          <w:rStyle w:val="FootnoteAnchor"/>
          <w:rtl w:val="true"/>
        </w:rPr>
        <w:footnoteReference w:id="375"/>
      </w:r>
      <w:r>
        <w:rPr>
          <w:rFonts w:ascii="IRNazanin" w:hAnsi="IRNazanin" w:eastAsia="IRNazanin"/>
          <w:color w:val="111111"/>
          <w:sz w:val="28"/>
          <w:sz w:val="28"/>
          <w:szCs w:val="28"/>
          <w:rtl w:val="true"/>
          <w:lang w:bidi="fa-IR"/>
        </w:rPr>
        <w:t>فی بیان مفاد حدیث لا تعاد و أنّه حاکم علی الأدلّة الأوّلیة المتکفّلة للأجزاء و الشرائط، و أنّ الحدیث مسوق لبیان عدم الجزئیة عند انحصار أثرها بالاعادة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من الواضح خروج ما کان من قبیل الجهر و الاخفات و القصر و الاتمام ممّا یحکم فیه بعدم الاعادة مع بقاء التکلیف الواقعی بحاله، بحیث إنّه یعاقب علی مخالفته، فإنّ مرجع ذلک إلی الحکم بفساد العمل مع عدم التمکّن من الإعادة لکون ذلک العمل مذهبا لمصلحة الواجب أو معدما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یکون الاعتماد فیه علی مجرّد إجزاء الأمر الظاهری فالظاهر أنّه لا صغری له فیما لدینا و لا کبری، و لو ثبت ذلک فی بعض الموارد کان ملحقا بما تقدّم من کونه من قبیل سقوط ذلک الجزء أو الشرط المفقود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ادّعی الإجماع علی الإجزاء فی موارد تبدّل التقلید أو تبدّل الرأی، و الظاهر اختصاص ذلک بموارد القضاء فی العبادات، فلا یشمل الاعادة فیها و لا یشمل المعاملات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الإجماع لو تمّ فلا یمکن تنزیله علی ما ذکرناه من سقوط اعتبار ذلک الجزء أو الشرط المفقود، و إلّا لکانت جمیع تلک الأجزاء و الشرائط علمیة بهذا المقدار، بمعنی أنّ جزئیته تکون منوطة بعدم قیام الأمر الظاهری علی خلافها فی خصوص الشبهة الحکمیة، لأنّ ذلک مورد تبدّل التقلید أو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بدّ من</w:t>
      </w:r>
    </w:p>
    <w:p>
      <w:pPr>
        <w:pStyle w:val="BookText"/>
        <w:rPr/>
      </w:pPr>
      <w:r>
        <w:rPr>
          <w:rFonts w:ascii="IRNazanin" w:hAnsi="IRNazanin" w:eastAsia="IRNazanin"/>
          <w:color w:val="111111"/>
          <w:sz w:val="28"/>
          <w:sz w:val="28"/>
          <w:szCs w:val="28"/>
          <w:rtl w:val="true"/>
          <w:lang w:bidi="fa-IR"/>
        </w:rPr>
        <w:t>تنزیل ذلک الإجماع علی تخصیص أدلّة القضاء، و أنّه إنّما یجب القضاء فیما عدا موارد تبدّل الرأی أو تبدّل التقلید، و لا دخل لذلک بالصحّة التنزیلیة أصلا، بل إنّه حینئذ یکون مؤکّدا للحکم بفساد ذلک المأتی به، لکنّه مع ذلک لا یجب قضاؤه استنادا إلی الإجماع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إنّ هذا الإجماع کاشف عن اختصاص حجّیة الفتوی المتأخرة بما یکون من الأعمال متأخرا عنها، فتخرج المسألة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ثبوت هذا الإجماع محلّ نظر و إشکال، فراجع ما حرّرناه فیما علّقناه فی هذا الکتاب علی مباحث الاجزاء</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الاجزاء لا دخل له بالصحّة التنزیلیة و تنزیل الفاقد منزلة الواجد، و لیس هو من الأحکام الظاهریة، بل هو حکم واقعی لا تنزیل فیه أصلا، فإن کان فی مورد الاعادة کان مخصّصا لدلیل الجزئیة أو الشرطیة، و کان ملحقا لهما بالأجزاء و الشرائط العلمیة، و إن کان فی مورد القضاء کان مخصّصا لدلیل القضاء، و لا دخل لشی‌ء من ذلک بالحکم الظاهری و الصحّة الظاهریة و لا الصحّة الواقعیة،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الصحّة حینئذ لا تکون من الأحکام الظاهریة الصرفة، بل تکون متوسّطة بینها و بین الأحکام الواقعیة الثانویة، فمن جهة أخذ الشکّ فی موضوعها تکون من الأحکام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78"/>
      </w:r>
      <w:r>
        <w:rPr>
          <w:rFonts w:ascii="IRNazanin" w:hAnsi="IRNazanin" w:eastAsia="IRNazanin"/>
          <w:color w:val="111111"/>
          <w:sz w:val="28"/>
          <w:sz w:val="28"/>
          <w:szCs w:val="28"/>
          <w:rtl w:val="true"/>
          <w:lang w:bidi="fa-IR"/>
        </w:rPr>
        <w:t>ما یظهر لک منه أنّ هذه الصحّة علی تقدیر کونها مجعولة للشارع لیست هی إلّا واقعیة، و لا دخل لها بالأحکام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موردها هو</w:t>
      </w:r>
    </w:p>
    <w:p>
      <w:pPr>
        <w:pStyle w:val="BookText"/>
        <w:rPr/>
      </w:pPr>
      <w:r>
        <w:rPr>
          <w:rFonts w:ascii="IRNazanin" w:hAnsi="IRNazanin" w:eastAsia="IRNazanin"/>
          <w:color w:val="111111"/>
          <w:sz w:val="28"/>
          <w:sz w:val="28"/>
          <w:szCs w:val="28"/>
          <w:rtl w:val="true"/>
          <w:lang w:bidi="fa-IR"/>
        </w:rPr>
        <w:t>الفعل الفاقد لبعض الأجزاء الذی وقع امتثالا للأمر الظاهری لا یوجب کونها ظاهریة، بعد فرض أنّ مورد الحکم بها إنّما هو بعد انکشاف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لک أنّه لم یؤخذ الشکّ فی موضوعها، و إنّما کان موضوعها هو الفعل الذی علم أنّه مخالف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هذه العبارة موجود فیما حرّره المرحوم الشیخ محمّد علی فی هذا المقام،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للشارع بعد انکشاف الخلاف الحکم بالصحّة، و مرجع الصحّة فی مثل هذا إلی الاکتفاء بما أتی به امتثالا للواقع عن الواقع، و هذه ترجع إلی الصحّة الواقعیة بوجه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ترجع إلی الصحّة الواقعیة بوجه، إشارة إلی هذا التفصیل الموجود فی هذا الکتاب، من کون هذه الصحّة متوسّطة بین الواقعیة و الظاهریة فتأمّل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الصحّة المجعولة بعد انکشاف الخلاف، و قد عرفت أنّها علی تقدیر القول بها لا تکون إلّا حکما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تقدّم </w:t>
      </w:r>
      <w:r>
        <w:rPr>
          <w:rStyle w:val="FootnoteAnchor"/>
          <w:rtl w:val="true"/>
        </w:rPr>
        <w:footnoteReference w:id="380"/>
      </w:r>
      <w:r>
        <w:rPr>
          <w:rFonts w:ascii="IRNazanin" w:hAnsi="IRNazanin" w:eastAsia="IRNazanin"/>
          <w:color w:val="111111"/>
          <w:sz w:val="28"/>
          <w:sz w:val="28"/>
          <w:szCs w:val="28"/>
          <w:rtl w:val="true"/>
          <w:lang w:bidi="fa-IR"/>
        </w:rPr>
        <w:t>ما عرفت منه أنّه لا مورد لهذه الصحّة إلّا فی موارد تبدّل التقلید أو تبدّل الرأی، و قد عرفت الحال فیهما، و أنّ القول بالاجزاء و عدم القضاء فی مثل ذلک لا یرجع إلی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یکون من الصحّة الظاهریة قبل انکشاف الخلاف فقد عرفت </w:t>
      </w:r>
      <w:r>
        <w:rPr>
          <w:rStyle w:val="FootnoteAnchor"/>
          <w:rtl w:val="true"/>
        </w:rPr>
        <w:footnoteReference w:id="381"/>
      </w:r>
      <w:r>
        <w:rPr>
          <w:rFonts w:ascii="IRNazanin" w:hAnsi="IRNazanin" w:eastAsia="IRNazanin"/>
          <w:color w:val="111111"/>
          <w:sz w:val="28"/>
          <w:sz w:val="28"/>
          <w:szCs w:val="28"/>
          <w:rtl w:val="true"/>
          <w:lang w:bidi="fa-IR"/>
        </w:rPr>
        <w:t>المناقشة فی کونها مجعولة ظاهرا، لما تقدّم أوّلا من أنّ شیخنا قدّس سرّه لا یقول بجعل الأحکام الظاهریة حتّی ما یجری منها فی الشبهات الحکمیة، فضلا عمّا یکون جاریا منها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أنّ الصحّة و الفساد بعد الفراغ عن کونهما فی مقام</w:t>
      </w:r>
    </w:p>
    <w:p>
      <w:pPr>
        <w:pStyle w:val="BookText"/>
        <w:rPr/>
      </w:pPr>
      <w:r>
        <w:rPr>
          <w:rFonts w:ascii="IRNazanin" w:hAnsi="IRNazanin" w:eastAsia="IRNazanin"/>
          <w:color w:val="111111"/>
          <w:sz w:val="28"/>
          <w:sz w:val="28"/>
          <w:szCs w:val="28"/>
          <w:rtl w:val="true"/>
          <w:lang w:bidi="fa-IR"/>
        </w:rPr>
        <w:t>الواقع من الأمور الواقعیة، یکون حالهما حال الموت و الحیاة فی أنّ إثباتهما بأمارة أو أصل لا یکون مرجعه إلی جعلهما، بل إلی جعل آثارهما، هذا ما تقدّم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أعنی جعل الآثار إنّما یمکن الالتزام به فیما لو کان فی البین آثار شرعیة، فإنّه حینئذ یکون مرجع التعبّد بذلک الموضوع إلی التعبّد بآثاره، حتّی فی مثل الصحّة فی المعاملة المحرزة بقاعدة الفراغ أو أصالة الصحّة، فإنّه یمکن القول بأنّ مرجع التعبّد بالصحّة فی ذلک إلی التعبّد بآثارها، و هی النقل و الانتقال أعنی الملکیة، و هی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الصحّة الظاهریة فی باب العبادة المحرزة بأصالة الصحّة، أو بقاعدة الفراغ أو بقاعدة التجاوز، فإنّه لا یترتّب علی التعبّد بهذه الصحّة إلّا إسقاط الأمر الواقعی و حصول الامتثال، و من الواضح أنّ ذلک أیضا من الأمور الواقعیة الغیر الراجعة إلی الجعل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لا مندوحة لنا إلّا أن نلتزم بأنّ الصحّة قابلة للجعل الظاهری، أو نقول إنّ التعبّد الظاهری لم یرد علی الصحّة نفسها، و إنّما ورد علی أثرها و هو حصول الامتثال و سقوط الأمر، فیکون ذلک الأثر هو المجعول الشرعی ظاهرا لا الصحّة نفسها التی هی التمامیة أو المطابقة، لکن الأمر سهل </w:t>
      </w:r>
      <w:r>
        <w:rPr>
          <w:rStyle w:val="FootnoteAnchor"/>
          <w:rtl w:val="true"/>
        </w:rPr>
        <w:footnoteReference w:id="382"/>
      </w:r>
      <w:r>
        <w:rPr>
          <w:rFonts w:ascii="IRNazanin" w:hAnsi="IRNazanin" w:eastAsia="IRNazanin"/>
          <w:color w:val="111111"/>
          <w:sz w:val="28"/>
          <w:sz w:val="28"/>
          <w:szCs w:val="28"/>
          <w:rtl w:val="true"/>
          <w:lang w:bidi="fa-IR"/>
        </w:rPr>
        <w:t>بعد الالتزام بأنّه لا بدّ من الالتزام بجعل أحد الأمرین من الصحّة أو أثرها</w:t>
      </w:r>
      <w:r>
        <w:rPr>
          <w:rFonts w:eastAsia="IRNazanin" w:cs="IRNazanin"/>
          <w:color w:val="111111"/>
          <w:sz w:val="28"/>
          <w:szCs w:val="28"/>
          <w:rtl w:val="true"/>
          <w:lang w:bidi="fa-IR"/>
        </w:rPr>
        <w:t>.</w:t>
      </w:r>
      <w:bookmarkStart w:id="175" w:name="pg19667_765206"/>
    </w:p>
    <w:p>
      <w:pPr>
        <w:pStyle w:val="Heading4"/>
        <w:numPr>
          <w:ilvl w:val="3"/>
          <w:numId w:val="1"/>
        </w:numPr>
        <w:rPr/>
      </w:pPr>
      <w:bookmarkStart w:id="176" w:name="__RefHeading___Toc3538567_2314609296"/>
      <w:bookmarkStart w:id="177" w:name="_Toc61"/>
      <w:bookmarkEnd w:id="175"/>
      <w:bookmarkEnd w:id="176"/>
      <w:r>
        <w:rPr>
          <w:rtl w:val="true"/>
        </w:rPr>
        <w:t>[</w:t>
      </w:r>
      <w:r>
        <w:rPr>
          <w:rtl w:val="true"/>
        </w:rPr>
        <w:t>عموم النزاع لما إذا لم یکن دلیل علی صحّة المنهی عنه لو لا النهی</w:t>
      </w:r>
      <w:bookmarkEnd w:id="17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دلیل النهی یکون الحکم بالفساد من جهة الدلیل، فیکون رافعا لموضوع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العبادات واضح من جهة أنّ النهی یوجب المبغوضیة، و هی موجبة لعدم امکان التقرّب، فیکون النهی کدلیل اجتهادی علی الفساد، فلو فرض أنّ الشکّ فی مشروعیة العبادة یوجب القطع بفسادها، کما أنّ الشکّ فی حجّیة الأمارة یوجب القطع بعدم حجّیتها، إلّا أنّ ذلک لا ینافی کون النهی موجبا للقطع بالفساد و عدم الحجّیة، و أنّ ما کان من جهة الشکّ نظیر الحکم الظاهری، و ما جاء من جهة النهی من قبیل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المعاملة ففیه إشکال،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أقصی ما فی النهی عنها هو سلب السلطنة، فلو کانت المعاملة المشکوکة مشمولة فی حدّ نفسها لحدیث السلطنة</w:t>
      </w:r>
      <w:r>
        <w:rPr>
          <w:rStyle w:val="FootnoteAnchor"/>
          <w:rtl w:val="true"/>
        </w:rPr>
        <w:footnoteReference w:id="384"/>
      </w:r>
      <w:r>
        <w:rPr>
          <w:rFonts w:ascii="IRNazanin" w:hAnsi="IRNazanin" w:eastAsia="IRNazanin"/>
          <w:color w:val="111111"/>
          <w:sz w:val="28"/>
          <w:sz w:val="28"/>
          <w:szCs w:val="28"/>
          <w:rtl w:val="true"/>
          <w:lang w:bidi="fa-IR"/>
        </w:rPr>
        <w:t>کان النهی عنها موجبا لفسادها، و ذلک مثل منجزات المریض لو ورد النهی عنها</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من قبیل المعاملات الجدیدة فلو فرضنا أنّها لا یشملها فی حدّ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من العمومات حتی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تجری فی مقام الشکّ فی مشروعیة السبب، فتلک المعاملة لا یکون النهی عنها کدلیل اجتهادی علی الفساد، و حینئذ یکون اللازم خروجها عن محلّ النزاع، إذ لا أثر حینئذ فی هذه المعاملة لکون النهی سالبا للسلطنة فی الحکم بفسادها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الجواب عن هذا الإشکال واضح، لأنّ مرجعه إلی دعوی عدم دلالة</w:t>
      </w:r>
    </w:p>
    <w:p>
      <w:pPr>
        <w:pStyle w:val="BookText"/>
        <w:rPr/>
      </w:pPr>
      <w:r>
        <w:rPr>
          <w:rFonts w:ascii="IRNazanin" w:hAnsi="IRNazanin" w:eastAsia="IRNazanin"/>
          <w:color w:val="111111"/>
          <w:sz w:val="28"/>
          <w:sz w:val="28"/>
          <w:szCs w:val="28"/>
          <w:rtl w:val="true"/>
          <w:lang w:bidi="fa-IR"/>
        </w:rPr>
        <w:t>النهی علی الفساد فی مثل ذلک، و هذا لا یوجب خروجه عن عنوان النزاع، و حینئذ نقول إنّ مثل هذا النهی داخل فی محلّ النزاع، غایته أنّ المختار فیه هو عدم الدلالة علی الفساد، و هو لا ینافی ما نریده من أنّ الدخول فی محلّ النزاع لا یتوقّف علی کونه فی حدّ نفسه محکوما بالصحّة لو لا النهی، بل یدخل فیه ما کان فی حدّ نفسه محکوما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أنّ النهی لو اقتضی الفساد لکان کدلیل اجتهادی علیه، و إن کان هو فی حدّ نفسه لو لا النهی محکوما بالفساد استنادا إلی أصالة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 إنّ هذه المعاملة فاسدة و إن لم یکن حدیث السلطنة شاملا لها مع قطع النظر عن النهی، لکونها من قبیل الشکّ فی نفوذ ذلک السبب، و حدیث السلطنة لا یرفع الشکّ من هذه الناحیة لعدم کونه مشرعا، إلّا أنّ حرمة هذه المعاملة کافیة فی الحکم بفسادها، استنادا إلی أنّ النهی یوجب عدم قدرة المکلّف فی عالم التشریع علیها، و هو کاف فی الحکم بفسادها، و إن لم یکن ذلک النهی موجبا لخروجها عن عموم حدیث السلطنة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یکون فسادها مستندا إلی الدلیل الاجتهادی، الذی هو النهی السالب للقدرة فی عالم التشریع علی المعاملة، و بذلک تخرج عن الفساد المستند إلی أصالة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تمثیله بما ذکره لأمکن حمل کلامه قدّس سرّه علی إرادة القابلیة من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محلّ النزاع فی هذا الأصل ما تعلّق النهی بشی‌ء بعد ما ورد عن الشارع له جهة صحّة، ثمّ ورد النهی عن بعض أفراده، أو خوطب به</w:t>
      </w:r>
    </w:p>
    <w:p>
      <w:pPr>
        <w:pStyle w:val="BookText"/>
        <w:rPr/>
      </w:pPr>
      <w:r>
        <w:rPr>
          <w:rFonts w:ascii="IRNazanin" w:hAnsi="IRNazanin" w:eastAsia="IRNazanin"/>
          <w:color w:val="111111"/>
          <w:sz w:val="28"/>
          <w:sz w:val="28"/>
          <w:szCs w:val="28"/>
          <w:rtl w:val="true"/>
          <w:lang w:bidi="fa-IR"/>
        </w:rPr>
        <w:t xml:space="preserve">عامّة المکلّفین ثمّ استثنی منه بعضهم، فمثل الامساک ثلاثة أیّام و القمار و نحو ذلک لیس من محلّ النزاع فی شی‌ء، إذ الکلام و النزاع فی دلالة النهی علی الفساد و عدمه، و ما ذکر فاسد بالأصل، لأنّ الأصل عدم الصحّة، و أمّا الفساد فیدلّ علیه عدم الدلیل الخ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أنّا لو أسقطنا هذا المثال لم یمکننا أن نحمل العبارة المذکورة علی ما تقدّم </w:t>
      </w:r>
      <w:r>
        <w:rPr>
          <w:rStyle w:val="FootnoteAnchor"/>
          <w:rtl w:val="true"/>
        </w:rPr>
        <w:footnoteReference w:id="388"/>
      </w:r>
      <w:r>
        <w:rPr>
          <w:rFonts w:ascii="IRNazanin" w:hAnsi="IRNazanin" w:eastAsia="IRNazanin"/>
          <w:color w:val="111111"/>
          <w:sz w:val="28"/>
          <w:sz w:val="28"/>
          <w:szCs w:val="28"/>
          <w:rtl w:val="true"/>
          <w:lang w:bidi="fa-IR"/>
        </w:rPr>
        <w:t>من أنّه یعتبر فی محلّ النزاع أن یکون الشی‌ء فی حدّ نفسه قابلا للاتّصاف بالصحّة و الفساد، لیخرج منه ما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قدّس سرّه أفاد فیما حرّرته عنه أنّ محلّ النزاع شامل لما تکون الشبهة فی صحّته لو لا النهی حکمیة کهذا المثال، و الأولی تبدیله بصوم الصمت، و لما تکون الشبهة فیه مفهومیة، کما لو ورد النهی عن النافلة الرباعیة مع الشکّ فی کون النافلة المشروعة شاملة للرباعیة، و لما تکون الشبهة فی صحّته لو لا النهی مصداقیة، کما لو شککنا فی الصلاة إلی هذه الجهة الخاصّة فی کونها صلاة إلی القبلة و ورد النهی عن الصلاة إلی تلک الجهة، فکلّ هذه الأمثلة یکون النهی فیها داخلا فی محلّ النزاع</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الأمثلة و إن کانت لو لا النهی محکومة بالفساد استنادا إلی أصالة الفساد، لأنّ الفرض أنّه لا عموم یشملها کی یکون ذلک العموم حاکما بصحّتها لو لا النهی، إلّا أنّها مع ذلک هی داخلة فی محلّ النزاع، لأنّها علی تقدیر القول یکون النهی فیها مقتضیا للفساد تکون محکومة بالفساد لأجل الدلیل الاجتهادی الذی هو النهی، و ذلک کاف فی الثمرة المترتّبة علی دخولها فی محلّ النزاع، و إن</w:t>
      </w:r>
      <w:bookmarkStart w:id="178" w:name="pg19667_765209"/>
    </w:p>
    <w:p>
      <w:pPr>
        <w:pStyle w:val="BookText"/>
        <w:rPr/>
      </w:pPr>
      <w:bookmarkEnd w:id="178"/>
      <w:r>
        <w:rPr>
          <w:rFonts w:ascii="IRNazanin" w:hAnsi="IRNazanin" w:eastAsia="IRNazanin"/>
          <w:color w:val="111111"/>
          <w:sz w:val="28"/>
          <w:sz w:val="28"/>
          <w:szCs w:val="28"/>
          <w:rtl w:val="true"/>
          <w:lang w:bidi="fa-IR"/>
        </w:rPr>
        <w:t>کانت هی لو لا النهی أیضا محکومة بالفساد، إلّا أنّ ذلک من جهة الأصل أعنی أصالة الفساد، و هذا من جهة الدلیل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أنّه یمکن القول بجعل صوم الوصال من قبیل الشبهة المفهومیة نظیر النافلة الرباعیة، و الأمر سهل</w:t>
      </w:r>
      <w:r>
        <w:rPr>
          <w:rFonts w:eastAsia="IRNazanin" w:cs="IRNazanin"/>
          <w:color w:val="111111"/>
          <w:sz w:val="28"/>
          <w:szCs w:val="28"/>
          <w:rtl w:val="true"/>
          <w:lang w:bidi="fa-IR"/>
        </w:rPr>
        <w:t>.</w:t>
      </w:r>
    </w:p>
    <w:p>
      <w:pPr>
        <w:pStyle w:val="Heading4"/>
        <w:numPr>
          <w:ilvl w:val="3"/>
          <w:numId w:val="1"/>
        </w:numPr>
        <w:rPr/>
      </w:pPr>
      <w:bookmarkStart w:id="179" w:name="__RefHeading___Toc3538569_2314609296"/>
      <w:bookmarkStart w:id="180" w:name="_Toc62"/>
      <w:bookmarkEnd w:id="179"/>
      <w:r>
        <w:rPr>
          <w:rtl w:val="true"/>
        </w:rPr>
        <w:t>[</w:t>
      </w:r>
      <w:r>
        <w:rPr>
          <w:rtl w:val="true"/>
        </w:rPr>
        <w:t>مقتضی الأصل العملی عند الشکّ فی صحّة العبادة و المعاملة</w:t>
      </w:r>
      <w:r>
        <w:rPr>
          <w:rtl w:val="true"/>
        </w:rPr>
        <w:t>]</w:t>
      </w:r>
      <w:bookmarkEnd w:id="18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الأصل فی المعاملة دائما هو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العبادات فإن کان الشکّ فی الصحّة و الفساد من جهة شبهة 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ینبغی هو أن یحرّر الکلام تارة فی الشبهة مع قطع النظر عن النهی، و أخری فی الشبهة الناشئة عن النهی، و یتکلّم علی کلّ واحدة من هاتین علی حدة، و إن کانت الشبهة من الجهة الأولی خارجة عمّا نحن بصدده، إلّا أنّه لا بدّ من الکلام علیها أوّلا لیتّضح حالها، و لیکون الکلام علی الجهة الثانیة ممحضا لها، فلا یدخله الشکّ من الناحیة الأولی، فنقول بعونه تعالی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من الجهة الأولی فتارة یکون فی العبادات، و أخری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العبادات فإن کانت الشبهة حکمیة صرفة کما فی مثل صوم الصمت فالظاهر أنّ الحکم فیها هو الفساد، للشکّ فی المشروعیة، و کذلک الحال فیما إذا کانت الشبهة مفهومیة، بأن یشکّ فی شمول النافلة المشروعة للنافلة الرباعیة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الشبهة المفهومیة راجعة إلی الشکّ فی الشرطیة و الجزئیة، بأن شکّ فی اعتبار الاستعاذة أو التحنّک فی الصلاة، و لم یکن فی البین اطلاق، کان المرجع هو البراءة أو الاشتغال، علی الخلاف فی مسألة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کانت الشبهة مصداقیة فیجری فیها حکم الشکّ فی تحقّق الجزء أو الشرط أو عدم</w:t>
      </w:r>
    </w:p>
    <w:p>
      <w:pPr>
        <w:pStyle w:val="BookText"/>
        <w:rPr/>
      </w:pPr>
      <w:r>
        <w:rPr>
          <w:rFonts w:ascii="IRNazanin" w:hAnsi="IRNazanin" w:eastAsia="IRNazanin"/>
          <w:color w:val="111111"/>
          <w:sz w:val="28"/>
          <w:sz w:val="28"/>
          <w:szCs w:val="28"/>
          <w:rtl w:val="true"/>
          <w:lang w:bidi="fa-IR"/>
        </w:rPr>
        <w:t xml:space="preserve">المانع، و لکلّ حکم مذکور فی محلّه </w:t>
      </w:r>
      <w:r>
        <w:rPr>
          <w:rStyle w:val="FootnoteAnchor"/>
          <w:rtl w:val="true"/>
        </w:rPr>
        <w:footnoteReference w:id="390"/>
      </w:r>
      <w:r>
        <w:rPr>
          <w:rFonts w:ascii="IRNazanin" w:hAnsi="IRNazanin" w:eastAsia="IRNazanin"/>
          <w:color w:val="111111"/>
          <w:sz w:val="28"/>
          <w:sz w:val="28"/>
          <w:szCs w:val="28"/>
          <w:rtl w:val="true"/>
          <w:lang w:bidi="fa-IR"/>
        </w:rPr>
        <w:t>من حیث الاشتغال فی الأوّل أو البراءة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الشکّ المذکور بعد التجاوز أو الفراغ فالمرجع هو قاعدته، هذا حال الشبهة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المعاملات فإن کانت الشبهة فیها حکمیة، کما لو شکّ فی نفوذ معاملة کالمغارسة مثلا، کان المرجع هو أصالة عدم ترتّب الأثر، إلّا أن یدّعی أنّ لنا عمومات أو إطلاقات دالّة علی نفوذ کلّ معاملة لم یثبت ردع الشارع عنها، أو یدّعی أنّ الأصل فی کلّ معاملة لم یثبت ردع الشارع عنها هو النفوذ، من دون حاجة إلی عموم أو إطلاق یدلّ علی صحّة کلّ 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فی هذا الوجه الثانی رجوعا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شموله لمقام الشکّ فی السبب،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هکذا الحال فیما لو کانت الشبهة مفهومیة، کما لو شکّ فی شمول مثل أَحَلَّ اللَّهُ الْبَیْعَ </w:t>
      </w:r>
      <w:r>
        <w:rPr>
          <w:rStyle w:val="FootnoteAnchor"/>
          <w:rtl w:val="true"/>
        </w:rPr>
        <w:footnoteReference w:id="392"/>
      </w:r>
      <w:r>
        <w:rPr>
          <w:rFonts w:ascii="IRNazanin" w:hAnsi="IRNazanin" w:eastAsia="IRNazanin"/>
          <w:color w:val="111111"/>
          <w:sz w:val="28"/>
          <w:sz w:val="28"/>
          <w:szCs w:val="28"/>
          <w:rtl w:val="true"/>
          <w:lang w:bidi="fa-IR"/>
        </w:rPr>
        <w:t>للبیع بلا ثمن، فإنّ الأصل فی مثل هذا الشکّ هو عدم ترتّب الأثر أیضا، إلّا أن یدّعی الرکون إلی أحد الأصلین المذکورین، فإنّ أقصی ما فیه حینئذ هو سقوط العموم الوارد علی عنوان البیع، إلّا أنّ ذلک لا یمنع عن دخوله تحت کلّی التجارة نظیر الصلح بلا ثمن، أو تحت کلّی المعاملة العرفیة التی لم یثبت ردع الشارع عنها، فتأمّل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الشبهة مصداقیة کان مقتضی القاعدة الأوّلیة هو الحکم بعدم ترتّب الأثر، لو لم یکن فی البین ما یقتضی الصحّة و لزوم ترتّب الأثر، من الحمل</w:t>
      </w:r>
    </w:p>
    <w:p>
      <w:pPr>
        <w:pStyle w:val="BookText"/>
        <w:rPr/>
      </w:pPr>
      <w:r>
        <w:rPr>
          <w:rFonts w:ascii="IRNazanin" w:hAnsi="IRNazanin" w:eastAsia="IRNazanin"/>
          <w:color w:val="111111"/>
          <w:sz w:val="28"/>
          <w:sz w:val="28"/>
          <w:szCs w:val="28"/>
          <w:rtl w:val="true"/>
          <w:lang w:bidi="fa-IR"/>
        </w:rPr>
        <w:t>علی الصحّة أو قاعدة الفراغ و نحو ذلک من الأصول الجاریة فی الشبهات الموضوعیة فی باب المعاملات لو کان الشکّ بعد الفراغ، و لو کان قبله جری فیه أصالة عدم ترتّب الأثر، هذا حال الشبهة فی العبادات و المعاملات من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فیهما من الجهة الثانیة فالذی ینبغی أن یکون موردها هو بعد الفراغ من الجهة الأولی، بمعنی أن تکون المعاملة أو العبادة فی حدّ نفسها مع قطع النظر عن تعلّق النهی بها محکوما بصحّتها، إذ لو کانت فی حدّ نفسها محکوما بفسادها و لو بأصالة الفساد، لم یکن للکلام علیها أثر من ناحیة الجهة الثانیة، إذ لا محصّل للبحث عن أنّه هل الأصل فی مثل صوم الصمت بعد نهی الشارع عنه هو کون النهی عنه موجبا لفساده أو کونه غیر موجب لذلک، بعد فرض کون الصوم المذکور فی حدّ نفسه قبل ملاحظة طروّ النهی علیه محکوما بأصالة الفساد للشکّ فی مشروعیته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إنّ ذلک بحث علمی و إن لم یترتّب علیه أثر عملی، و حاصل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صحّة مثل تلک العبادة یکون من ناحیتین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نفسها، و من ناحیة تعلّق النهی بها الراجع إلی الشکّ فی مانعیة النهی التحریمی، لامکان الرجوع إلی أصالة البراءة من هذه المانعیة، مع فرض کون العبادة فی حدّ نفسها محکومة بأصالة عدم المشروعیة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إن تقدّم </w:t>
      </w:r>
      <w:r>
        <w:rPr>
          <w:rStyle w:val="FootnoteAnchor"/>
          <w:rtl w:val="true"/>
        </w:rPr>
        <w:footnoteReference w:id="393"/>
      </w:r>
      <w:r>
        <w:rPr>
          <w:rFonts w:ascii="IRNazanin" w:hAnsi="IRNazanin" w:eastAsia="IRNazanin"/>
          <w:color w:val="111111"/>
          <w:sz w:val="28"/>
          <w:sz w:val="28"/>
          <w:szCs w:val="28"/>
          <w:rtl w:val="true"/>
          <w:lang w:bidi="fa-IR"/>
        </w:rPr>
        <w:t>منّا ما قدّمناه فی الإشکال علی صاحب القوانین قدّس سرّه، إلّا أنّ ذلک إنّما کان باعتبار أنّ الفساد الناشئ عن النهی غیر الفساد الناشئ عن الأصل، لکون الناشئ عن النهی یکون راجعا إلی الدلیل الاجتهادی، و الناشئ عن الأصل یکون من قبیل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إنّما هو لو أثبتنا</w:t>
      </w:r>
    </w:p>
    <w:p>
      <w:pPr>
        <w:pStyle w:val="BookText"/>
        <w:rPr/>
      </w:pPr>
      <w:r>
        <w:rPr>
          <w:rFonts w:ascii="IRNazanin" w:hAnsi="IRNazanin" w:eastAsia="IRNazanin"/>
          <w:color w:val="111111"/>
          <w:sz w:val="28"/>
          <w:sz w:val="28"/>
          <w:szCs w:val="28"/>
          <w:rtl w:val="true"/>
          <w:lang w:bidi="fa-IR"/>
        </w:rPr>
        <w:t>دلالة النهی علی الفساد، أمّا لو لم یثبت عندنا شی‌ء من ذلک، و توقّفنا فی کلّ من اقتضاء النهی الفساد و عدم اقتضائه له، و تولّدت عندنا من ذلک التوقّف مسألة، عنوانها هل یکون المرجع عند الشکّ فی کون النهی عن العبادة أو المعاملة موجبا للفساد هو أصالة الفساد أو الصحّة أو الاشتغال أو البراءة، إلی غیر ذلک من الأصول، و لا ریب أنّ تلک العبادة لو کانت فی حدّ نفسها مع قطع النظر عن تعلّق النهی بها محکومة بالفساد، فلا أثر عملی للکلام علی أنّ ذلک النهی المشکوک کونه مفسدا لها هل یکون الأصل فیه أنّه مفسد لها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یتّضح لک ذلک عند الکلام علی الجهة الثانیة فنقول بعونه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تقدّمت الاشارة إلی مطلب حقّق فی محلّه، و هو أنّه عند الشکّ فی الجزئیة و الشرطیة و المانعیة علی نحو الشبهة الحکمیة أو المفهومیة یکون المرجع الأوّلی هو الاطلاق أو العموم لو کان لنا ذلک، بأن یدّعی أنّ الصلاة فی مثل اطلاق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w:t>
      </w:r>
      <w:r>
        <w:rPr>
          <w:rStyle w:val="FootnoteAnchor"/>
          <w:rtl w:val="true"/>
        </w:rPr>
        <w:footnoteReference w:id="394"/>
      </w:r>
      <w:r>
        <w:rPr>
          <w:rFonts w:ascii="IRNazanin" w:hAnsi="IRNazanin" w:eastAsia="IRNazanin"/>
          <w:color w:val="111111"/>
          <w:sz w:val="28"/>
          <w:sz w:val="28"/>
          <w:szCs w:val="28"/>
          <w:rtl w:val="true"/>
          <w:lang w:bidi="fa-IR"/>
        </w:rPr>
        <w:t>شامل للصلاة الفاقدة للاستعاذة مثلا، المفروض کون جزئیتها مشکوکة و أنّ المرجع بعد العجز عن اتمام حجّیة ذلک الاطلاق هو البراءة، فإنّ هذا الاطلاق بعد سقوطه عن الحجّیة فی مثل ذلک و إن کان المرجع الأوّلی بعد سقوطه هو أصالة عدم مشروعیة هذه العبادة، إلّا أنّ أصالة البراءة الشرعیة من وجوب الاستعاذة فیها یرفع هذا الأصل، و یحکم بصحّة الصلاة المذکورة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ورد نهی عن صلاة مخصوصة مثل صلاة الحائض، فإن حکمنا بأنّ ذلک النهی یوجب فسادها فلا إشکال، سواء کان لنا عموم یشمل هذه العبادة لو لا النهی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توقّفنا فی ذلک و لم نجزم</w:t>
      </w:r>
    </w:p>
    <w:p>
      <w:pPr>
        <w:pStyle w:val="BookText"/>
        <w:rPr/>
      </w:pPr>
      <w:r>
        <w:rPr>
          <w:rFonts w:ascii="IRNazanin" w:hAnsi="IRNazanin" w:eastAsia="IRNazanin"/>
          <w:color w:val="111111"/>
          <w:sz w:val="28"/>
          <w:sz w:val="28"/>
          <w:szCs w:val="28"/>
          <w:rtl w:val="true"/>
          <w:lang w:bidi="fa-IR"/>
        </w:rPr>
        <w:t xml:space="preserve">بکون النهی المذکور مفسدا، کما أنّا لم نجزم بکونه غیر مفسد، کان علینا أن نقول إنّه لو کان لنا عموم یشمل هذه العبادة، بحیث إنّها لو لا هذا النهی لکانت صحیحة جزما، لکنّا بعد النظر إلی ورود النهی عنها، و لم نجزم بأنّ النهی مفسد لها، تدخل الحرمة المذکورة فی احتمال المانعیة، بمعنی أنّا نحتمل أنّ تحریم العبادة مانع من صحّتها، نظیر لباس ما لا یؤکل لحمه، فحینئذ نجری أصالة البراءة فی مانعیة التحریم المزبور، و یلزمنا الحکم بصحّتها، و یکون حال احتمال مانعیة التحریم المذکور حال احتمال جزئیة الاستعاذة فیما تقدّم، من أنّه برفع تلک الجزئیة أو هاتیک المانعیة بحدیث الرفع </w:t>
      </w:r>
      <w:r>
        <w:rPr>
          <w:rStyle w:val="FootnoteAnchor"/>
          <w:rtl w:val="true"/>
        </w:rPr>
        <w:footnoteReference w:id="395"/>
      </w:r>
      <w:r>
        <w:rPr>
          <w:rFonts w:ascii="IRNazanin" w:hAnsi="IRNazanin" w:eastAsia="IRNazanin"/>
          <w:color w:val="111111"/>
          <w:sz w:val="28"/>
          <w:sz w:val="28"/>
          <w:szCs w:val="28"/>
          <w:rtl w:val="true"/>
          <w:lang w:bidi="fa-IR"/>
        </w:rPr>
        <w:t>یرتفع الشکّ فی صحّة 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لو کانت الصلاة المذکورة فی حدّ نفسها مع قطع النظر عن تعلّق النهی بها محکومة بالصحّة، أمّا إذا کانت الصلاة المذکورة فی حدّ نفسها محکومة بالفساد استنادا إلی أصالة الفساد، لعدم عموم أو اطلاق یشملها فی حدّ نفسها، فأی أثر عملی حینئذ للشکّ فی مانعیة هذا التحریم، و أی فائدة عملیة ترتّب علی اجراء أصالة البراءة فی مانعیة ذلک التحریم، مع فرض کونها فی حدّ نفسها محکوما علیها بالفساد، و إنّما یظهر أثر ذلک فیما لو کان احتمال الفساد متطرّقا إلی هذه الصلاة من خصوص احتمال کون التحریم مانعا، فإنّ أصالة البراءة حینئذ من هذه المانعیة تنفعنا فی إزالة الشکّ الآتی من ناحیة تلک المانعیة، و یترتّب علی ذلک حکمنا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الجواب عن ما ذکر فی الحاشیة علی هذا الکتاب من قوله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صحّة العبادة کما عرفت تتوقّف علی وجود الأمر بها، أو اشتمالها علی ملاک المحبوبیة غیر مزاحم بملاک المبغوضیة، و شی‌ء منهما لا یکون بمتحقّق فی</w:t>
      </w:r>
    </w:p>
    <w:p>
      <w:pPr>
        <w:pStyle w:val="BookText"/>
        <w:rPr/>
      </w:pPr>
      <w:r>
        <w:rPr>
          <w:rFonts w:ascii="IRNazanin" w:hAnsi="IRNazanin" w:eastAsia="IRNazanin"/>
          <w:color w:val="111111"/>
          <w:sz w:val="28"/>
          <w:sz w:val="28"/>
          <w:szCs w:val="28"/>
          <w:rtl w:val="true"/>
          <w:lang w:bidi="fa-IR"/>
        </w:rPr>
        <w:t xml:space="preserve">فرض کون العبادة منهیا عنها الخ </w:t>
      </w:r>
      <w:r>
        <w:rPr>
          <w:rStyle w:val="FootnoteAnchor"/>
          <w:rtl w:val="true"/>
        </w:rPr>
        <w:footnoteReference w:id="396"/>
      </w:r>
      <w:r>
        <w:rPr>
          <w:rFonts w:ascii="IRNazanin" w:hAnsi="IRNazanin" w:eastAsia="IRNazanin"/>
          <w:color w:val="111111"/>
          <w:sz w:val="28"/>
          <w:sz w:val="28"/>
          <w:szCs w:val="28"/>
          <w:rtl w:val="true"/>
          <w:lang w:bidi="fa-IR"/>
        </w:rPr>
        <w:t>فإنّ هذا و أمثاله کلّه عبارة عن اختیار کون النهی مقتضیا للفساد، و کلام شیخنا قدّس سرّه إنّما هو علی تقدیر الشکّ فی ذلک و أنّه لیس لدینا إلّا عبادة منهی عنها، فهل یکون تحریم تلک العبادة موجبا لفسادها، و أنّ الأصل فی الشکّ فی کون هذا النهی مقتضیا للفساد ما ذا، و حینئذ یکون التحریم الطارئ علی العبادة محتمل المانعیة، فهل یکون المرجع فیه حینئذ هو البراءة من مانعیة التحریم أو لا، و من ذلک یظهر لک ما فی الحاشیة الثانیة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المجموع یظهر لک التأمّل فی عبارة الکفایة فی طبعة بغداد، و هی المرسومة فی طبعة حاشیة المرحوم القوچانی </w:t>
      </w:r>
      <w:r>
        <w:rPr>
          <w:rStyle w:val="FootnoteAnchor"/>
          <w:rtl w:val="true"/>
        </w:rPr>
        <w:footnoteReference w:id="398"/>
      </w:r>
      <w:r>
        <w:rPr>
          <w:rFonts w:ascii="IRNazanin" w:hAnsi="IRNazanin" w:eastAsia="IRNazanin"/>
          <w:color w:val="111111"/>
          <w:sz w:val="28"/>
          <w:sz w:val="28"/>
          <w:szCs w:val="28"/>
          <w:rtl w:val="true"/>
          <w:lang w:bidi="fa-IR"/>
        </w:rPr>
        <w:t>علی الهامش برسم نسخة بدل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العبادة فکذلک، لعدم الأمر بها مع النهی عنها کما لا یخفی </w:t>
      </w:r>
      <w:r>
        <w:rPr>
          <w:rStyle w:val="FootnoteAnchor"/>
          <w:rtl w:val="true"/>
        </w:rPr>
        <w:footnoteReference w:id="399"/>
      </w:r>
      <w:r>
        <w:rPr>
          <w:rFonts w:ascii="IRNazanin" w:hAnsi="IRNazanin" w:eastAsia="IRNazanin"/>
          <w:color w:val="111111"/>
          <w:sz w:val="28"/>
          <w:sz w:val="28"/>
          <w:szCs w:val="28"/>
          <w:rtl w:val="true"/>
          <w:lang w:bidi="fa-IR"/>
        </w:rPr>
        <w:t>، فإنّ هذا أیضا اختیار للقول بالفساد، غایته أنّه لیس من طریق مبغوضیة المنهی عنه، بل من طریق کون النهی مخصّصا للأمر، فیکون حینئذ خارجا عن فرض المسألة من الشکّ فی اقتضاء النهی الفساد، فإنّ التخصیص الذی هو عبارة عن کون النهی موجبا لارتفاع الأمر و انعدامه من جملة أدلّة کون النهی مقتضیا للفساد، فإنّ صاحب الکفایة قدّس سرّه بنفسه بعد أن استدلّ علی ذلک بأنّ الحرمة موجبة للفساد، فإنّها لا تجتمع مع کون الفعل موافقا للأمر، و أنّه لا یصلح حینئذ للتقرّب،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لو لم یکن النهی فیها دالا علی الحرمة لکان دالا علی الفساد، لدلالته علی الحرمة التشریعیة، فإنّه لا أقل من دلالته علی أنّها لیست بمأمور بها</w:t>
      </w:r>
    </w:p>
    <w:p>
      <w:pPr>
        <w:pStyle w:val="BookText"/>
        <w:rPr/>
      </w:pPr>
      <w:r>
        <w:rPr>
          <w:rFonts w:ascii="IRNazanin" w:hAnsi="IRNazanin" w:eastAsia="IRNazanin"/>
          <w:color w:val="111111"/>
          <w:sz w:val="28"/>
          <w:sz w:val="28"/>
          <w:szCs w:val="28"/>
          <w:rtl w:val="true"/>
          <w:lang w:bidi="fa-IR"/>
        </w:rPr>
        <w:t xml:space="preserve">و إن عمّها إطلاق دلیل الأمر بها أو عمومه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فی الأصل المذکور</w:t>
      </w:r>
      <w:r>
        <w:rPr>
          <w:rStyle w:val="FootnoteAnchor"/>
          <w:rtl w:val="true"/>
        </w:rPr>
        <w:footnoteReference w:id="401"/>
      </w:r>
      <w:r>
        <w:rPr>
          <w:rFonts w:ascii="IRNazanin" w:hAnsi="IRNazanin" w:eastAsia="IRNazanin"/>
          <w:color w:val="111111"/>
          <w:sz w:val="28"/>
          <w:sz w:val="28"/>
          <w:szCs w:val="28"/>
          <w:rtl w:val="true"/>
          <w:lang w:bidi="fa-IR"/>
        </w:rPr>
        <w:t xml:space="preserve">من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الشکّ لأجل دوران الواجب بین الأقل و الأکثر الخ، فکأنّه مبنی علی احتمال مانعیة التحریم، بحیث یکون الواجب مقیدا بعدم کونه محرّما، علی ما مرّ فی توجیه مانعیة التحریم مانعیة وضعیة، فتدخل المسألة فی مسائل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فیه أیضا من قوله فی 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العبادة فکذلک لو کان الشکّ فی أصل ثبوت الأمر، أو فی صحّة المأتی به و فساده لأجل الشکّ فی انطباقه مع ما هو المأمور به حین إتیانه، و إلّا فأصالة الصحّة بعد فراغه متبعة،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ناظر فی الشقّ الأوّل إلی أنّ الشکّ فی کون النهی یوجب الفساد یرجع إلی الشکّ فی أنّ النهی یوجب تخصیص الأمر، و خروج متعلّق النهی عن متعلّق الأمر، بحیث إنّه لا یکون لدینا عموم أو اطلاق یثبت الصحّة، و بقینا نحن و العبادة المنهی عنها التی یشکّ فی کونها مأمورا بها، و حینئذ تکون الشبهة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صحّته الخ، تلویح إلی الشبهة الموضوعیة بأن یکون الأمر محرزا و بعد طرو التحریم علی هذا الفعل لو اتّفق حصول الشکّ فی انطباقه علی ما هو المأمور به، مثلا بعد تحقّق النهی عن الصلاة فی الحریر یحصل الشکّ فی کون هذه الصلاة مع الحریر، ففی مثل ذلک یحکم بالفساد، نعم بعد الاقدام علی الاتیان بالفعل المذکور و لو غفلة یکون المرجع هو قاعدة الصحّة أو قاعدة الفراغ</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أفاده من التردید المذکور ممّا لم أتوفّق لفهمه، لأنّ عموم الأمر لو کان موجودا و شککنا فی کون النهی مخصّصا له کانت أصالة العموم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یمکن القول بأنّ الشبهة مفهومیة، لاحتمال کون الصلاة المأمور بها غیر شاملة لما هو المحرّم منها، لاحتمال کونها مقیّدة بعدم التحریم، فیکون التحریم مانعا، و تکون مانعیته وضعیة علی حذو مانعیة لباس غیر المأکول، و حینئذ تدخل مسألة الشکّ فی مانعیة التحریم فی مسائل الأقل و الأکثر، و هو ما أشار إلیه بقوله فی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الشکّ لأجل دوران الواجب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أشار فی أمّا الأخیرة إلی کون الشبهة مفهومیة، و فی الشقّ الأوّل من أمّا الأولی إلی الشبهة الحکمیة، و فی الشقّ الثانی منه إلی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صاحب الکفایة قدّس سرّه نظر فی المسألة الفرعیة إلی العبادة أو المعاملة تکون صحّتها مشکوکة فانتقل من ذلک إلی مطلب کلّی، و هو أنّ حکم المعاملة التی یشکّ فی صحّتها و إن لم یکن ذلک من ناحیة کونها منهیا عنها، بل کان الشکّ من نواح أخر من نواحیها، هو أنّه لو کان فی البین عموم أو إطلاق کان هو المرجع، و إلّا کان المرجع هو أصالة الفساد بمعنی عدم ترتّب الأثر، سواء کانت الشبهة حکمیة صرفة، أو کانت مفهومیة بأن حصل الشکّ بأنّ مفهوم البیع یشمل المعاطاة أو أنّه مقیّد بالبیع العقدی، أو کانت موضوعیة صرفة بأن حصل لنا الشکّ مثلا فی بلوغ المشتری، و نحو ذلک من موارد الشبهة الموضوعیة، فإنّ المرجع فی الجمیع لو لم یکن فی البین إطلاق أو عموم هو أصالة الفساد، إلّا فی الشبهة الموضوعیة لو کان الشکّ بعد الفراغ، فإنّ المرجع هو أصالة الصحّة أو قاعدة الفراغ</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العبادات فإن کانت الشبهة حکمیة صرفة، بأن شککنا فی کون مثل صوم الصمت مأمورا به، کان المرجع هو أصالة عدم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الشبهة موضوعیة صرفة، کما لو شککنا فی أنّ هذه الجهة مثلا هی القبلة، فإنّ</w:t>
      </w:r>
    </w:p>
    <w:p>
      <w:pPr>
        <w:pStyle w:val="BookText"/>
        <w:rPr/>
      </w:pPr>
      <w:r>
        <w:rPr>
          <w:rFonts w:ascii="IRNazanin" w:hAnsi="IRNazanin" w:eastAsia="IRNazanin"/>
          <w:color w:val="111111"/>
          <w:sz w:val="28"/>
          <w:sz w:val="28"/>
          <w:szCs w:val="28"/>
          <w:rtl w:val="true"/>
          <w:lang w:bidi="fa-IR"/>
        </w:rPr>
        <w:t>المرجع حینئذ قبل العمل هو أصالة الاشتغال، لعدم إحراز الشرط أو الجزء، و إن کان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المرجع هو قاعدة الفراغ و إن کانت الشبهة مفهومیة بأن احتملنا أنّ الصلاة الواجبة یعتبر فیها الاستعاذة جزءا و التعمّم شرطا، فالمرجع هو ما علیه البناء فی مسألة الأقل و الأکثر من البراءة أو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أنّ ذلک کلّه خارج عمّا نحن فیه من کون الشکّ ناشئا عن تعلّق النهی بالعبادة أو المعاملة، و هل الأصل فی المعاملة أو العبادة المنهی عنها هو الصحّة أو الفساد، بعد العجز عن تحقیق الحال فی أصل اقتضاء النهی الفساد کلّیة،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عرفت أنّه یتصوّر الشکّ فی مانعیة التحریم المذکور علی نحو الشبهة الحکمیة، کما أنّه یمکن أن تکون علی نحو الشبهة المفهومیة، بأن یکون حاصل الشکّ راجعا إلی أنّ الصلاة المأمور بها هل هی مختصّة بالصلاة مع عدم الحیض، أو هی شاملة للصلاة مع الحیض، و علی کلّ حال یکون المرجع هو البراءة من المانعیة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ربما أمکن تصوّر الشبهة الموضوعیة فی ذلک، بأن تکون حرمة الصلاة فی الحریر مثلا معلومة لدینا، و أنّ نفس تلک الحرمة مانعة من الصحّة علی حذو مانعیة ما لا یؤکل لحمه، لکن شککنا فی کون هذا اللباس حریرا، فقد شککنا فی حرمة الصلاة فیه، و ذلک عبارة أخری عن الشکّ فی تحقّق المانع الذی هو الحرمة مع کون الشبهة حینئذ موضوعیة، و یکون المرجع حینئذ هو أصالة البراءة من حرمة الصلاة فی ذلک اللباس، أو أصالة البراءة من مانعیة حرمتها 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یشکل الأمر فی الشبهة المفهومیة أو الحکمیة مثل صلاة الحائض فإنّ مقتضی البراءة فیها هو وجوبها علیها، و هو خلاف الامتنان، هذا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الإنصاف أنّ تحریر المسألة الفرعیة بهذا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مانعیة</w:t>
      </w:r>
    </w:p>
    <w:p>
      <w:pPr>
        <w:pStyle w:val="BookText"/>
        <w:rPr/>
      </w:pPr>
      <w:r>
        <w:rPr>
          <w:rFonts w:ascii="IRNazanin" w:hAnsi="IRNazanin" w:eastAsia="IRNazanin"/>
          <w:color w:val="111111"/>
          <w:sz w:val="28"/>
          <w:sz w:val="28"/>
          <w:szCs w:val="28"/>
          <w:rtl w:val="true"/>
          <w:lang w:bidi="fa-IR"/>
        </w:rPr>
        <w:t>التحریم علی نحو المانعیة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ینبغی، إذ لیس مانعیة التحریم التی هی حکم وضعی متفرّعة علی اقتضاء النهی الفساد و عدمه، إذ لو قلنا بعدم دلالة النهی علی الفساد لکان من الممکن أن یجعل الشارع حرمة العبادة مانعة من صحّتها، نظیر جعله مانعیة غیر المأکول، و ذلک کاشف عن أنّ مانعیة التحریم التی هی حکم وضعی لا تترتّب علی اقتضاء النهی للفساد، فلا یکون الشکّ فی المانعیة المزبورة ناشئا عن الشکّ فی اقتضاء النهی الفساد، کی یتفرّع علی الشکّ فی ذلک الاقتضاء الشکّ فی المانعیة المزبورة بالمعنی المذکور، أعنی المانعیة الوضعیة علی حذو مانعیة ما لا یؤکل لحمه، بل إنّ هذا الشکّ الثانی لو حصل لا یکون إلّا شکّا مستقلا، لا دخل له فی الشکّ فی کون النهی مقتضیا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عجزنا عن إقامة الدلیل علی کون النهی مقتضیا للفساد، و لا علی عدم اقتضائه الفساد، و توقّفنا فی کلّ من الطرفین، و لم یبق لدینا إلّا الشکّ فی الاقتضاء، کان ذلک الشکّ کافیا فی کون هذه العبادة مشکوکة الصحّة، فیحکم بفسادها لأصالة الفساد، فلا دخل لذلک بمسألة کون التحریم مانعا وضعیا و إجراء حدیث الرفع </w:t>
      </w:r>
      <w:r>
        <w:rPr>
          <w:rStyle w:val="FootnoteAnchor"/>
          <w:rtl w:val="true"/>
        </w:rPr>
        <w:footnoteReference w:id="402"/>
      </w:r>
      <w:r>
        <w:rPr>
          <w:rFonts w:ascii="IRNazanin" w:hAnsi="IRNazanin" w:eastAsia="IRNazanin"/>
          <w:color w:val="111111"/>
          <w:sz w:val="28"/>
          <w:sz w:val="28"/>
          <w:szCs w:val="28"/>
          <w:rtl w:val="true"/>
          <w:lang w:bidi="fa-IR"/>
        </w:rPr>
        <w:t>فی المانعیة، بل یکون المرجع هو أصالة الفساد، و یکون الحال فیما نحن فیه کحال الشکّ فی صحّة العبادة و فسادها فیما لو لم یکن ذلک ناشئا عن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یکون المرجع فی الشکّ من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الفساد الآتی من ناحیة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المرجع فی الفساد المشکوک من الجهة الأولی، أعنی به الشکّ فی فساد العبادة فیما لا یکون ناشئا عن النهی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الأمر هو أنّ ملخّص الشکّ فی کون النهی عن هذه العبادة موجبا لفسادها هو أنّا لم نتمکّن من الجزم بفسادها نظرا إلی کون النهی موجبا</w:t>
      </w:r>
    </w:p>
    <w:p>
      <w:pPr>
        <w:pStyle w:val="BookText"/>
        <w:rPr/>
      </w:pPr>
      <w:r>
        <w:rPr>
          <w:rFonts w:ascii="IRNazanin" w:hAnsi="IRNazanin" w:eastAsia="IRNazanin"/>
          <w:color w:val="111111"/>
          <w:sz w:val="28"/>
          <w:sz w:val="28"/>
          <w:szCs w:val="28"/>
          <w:rtl w:val="true"/>
          <w:lang w:bidi="fa-IR"/>
        </w:rPr>
        <w:t>للمبغوضیة المانعة من إمکان التقرّب، کما أنّا لم نجزم بصحّتها بدعوی کون التحریم و المبغوضیة غیر مانعة من إمکان التقرّب، و أیضا أنّا لم نتمکّن من الجزم بفسادها نظرا إلی کون النهی مخصّصا للأمر، کما أنّا لم نجزم بصحّتها نظرا إلی دعوی کون النهی غیر مخصّص للأمر، بل بقینا نحن و العبادة المنهی عنها المشکوک صحّتها، فیکون الأصل فیها هو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المعاملة، لکن الفرق بین الأصلین فیهما هو أنّه فی العبادة یکون بمعنی أصالة عدم المشروعیة، و فی المعاملة بمعنی أصالة عدم ترتّب الأثر، هذا لو کانت الشبهة حکمیة، أمّا لو کانت الشبهة موضوعیة فالظاهر جریان أصالة البراءة من الحرمة، و بذلک تخرج العبادة و المعاملة عن أصل المسألة، و هی مسألة الشکّ فی أنّ النهی یقتضی الفساد، لارتفاع النهی حینئذ من أصله بأصالة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 المرحوم الشیخ محمّد علی علی ما نقله عن شیخنا قدّس سرّه فی هذا المقام من اندراج المسألة فی مبحث الأقل و الأکثر أنّ ذلک إنّما یکون راجعا إلی البحث المزبور لو کان النهی متعلّقا بجزء أو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المتعلّق بنفس العبادة فلا یکون راجعا إلی ذلک، إذ لیس هو من قبیل الشکّ فی المانعیة، لاقتضاء النهی حرمة العبادة علی کلّ حال و إن شکّ فی اقتضاء الفساد، و مع حرمة العبادة لا یمکن تصحیحها، إذ لیس هنا شی‌ء وراء العبادة تعلّق النهی به یشکّ فی مانعیته حتّی ینفی بالأصل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فإنّ دخول ما نحن فیه فی مبحث الأقل و الأکثر إنّما هو بناء علی کون نفس الحرمة مانعا، لا أنّ هناک شیئا محرّما یکون داخلا فی العبادة</w:t>
      </w:r>
    </w:p>
    <w:p>
      <w:pPr>
        <w:pStyle w:val="BookText"/>
        <w:rPr/>
      </w:pPr>
      <w:r>
        <w:rPr>
          <w:rFonts w:ascii="IRNazanin" w:hAnsi="IRNazanin" w:eastAsia="IRNazanin"/>
          <w:color w:val="111111"/>
          <w:sz w:val="28"/>
          <w:sz w:val="28"/>
          <w:szCs w:val="28"/>
          <w:rtl w:val="true"/>
          <w:lang w:bidi="fa-IR"/>
        </w:rPr>
        <w:t>کی یکون ذلک الفعل الحرام مانعا، لیختصّ بالنهی عن الجزء أو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حرمة العبادة لا یمکن تصحیحها، خلاف الفرض، لأنّ الفرض أنّا مع حرمتها شاکّون فی اقتضاء التحریم الفساد، و هذا القول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حرمتها لا یمکن تصحیحها، إنّما یکون اختیارا للقول باقتضاء الفساد، فیکون خارجا عن الفرض الذی هو فرض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یعلم أنّ المنقول عن شیخنا قدّس سرّه فی التحاریر عن درسه مختلف غایة الاختلاف، فالذی یظهر من هذا التحریر أنّ حکم الشکّ فی کون النهی موجبا للفساد فی العبادة، هو أنّ الشبهة إن کانت موضوعیة فمقتضی قاعدة الاشتغال هو الحکم بالفساد، و أنّه إن کانت الشبهة حکمیة کانت راجعة إلی مسألة الأقل و الأکثر من الرجوع إلی الاشتغال أو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الطبعة الجدیدة زاد علی ذلک أنّه بحسب القواعد الأوّلیة مع قطع النظر عن قاعدة الفراغ أو التجاوز أو أصالة الصحّة</w:t>
      </w:r>
      <w:r>
        <w:rPr>
          <w:rStyle w:val="FootnoteAnchor"/>
          <w:rtl w:val="true"/>
        </w:rPr>
        <w:footnoteReference w:id="404"/>
      </w:r>
      <w:r>
        <w:rPr>
          <w:rFonts w:ascii="IRNazanin" w:hAnsi="IRNazanin" w:eastAsia="IRNazanin"/>
          <w:color w:val="111111"/>
          <w:sz w:val="28"/>
          <w:sz w:val="28"/>
          <w:szCs w:val="28"/>
          <w:rtl w:val="true"/>
          <w:lang w:bidi="fa-IR"/>
        </w:rPr>
        <w:t>و الظاهر أنّ ذلک استثناء من حکمه بالاشتغال فی صورة کون الشبهة موضوعیة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ممّا حرّره المرحوم الشیخ محمّد علی أنّ الشکّ فی اقتضاء النهی الفساد یوجب الشکّ فی مانعیة المنهی عنه عن العبادة، و یندرج فی مسألة الأقل و الأکثر، هذا إذا کان أمر بالعبادة مع قطع النظر عن النهی، و أمّا لو لم یکن أمر بها فالشکّ فی اقتضاء النهی الفساد یوجب الشکّ فی مشروعیة العبادة، و الأصل یقتضی عدم المشروعیة</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أشکل علیه فی الحاشیة بأنّ مانعیة المنهی عنه إنّما تتصوّر فیما لو کان المنهی عنه جزءا أو شرطا، دون ما إذا کان نفس العبادة بتمامها</w:t>
      </w:r>
    </w:p>
    <w:p>
      <w:pPr>
        <w:pStyle w:val="BookText"/>
        <w:rPr/>
      </w:pPr>
      <w:r>
        <w:rPr>
          <w:rFonts w:ascii="IRNazanin" w:hAnsi="IRNazanin" w:eastAsia="IRNazanin"/>
          <w:color w:val="111111"/>
          <w:sz w:val="28"/>
          <w:sz w:val="28"/>
          <w:szCs w:val="28"/>
          <w:rtl w:val="true"/>
          <w:lang w:bidi="fa-IR"/>
        </w:rPr>
        <w:t>منهیا عنها، و قد عرفت ما فی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وجدته فیما عثرت علیه من تحریرات المرحوم الشیخ موسی الخونساری رحمه اللّه أنّه لو شکّ فی دلالة النهی علی الفساد فلا أصل لفظی یعول علیه، و الأصل العملی فی المعاملات هو الفساد لو لم یکن هناک عموم یقتضی صحّة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العبادات لو کان الشکّ فی أصل تعلّق الأمر بها فکذلک، و لو کان من جهة الأجزاء أو الشرائط من جهة احتمال مانعیة المنهی عنه فمبنی علی مسألة البراءة و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التحریر موافق لتحریر المرحوم الشیخ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الموجود فیما حرّرته عن شیخنا قدّس سرّه یرجع إلی ذلک أیضا، فإنّ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المنهی عنه هو العبادة، فإن کانت الشبهة حکمیة بأن شکّ فی مشروعیة العبادة المنهی عنها کان المرجع هو أصالة عدم المشروعیة، فیحکم علی تلک العبادة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الشبهة مفهومیة کان المرجع هو البراءة أو الاشتغال، علی الکلام فی مسألة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الشبهة موضوعیة کان المرجع هو الاشتغال، انتهی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406"/>
      </w:r>
      <w:r>
        <w:rPr>
          <w:rFonts w:ascii="IRNazanin" w:hAnsi="IRNazanin" w:eastAsia="IRNazanin"/>
          <w:color w:val="111111"/>
          <w:sz w:val="28"/>
          <w:sz w:val="28"/>
          <w:szCs w:val="28"/>
          <w:rtl w:val="true"/>
          <w:lang w:bidi="fa-IR"/>
        </w:rPr>
        <w:t>الکلام فی تصویر کون الشبهة موضوعیة فی المقام، و ذلک بأن یکون حرمة العبادة فی حال الحیض محرزة، و کذلک کونها مانعة من الصحّة یکون محرزا أیضا، و یکون المشکوک هو تحقّق الموضوع و أنّ الحال هل هو حال حیض مثلا، و لکن یجری حینئذ أصالة البراءة من أصل الحرمة و کذلک یجری أصل البراءة من مانعیة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إسقاط الشبهة الموضوعیة فی هذا المقام، لأنّها أجنبیة عمّا نحن فیه من حکم الشکّ فی کون النهی مقتضیا للفساد، فإنّ هذه الشبهة الموضوعیة إنّما تتصوّر بعد الفراغ عن کونه مقتضیا</w:t>
      </w:r>
    </w:p>
    <w:p>
      <w:pPr>
        <w:pStyle w:val="BookText"/>
        <w:rPr/>
      </w:pPr>
      <w:r>
        <w:rPr>
          <w:rFonts w:ascii="IRNazanin" w:hAnsi="IRNazanin" w:eastAsia="IRNazanin"/>
          <w:color w:val="111111"/>
          <w:sz w:val="28"/>
          <w:sz w:val="28"/>
          <w:szCs w:val="28"/>
          <w:rtl w:val="true"/>
          <w:lang w:bidi="fa-IR"/>
        </w:rPr>
        <w:t>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الأولی أیضا إسقاط الشبهة الحکمیة بالمعنی المذکور، أعنی بمعنی الشکّ فی الأمر، لما عرفت من أنّ تلک العبادة حینئذ تکون فی حدّ نفسها محکوما علیها بالفساد، لعدم ثبوت مشروعیتها، و حینئذ لا محصّل للنزاع فی أنّه بعد تعلّق النهی بها و لم یثبت عندنا کونه مقتضیا للفساد هل الأصل فیه هو الفساد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إدخال الشبهة الحکمیة و کذلک الموضوعیة کان منّا معاشر المحرّرین تبعا لما فی الکفایة فی النسخ الطهرانیة</w:t>
      </w:r>
      <w:r>
        <w:rPr>
          <w:rStyle w:val="FootnoteAnchor"/>
          <w:rtl w:val="true"/>
        </w:rPr>
        <w:footnoteReference w:id="407"/>
      </w:r>
      <w:r>
        <w:rPr>
          <w:rFonts w:ascii="IRNazanin" w:hAnsi="IRNazanin" w:eastAsia="IRNazanin"/>
          <w:color w:val="111111"/>
          <w:sz w:val="28"/>
          <w:sz w:val="28"/>
          <w:szCs w:val="28"/>
          <w:rtl w:val="true"/>
          <w:lang w:bidi="fa-IR"/>
        </w:rPr>
        <w:t>من التعرّض للأقسام الثلاثة، غفلة عن حقیقة ما أجمله شیخنا قدّس سرّه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یعجبنی فی هذا المقام ما وجدته فی تحریرات نجل شیخنا قدّس سرّه حضرة الأخ الفاضل المیرزا علی آقا سلّمه اللّه، فإنّه حینما کان یکتب الدرس یعرضه بخدمة والده قدّس سرّه، و لعلّ الکثیر منه کان باملائه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هاک نصّ ما تفضّل باطلاعی علیه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فهذا الشکّ السببی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 النهی یقتضی الفساد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موردا لأصل أصلا، و لکن الشکوک المسبّبة المتولّدة منه یجری فیها الأصل، و حیث إنّ مرجع البحث إلی استتباع النهی للمانعیة، ففی العبادات یرجع إلی تردّد المکلّف به بین الأقل و الأکثر، و یبنی الصحّة و الفساد حینئذ علی البراءة و الاشتغال، فعلی الأوّل یحکم بالصحّة و عدم المانعیة، و علی الثانی بالمانعیة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المعاملات أیضا یرجع إلی الشکّ فی ترتّب الأثر المعاملی علی مورد النهی، فیکون الأصل مقتضیا للفساد إلّا إذا فرض أصل حاکم</w:t>
      </w:r>
    </w:p>
    <w:p>
      <w:pPr>
        <w:pStyle w:val="BookText"/>
        <w:rPr/>
      </w:pPr>
      <w:r>
        <w:rPr>
          <w:rFonts w:ascii="IRNazanin" w:hAnsi="IRNazanin" w:eastAsia="IRNazanin"/>
          <w:color w:val="111111"/>
          <w:sz w:val="28"/>
          <w:sz w:val="28"/>
          <w:szCs w:val="28"/>
          <w:rtl w:val="true"/>
          <w:lang w:bidi="fa-IR"/>
        </w:rPr>
        <w:t>علی أصالة الفساد، و الظاهر أن لا یکون هناک أصل حاکم علی أصالة الفساد من الجهة التی نحن فیها، انتهی ما أردت نقله من التحریرات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تری کیف حصر الشبهة فیما نحن فیه بما یرجع إلی الشکّ بین الأقل و الأکثر، نظرا إلی أنّ الشکّ حینئذ یکون فی کون الحرمة المذکورة مانعة، فتکون المسألة من قبیل الشکّ فی المانعیة علی نحو الشبهة المفهومیة بالنسبة إلی ما هو متعلّق الأمر، و أنّه هل هو مطلق الصلاة مثلا، أو أنّه هو خصوص ما لم یکن واقعا علی جهة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المقام إشکال آخر، و هو أنّ الشکّ فی المانعیة المتفرّع علی الشکّ فی اقتضاء التحریم الفساد إن کان المراد بالمانعیة العقلیة التی هی عبارة عن مانعیة المبغوضیة عن امکان التقرّب، فذلک لا یرجع إلی الشکّ فی المانعیة الوضعیة التی هی بجعل الشارع، کی یکون المرجع فیها هو البراءة أو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بالمانعیة فیه هی المانعیة الوضعیة، فمن الواضح أنّ هذه المانعیة لا تتفرّع عن الفساد الآتی من ناحیة النهی، الذی هو عبارة عن عدم إمکان التقرّب بالمبغوض</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فالأولی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الشکّ فی الفساد إن کان المراد بالفساد فیه هو ما ذکرناه من مانعیة المبغوضیة من قصد التقرّب، بمعنی أنّا نشکّ فی إمکان التقرّب به، فلو فرضنا حصول الشکّ فی ذلک، خلافا لما حقّقناه فی محلّه </w:t>
      </w:r>
      <w:r>
        <w:rPr>
          <w:rStyle w:val="FootnoteAnchor"/>
          <w:rtl w:val="true"/>
        </w:rPr>
        <w:footnoteReference w:id="408"/>
      </w:r>
      <w:r>
        <w:rPr>
          <w:rFonts w:ascii="IRNazanin" w:hAnsi="IRNazanin" w:eastAsia="IRNazanin"/>
          <w:color w:val="111111"/>
          <w:sz w:val="28"/>
          <w:sz w:val="28"/>
          <w:szCs w:val="28"/>
          <w:rtl w:val="true"/>
          <w:lang w:bidi="fa-IR"/>
        </w:rPr>
        <w:t>فی مسألة استصحاب الأحکام العقلیة من أنّ الأحکام العقلیة لا یعقل فیها الشکّ من ناحیة العقل الذی هو الحاکم فیها، فالأصل فیه حینئذ هو الاشتغال، بمعنی الشکّ فی حصول التقرّب الذی یتوقّف علیه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الفساد المدّعی هو الآتی من ناحیة تخصیص الأمر أو تقیید اطلاقه فمع الشکّ فیه یکون أصالة العموم أو</w:t>
      </w:r>
    </w:p>
    <w:p>
      <w:pPr>
        <w:pStyle w:val="BookText"/>
        <w:rPr/>
      </w:pPr>
      <w:r>
        <w:rPr>
          <w:rFonts w:ascii="IRNazanin" w:hAnsi="IRNazanin" w:eastAsia="IRNazanin"/>
          <w:color w:val="111111"/>
          <w:sz w:val="28"/>
          <w:sz w:val="28"/>
          <w:szCs w:val="28"/>
          <w:rtl w:val="true"/>
          <w:lang w:bidi="fa-IR"/>
        </w:rPr>
        <w:t>الاطلاق محکمة، فیکون الأصل هو الصحّة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إنّا نعترف بکون النهی موجبا للتخصیص، و لکن مع ذلک نشک فی تقیّد متعلّق الأمر بعدم متعلّق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 فإنّ تسلیم التخصیص یوجب إحراز الفساد، لعدم الأمر حینئذ خطابا و ملاکا،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لو کان مقتضیا للفساد لکان ذلک بحکم العقل، من جهة کونه موجبا للمبغوضیة التی لا تجتمع مع محبوبیة العبادة، أو من جهة کونه موجبا لخروج متعلّقه عن عموم الأمر خطابا و ملاکا، فلا تکون مانعیة النهی إلّا مانعیة عقلیة، فلو شککنا فی اقتضائه الفساد لم یکن ذلک من الشکّ فی المانعیة الشرعیة الناشئة عن تقیید الشارع العبادة بعدم النهی عنها، کی یکون المرجع فی ذلک إلی البراءة الشرعیة من تلک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طریقة التخصیص توجب خروج متعلّق النهی عن عموم الأمر، و تکون النتیجة هی تقیید المأمور به بعدم متعلّق النهی، و هذا التقیید بالعدم هو عین المانعیة الشرعیة، و هذه المانعیة ولیدة التخصیص، فیکون الشکّ فی التخصیص الموجب للبطلان راجعا إلی الشکّ فی تقیّد الصلاة بعدم مورد النهی، فیکون من قبیل الشکّ فی المانعیة الشرعیة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ذکرناه من عدم إمکان البراءة فی مثل صلاة الحائض مسلّم، و لکنّه فی العموم الشمولی أعنی وجوب الصلاة فی کلّ یوم و قد خرج منه أیّام الحیض، فلا امتنان فی رفع هذه المانعیة، و لکن مع ذلک یکون المرجع عند الشکّ فی أنّ النهی یوجب التخصیص هو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العموم بدلیا، کما لو نهی عن الصلاة فی الحریر، فإنّه یرجع إلی إخراج الصلاة فی الحریر عن ذلک العموم، فیتقیّد العام بعدم الصلاة فی الحریر، یعنی أنّ الصلاة الواجبة مقیّدة بأن لا تکون</w:t>
      </w:r>
      <w:bookmarkStart w:id="181" w:name="pg19667_765225"/>
    </w:p>
    <w:p>
      <w:pPr>
        <w:pStyle w:val="BookText"/>
        <w:rPr/>
      </w:pPr>
      <w:bookmarkEnd w:id="181"/>
      <w:r>
        <w:rPr>
          <w:rFonts w:ascii="IRNazanin" w:hAnsi="IRNazanin" w:eastAsia="IRNazanin"/>
          <w:color w:val="111111"/>
          <w:sz w:val="28"/>
          <w:sz w:val="28"/>
          <w:szCs w:val="28"/>
          <w:rtl w:val="true"/>
          <w:lang w:bidi="fa-IR"/>
        </w:rPr>
        <w:t>صلاة فی الحریر، و حینئذ نقول إنّا لو شککنا فی ذلک الاخراج فقد شککنا فی التقیید المذکور، و مقتضی الأصل هو البراءة من القید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حاجة إلی البراءة، بل التمسّک بالعموم البدلی کاف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الشکّ الآتی من ناحیة النهی حاله حال الشکّ المتعلّق بفساد المعاملة أو العبادة من ناحیة أخری قبل تعلّق النهی، و عند ما تکون الشبهة فیه حکمیة یکون المرجع فیه هو العمومات و الاطلاقات لو کانت، و إلّا کان المحکّم هو أصالة الفساد فی المعاملة و أصالة عدم المشروعیة فی العبادة، و أنّ المسألة فی العبادة لا ترجع إلی مسألة الأقل و الأکثر، و أنّ هذا التطویل الذی ذکرناه فی توجیه ما فی الکفایة و ما فی کلام شیخنا قدّس سرّه من إرجاع المسألة إلی مسألة الأقل و الأکثر تطویل بلا طائل،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الموضوعیة فیهما قبل الاقدام فهی کما أفید فی أصالة عدم ترتّب الأثر فی المعاملة و أصالة الاحتیاط فی العبادة، لکن بعد الاقدام و لو غفلة یکون المرجع أصالة الصحّة أو قاعدة الفراغ و نحوهما، فتأمّل</w:t>
      </w:r>
      <w:r>
        <w:rPr>
          <w:rFonts w:eastAsia="IRNazanin" w:cs="IRNazanin"/>
          <w:color w:val="111111"/>
          <w:sz w:val="28"/>
          <w:szCs w:val="28"/>
          <w:rtl w:val="true"/>
          <w:lang w:bidi="fa-IR"/>
        </w:rPr>
        <w:t>.</w:t>
      </w:r>
    </w:p>
    <w:p>
      <w:pPr>
        <w:pStyle w:val="Heading4"/>
        <w:numPr>
          <w:ilvl w:val="3"/>
          <w:numId w:val="1"/>
        </w:numPr>
        <w:rPr/>
      </w:pPr>
      <w:bookmarkStart w:id="182" w:name="__RefHeading___Toc3538571_2314609296"/>
      <w:bookmarkStart w:id="183" w:name="_Toc63"/>
      <w:bookmarkEnd w:id="182"/>
      <w:r>
        <w:rPr>
          <w:rtl w:val="true"/>
        </w:rPr>
        <w:t>[</w:t>
      </w:r>
      <w:r>
        <w:rPr>
          <w:rtl w:val="true"/>
        </w:rPr>
        <w:t>شبهة عدم استناد فساد العبادة إلی النهی و الجواب عنها</w:t>
      </w:r>
      <w:r>
        <w:rPr>
          <w:rtl w:val="true"/>
        </w:rPr>
        <w:t>]</w:t>
      </w:r>
      <w:bookmarkEnd w:id="18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العبادة و إن فرضنا إمکان تعلّق النهی بها إلّا أنّه لا یوجب فسادها، إذ الفساد یکون مترتّبا علی عدم مشروعیتها و لو لم تکن منهیا عنها، فلا یکون مترتّبا علی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الفساد عند عدم النهی إنّما یکون من جهة الأصل، و هی أصالة عدم المشروعیة، و عند النهی إنّما یکون مستندا إلی الدلیل علی الفساد الرافع لموضوع الأصل، فالفساد فی ظرف النهی یکون مستندا إلی النهی لیس إلّا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الظاهر من تقریر هذه الشبهة هو أنّ المنظور إلیه إنّما هو مقام</w:t>
      </w:r>
    </w:p>
    <w:p>
      <w:pPr>
        <w:pStyle w:val="BookText"/>
        <w:rPr/>
      </w:pPr>
      <w:r>
        <w:rPr>
          <w:rFonts w:ascii="IRNazanin" w:hAnsi="IRNazanin" w:eastAsia="IRNazanin"/>
          <w:color w:val="111111"/>
          <w:sz w:val="28"/>
          <w:sz w:val="28"/>
          <w:szCs w:val="28"/>
          <w:rtl w:val="true"/>
          <w:lang w:bidi="fa-IR"/>
        </w:rPr>
        <w:t>الثبوت، و أنّ المراد من قولهم إنّ النهی عن العبادة یقتضی الفساد هو ذلک المقام أعنی مقام الثبوت، و نحن إذا نظرنا إلی مقام الثبوت لا نجد فساد العبادة مستندا إلی النهی، و إنّما یکون المستند فیه هو عدم الأمر، فیکون فسادها الواقعی الثبوتی ناشئا عن عدم تعلّق الأمر و التشریع بتلک العبادة، بمعنی أنّ فسادها یکون مستندا إلی کونها فی الواقع غیر مشروعة، فلا یکون تعلّق النهی بها واقعا هو الموجب لفسادها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تقریر هذه الشبهة بهذه الصورة لا یدفعه أنّ الفساد الآتی من ناحیة أصالة عدم المشروعیة لا ینافیه الحکم بالفساد من جهة النهی لکونه دلیلا اجتهادیا علیه، فإنّ ذلک إنّما یتمّ لو کان المنظور إلیه هو مقام الاثبات، فإنّه حینئذ یکون الفساد الثابت بدلیل النهی فسادا بحکم الدلیل الاجتهادی، و الفساد الثابت قبل ملاحظة النهی هو الفساد من ناحیة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المنظور فی الشبهة المذکورة هو مقام الثبوت، فالذی ینبغی أن یقال فی جوابه هو أنّ العبادة فی مقام الثبوت و إن کان حکمها الواقعی هو الفساد من جهة عدم الأمر، إلّا أنّ طروّ النهی علیها یوجب عدم إمکان تعلّق الأمر بها واقعا، فتکون فاسدة من جهة عدم الأمر خطابا و ملاکا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قد یکون فی حدّ نفسه ذا مصلحة یقتضی تعلّق الأمر به، و یکون حصول تلک المصلحة منه متوقّفا علی الاتیان به علی الوجه العبادی، بمعنی أنّ ذلک الفعل فی حدّ نفسه یکون من سنخ العبادات التی یتوقّف حصول الغرض منها علی الاتیان بها بعنوان العبادیة، فذلک الفعل لو خلی و نفسه لتعلّق الأمر العبادی به و کان عبادة صحیحة، إلّا أنّ ذلک الملاک لما زوحم فی مقام التشریع بملاک النهی و کان الثانی أقوی، کان موجبا لتعلّق النهی به، و کان تعلّق</w:t>
      </w:r>
    </w:p>
    <w:p>
      <w:pPr>
        <w:pStyle w:val="BookText"/>
        <w:rPr/>
      </w:pPr>
      <w:r>
        <w:rPr>
          <w:rFonts w:ascii="IRNazanin" w:hAnsi="IRNazanin" w:eastAsia="IRNazanin"/>
          <w:color w:val="111111"/>
          <w:sz w:val="28"/>
          <w:sz w:val="28"/>
          <w:szCs w:val="28"/>
          <w:rtl w:val="true"/>
          <w:lang w:bidi="fa-IR"/>
        </w:rPr>
        <w:t>النهی به موجبا لعدم تأثیر ملاکه فی تعلّق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فالفساد فی هذه الصورة و إن کان فی الحقیقة مستندا إلی عدم الأمر الناشئ عن مغلوبیة ملاکه لملاک النهی، إلّا أنّه یمکن التوسّع فی استناده إلی النهی، لکون تعلّقه بذلک الفعل ملازما لمغلوبیة ملاک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یکون فی حدّ نفسه واجدا لذلک الملاک فلا یکون فساده ناشئا إلّا عن عدم الأمر، سواء کان منهیا عنه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فیما لو کان ذا ملاک لکن کان ملاک النهی فیه مساویا لملاک الأمر، فإنّ فساده لا یکون ناشئا إلّا عن عدم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صحّة کونه عبادة ناشئ عن عدم وجدانه للملاک المؤثّر فی تعلّق الأمر به، و فی الحقیقة أنّ ذلک الفعل فی المرتبة السابقة علی تشریع کلّ من الأمر و النهی لا یتّصف بصحّة و لا بفساد، و إنّما یتّصف بذلک فی المرتبة المتأخرة عن التشریع، و حیث إنّ ملاک النهی فیه کان غالبا کان الحکم المشرّع فیه هو النهی، و حینئذ یکون فساده مستندا إلی تشریع النهی فیه أو إلی عدم الأمر فی مرتبة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الأمر السابق فی الرتبة علی التشریع فلا یکون مؤثّرا فی فساده قطعا، لما عرفت من أنّه فی الرتبة السابقة علی التشریع لا یتّصف بصحّة و لا فساد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فما فی تحریر المرحوم الشیخ محمّد علی </w:t>
      </w:r>
      <w:r>
        <w:rPr>
          <w:rStyle w:val="FootnoteAnchor"/>
          <w:rtl w:val="true"/>
        </w:rPr>
        <w:footnoteReference w:id="410"/>
      </w:r>
      <w:r>
        <w:rPr>
          <w:rFonts w:ascii="IRNazanin" w:hAnsi="IRNazanin" w:eastAsia="IRNazanin"/>
          <w:color w:val="111111"/>
          <w:sz w:val="28"/>
          <w:sz w:val="28"/>
          <w:szCs w:val="28"/>
          <w:rtl w:val="true"/>
          <w:lang w:bidi="fa-IR"/>
        </w:rPr>
        <w:t>من استناد الفساد فیه إلی عدم الأمر، لکونه سابقا علی النهی، لم یتّضح وجهه، إذ لو کان المراد هو العدم السابق علی التشریع فقد عرفت أنّه فی تلک الرتبة لا یتّصف بأحدهما، و إن کان المراد به العدم فی رتبة التشریع فلیس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ذلک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علی النهی و لو 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تقدّم فی محلّه من عدم کون عدم أحد الضدّین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الرتبة علی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مقام الاثبات فإنّا إذا نظرنا إلی عبادة، و شککنا فی صحّتها مع قطع النظر عن تعلّق النهی بها، نقول إنّها إن کان لها عموم أمر یشملها حکمنا بصحّتها، و إن لم یکن حکمنا بفسادها استنادا إلی أصالة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ورد دلیل یدلّ علی النهی عن تلک العبادة حکمنا بفسادها، لکشف ذلک النهی عن عدم ملاک الأمر فیها، أو عن غلبة ملاک النهی فیها علی ملاک الأمر، و إلّا لم یعقل تعلّق النهی بها، و حینئذ یکون ذلک النهی بالنسبة إلی ذلک العموم مخصّصا، و بالنسبة إلی الأصل حاکما علی حذو حکومة الدلیل الاجتهادی علی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یظهر لک الاستغناء عن الاستدلال علی اقتضاء النهی الفساد فی العبادة بطریق المبغوضیة المانعة من إمکان التقرّب، فإنّ هذا الاستدلال و إن کان صحیحا إلّا أنّ تلک الطریقة کافیة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فیما تقدّم </w:t>
      </w:r>
      <w:r>
        <w:rPr>
          <w:rStyle w:val="FootnoteAnchor"/>
          <w:rtl w:val="true"/>
        </w:rPr>
        <w:footnoteReference w:id="411"/>
      </w:r>
      <w:r>
        <w:rPr>
          <w:rFonts w:ascii="IRNazanin" w:hAnsi="IRNazanin" w:eastAsia="IRNazanin"/>
          <w:color w:val="111111"/>
          <w:sz w:val="28"/>
          <w:sz w:val="28"/>
          <w:szCs w:val="28"/>
          <w:rtl w:val="true"/>
          <w:lang w:bidi="fa-IR"/>
        </w:rPr>
        <w:t>من أنّ هذه الطریقة إنّما تجری بعد ثبوت کون الفعل منهیا عنه، و ما دام العموم باقیا بحاله لا یدع مجالا لاثبات کون الفعل منهیا عنه، و حینئذ تکون هذه الطریقة متأخرة رتبة عن التخصیص، فیکون الفساد مستندا إلیه لا إلیها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هذه الطریقة أعنی طریقة التخصیص لا تتوقّف علی تبعیة الأحکام للمصالح و المفاسد، و إن کان الأمر کذلک عندنا، إلّا أنّ الطریقة المذکورة تتمّ حتّی عند القائلین بعدم التبعیة، إذ یکفی فی التعارض و التخصیص مجرّد التنافی بین الأمر و النهی، و مع التخصیص الواقعی تکون تلک العبادة غیر مأمور بها واقعا، فلا یمکن تصحیحها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دعوی تصحیحها بالملاک فإنّما هو علی تقدیر القول بالملاکات و المصالح و المفاسد، و لا تتأتّی علی قول المنکرین</w:t>
      </w:r>
    </w:p>
    <w:p>
      <w:pPr>
        <w:pStyle w:val="BookText"/>
        <w:rPr/>
      </w:pPr>
      <w:r>
        <w:rPr>
          <w:rFonts w:ascii="IRNazanin" w:hAnsi="IRNazanin" w:eastAsia="IRNazanin"/>
          <w:color w:val="111111"/>
          <w:sz w:val="28"/>
          <w:sz w:val="28"/>
          <w:szCs w:val="28"/>
          <w:rtl w:val="true"/>
          <w:lang w:bidi="fa-IR"/>
        </w:rPr>
        <w:t>لذلک، و قد عرفت أنّه بناء علی القول بالتبعیة یکون النهی مخصّصا للأمر خطابا و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کلّه أیضا یظهر لک أنّ الاقتضاء لا یتوقّف علی التشبّث بالقبح الفاعلی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عدم کون المنظور إلیه هو المرتبة السابقة علی التشریع، بل کان المنظور هو مرتبة التشریع و ما بعدها، نقول إن توقّفنا فی صحّة العبادة علی الأمر کان عدم صدور الأمر بها کافیا فی فسادها</w:t>
      </w:r>
      <w:r>
        <w:rPr>
          <w:rStyle w:val="FootnoteAnchor"/>
          <w:rtl w:val="true"/>
        </w:rPr>
        <w:footnoteReference w:id="412"/>
      </w:r>
      <w:r>
        <w:rPr>
          <w:rFonts w:ascii="IRNazanin" w:hAnsi="IRNazanin" w:eastAsia="IRNazanin"/>
          <w:color w:val="111111"/>
          <w:sz w:val="28"/>
          <w:sz w:val="28"/>
          <w:szCs w:val="28"/>
          <w:rtl w:val="true"/>
          <w:lang w:bidi="fa-IR"/>
        </w:rPr>
        <w:t>، سواء تعلّق النهی بها أو تعلّق بها الاباحة أو ترکت بلا حکم، و حینئذ یکون الفساد مستندا إلی إبقاء الشارع عدم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بکفایة الملاک و عدم توقّف صحّة العبادة علی الأمر، لم یکن بقاء عدم الأمر کافیا فی فسادها بعد فرض إحراز الملاک فیها، بل لا بدّ من طرو جهة توجب عدم صحّتها، و ذلک هو حرمتها، و حینئذ یکون الفساد مستندا إلی التحریم لا إلی عدم الأمر، علی وجه لو لم تطرأ علیها الحرمة لأمکن التقرّب بها، و إن بقیت غیر مأمور بها، بأن لم یجعل الشارع لها حکما أصلا إن تصوّرنا ذلک، أو جعلها مباحة مثلا، کلّ ذلک بعد إحراز الملاک غیر المغلوب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الکلام فی إحرازه و بأی طریق یکون ذلک فذلک أمر آخر، لا دخل له بما نحن فیه من دعوی کون الفساد مستندا إلی النهی، لا إلی مجرّد بقاء عدم الأمر، فإنّ هذا النهی یکون موجبا لعدم تمامیة الملاک لو قلنا بامکان التقرّب و تصحیح العبادة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توقّف علی وجود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مقام الثبوت، و منه یتّضح الحال فی مقام الاثبات، و أنّه علی الأوّل أعنی التوقّف علی الأمر یکون النهی کاشفا عن عدم الأمر، فتفسد لعدم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لا حاجة إلی استکشاف عدم الأمر، بل لو کان عدمه مقطوعا به لأمکن الحکم بصحّتها، بل لا بدّ</w:t>
      </w:r>
      <w:bookmarkStart w:id="184" w:name="pg19667_765230"/>
    </w:p>
    <w:p>
      <w:pPr>
        <w:pStyle w:val="BookText"/>
        <w:rPr/>
      </w:pPr>
      <w:bookmarkEnd w:id="184"/>
      <w:r>
        <w:rPr>
          <w:rFonts w:ascii="IRNazanin" w:hAnsi="IRNazanin" w:eastAsia="IRNazanin"/>
          <w:color w:val="111111"/>
          <w:sz w:val="28"/>
          <w:sz w:val="28"/>
          <w:szCs w:val="28"/>
          <w:rtl w:val="true"/>
          <w:lang w:bidi="fa-IR"/>
        </w:rPr>
        <w:t>حینئذ من جعل النهی کاشفا عن عدم ملاک الأمر، أو عن مغلوبیته و عدم تمامیته و هو الموجب للبطلان، فلاحظ و تأمّل</w:t>
      </w:r>
      <w:r>
        <w:rPr>
          <w:rFonts w:eastAsia="IRNazanin" w:cs="IRNazanin"/>
          <w:color w:val="111111"/>
          <w:sz w:val="28"/>
          <w:szCs w:val="28"/>
          <w:rtl w:val="true"/>
          <w:lang w:bidi="fa-IR"/>
        </w:rPr>
        <w:t>.</w:t>
      </w:r>
    </w:p>
    <w:p>
      <w:pPr>
        <w:pStyle w:val="Heading4"/>
        <w:numPr>
          <w:ilvl w:val="3"/>
          <w:numId w:val="1"/>
        </w:numPr>
        <w:rPr/>
      </w:pPr>
      <w:bookmarkStart w:id="185" w:name="__RefHeading___Toc3538573_2314609296"/>
      <w:bookmarkStart w:id="186" w:name="_Toc64"/>
      <w:bookmarkEnd w:id="185"/>
      <w:r>
        <w:rPr>
          <w:rtl w:val="true"/>
        </w:rPr>
        <w:t>[</w:t>
      </w:r>
      <w:r>
        <w:rPr>
          <w:rtl w:val="true"/>
        </w:rPr>
        <w:t>شبهة عدم وجود عبادة منهی عنها لذاتها و الجواب عنها</w:t>
      </w:r>
      <w:r>
        <w:rPr>
          <w:rtl w:val="true"/>
        </w:rPr>
        <w:t>]</w:t>
      </w:r>
      <w:bookmarkEnd w:id="18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النهی عن العبادة لأمر آخر کجزئه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جوابه أنّ الخصوصیات التی بها یتخصّص العبادة منها ما لا یکون موجبا لتنوّع العبادة بنوعین أو بصنفین، بل یکون أمرا آخر موجبا لتشخّص العبادة کالنظر إلی الأجنبیة و أمثالهما، و منها ما یکون موجبا لذلک، و حینئذ فإذا تعلّق النهی بما هو متشخّص بمثل هذا التشخّص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حرّرته عنه قدّس سرّه فی هذا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مثّلوا للقسم الأوّل من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یکون منهیا عنه من العبادة لنفسه لا لجزئه و لا لوصفه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الحائض و بصوم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أشکل علی ذلک بأنّه أیضا لا یکون نوع العبادة فیه منهیا عنه، بل یکون النهی متعلّقا بها لأجل الخصوصیة اللاحقة لها، أعنی کونها فی أیّام الحیض أو کون الصوم فی یوم العید، فیکون ذلک من قبیل ما نهی عنه لجهة زائدة علی حقیقة العبادة، نظیر النهی عن الصلاة فی لباس 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ذلک بأنّ الخصوصیة فیما ذکر من المثال لا تکون زائدة علی النوع فهی فی ذلک نظیر خصوصیة المکلّف فی کونها غیر موجبة لخصوصیة زائدة فی النوع، بخلاف الخصوصیة فی مثل الصلاة فی لباس الحریر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الخصوصیة اللاحقة للعبادة إذا کان الأمر بالنسبة إلیها انحلالیا، کما فی صلاة کلّ یوم أو صوم کلّ یوم، و ورد النهی عن الصلاة أو الصوم فی بعض الأیّام، کان النهی متوجّها إلی نفس العبادة المأمور بها، و یکون</w:t>
      </w:r>
    </w:p>
    <w:p>
      <w:pPr>
        <w:pStyle w:val="BookText"/>
        <w:rPr/>
      </w:pPr>
      <w:r>
        <w:rPr>
          <w:rFonts w:ascii="IRNazanin" w:hAnsi="IRNazanin" w:eastAsia="IRNazanin"/>
          <w:color w:val="111111"/>
          <w:sz w:val="28"/>
          <w:sz w:val="28"/>
          <w:szCs w:val="28"/>
          <w:rtl w:val="true"/>
          <w:lang w:bidi="fa-IR"/>
        </w:rPr>
        <w:t>فیه النهی نهیا عن العبادة بذاتها، بخلاف التی یکون الأمر بالنسبة إلیها بدلیا، کما فی مثل الصلاة فی لباس الحریر، فإنّ تعلّق النهی بمثله یکون لأجل الخصوصیة الزائدة علی نفس العبادة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عمدة الإشکال إنّما هو إنکار القسم الأوّل، بدعوی أنّه لا یوجد لنا عبادة منهی عنها لذاتها، و أنّ جمیع الأمثلة من قبیل العبادة المنهی عنها لوصفها أو شی‌ء زائد علی أصل حقیقتها النوعیة، حتّی فی مثل صلاة الحائض و صوم العید، لأنّ النهی فیهما لأجل الخصوصیة الزمانیة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 هو ما أفاده شیخنا قدّس سرّه من أنّ هذه الخصوصیة الزمانیة لیس من الخصوصیات الزائدة علی نوع الصلاة، فلأجل ذلک قلنا إنّ هذا من قبیل ما نهی عنه لذاته النوعیة لا لجهة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یجاب بما عرفت من أنّ العموم لو کان بدلیا لکان من الممکن دعوی کونها زائدة علی حقیقته النوعیة، بخلاف ما لو کان شمولیا کما هو المفروض فی صوم یوم العید أو صلاة الحائض، فإنّ نفس العبادة المأمور بها فی ذلک الزمان تکون منهیا عنها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هذا التحریر من جعل الخصوصیة تارة غیر مقسّمة للعبادة اللاحقة لها کالنظر إلی الأجنبیة فی حال الصلاة، و أخری مقسّمة مثل صوم الوصال و صوم الحائض، فلعلّه لا یخلو من تأمّل فی عدم انطباق الجواب فیه علی دفع الإشکال، لأنّ الإشکال إنّما کان فی إمکان القسم الأوّل، و هذا المذکور فی هذا التقسیم لا یکون جوابا له، و إلّا فأی هذین القسمین یکون قد تعلّق النهی به لذاته و أیّهما تعلّق النهی به لجزئه أو وصفه، و ما دخل مثال النظر إلی الأجنبیة فی حال الصلاة فیما نحن بصدده من دعوی امکان تعلّق النهی بذات العبادة فی قبال تعلّقه بها باعتبار جزئها أو وصفها</w:t>
      </w:r>
      <w:r>
        <w:rPr>
          <w:rFonts w:eastAsia="IRNazanin" w:cs="IRNazanin"/>
          <w:color w:val="111111"/>
          <w:sz w:val="28"/>
          <w:szCs w:val="28"/>
          <w:rtl w:val="true"/>
          <w:lang w:bidi="fa-IR"/>
        </w:rPr>
        <w:t>.</w:t>
      </w:r>
      <w:bookmarkStart w:id="187" w:name="pg19667_765232"/>
    </w:p>
    <w:p>
      <w:pPr>
        <w:pStyle w:val="BookText"/>
        <w:rPr/>
      </w:pPr>
      <w:bookmarkEnd w:id="187"/>
      <w:r>
        <w:rPr>
          <w:rFonts w:ascii="IRNazanin" w:hAnsi="IRNazanin" w:eastAsia="IRNazanin"/>
          <w:color w:val="111111"/>
          <w:sz w:val="28"/>
          <w:sz w:val="28"/>
          <w:szCs w:val="28"/>
          <w:rtl w:val="true"/>
          <w:lang w:bidi="fa-IR"/>
        </w:rPr>
        <w:t>و من ذلک یتّضح لک أنّ ما تضمّنته الحاشیة</w:t>
      </w:r>
      <w:r>
        <w:rPr>
          <w:rStyle w:val="FootnoteAnchor"/>
          <w:rtl w:val="true"/>
        </w:rPr>
        <w:footnoteReference w:id="414"/>
      </w:r>
      <w:r>
        <w:rPr>
          <w:rFonts w:ascii="IRNazanin" w:hAnsi="IRNazanin" w:eastAsia="IRNazanin"/>
          <w:color w:val="111111"/>
          <w:sz w:val="28"/>
          <w:sz w:val="28"/>
          <w:szCs w:val="28"/>
          <w:rtl w:val="true"/>
          <w:lang w:bidi="fa-IR"/>
        </w:rPr>
        <w:t xml:space="preserve">من الإشکال علی کون النظر إلی الأجنبیة لا بدّ أن یکون هو مورد النهی و إن کان صحیحا فی نفسه، إلّا أنّه غیر وارد علی ما أفاده شیخنا حسبما وجدته فیما حرّرته عنه، و حسبما حرّره عنه المرحوم الشیخ محمّد علی، فإنّه قدّس سرّه </w:t>
      </w:r>
      <w:r>
        <w:rPr>
          <w:rStyle w:val="FootnoteAnchor"/>
          <w:rtl w:val="true"/>
        </w:rPr>
        <w:footnoteReference w:id="415"/>
      </w:r>
      <w:r>
        <w:rPr>
          <w:rFonts w:ascii="IRNazanin" w:hAnsi="IRNazanin" w:eastAsia="IRNazanin"/>
          <w:color w:val="111111"/>
          <w:sz w:val="28"/>
          <w:sz w:val="28"/>
          <w:szCs w:val="28"/>
          <w:rtl w:val="true"/>
          <w:lang w:bidi="fa-IR"/>
        </w:rPr>
        <w:t>لم یذکر عنه قدّس سرّه أنّه تعرّض لمسألة النظر إلی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إلی الأجنبیة و إن أمکن کونه علّة فی توجّه نهی إلی الصلاة نفسها، إلّا أنّه لم یکن هو العمدة فی المثال، و إنّما جلّ الغرض هو تصویر مثال یکون النهی فیه عن العبادة لأجل نفسها لا لأجل علّة أخری، فجعل النظر إلی الأجنبیة قسما و جعل الباقی مقابلا له لم یتّضح المراد منه</w:t>
      </w:r>
      <w:r>
        <w:rPr>
          <w:rFonts w:eastAsia="IRNazanin" w:cs="IRNazanin"/>
          <w:color w:val="111111"/>
          <w:sz w:val="28"/>
          <w:szCs w:val="28"/>
          <w:rtl w:val="true"/>
          <w:lang w:bidi="fa-IR"/>
        </w:rPr>
        <w:t>.</w:t>
      </w:r>
    </w:p>
    <w:p>
      <w:pPr>
        <w:pStyle w:val="Heading4"/>
        <w:numPr>
          <w:ilvl w:val="3"/>
          <w:numId w:val="1"/>
        </w:numPr>
        <w:rPr/>
      </w:pPr>
      <w:bookmarkStart w:id="188" w:name="__RefHeading___Toc3538575_2314609296"/>
      <w:bookmarkStart w:id="189" w:name="_Toc65"/>
      <w:bookmarkEnd w:id="188"/>
      <w:r>
        <w:rPr>
          <w:rtl w:val="true"/>
        </w:rPr>
        <w:t>[</w:t>
      </w:r>
      <w:r>
        <w:rPr>
          <w:rtl w:val="true"/>
        </w:rPr>
        <w:t>الاستدلال علی اقتضاء النهی عن عبادة فسادها</w:t>
      </w:r>
      <w:r>
        <w:rPr>
          <w:rtl w:val="true"/>
        </w:rPr>
        <w:t>]</w:t>
      </w:r>
      <w:bookmarkEnd w:id="18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الملاک الذی یمکن التقرّب به من المولی بحکم العقل إنّما هو الملاک الذی هو فی حدّ العلّة التامّة للبعث، و لیس عدم التکلیف به إلّا من جهة عدم القدرة، کما فی موارد التزاحم فی مقام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النهی فی المقام بعد أن کان هو بنفسه متعلّقا للأمر من دون تعدّد جهة فی البین، کان التزاحم حینئذ تزاحما آمریا لا مأموریا، فإن تساوی الملاکان فی نظر الشارع المقدّس لم یجعل الحکم علی طبق أحدهما، بل لا بدّ أن یحکم فی ذلک بالتخییر أو الاباحة، و إن کان الغالب هو ملاک الأمر کان الفعل واجبا من دون أن یکون منهیا عنه، و إن کان الغالب هو ملاک النهی کان الفعل منهیا عنه و لم یکن واجبا، سواء کان غلبة ملاک النهی علی نحو بحیث ینعدم بسببه ملاک الأمر، کما فی غلبة ذی الرائحة الردیة علی ما فیه من الرائحة</w:t>
      </w:r>
      <w:bookmarkStart w:id="190" w:name="pg19667_765233"/>
    </w:p>
    <w:p>
      <w:pPr>
        <w:pStyle w:val="BookText"/>
        <w:rPr/>
      </w:pPr>
      <w:bookmarkEnd w:id="190"/>
      <w:r>
        <w:rPr>
          <w:rFonts w:ascii="IRNazanin" w:hAnsi="IRNazanin" w:eastAsia="IRNazanin"/>
          <w:color w:val="111111"/>
          <w:sz w:val="28"/>
          <w:sz w:val="28"/>
          <w:szCs w:val="28"/>
          <w:rtl w:val="true"/>
          <w:lang w:bidi="fa-IR"/>
        </w:rPr>
        <w:t>الطیبة، أو کانت الغلبة لا علی نحو الانعدام، بل من مجرّد أنّ ملاک النهی أقوی من ملاک الأمر، فإنّه علی أی حال یکون ذلک الفعل خارجا عن حیّز الأمر خروجا واقعیا خطابا و ملاکا، من دون فرق فی ذلک بین کون عموم الأمر بدلیا أو کونه شمولیا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w:t>
      </w:r>
      <w:r>
        <w:rPr>
          <w:rStyle w:val="FootnoteAnchor"/>
          <w:rtl w:val="true"/>
        </w:rPr>
        <w:footnoteReference w:id="417"/>
      </w:r>
      <w:r>
        <w:rPr>
          <w:rFonts w:ascii="IRNazanin" w:hAnsi="IRNazanin" w:eastAsia="IRNazanin"/>
          <w:color w:val="111111"/>
          <w:sz w:val="28"/>
          <w:sz w:val="28"/>
          <w:szCs w:val="28"/>
          <w:rtl w:val="true"/>
          <w:lang w:bidi="fa-IR"/>
        </w:rPr>
        <w:t>تفصیل الحال فی کیفیة الفساد الناشئ من هذه الغلبة، فراجع</w:t>
      </w:r>
      <w:r>
        <w:rPr>
          <w:rFonts w:eastAsia="IRNazanin" w:cs="IRNazanin"/>
          <w:color w:val="111111"/>
          <w:sz w:val="28"/>
          <w:szCs w:val="28"/>
          <w:rtl w:val="true"/>
          <w:lang w:bidi="fa-IR"/>
        </w:rPr>
        <w:t>.</w:t>
      </w:r>
    </w:p>
    <w:p>
      <w:pPr>
        <w:pStyle w:val="Heading4"/>
        <w:numPr>
          <w:ilvl w:val="3"/>
          <w:numId w:val="1"/>
        </w:numPr>
        <w:rPr/>
      </w:pPr>
      <w:bookmarkStart w:id="191" w:name="__RefHeading___Toc3538577_2314609296"/>
      <w:bookmarkStart w:id="192" w:name="_Toc66"/>
      <w:bookmarkEnd w:id="191"/>
      <w:r>
        <w:rPr>
          <w:rtl w:val="true"/>
        </w:rPr>
        <w:t>[</w:t>
      </w:r>
      <w:r>
        <w:rPr>
          <w:rtl w:val="true"/>
        </w:rPr>
        <w:t>الاستدلال علی اقتضاء النهی عن جزء العبادة فسادها</w:t>
      </w:r>
      <w:r>
        <w:rPr>
          <w:rtl w:val="true"/>
        </w:rPr>
        <w:t>]</w:t>
      </w:r>
      <w:bookmarkEnd w:id="19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تحریم الجزء مستلزم لأخذ العبادة بالقیاس إلیه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هذه الجهة أعنی کون النهی عن الجزء یوجب تقیّد الکل بعدمه، بحیث إنّه یعتبر الکل بالقیاس إلیه بشرط لا، هی العمدة فی إثبات کون النهی عن جزء العبادة موجبا لفسادها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المرحوم الشیخ موسی حسبما عثرت علی تحریراته لم یتعرّض لها، و تکلّم فی مسألة النهی عن الجزء من الناحیة الفقهیة، و هی ما یعود إلی تحقّق الزیادة فیه فیما لو أبدله بجزء غیر منهی عنه، أو تحقّق النقیصة فیما لو اقتصر علی الجزء المنهی عنه، إلی غیر ذلک من مبحث لزوم القران بین السورتین فیما لو قرأ العزیمة و قرأ غیرها من السور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المرحوم الشیخ محمّد علی فقد تعرّض لذلک </w:t>
      </w:r>
      <w:r>
        <w:rPr>
          <w:rStyle w:val="FootnoteAnchor"/>
          <w:rtl w:val="true"/>
        </w:rPr>
        <w:footnoteReference w:id="419"/>
      </w:r>
      <w:r>
        <w:rPr>
          <w:rFonts w:ascii="IRNazanin" w:hAnsi="IRNazanin" w:eastAsia="IRNazanin"/>
          <w:color w:val="111111"/>
          <w:sz w:val="28"/>
          <w:sz w:val="28"/>
          <w:szCs w:val="28"/>
          <w:rtl w:val="true"/>
          <w:lang w:bidi="fa-IR"/>
        </w:rPr>
        <w:t>و أفاد أنّ الجزء المنهی عنه یوجب فساد العبادة، لکون النهی عن الجزء موجبا لتقیّد الصلاة بعدمه، و جعل کلا من بطلان الصلاة به من ناحیة کونه زیادة و بطلانها من ناحیة کونه کلاما موجبا لبطلان الصلاة و إن لم یکن من کلام الآدمیین، إضافة إلی ذلک الحجر</w:t>
      </w:r>
    </w:p>
    <w:p>
      <w:pPr>
        <w:pStyle w:val="BookText"/>
        <w:rPr/>
      </w:pPr>
      <w:r>
        <w:rPr>
          <w:rFonts w:ascii="IRNazanin" w:hAnsi="IRNazanin" w:eastAsia="IRNazanin"/>
          <w:color w:val="111111"/>
          <w:sz w:val="28"/>
          <w:sz w:val="28"/>
          <w:szCs w:val="28"/>
          <w:rtl w:val="true"/>
          <w:lang w:bidi="fa-IR"/>
        </w:rPr>
        <w:t>الأساسی و هو تقیّد الصلاة بعدمه و اعتبارها بشرط لا بالاضافة إلی ذلک الجزء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فی وقت استفادة هذا الدرس من شیخنا قدّس سرّه فیما یعود إلی هذا الحجر الأساسی قد علّقت علیه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النهی عن الجزء لا یکون بمجرّده موجبا لبطلان العبادة إلّا إذا أتی به بقصد الجزئیة، لیکون من باب النقیصة لو اقتصر علیه، بل یکون حینئذ من باب النقیصة و الزیادة العمدیتین لو اقتصر علیه، و من باب الزیادة العمدیة لو لم یقتصر علیه، أو إذا کانت هناک جهة أخری موجبة للبطلان لکونه قرانا بین سورتین، بناء علی حرمة القران و تقیید الصلاة بعدم القران، و حینئذ لو أتی بالعزیمة مع سورة أخری یکون البطلان من ناحیة الزیادة و النقیصة و من ناحیة القران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یقصد به الجزئیة و لم یقتصر علیه، و لم یکن ذلک الجزء مأخوذا بشرط لا، و لم تنضمّ إلیه جهة أخری، فعلی الظاهر أنّه لا یکون موجبا لبطلان العبادة و إنّما یکون من قبیل الفعل المحرّم فی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أفاده دام ظلّه من أنّ النهی عنه فی الصلاة یکون موجبا لتقیّدها بعدمه فللتأمّل فیه مجال، لأنّ مجرّد النهی النفسی عن شی‌ء فی حال العبادة لا یکون موجبا لتقیّدها بعدمه، بل أقصی ما فیه أنّه یکون من قبیل فعل شی‌ء محرّم فی أثناء الصلاة، فتکون الصلاة بمنزلة الظرف لذلک الفعل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الإشکال من قبیل ما یقال إنّ مجرّد الأمر بشی‌ء فی حال الصلاة أمرا نفسیا لا ضمنیا لا یدلّ علی أنّه جزء منها، لأنّه حینئذ یکون من قبیل الواجب فی ضمن واجب آخر، فیکون التحریم النفسی فیما نحن فیه من قبیل التحریم النفسی لذلک الجزء فی ضمن العبادة فی عدم اقتضائه التقیّد بعدمه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أن طبع هذا الکتاب علّقت علی هذه الوجوه الثلاثة بأنّ هذه الوجوه</w:t>
      </w:r>
    </w:p>
    <w:p>
      <w:pPr>
        <w:pStyle w:val="BookText"/>
        <w:rPr/>
      </w:pPr>
      <w:r>
        <w:rPr>
          <w:rFonts w:ascii="IRNazanin" w:hAnsi="IRNazanin" w:eastAsia="IRNazanin"/>
          <w:color w:val="111111"/>
          <w:sz w:val="28"/>
          <w:sz w:val="28"/>
          <w:szCs w:val="28"/>
          <w:rtl w:val="true"/>
          <w:lang w:bidi="fa-IR"/>
        </w:rPr>
        <w:t>الثلاثة کلّها قابلة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النهی عن شی‌ء فی الصلاة إذا لم یکن غیریا، بل کان تحریما نفسیا استقلالیا لا ضمنیا، لم یکن موجبا لتقیّد الصلاة بعدمه، و إلّا لکان النهی النفسی عن الوصف أو الشرط موجبا للبطلان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منه قدّس سرّه المنع من ذلک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أخذ العبادة بالاضافة إلیه بشرط لا فلا یجری فی کلّ جزء منهی عنه، و إنّما یتأتّی ذلک فی خصوص ما إذا کان الجزء الواجب فی الصلاة مقیّدا بعدد خاص، فإنّه لو أضیف إلیه مثله کان موجبا للبطلان، لکن لیس ذلک من جهة کونه محرّما، بل من جهة کونه موجبا لعدم تحقّق قید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أخذ فیه عدد خاص تکون الزیادة علیه مبطلة، و إن لم یکن ذلک الزائد محرّما فی نفسه، و لیس ذلک هو محلّ الکلام، و إنّما الکلام فی مبطلیة کون الجزء المأتی به محرّما مع قطع النظر عن کون بعض الأجزاء مقیّدا بعدمه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متّجه فی خصوص الأجزاء المحرّمة التی هی من سنخ أجزاء الصلاة لیکون من قبیل الزیادة، و الظاهر أنّه لا صغری له فی 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المحرّمات التی هی من قبیل الذکر کقول آمین، أو من قبیل القرآن کسورة العزیمة و لو بین السجدتین مثلا، فالظاهر أنّه لا یتحقّق کونها زیادة إلّا بقصد الجزئیة، حیث إنّ الذکر و القرآن غیر المحرّمین و إن جاز فعلهما فی أثناء الصلاة، إلّا أنّها لو فعلت لا تکون جزءا، و إنّما تکون ذکرا جائزا فی أثناء الصلاة، إلّا إذا قصد بها الجزئیة فتکون من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القول بأنّها لو أتی بها بقصد الجزئیة تکون مبطلة، أمّا ما یکون محرّما منها فینبغی أن یکون کذلک، بمعنی أنّها لو لم یؤت بها بقصد الجزئیة فلا تکون إلّا من قبیل المحرّم فی أثناء الصلاة، و لا یدخل فی الزیادة إلّا إذا قصد به الجزئیة، و حینئذ یکون مبطلا من جهة قصد الجزئیة لا من جهة کونه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یلتزم فی مطلق الذکر و القرآن بأنّه من قبیل الزیادة الغیر المبطلة لکون زیادته مغتفرة فلا یکون اتّصافه بالزیادة متوقّفا علی قصد الجزئیة، فتأمّل فإنّه قدّس سرّه لا یقول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المراد به هو أنّ مقتضی الأدلّة الأوّلیة هو أن لا یؤتی فی أثناء الصلاة بغیر اجزائها المنصوصة، و قد خرج من ذلک مطلق الذکر و القرآن للأدلّة الدالّة علی ذلک، و لکن خرج من تلک الأدلّة المسوغة مثل قوله آمین و قراءة سورة العزیمة، و حینئذ یکون الحکم فیها هو مقتضی الأدلّة الأوّلیة من عدم الاتیان بها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التأمّل فی ذلک بمنع أنّ مقتضی الأدلّة الأوّلیة هو عدم الاتیان فی أثناء الصلاة بشی‌ء غیر أجزائها المنصوصة، علی وجه یکون ذلک المنع موجبا لتقیّد الصلاة بما عدا أجزائها المنصوصة، فلم یبق لنا إلّا مجرّد حرمة قول آمین و قراءة العزیمة فی أثناء الصلاة، و قد عرفت أنّ ذلک بمجرّده لا یوجب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التحریم المذکور مخرجا لهما عن مطلق الذکر و القرآن، و ملحقا لهما بکلام الآدمیین، لکان موجبا لافسادهما الصلاة، لکنّه قدّس سرّه منع من ذلک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النهی عن الجزء هو تعلّق النهی بما لو فرض الأمر به و لم یکن منهیا عنه لکان جزءا من الصلاة، و من الواضح أنّ مجرّد تعلّق النهی بمثل ذلک لا یوجب کونه مبطلا للصلاة إلّا فیما تکون الصلاة مقیّدة بعدمه، کما</w:t>
      </w:r>
    </w:p>
    <w:p>
      <w:pPr>
        <w:pStyle w:val="BookText"/>
        <w:rPr/>
      </w:pPr>
      <w:r>
        <w:rPr>
          <w:rFonts w:ascii="IRNazanin" w:hAnsi="IRNazanin" w:eastAsia="IRNazanin"/>
          <w:color w:val="111111"/>
          <w:sz w:val="28"/>
          <w:sz w:val="28"/>
          <w:szCs w:val="28"/>
          <w:rtl w:val="true"/>
          <w:lang w:bidi="fa-IR"/>
        </w:rPr>
        <w:t>فی الاجزاء المقیّدة بعدد خاص، أو کان ذلک المنهی عنه من سنخ أجزاء الصلاة علی وجه یکون زیادة عمدیة من دون توقّف علی قصد الجزئیة، و من الواضح أنّ الفساد فی هذین الموردین لا یکون مستندا إلی التحریم، بل تکون الصلاة فاسدة حتّی لو لم یکن ذلک المأتی به محرّما ذاتا فی الصلاة، انتهی ما کنت حرّرته سابقا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قد ظهر لک أنّ الحجر الأساسی فی دعوی کون النهی عن جزء العبادة موجبا لفسادها هو ما أفاده شیخنا قدّس سرّه من کون ذلک النهی موجبا لتقیّدها بعدم ذلک الجزء المنهی عنه، علی وجه یکون ذلک النهی النفسی الاستقلالی المتعلّق بذلک الجزء موجبا لأخذ العبادة بشرط لا بالقیاس إلی ذلک المنهی عنه، فاعلم أنّ أساس ذلک لیس هو مجرّد کون ذلک الجزء منهیا عنه، لینتقض بجمیع المحرّمات حتّی مثل النظر إلی الأجنبیة کما فی الحاشیة الثانیة علی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الجدیدة</w:t>
      </w:r>
      <w:r>
        <w:rPr>
          <w:rStyle w:val="FootnoteAnchor"/>
          <w:rtl w:val="true"/>
        </w:rPr>
        <w:footnoteReference w:id="421"/>
      </w:r>
      <w:r>
        <w:rPr>
          <w:rFonts w:ascii="IRNazanin" w:hAnsi="IRNazanin" w:eastAsia="IRNazanin"/>
          <w:color w:val="111111"/>
          <w:sz w:val="28"/>
          <w:sz w:val="28"/>
          <w:szCs w:val="28"/>
          <w:rtl w:val="true"/>
          <w:lang w:bidi="fa-IR"/>
        </w:rPr>
        <w:t>، بل إنّ أساسه هو کون ذلک المنهی عنه قد أخذ فی النهی عنه ظرفیة وقوعه فی الصلاة، فإنّ النهی عن قول آمین مثلا لیس مطلقا فی جمیع الحالات حتّی فی حالة عدم الصلاة، بل إنّ ظرفیة الصلاة مأخوذة فیه، فقول آمین تکون حرمته مختصّة بحال الصلاة، و المدّعی أنّ أخذ هذه الظرفیة فی ذلک النهی تعطی النهی عن جعله فی جملة أجزاء الصلاة، علی وجه یکون ذلک المنهی عنه لو بدّل النهی عنه بالأمر به، بأن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آمین بعد الحمد،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یکون ذلک الأمر أمرا ضمنیا واردا علی جزء من أجزاء الصلاة، فیکون ذلک النهی واردا أیضا علی جزء من تلک الأجزاء، و بذلک یستفاد کون الصلاة مقیّدة بعدم ذلک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یعجبنی فی هذا المقام نقل ما حرّره بعض أجلّة تلامذته </w:t>
      </w:r>
      <w:r>
        <w:rPr>
          <w:rStyle w:val="FootnoteAnchor"/>
          <w:rtl w:val="true"/>
        </w:rPr>
        <w:footnoteReference w:id="422"/>
      </w:r>
      <w:r>
        <w:rPr>
          <w:rFonts w:ascii="IRNazanin" w:hAnsi="IRNazanin" w:eastAsia="IRNazanin"/>
          <w:color w:val="111111"/>
          <w:sz w:val="28"/>
          <w:sz w:val="28"/>
          <w:szCs w:val="28"/>
          <w:rtl w:val="true"/>
          <w:lang w:bidi="fa-IR"/>
        </w:rPr>
        <w:t>فی هذه الجهة، فإنّه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تعلّق بجزئها و یکون نهیا نفسیا کالنهی المتعلّق بقراءة العزائم فی الصلاة، فلا إشکال فی أنّه بنفس تعلّقه به یخرجه عن دائرة عموم الأدلّة الدالّة علی جزئیة کلّ سورة و کلّ قرآن، و یلزمه تقیید الجزء بعدمه و تقیید القرآن بما عدا هذا، لعدم إمکان کونه جزءا مأمورا به مع تعلّق النهی به، و کون النهی نفسیا کاشف عن وجود مفسدة فی هذا المنهی عنه، و هو لا یجتمع لا مع الأمر و لا مع ملاکه، فإذا لم یکن فیه ملاک الجزئیة فیخرج عن کونه جزءا، و حیث إنّ المفروض أنّه مشتمل علی المفسدة التی لا یمکن اجتماعها مع المصلحة الصلاتیة، فلا محالة یقیّد الصلاة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نعنی بالمانعیة إلّا تقیید الصلاة و کلّ مرکّب بعدم شی‌ء فی النواهی الغیریة، فإذا أتی بالصلاة مع هذا الأمر الذی قیّدت الصلاة بعدمه لا تکون واجدة لجمیع ما یعتبر فیها، فلم یؤت بها علی وجهها الذی أمر به، فلا یمکن أن تکون مجزیة،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الاتیان به فی الصلاة یوجب کون الصلاة مشتملة علی الزیادة العمدیة الموجبة لبطلانها کما لا یخفی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النهی عن الشرط و أفاد أنّ الشرط هو الستر، و أنّ النهی عن التستّر لا یفسده، فلا ربط له بالنهی عن العبادة،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 و بین الجزء أنّ الجزء داخل وجوده فی المرکّب، و یکون وجود المرکّب بوجود أجزائه، فإذا نهی عن الجزء فیفید تقیید الصلاة بعدمه، فیفید مفاد النهی الغیری، و لکن بخلاف الشرط فإنّ الداخل فی المرکّب هو تقیّد المرکّب به، و المفروض أنّ النهی لم یرد علیه، بل ورد علی ما یتحقّق به تلک الاضافة و التقیید لا عن أصل القید، فیکون مفاده</w:t>
      </w:r>
    </w:p>
    <w:p>
      <w:pPr>
        <w:pStyle w:val="BookText"/>
        <w:rPr/>
      </w:pPr>
      <w:r>
        <w:rPr>
          <w:rFonts w:ascii="IRNazanin" w:hAnsi="IRNazanin" w:eastAsia="IRNazanin"/>
          <w:color w:val="111111"/>
          <w:sz w:val="28"/>
          <w:sz w:val="28"/>
          <w:szCs w:val="28"/>
          <w:rtl w:val="true"/>
          <w:lang w:bidi="fa-IR"/>
        </w:rPr>
        <w:t>تقیید ما یحصل به ذلک القید و الاضافة بغیره، انتهی ما حرّره سلّمه اللّه تعالی عن شیخنا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التطویل فهو لا یخلو عن تأمّل، لأنّ النهی النفسی الاستقلالی کما هو المفروض لو تعلّق بالاتیان بسورة العزیمة فی أثناء الصلاة لا یلزمه أن تکون الصلاة مقیّدة بعدمه، نعم یمکن أن نأخذ هذا التقیید من طریقة أخری، بأن نقول إنّ هذا النهی یکون مخصّصا لما دلّ علی کون السورة جزءا، و لمّا کان هذا التخصیص بطریق النهی النفسی استفید منه کون الصلاة مقیّدة بعدمه، لأنّه یستفاد عرفا من قوله لا تقرأ سورة العزیمة فی الصلاة فإنّ ذلک حرام و هی لیست بجزء من الصلاة، أنّ هذه الصلاة قد اعتبرت فی عالم التشریع خالیة من سورة العزیمة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مثل لا تقل آمین بعد الفاتحة، فإنّه یستفاد منه أوّلا حرمة قول آمین فی ذلک الموقع حرمة نفسیة استقلالیة، و لازم ذلک أنّ هذه الکلمة خارجة عن عموم الذکر فی الصلاة، و یستفاد من هذا التخصیص أنّ الصلاة قد أخذت فی عالم التشریع خالیة من هذه الجملة، إذ لا یجتمع بحسب النظر العرفی هذه الحرمة فی هذا الموقع الخاص مع بقاء إطلاق الصلاة بحاله من ناحیة هذه الجملة، بل لا بدّ عند العرف بعد اطّلاعهم علی تشریع الحرمة المذکورة، و بعد حکمهم بأنّها موجبة لتخصیص ما دلّ علی جزئیة کلّ ذکر بما عدا هذه الجملة، من أن یحکموا بأنّ الشارع عند ما أمرنا بالصلاة قد نظر إلیها مجرّدة عن هذه الجملة، هذا غایة ما یمکن أن یقال فی توجیه التقیید المزبور، و لعلّ هذا هو المراد لشیخنا قدّس سرّه فیما حرّر عنه فی هذا التحریر الذی نقلناه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لیس مراد شیخنا قدّس سرّه هو أنّ تحریم الفعل یوجب تقیید الصلاة بعدمه، أی فعل کان، و إن کانت حرمته مطلقة غیر مختصّة بحال الصلاة، بل إنّ مصبّ کلامه هو کون المنهی</w:t>
      </w:r>
    </w:p>
    <w:p>
      <w:pPr>
        <w:pStyle w:val="BookText"/>
        <w:rPr/>
      </w:pPr>
      <w:r>
        <w:rPr>
          <w:rFonts w:ascii="IRNazanin" w:hAnsi="IRNazanin" w:eastAsia="IRNazanin"/>
          <w:color w:val="111111"/>
          <w:sz w:val="28"/>
          <w:sz w:val="28"/>
          <w:szCs w:val="28"/>
          <w:rtl w:val="true"/>
          <w:lang w:bidi="fa-IR"/>
        </w:rPr>
        <w:t>عنه هو الجزء، أعنی ما لو لم یکن منهیا عنه لکان فی حدّ نفسه جزءا من الصلاة، فذلک الجزء لو لا النهی یکون النهی عنه موجبا لاخراجه عن الجزئیة، و أنّ العرف یستفید من ذلک أنّ الصلاة فی نظر الشارع عند ما یعلّق أمره بها تکون مجرّدة عن ذلک الجزء، فلا یرد علیه ما فی الحاشیة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الحاشیة الأولی من هذه الصفحة</w:t>
      </w:r>
      <w:r>
        <w:rPr>
          <w:rStyle w:val="FootnoteAnchor"/>
          <w:rtl w:val="true"/>
        </w:rPr>
        <w:footnoteReference w:id="423"/>
      </w:r>
      <w:r>
        <w:rPr>
          <w:rFonts w:ascii="IRNazanin" w:hAnsi="IRNazanin" w:eastAsia="IRNazanin"/>
          <w:color w:val="111111"/>
          <w:sz w:val="28"/>
          <w:sz w:val="28"/>
          <w:szCs w:val="28"/>
          <w:rtl w:val="true"/>
          <w:lang w:bidi="fa-IR"/>
        </w:rPr>
        <w:t>فعلی الظاهر أنّه لا یتوجّه علی شیخنا قدّس سرّه فإنّ هذه الجملة التی نقلها عنه قدّس سرّه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بنینا علی جواز القران الخ </w:t>
      </w:r>
      <w:r>
        <w:rPr>
          <w:rStyle w:val="FootnoteAnchor"/>
          <w:rtl w:val="true"/>
        </w:rPr>
        <w:footnoteReference w:id="424"/>
      </w:r>
      <w:r>
        <w:rPr>
          <w:rFonts w:ascii="IRNazanin" w:hAnsi="IRNazanin" w:eastAsia="IRNazanin"/>
          <w:color w:val="111111"/>
          <w:sz w:val="28"/>
          <w:sz w:val="28"/>
          <w:szCs w:val="28"/>
          <w:rtl w:val="true"/>
          <w:lang w:bidi="fa-IR"/>
        </w:rPr>
        <w:t xml:space="preserve">، المراد منها أنّ الدلیل الأوّلی هو أنّ الجزء سورة واحدة، و مقتضاه عدم جواز اضافة سورة أخری إلیها، کما فی جمیع الأجزاء التی أخذ فیها عدد خاص، و لمّا قام الدلیل علی جواز القران و الجمع بین الجزءین فی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بجوازه، لکن دلیل حرمة سورة العزیمة یکون مخصّصا لذلک الدلیل الذی دلّ علی جواز الجمع بین سورتین، لأنّ مفاده هو خروج هذه السورة فیما لو کانت هی إحدی السورتین، و حینئذ یبقی الدلیل الأوّلی الحاکم بعدم جواز التکرار فی الأجزاء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المناقشة فی هذا الترتیب، لامکان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دلیل عندنا یدلّ فی حدّ نفسه علی المنع من الجمع بین الجزءین لنرتّب 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بیدنا إلّا وحدة الجزء القاضیة بعدم اضافة غیره إلیه لکونه مقیّدا بالوحدة، و یمکن إنکار ذلک بأن یقال یستفاد من مجموع الأدلّة أنّ طبیعة السورة جزء، سواء کانت فی ضمن الواحد أو الکثیر، فتأمّل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أنّی لم أعثر علی مثل هذه الجملة أو ما یؤدّی مؤدّاها فی جملة ما</w:t>
      </w:r>
    </w:p>
    <w:p>
      <w:pPr>
        <w:pStyle w:val="BookText"/>
        <w:rPr/>
      </w:pPr>
      <w:r>
        <w:rPr>
          <w:rFonts w:ascii="IRNazanin" w:hAnsi="IRNazanin" w:eastAsia="IRNazanin"/>
          <w:color w:val="111111"/>
          <w:sz w:val="28"/>
          <w:sz w:val="28"/>
          <w:szCs w:val="28"/>
          <w:rtl w:val="true"/>
          <w:lang w:bidi="fa-IR"/>
        </w:rPr>
        <w:t>تتبّعته من التحاریر عنه قدّس سرّه، نعم وجدتها أو نظیرها فیما حرّره المرحوم الشیخ موسی رحمه اللّه، و لا بأس بنقل جملة ممّا حرّره فی هذا المقام و إن کان لا یخلو من تطویل، إلّا أنّه لا یخلو من فائدة راجعة إلی شرح مرام شیخنا قدّس سرّه علی النحو الذی شرحناه، علی وجه لا یرد علیه ما فی هذه الحاشیة، و هذا نصّه،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دلّ دلیل علی جواز زیادة هذا السنخ من الجزء، کما ورد فی القرآن و الذکر، فاتیانهما لا یوجب زیادة فی المکتوبة إلّا إذا قصد بهما الجزئیة، لأنّه بلحاظ هذا الدلیل ینقلب الدلیل الدالّ علی أنّ الجزء بالنسبة إلی فرده الطولی بشرط لا إلی أنّه لا بشرط، فیصیر الجزء ببرکة هذا الدلیل بالنسبة إلی فرده الطولی کفرده العرضی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بالنسبة إلی غیر سورة العزیمة، و أمّا بالنسبة إلیها فاتیانها موجب لفساد الصلاة و لو لم یقصد بها الجزئیة، لأنّ الدلیل الدالّ علی جواز قراءة القرآن و الذکر و الدعاء یخصّص بالنهی عن قراءة سور العزائم، لا من جهة کونه کلاما آدمیا، بل لأنّه قرآن محرّم، بل لو لم تکن الزیادة موجبة للبطلان أیضا لقلنا بفساد الصلاة بقراءة سور العزائم، إمّا لجهة القران بناء علی کونه منهیا عنه، أی بناء علی اعتبار بشرط لا فی السورة کالرکوع و السجود، و إمّا لأنّ النهی عنها یقتضی أن ینقلب لا بشرطیة فی السورة إلی بشرط لا بالنسبة إلی سور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حال، قراءة العزائم یوجب البطلان، نعم هل المفسد اتمام السورة، أو إنهاؤها إلی آیة السجدة، أو الشروع فیها؟ وجوه محلّها فی الفقه، انتهی کلامه رحمه اللّه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هذه الجملة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لأنّ النهی عنها یقتضی أن ینقلب لا بشرطیة فی السورة إلی بشرط لا بالنسبة إلی سور العزائم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مفاد هذه الجملة المذکورة فی هذا الکتاب، یعنی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بنینا علی جواز</w:t>
      </w:r>
    </w:p>
    <w:p>
      <w:pPr>
        <w:pStyle w:val="BookText"/>
        <w:rPr/>
      </w:pPr>
      <w:r>
        <w:rPr>
          <w:rFonts w:ascii="IRNazanin" w:hAnsi="IRNazanin" w:eastAsia="IRNazanin"/>
          <w:color w:val="111111"/>
          <w:sz w:val="28"/>
          <w:sz w:val="28"/>
          <w:szCs w:val="28"/>
          <w:rtl w:val="true"/>
          <w:lang w:bidi="fa-IR"/>
        </w:rPr>
        <w:t>القران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عرفت ممّا شرحناه، و هو أنّ مقتضی القاعدة الأوّلیة أن یکون حال السورة حال الرکوع فی کونها مقیّدة بشرط لا، ثمّ جاء الدلیل علی أنّه لا مانع من قراءة القرآن، فدلّ علی أنّ السورة معتبرة لا بشرط من حیث الزیادة علیها و لو بسورة کاملة، ثمّ جاء الدلیل علی حرمة سورة العزیمة فی الصلاة، فأخرجها من مطلق القرآن و جعل قراءة القرآن مقیّدة بشرط لا بالنسبة إلی سورة العزیمة، فإذا قرأ سورتین إحداهما من العزائم یکون قد أتی بذلک الجزء فاقدا لهذا القید، أعنی کونه بشرط لا من جهة سورة العزیمة، فیفسد الجزء و یکون فساده موجبا لفساد الصلاة حینئذ، لکونها فاقدة لجزئها المفروض کونه مقیّدا بعدم سورة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ریب فی أنّ الفعل ربما کان واجبا نفسیا استقلالیا بقول مطلق، سواء کان فی الصلاة أو کان فی غیرها، کردّ السلام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طلبه النفسی الاستقلالی مختصّا بحال الصلاة، کما فی مثل القنوت لو قلنا بأنّه واجب مستقل فی ظرف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وجوبه النفسی ضمنیا لکونه فی ضمن المجموع المرکّب، و عن هذا الوجوب تنتزع القیدیة و الجزئیة دون ما تقدّم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الفعل المحرّم، فإنّه ربما کان الفعل حراما سواء کان فی الصلاة أو کان فی غیر الصلاة، کالنظر إلی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کانت حرمته النفسیة الاستقلالیة مختصّة بحال الصلاة، بحیث تکون حرمة قول آمین علی حذو وجوب القنوت فی کونها حرمة نفسیة استقلالیة، لکن موضع ذلک و موقعه هو الصلاة دون غیرها، کما ربما یقال بذلک فی الارتماس للصائم من أنّه حرام غیر</w:t>
      </w:r>
    </w:p>
    <w:p>
      <w:pPr>
        <w:pStyle w:val="BookText"/>
        <w:rPr/>
      </w:pPr>
      <w:r>
        <w:rPr>
          <w:rFonts w:ascii="IRNazanin" w:hAnsi="IRNazanin" w:eastAsia="IRNazanin"/>
          <w:color w:val="111111"/>
          <w:sz w:val="28"/>
          <w:sz w:val="28"/>
          <w:szCs w:val="28"/>
          <w:rtl w:val="true"/>
          <w:lang w:bidi="fa-IR"/>
        </w:rPr>
        <w:t>مفسد للصوم، و هذه الحرمة و التی قبلها لا ینتزع منهما قیدیة العدم المعبّر عنها بالمانعیة، علی وجه تکون الصلاة مأخوذة بشرط لا بالنسبة إلی ما هو متعلّق إحدی هاتین الحرمتین، و إنّما تنتزع القیدیة المزبورة عن الحرمة النفسیة الضمنیة، التی هی داخلة فی الطلب المتعلّق بالمرکّب من أفعال وجودیة و أخری عدمیة، فإنّ کلّ واحد من تلک الأفعال الوجودیة یکون واجبا نفسیا ضمنیا، و کلّ واحد من تلک الأمور التی أخذ عدمها فی ذلک المرکّب یکون محرّما نفسیا ضمنیا، و عن ذلک الوجوب النفسی الضمنی تنتزع الجزئیة، کما أنّ المانعیة تنتزع عن تلک الحرمة النفسیة الضمنیة، و هذا المقدار لا إشکال فیه عند شیخنا قدّس سرّه، فإنّه إن لم یکن هو المؤسّس له فلا أقل من کونه ممّن شرحه و أوضحه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إلی أنّه قدّس سرّه </w:t>
      </w:r>
      <w:r>
        <w:rPr>
          <w:rStyle w:val="FootnoteAnchor"/>
          <w:rtl w:val="true"/>
        </w:rPr>
        <w:footnoteReference w:id="425"/>
      </w:r>
      <w:r>
        <w:rPr>
          <w:rFonts w:ascii="IRNazanin" w:hAnsi="IRNazanin" w:eastAsia="IRNazanin"/>
          <w:color w:val="111111"/>
          <w:sz w:val="28"/>
          <w:sz w:val="28"/>
          <w:szCs w:val="28"/>
          <w:rtl w:val="true"/>
          <w:lang w:bidi="fa-IR"/>
        </w:rPr>
        <w:t>قد صرّح فی مسألة النهی عن الشرط و الوصف بأنّ تحریم فعل فی أثناء الصلاة نفسیا لا یوجب المانعیة، فکیف یمکن أن ننسب ذلک إلیه قدّس سرّه هنا علی اطلاقه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قدّس سرّه فی المقام له جهة أخری یومی إلیها، و هی أنّ بعض الأفعال لو خلیت و نفسها مع قطع النظر عن تعلّق النهی بها تکون أجزاء من الصلاة، کالذکر و القرآن فإنّ کلّ واحد من أفرادهما یکون جزءا من الصلاة إمّا جزءا استحبابیا أو أنّه جزء وجوبی، و مع ذلک تعلّق به النهی النفسی الاستقلالی، مثل قول آمین و مثل قراءة العزیمة، فإنّ هذا النهی النفسی و إن کان استقلالیا إلّا أنّه یوجب تقیّد الصلاة بأن لا یکون ذلک المنهی من أجزائها بما عرفته فیما تقدّم من تقریب الفهم العرفی، هذا خلاصة ما یمکن أن نشرح به ما أفاده قدّس سرّه، و لکن فیه تأمّل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سیر المسألة هو أن یکون ذلک الأمر النفسی الضمنی بواسطة النهی مبدّلا إلی النهی النفسی الضمنی لا الاستقلالی، و لا ریب فی انتزاع المانعیة من النهی النفسی الضمنی، کانتزاع الجزئیة من الأمر النفسی الضمنی، فلا یکون هذا النهی إلّا ضمنیا لا استقلالیا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أنّا لو التزمنا بالحرمة النفسیة الاستقلالیة و مع ذلک نقول إنّ الصلاة تکون مقیّدة بعدم ذلک الحرام النفسی الاستقلالی، بحیث کانت الصلاة الواجبة مرکّبة من أفعالها المعروفة و من عدم قول آمین فیها، کان لازم ذلک هو مطلوبیة عدم ذلک القول فیها مطلوبیة نفسیة ضمنیة، إذ أنّ کلّ قید عدمی یکون مأخوذا فی واجب یکون مطلوبا ضمنیا فی ضمن تعلّق الأمر بذلک المرکّب، و إلّا لم یکن ذلک العدم قیدا فی ذلک المرکّب، و حینئذ یکون عدم ذلک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مطلوبا بطلبین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استقلالی و هو ما یتکفّله دلیل النهی، و نفسی ضمنی و هو ما یتکفّله الأمر المتعلّق بالصلاة المقیّدة بعدمه، المأخوذة حسب الفرض بالقیاس إلیه بشرط لا، و لیس المقام مقام تأکّد لنقول باندکاک أحد الطلبین فی الآخر، إذ لیس فی البین ملاکان، بل لم یکن لنا إلّا ملاک واحد</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غیر مختصّ بمقام 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مخلص لنا من هذا الإشکال إلّا بأن نقول بأنّ هذا النهی نفسی ضمنی، أو أن نقول بأنّه استقلالی فلا مانعیة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کلّه لو التزمنا بأنّ المانعیة دائما منتزعة من الحرمة النفسیة الضمنیة، و حینئذ یکون التزامنا بالمانعیة فی المقام موجبا لاجتماع حرمتین</w:t>
      </w:r>
    </w:p>
    <w:p>
      <w:pPr>
        <w:pStyle w:val="BookText"/>
        <w:rPr/>
      </w:pPr>
      <w:r>
        <w:rPr>
          <w:rFonts w:ascii="IRNazanin" w:hAnsi="IRNazanin" w:eastAsia="IRNazanin"/>
          <w:color w:val="111111"/>
          <w:sz w:val="28"/>
          <w:sz w:val="28"/>
          <w:szCs w:val="28"/>
          <w:rtl w:val="true"/>
          <w:lang w:bidi="fa-IR"/>
        </w:rPr>
        <w:t>نفسیتین استقلالیة و 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قلنا بأنّ المانعیة یمکن انتزاعها من الحرمة النفسیة الاستقلالیة، فلا یلزمنا أن نقول بالحرمتین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الحرمة النفسیة الضمنیة یکون الالتزام بها قهریا علینا و لو قلنا بأنّ المانعیة منتزعة من الاستقلالیة، لأنّا إذا التزمنا بأنّ الصلاة مقیّدة بعدم ذلک القول، و أنّها مأخوذة فی مقام تعلّق الأمر بها بالقیاس إلیه بشرط لا، کان لازم ذلک قهرا هو تعلّق الوجوب بها مقیّدة بترک ذلک القول، فیکون لازم ذلک قهرا هو مطلوبیة ترک ذلک القول مطلوبیة ضمنیة، و هو ما ذکرناه من الحرمة النفسیة الضمنیة مضافة إلی الحرمة النفسیة الاستقلالیة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القول بأنّ الحرمة النفسیة الاستقلالیة موجبة للتقیید هو أنّ تلک الحرمة موجبة لتعلّق الأمر بالمقیّد بعدم ذلک القول، و لازم تعلّق الأمر بالمقیّد هو کون ذلک القید العدمی مطلوبا ضمنا، و هو الحرمة النفسیة الضمنیة مضافا إلی الاستقلالیة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ذلک القول لو وقع فی أثناء الصلاة تکون فیه مفسدة توجب النهی عنه و تحریمه نفسیا استقلالیا، کما أنّ نفس الصلاة یکون وفاؤها بمصلحتها متوقّفا علی تجریدها من ذلک القول، أو أنّ وجود ذلک القول فی أثنائها یکون موجبا لفساد فیها مضافا إلی فساد نفس ذلک القول الواقع فیها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یکون هناک ملاکان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یقتضی الحرمة النفسیة المتعلّقة بذلک القول الواقع فی ضمن الصلاة، و الآخر یقتضی تقیّد الصلاة بعدم ذلک القول و تعلّق الطلب به ضمنیا، و هو المعبّر عنه بالحرمة النفسیة الضمنیة الذی تنتزع عنه المانعیة، و حینئذ لا بأس باجتماع الحرمتین و اندکاک إحداهما بالأخری، لکن ذلک لا یکفی فی إثباته مجرّد النهی النفسی الاستقلالی المتعلّق</w:t>
      </w:r>
    </w:p>
    <w:p>
      <w:pPr>
        <w:pStyle w:val="BookText"/>
        <w:rPr/>
      </w:pPr>
      <w:r>
        <w:rPr>
          <w:rFonts w:ascii="IRNazanin" w:hAnsi="IRNazanin" w:eastAsia="IRNazanin"/>
          <w:color w:val="111111"/>
          <w:sz w:val="28"/>
          <w:sz w:val="28"/>
          <w:szCs w:val="28"/>
          <w:rtl w:val="true"/>
          <w:lang w:bidi="fa-IR"/>
        </w:rPr>
        <w:t>بذلک القول، بل لا بدّ من دلیل آخر یدلّ علی الحرمة النفسیة الضمنیة، اللهمّ إلّا أن یقال بکفایة دلیل الحرمة النفسیة الاستقلالیة الواردة علی ما یکون بحسب طبعه جزءا من الصلاة فی الدلالة علی کلّ من الحرمة النفسیة الاستقلالیة و الحرمة النفسیة الضمنیة، و یکون اجتماعهما فیه موجبا لاندکاک إحداهما بالأخری،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یترتّب علی أخذ العبادة بالاضافة إلیه بشرط لا أمور ثلاثة، کلّها موجبة للبطلان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الأمر الأوّل من هذه الأمور فهو عین کون العبادة مأخوذة بشرط لا، و أمّا الأمران الآخران فهما غیر متفرّعین علی قیدیة العبادة بعدمه، بل لو لم نقل بالقیدیة المزبورة تأتّی فیه الأمران المذکوران من کونه زیادة، و کونه داخلا فی الکلام و خارجا عن عموم الذکر و القرآن و إن لم یکن من کلام الآدمیین، فالأوجه هو ما حرّره المرحوم الشیخ محمّد علی </w:t>
      </w:r>
      <w:r>
        <w:rPr>
          <w:rStyle w:val="FootnoteAnchor"/>
          <w:rtl w:val="true"/>
        </w:rPr>
        <w:footnoteReference w:id="428"/>
      </w:r>
      <w:r>
        <w:rPr>
          <w:rFonts w:ascii="IRNazanin" w:hAnsi="IRNazanin" w:eastAsia="IRNazanin"/>
          <w:color w:val="111111"/>
          <w:sz w:val="28"/>
          <w:sz w:val="28"/>
          <w:szCs w:val="28"/>
          <w:rtl w:val="true"/>
          <w:lang w:bidi="fa-IR"/>
        </w:rPr>
        <w:t>من جعل الأساس هو الأمر الأوّل، و هو تقیّد العبادة بعدمه، و جعل الأمرین الآخرین إضافة و علاوة علی ذلک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یعلم أنّ هذا البحث کلّه متفرّع علی أنّ مثل النهی الوارد عن قول آمین و عن قراءة العزائم نهی نفسی استقلالی، و أمّا لو قلنا بکونه نهیا نفسیا ضمنیا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عبّرنا عن ذلک بکونه غیریا أو کونه إرشادا إلی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البحث یکون بالنسبة إلیهما ساقطا بالمرّة، و یکون النهی المذکور موجبا لفساد العبادة</w:t>
      </w:r>
    </w:p>
    <w:p>
      <w:pPr>
        <w:pStyle w:val="BookText"/>
        <w:rPr/>
      </w:pPr>
      <w:r>
        <w:rPr>
          <w:rFonts w:ascii="IRNazanin" w:hAnsi="IRNazanin" w:eastAsia="IRNazanin"/>
          <w:color w:val="111111"/>
          <w:sz w:val="28"/>
          <w:sz w:val="28"/>
          <w:szCs w:val="28"/>
          <w:rtl w:val="true"/>
          <w:lang w:bidi="fa-IR"/>
        </w:rPr>
        <w:t>حینئذ بلا کلام، لأنّه حینئذ یکون مسوقا للمانعیة، و ذلک غیر بعید بعد ملاحظة ما ورد فیه من الأخبار</w:t>
      </w:r>
      <w:r>
        <w:rPr>
          <w:rStyle w:val="FootnoteAnchor"/>
          <w:rtl w:val="true"/>
        </w:rPr>
        <w:footnoteReference w:id="429"/>
      </w:r>
      <w:r>
        <w:rPr>
          <w:rFonts w:ascii="IRNazanin" w:hAnsi="IRNazanin" w:eastAsia="IRNazanin"/>
          <w:color w:val="111111"/>
          <w:sz w:val="28"/>
          <w:sz w:val="28"/>
          <w:szCs w:val="28"/>
          <w:rtl w:val="true"/>
          <w:lang w:bidi="fa-IR"/>
        </w:rPr>
        <w:t>،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المرتضی قدّس سرّه فیما حرّر عنه فی التقریرات فی مباحث النهی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النهی إمّا أنّ یکون نفس العبادة أو جزأها أو وصفها الداخلی أو الخارجی، مع اتّحادهما أو مع اختلافهما فی الوجود الخارجی،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ففی العبادة قد یمثّل له بمثل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الصلاة المشتملة علی العزائم، أو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تقرأ العزائم، بناء علی أنّ نهی الجزء یلازم النهی عن الکلّ، و لا یلزم منه حرمة الشروع، نظرا إلی أنّ الکل محرّم حینئذ، لأنّ متعلّق النهی هو المجموع فإیجاد الجمیع حرام، و هو لا یصدق مع الشروع، مع أنّ التزام حرمة الشروع فیما لو قصد من أوّل الأمر قراءة العزائم غیر بعید، لأنّ هذه الصلاة المفروضة غیر مشروعة، فیکون الشروع فیها محرّما علی الوجه المذکور، انتهی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ما صدّر به الکلام هو کون المنهی عنه هو الجزء نفسه لا الکل، لکن الذی یظهر من المثال هو أنّ المراد من کون الجزء متعلّقا للنهی هو کون النهی الوارد علی الکل، هو أنّ وروده علیه کان العلّة فیه هو الجزء، بحیث یکون الجزء واسطة فی الثبوت بالنسبة إلی النهی عن الکل، لکن ذلک خلاف الظاهر من أخذهم النهی عن الجزء فی قبال النهی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فإنّک تراه جعل النهی عن قراءة العزیمة الذی هو الجزء ملازما للنهی عن الکل، و لا بدّ من</w:t>
      </w:r>
    </w:p>
    <w:p>
      <w:pPr>
        <w:pStyle w:val="BookText"/>
        <w:rPr/>
      </w:pPr>
      <w:r>
        <w:rPr>
          <w:rFonts w:ascii="IRNazanin" w:hAnsi="IRNazanin" w:eastAsia="IRNazanin"/>
          <w:color w:val="111111"/>
          <w:sz w:val="28"/>
          <w:sz w:val="28"/>
          <w:szCs w:val="28"/>
          <w:rtl w:val="true"/>
          <w:lang w:bidi="fa-IR"/>
        </w:rPr>
        <w:t>أن یستند فی هذه الملازمة إلی فهم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صنعه شیخنا قدّس سرّه من کون النهی عن الجزء ملازما عرفا لتقیّد الکل بعدم ذلک الجزء أهون و أخفّ مئونة من دعوی کون النهی عن الجزء ملازما للنهی عن الکلّ،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 ذلک أمور کلّها موجبة لبطلان العبادة المشتملة علیه،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العبادة مقیّدة بعدم ذلک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ذلک النهی عن قول آمین فی الصلاة، و لکن فی ترتّب هذه الأمور الثلاثة تأمّل 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مجرّد النهی عن شی‌ء فی شی‌ء لا یوجب تقیّد المظروف </w:t>
      </w:r>
      <w:r>
        <w:rPr>
          <w:rStyle w:val="FootnoteAnchor"/>
          <w:rtl w:val="true"/>
        </w:rPr>
        <w:footnoteReference w:id="432"/>
      </w:r>
      <w:r>
        <w:rPr>
          <w:rFonts w:ascii="IRNazanin" w:hAnsi="IRNazanin" w:eastAsia="IRNazanin"/>
          <w:color w:val="111111"/>
          <w:sz w:val="28"/>
          <w:sz w:val="28"/>
          <w:szCs w:val="28"/>
          <w:rtl w:val="true"/>
          <w:lang w:bidi="fa-IR"/>
        </w:rPr>
        <w:t xml:space="preserve">بعدمه، کما فی الأمر بشی‌ء فی شی‌ء لا یکون موجبا لتقیّد المظروف </w:t>
      </w:r>
      <w:r>
        <w:rPr>
          <w:rStyle w:val="FootnoteAnchor"/>
          <w:rtl w:val="true"/>
        </w:rPr>
        <w:footnoteReference w:id="433"/>
      </w:r>
      <w:r>
        <w:rPr>
          <w:rFonts w:ascii="IRNazanin" w:hAnsi="IRNazanin" w:eastAsia="IRNazanin"/>
          <w:color w:val="111111"/>
          <w:sz w:val="28"/>
          <w:sz w:val="28"/>
          <w:szCs w:val="28"/>
          <w:rtl w:val="true"/>
          <w:lang w:bidi="fa-IR"/>
        </w:rPr>
        <w:t xml:space="preserve">بوجوده إلّا بما شرحناه فیما مضی </w:t>
      </w:r>
      <w:r>
        <w:rPr>
          <w:rStyle w:val="FootnoteAnchor"/>
          <w:rtl w:val="true"/>
        </w:rPr>
        <w:footnoteReference w:id="434"/>
      </w:r>
      <w:r>
        <w:rPr>
          <w:rFonts w:ascii="IRNazanin" w:hAnsi="IRNazanin" w:eastAsia="IRNazanin"/>
          <w:color w:val="111111"/>
          <w:sz w:val="28"/>
          <w:sz w:val="28"/>
          <w:szCs w:val="28"/>
          <w:rtl w:val="true"/>
          <w:lang w:bidi="fa-IR"/>
        </w:rPr>
        <w:t>، حیث نقلنا فی توضیحه ما حرّره عنه بعض أجلّاء تلامذته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تعرّضنا له فیما تقدّم </w:t>
      </w:r>
      <w:r>
        <w:rPr>
          <w:rStyle w:val="FootnoteAnchor"/>
          <w:rtl w:val="true"/>
        </w:rPr>
        <w:footnoteReference w:id="435"/>
      </w:r>
      <w:r>
        <w:rPr>
          <w:rFonts w:ascii="IRNazanin" w:hAnsi="IRNazanin" w:eastAsia="IRNazanin"/>
          <w:color w:val="111111"/>
          <w:sz w:val="28"/>
          <w:sz w:val="28"/>
          <w:szCs w:val="28"/>
          <w:rtl w:val="true"/>
          <w:lang w:bidi="fa-IR"/>
        </w:rPr>
        <w:t>من توقّف صدق الزیادة فی الذکر و القرآن علی قصد الجزئیة، فلاحظ</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و إن سلّمنا عدم کون الذکر المنهی عنه من کلام الآدمیین، إلّا أنّه لا یزید عن کونه زیادة عمدیة، و هو الأمر الثانی، إلّا بما شرحناه فیما مرّ</w:t>
      </w:r>
      <w:r>
        <w:rPr>
          <w:rStyle w:val="FootnoteAnchor"/>
          <w:rtl w:val="true"/>
        </w:rPr>
        <w:footnoteReference w:id="436"/>
      </w:r>
      <w:r>
        <w:rPr>
          <w:rFonts w:ascii="IRNazanin" w:hAnsi="IRNazanin" w:eastAsia="IRNazanin"/>
          <w:color w:val="111111"/>
          <w:sz w:val="28"/>
          <w:sz w:val="28"/>
          <w:szCs w:val="28"/>
          <w:rtl w:val="true"/>
          <w:lang w:bidi="fa-IR"/>
        </w:rPr>
        <w:t>من دعوی دلالة الأدلّة الأوّلیة علی عدم إدخال غیر الأجزاء، ثمّ جاء دلیل الذکر</w:t>
      </w:r>
    </w:p>
    <w:p>
      <w:pPr>
        <w:pStyle w:val="BookText"/>
        <w:rPr/>
      </w:pPr>
      <w:r>
        <w:rPr>
          <w:rFonts w:ascii="IRNazanin" w:hAnsi="IRNazanin" w:eastAsia="IRNazanin"/>
          <w:color w:val="111111"/>
          <w:sz w:val="28"/>
          <w:sz w:val="28"/>
          <w:szCs w:val="28"/>
          <w:rtl w:val="true"/>
          <w:lang w:bidi="fa-IR"/>
        </w:rPr>
        <w:t>و القرآن مسوغا، و مع النهی عن آمین و العزیمة یخرجان عن المسوغ و یبقیان علی المنع من الادخال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النهی عن مثل قول آمین، و أمّا النهی عن قراءة العزیمة فهی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مطلب آخر فی سورة العزیمة، و هو کون السورة بعد الفاتحة جزءا من الصلاة، و هذا الجزء مقیّد بشرط لا، بمعنی سورة واحدة لا سورتین أو أکثر، مضافا إلی حرمة القران بین سورتین، و حینئذ فلو قرأ العزیمة فی أثناء الرکوع أو بعد السجود فلا ریب فی أنّه لا یترتّب علیه إلّا ما ترتّب علی قول آمین من الأمور الثلاثة لو سلّمناها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قرأ العزیمة بعد الفاتحة ترتّب علیها الأمور المذکورة، فلو اقتصر علیها أضاف إلی جریمتها جریمة نقصان الجزء، لکنّه لا أثر له لکونه بعد بطلان الصلاة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 قرأ سورة الإخلاص مثلا بعدها لم یکن لها أثر، لکونها بعد بطلان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قدّم سورة الإخلاص ثمّ قرأ العزیمة بعدها لم یکن بذلک مفسدا للسورة، فإنّها و إن قیّدت بشرط لا إلّا أنّ هذا القید إنّما هو بالقیاس إلی ما عدا العزیمة، فإنّ تحریم العزیمة أوجب انحصار الجزء الواجب بما عداها، و هذا الجزء الواجب مقیّد بأن یکون وحده و بانعدام غیره من السور الصالحة للجزئیة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الکلام فی عدم تأتّی حرمة القران، لأنّه إنّما یکون بین الجزءین، لا بین الجزء و ما هو خارج عن الاجزاء، بدلیل تحریمه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هذا التحریم أوجب خروج العزیمة من عموم السورة التی هی جزء الصلاة، و هذا الخروج أوجب تقیّد الجزء بعدمه، بمعنی أنّ السورة الباقیة تحت عموم الجزئیة هی ما عدا العزیمة، و ذلک هو سورة القدر و التوحید مثلا، لا أنّ سورة التوحید تکون مقیّدة بعدم انضمام العزیمة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النهی لا یؤثّر شیئا</w:t>
      </w:r>
      <w:bookmarkStart w:id="193" w:name="pg19667_765250"/>
    </w:p>
    <w:p>
      <w:pPr>
        <w:pStyle w:val="BookText"/>
        <w:rPr/>
      </w:pPr>
      <w:bookmarkEnd w:id="193"/>
      <w:r>
        <w:rPr>
          <w:rFonts w:ascii="IRNazanin" w:hAnsi="IRNazanin" w:eastAsia="IRNazanin"/>
          <w:color w:val="111111"/>
          <w:sz w:val="28"/>
          <w:sz w:val="28"/>
          <w:szCs w:val="28"/>
          <w:rtl w:val="true"/>
          <w:lang w:bidi="fa-IR"/>
        </w:rPr>
        <w:t>فی ناحیة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سورة التوحید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یترتّب علیه إلّا تقیّد الصلاة بعدم العزیمة، و الزیادة العمدیة و کونها کلاما و کلّ منها محل کلام، و المسلّم هو مجرّد الحرمة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لا یترتّب فی المقام أثر علی کون الجزء مأخوذا بشرط لا أو أنّه مأخوذ لا بشرط، إذ لا یکون وجود المحرّم ناقضا لقیده المذکور أعنی البشرطلائیة، فلاحظ</w:t>
      </w:r>
      <w:r>
        <w:rPr>
          <w:rFonts w:eastAsia="IRNazanin" w:cs="IRNazanin"/>
          <w:color w:val="111111"/>
          <w:sz w:val="28"/>
          <w:szCs w:val="28"/>
          <w:rtl w:val="true"/>
          <w:lang w:bidi="fa-IR"/>
        </w:rPr>
        <w:t>.</w:t>
      </w:r>
    </w:p>
    <w:p>
      <w:pPr>
        <w:pStyle w:val="Heading4"/>
        <w:numPr>
          <w:ilvl w:val="3"/>
          <w:numId w:val="1"/>
        </w:numPr>
        <w:rPr/>
      </w:pPr>
      <w:bookmarkStart w:id="194" w:name="__RefHeading___Toc3538579_2314609296"/>
      <w:bookmarkStart w:id="195" w:name="_Toc67"/>
      <w:bookmarkEnd w:id="194"/>
      <w:r>
        <w:rPr>
          <w:rtl w:val="true"/>
        </w:rPr>
        <w:t>[</w:t>
      </w:r>
      <w:r>
        <w:rPr>
          <w:rtl w:val="true"/>
        </w:rPr>
        <w:t>الاستدلال علی اقتضاء النهی عن وصف العبادة أو شرطها فسادها</w:t>
      </w:r>
      <w:r>
        <w:rPr>
          <w:rtl w:val="true"/>
        </w:rPr>
        <w:t>]</w:t>
      </w:r>
      <w:bookmarkEnd w:id="19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النهی عن الشرط أو الوصف فلا یکون موجبا لفساد المشروط أو الموصوف فیما إذا لم یکن النهی عنهما مستلزما للنهی عن العبادة، کما فی النهی عن الجهر بالقراءة، فإنّه متّحد مع النهی عن القراءة التی یجهر بها، فیدخل فی باب النهی عن الجزء أو العبادة، و إن کان النهی لوصفه أو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 فیما حرّرته عنه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لو کان النهی متعلّقا بشرط العبادة، أو ما هو وصف من أوصافها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الظاهر أنّ نفس الشرط لا یکون عبادیا، فإنّ الطهارة من الحدث التی هی شرط فی الصلاة لیست عبادیة، و إنّما العبادی هو تلک الأفعال، و لیست هی شرطا بنفسها، و إنّما الشرط هو أثرها و هو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وقعت تلک الأفعال منهیا عنها لفسدت، و کان فسادها موجبا لانعدام الشرط أعنی أثرها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نهی عنه من الشرائط أو الأوصاف إن کان متّحدا مع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الجهر و الاخفات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النهی عنه نهیا عن العبادة المتّحدة معه، فیکون موجبا لفساد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متّحدا معها، بل کان خارجا عنها، لم</w:t>
      </w:r>
    </w:p>
    <w:p>
      <w:pPr>
        <w:pStyle w:val="BookText"/>
        <w:rPr/>
      </w:pPr>
      <w:r>
        <w:rPr>
          <w:rFonts w:ascii="IRNazanin" w:hAnsi="IRNazanin" w:eastAsia="IRNazanin"/>
          <w:color w:val="111111"/>
          <w:sz w:val="28"/>
          <w:sz w:val="28"/>
          <w:szCs w:val="28"/>
          <w:rtl w:val="true"/>
          <w:lang w:bidi="fa-IR"/>
        </w:rPr>
        <w:t>یکن النهی عنه موجبا لفساد العبادة، و کان النهی عنه کالنهی عن النظر إلی الأجنبیة حال الصلاة فی عدم استلزامه لفسادها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شرطا فی العبادة کالتستّر فإنّه لو فرض أنّه نهی عن تستّر خاصّ، لم یکن الاتیان بما هو منهی عنه موجبا لفساد العبادة، لحصول الشرط و إن کان قد وقع علی جهة التحریم،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علّقت علیه فی وقته بما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نحو خاصّ من الشرط یکون موجبا لتخصیص الأمر الشرطی بما عداه، فتکون العبادة مع ذلک النحو من الشرط المنهی عنه فاقدة للشرط فتکون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دام ظلّه عن ذلک بما حاصله حسبما فهمته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هو کونه متستّرا، و هذا المعنی حاصل حتّی مع کون إیجاد ذلک النحو من التستّر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دام ظلّه یشیر فی ذلک إلی أنّ الشرط هو التستّر بمعناه الاسم المصدری و المنهی عنه هو التستّر بمعناه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أنّه لو کان الشرط هو المعنی الاسم المصدری، و المنهی عنه هو المعنی المصدری، کان النهی أیضا موجبا لتخصیص الشرط فیما عدا مورد النهی، فإنّ منشأ التخصیص هو منافاة النهی للأمر الشرطی، و هذه المنافاة جاریة بعینها فیما یکون الشرط هو اسم المصدر و المنهی عنه هو المصدر، فإنّ المنع عن المصدر یوجب عدم إمکان الأمر باسم المصدر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الشرطی المتعلّق بالاستقبال مثلا مناف للنهی المتعلّق بالاستقبال علی نحو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یقال من سقوط الأمر الغیری بالفرد المحرّم، فإنّما هو فی المقدّمات العقلیة و العادیة التی یتوقّف علیها حصول الواجب توقّفا عقلیا أو عادیا، کما فی رکوب الدابة المغصوبة للحجّ، دون ما یکون شرطا شرعیا فتأمّل، انتهی ما کنت علّقته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ذکره قدّس سرّه فی مسألة النهی عن الجزء من کونه موجبا لتقیّد العبادة بعدمه یمکن أن یتأتّی فی النهی عن الشرط، فإنّ المنهی عنه لو لا النهی یکون مأمورا به بالأمر الشرطی، لشمول عموم ذلک الشرط له، فیمکن أن یقال إنّ النهی عن ذلک الذی لو خلی و نفسه لکان داخلا فی عموم الشرط یوجب تقیّد العبادة بعدمه، علی حذو ما أفاده قدّس سرّه فی أنّ النهی عن ذلک الذی لو خلی و نفسه لکان داخلا فی عموم الجزء یوجب تقیّد العبادة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أفاده قدّس سرّه هنا من أنّ الشرط فی باب الوضوء هو أثر الأفعال لا نفسها، لعلّه مناف لما أفاده فی مباحث الأوامر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148</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 التحقیق فی الجواب عن الإشکال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عبادیة هذه الأفعال إنّما جاءت من ناحیة الأمر الشرطی الضمنی النفسی، فإنّ ظاهر ما أفاده قدّس سرّه هناک أنّ الشرط هو نفس هذه الأفعال، و أنّ الأمر الشرطی الضمنی النفسی إنّما هو متعلّق بها، و هو المصحّح لعبادیتها،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أفاده قدّس سرّه من کون النهی عن الجهر فی القراءة هو عین النهی عن القراءة یمکن التأمّل فیه، فإنّ الجهر و إن کان صفة للقراءة إلّا أنّه خارج عن حقیقتها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متعلّق النهی الذی هو الجهر فی القراءة أخصّ ممّا هو متعلّق الأمر، و سواء قلنا بأنّ ترکّبهما انضمامی نظرا إلی أنّهما من مقولتین، لأنّ الأولی أعنی القراءة من مقولة الفعل، و الثانیة أعنی الجهر بمنزلة الکیف للأولی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قلنا بأنّ ترکّبهما اتّحادی، بدعوی کونهما من مقولة واحدة، أو أنّهما و إن کانا من مقولتین لکن لمّا کانت الثانیة صفة للأولی کان ترکّبهما اتّحادیا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قلنا بالاتّحاد أو</w:t>
      </w:r>
    </w:p>
    <w:p>
      <w:pPr>
        <w:pStyle w:val="BookText"/>
        <w:rPr/>
      </w:pPr>
      <w:r>
        <w:rPr>
          <w:rFonts w:ascii="IRNazanin" w:hAnsi="IRNazanin" w:eastAsia="IRNazanin"/>
          <w:color w:val="111111"/>
          <w:sz w:val="28"/>
          <w:sz w:val="28"/>
          <w:szCs w:val="28"/>
          <w:rtl w:val="true"/>
          <w:lang w:bidi="fa-IR"/>
        </w:rPr>
        <w:t>الانضمام لا بدّ من الالتزام بعدم إمکان الاجتماع فیها من الجهة الأولی، و حینئذ تکون القراءة بنفسها منهیا عنها، نظرا إلی ما عرفته من کون الثانیة أخصّ من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قدّس سرّه ذکر الوصف الذی یکون النهی عنه راجعا إلی النهی عن العبادة و هو الاجهار، أمّا ما لا یکون النهی عنه راجعا إلی النهی عن العبادة فقد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 ذلک الخ، لکنّه لم یذکر له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الرابع فالنهی عن الوصف اللازم مساوق للنهی عن موصوفه، فیکون النهی عن الجهر فی القراءة مثلا مساوقا للنهی عنها، لاستحالة کون القراءة التی یجهر بها، مأمورا بها مع کون الجهر بها منهیا عنها فعلا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إذا کان مفارقا، کما فی القسم الخامس، فإنّ النهی عنه لا یسری إلی الموصوف إلّا فیما إذا اتّحد معه وجودا، بناء علی امتناع الاجتماع، و أمّا بناء علی الجواز فلا یسری إلیه، کما عرفت فی المسألة السابقة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بالقسم الرابع و الخامس ما مرّ فی طلیعة البحث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وصفها الملازم لها کالجهر و الاخفات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وصفها الغیر الملازم کالغصبیة لأکوان الصلاة المنفکّة عنها</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حاشیة منه علی الهامش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کالجهر و الاخفات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واحد منهما لا یکاد ینفک عن القراءة، و إن کانت هی تنفک عن أحدهما، فالنهی عن أیّهما یکون مساوقا للنهی عنها کما لا یخفی، انتهی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الجهر بنفسه ینفکّ عن القراءة، فما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w:t>
      </w:r>
      <w:bookmarkStart w:id="196" w:name="pg19667_765254"/>
    </w:p>
    <w:p>
      <w:pPr>
        <w:pStyle w:val="BookText"/>
        <w:rPr/>
      </w:pPr>
      <w:bookmarkEnd w:id="196"/>
      <w:r>
        <w:rPr>
          <w:rFonts w:ascii="IRNazanin" w:hAnsi="IRNazanin" w:eastAsia="IRNazanin"/>
          <w:color w:val="111111"/>
          <w:sz w:val="28"/>
          <w:sz w:val="28"/>
          <w:szCs w:val="28"/>
          <w:rtl w:val="true"/>
          <w:lang w:bidi="fa-IR"/>
        </w:rPr>
        <w:t>منهما لا ینفکّ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المراد هو أنّ الجهر فی القراءة بقید کونه فی القراءة لا یکاد ینفکّ عن القراءة، فلا ریب أنّ کلّ فعل فی حال القراءة بقید کونه واقعا فی حال القراءة لا یکاد ینفکّ عن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إنّا لو سلّمنا أنّ کلا منهما لا یکاد ینفکّ عن القراءة، لم یکن ذلک بمجرّده موجبا لکون النهی عنه نهیا عنها، فإنّه قد حقّق فی محلّه </w:t>
      </w:r>
      <w:r>
        <w:rPr>
          <w:rStyle w:val="FootnoteAnchor"/>
          <w:rtl w:val="true"/>
        </w:rPr>
        <w:footnoteReference w:id="441"/>
      </w:r>
      <w:r>
        <w:rPr>
          <w:rFonts w:ascii="IRNazanin" w:hAnsi="IRNazanin" w:eastAsia="IRNazanin"/>
          <w:color w:val="111111"/>
          <w:sz w:val="28"/>
          <w:sz w:val="28"/>
          <w:szCs w:val="28"/>
          <w:rtl w:val="true"/>
          <w:lang w:bidi="fa-IR"/>
        </w:rPr>
        <w:t>أنّ النهی عن أحد المتلازمین لا یوجب النهی عن الملازم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النهی عنه لا یجتمع مع الأمر بما هو ملازمه، و حینئذ فالأولی هو ما تقدّم من کون الجهر فی القراءة من الأوصاف المتّحدة مع القراءة، بمعنی کون ترکّبهما ترکّبا اتّحادیا، و لا دخل لذلک بمسألة الانفکاک و عدمه</w:t>
      </w:r>
      <w:r>
        <w:rPr>
          <w:rFonts w:eastAsia="IRNazanin" w:cs="IRNazanin"/>
          <w:color w:val="111111"/>
          <w:sz w:val="28"/>
          <w:szCs w:val="28"/>
          <w:rtl w:val="true"/>
          <w:lang w:bidi="fa-IR"/>
        </w:rPr>
        <w:t>.</w:t>
      </w:r>
    </w:p>
    <w:p>
      <w:pPr>
        <w:pStyle w:val="Heading4"/>
        <w:numPr>
          <w:ilvl w:val="3"/>
          <w:numId w:val="1"/>
        </w:numPr>
        <w:rPr/>
      </w:pPr>
      <w:bookmarkStart w:id="197" w:name="__RefHeading___Toc3538581_2314609296"/>
      <w:bookmarkStart w:id="198" w:name="_Toc68"/>
      <w:bookmarkEnd w:id="197"/>
      <w:r>
        <w:rPr>
          <w:rtl w:val="true"/>
        </w:rPr>
        <w:t>[</w:t>
      </w:r>
      <w:r>
        <w:rPr>
          <w:rtl w:val="true"/>
        </w:rPr>
        <w:t>صور مانعیة شی‌ء عن صحّة العبادة و بحث مفصّل حول مانعیة لبس الحریر</w:t>
      </w:r>
      <w:r>
        <w:rPr>
          <w:rtl w:val="true"/>
        </w:rPr>
        <w:t>]</w:t>
      </w:r>
      <w:bookmarkEnd w:id="1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ذکر جملة من المحقّقین أنّ المانعیة و اعتبار عدم شی‌ء فی العبادة یتصوّر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علّقت فی هذا المقام علی ما حرّرته عن شیخنا قدّس سرّه تعلیقا مفصّلا، لم أجد فرصة فعلا لتجدید النظر فیه و لا لاستنساخه، بل قلعته برمّته من ذلک الدفتر و ألحقته بهذه الأوراق، لعلّ اللّه أن یوفّقنی بعد هذا لتجدید النظر فیه، و هاک عین ذلک التعلیق بأوراقه، و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فی خصوص لباس الحریر قد ورد</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المراد من علمنا بأنّ الشارع یمنع من شرب الخمر هو العلم بذلک علی نحو الاجمال، فلا یلزمه کون شربه للتداوی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امکان إصلاح هذه العبارة بهذه الجهة قلنا إنّها أخف العبارات إشکالا،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الإصلاح فإنّ عبارة المرحوم الشیخ محمّد علی أحسن، لکون آخرها صریحا فی هذا الاصلاح، و علی أی حال أنّ هذه الجمل الموجودة فی هذا الکتاب و نحوها لا تخلو من تأمّل منه قدّس سرّه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النهی عن عنوانین، أحدهما لبسه، و الآخر عن الصلاة فیه، فتکون لنا 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علی الظاهر فی کون النهی الأوّل نفسیا تحریمیا، لکن الظاهر أنّه لا أثر له فی ناحیة الصلاة و لا فی الأمر بها، فإنّ النهی عن لبس الحریر و إن کان بینه و بین الأمر بالصلاة عموم من</w:t>
      </w:r>
    </w:p>
    <w:p>
      <w:pPr>
        <w:pStyle w:val="BookText"/>
        <w:rPr/>
      </w:pPr>
      <w:r>
        <w:rPr>
          <w:rFonts w:ascii="IRNazanin" w:hAnsi="IRNazanin" w:eastAsia="IRNazanin"/>
          <w:color w:val="111111"/>
          <w:sz w:val="28"/>
          <w:sz w:val="28"/>
          <w:szCs w:val="28"/>
          <w:rtl w:val="true"/>
          <w:lang w:bidi="fa-IR"/>
        </w:rPr>
        <w:t>وجه، إلّا أنّه عند اجتماعهما لا یکون إلّا من قبیل حرمة النظر إلی الأجنبیة فی حال الصلاة، حیث إنّه لا یؤثّر فی ناحیتها أثرا أصلا، و لأجل ذلک تراهم یفتون بصحّة الصلاة فیما هو من هذا القبیل، أعنی لباس الشهرة و لبس الرجل لباس المرأة و بالعکس، فإنّهم یفتون بصحّة الصلاة فی ذلک مع التزامهم بحرمة اللباس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النهی النفسی التحریمی المتعلّق بلباس الحریر لا أثر له فی ناحیة الصلاة، إلّا بدعوی أنّ اجتماعه مع الصلاة من قبیل اجتماع الأمر و النهی، بنحو من التخیّل أو التعمّق، أو نقول کما حقّقناه </w:t>
      </w:r>
      <w:r>
        <w:rPr>
          <w:rStyle w:val="FootnoteAnchor"/>
          <w:rtl w:val="true"/>
        </w:rPr>
        <w:footnoteReference w:id="444"/>
      </w:r>
      <w:r>
        <w:rPr>
          <w:rFonts w:ascii="IRNazanin" w:hAnsi="IRNazanin" w:eastAsia="IRNazanin"/>
          <w:color w:val="111111"/>
          <w:sz w:val="28"/>
          <w:sz w:val="28"/>
          <w:szCs w:val="28"/>
          <w:rtl w:val="true"/>
          <w:lang w:bidi="fa-IR"/>
        </w:rPr>
        <w:t>فی بیان الامتناع من الجهة الثانیة من مسألة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محرّم مقارن للصلاة یوجب عدم إمکان التقرّب بها، و إن لم یکن ترکّبه معها ترکّبا انضمامیا فضلا عن کونه اتّحادیا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تستّر المکلّف بالحریر کان من قبیل النهی عن شرط العبادة، لکنّه یکون خارجا عمّا نحن بصدده من بیان القسم الثانی من أقسام المانعیة، أعنی ما تکون المانعیة فیه ناشئة عن النهی النفسی، کمسألة الاجتماع علی القول بالامتناع من الجهة الأولی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النهی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النهی المتعلّق بالصلاة مع لباس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إنّه نهی غیری فلا کلام لنا فیه أیضا، لکونه حینئذ عبارة عن القسم الأوّل من أقسام المانعیة، نظیر النهی عن الصلاة فیما لا یؤکل لحمه، و لیس هو محلّ کلام الجماعة من المانعیة الناشئة عن النهی النفسی، إذ لیست هذه المانعیة الثابتة بالنهی عن الصلاة فی لباس الحریر ناشئة عن النهی النفسی المتعلّق بنفس لبس الحریر، و لا یتأتّی فیها ما أفادوه من أنّ تحقّق النهی موجب لانعدام الأمر، لما</w:t>
      </w:r>
    </w:p>
    <w:p>
      <w:pPr>
        <w:pStyle w:val="BookText"/>
        <w:rPr/>
      </w:pPr>
      <w:r>
        <w:rPr>
          <w:rFonts w:ascii="IRNazanin" w:hAnsi="IRNazanin" w:eastAsia="IRNazanin"/>
          <w:color w:val="111111"/>
          <w:sz w:val="28"/>
          <w:sz w:val="28"/>
          <w:szCs w:val="28"/>
          <w:rtl w:val="true"/>
          <w:lang w:bidi="fa-IR"/>
        </w:rPr>
        <w:t xml:space="preserve">عرفت من أنّ تحقّق النهی عن لبس الحریر لا یکون موجبا لارتفاع الأمر بالصلاة مع لباس الحریر، إذ لا منافاة بین النهی عن لبس الحریر و بین شمول الأمر للصلاة التی تکون مع لباس الحریر، کما ذکروه فی مسألة الصلاة بلباس الشهرة، من دون فرق فی ذلک بین أن نقول بکون الملاک و العلّة فی هذا النهی المفروض کونه غیریا المتعلّق بالصلاة مع الحریر، هی نفس الملاک و العلّة فی النهی عن لبس الحریر کما یظهر ممّا أفاده الأستاذ قدّس سرّه </w:t>
      </w:r>
      <w:r>
        <w:rPr>
          <w:rStyle w:val="FootnoteAnchor"/>
          <w:rtl w:val="true"/>
        </w:rPr>
        <w:footnoteReference w:id="445"/>
      </w:r>
      <w:r>
        <w:rPr>
          <w:rFonts w:ascii="IRNazanin" w:hAnsi="IRNazanin" w:eastAsia="IRNazanin"/>
          <w:color w:val="111111"/>
          <w:sz w:val="28"/>
          <w:sz w:val="28"/>
          <w:szCs w:val="28"/>
          <w:rtl w:val="true"/>
          <w:lang w:bidi="fa-IR"/>
        </w:rPr>
        <w:t xml:space="preserve">، أو یکون الملاک و العلّة فیه أمرا آخر، بحیث یکون کلّ من النهیین معلولا لعلّه مستقلّة غیر علّة النهی الآخر، فإنّ النهی الغیری المتعلّق بالصلاة مع لباس الحریر، یکون متضمّنا لحکم شرعی مستقلّ، لا ربط له بحرمة لبس الحریر فلا دلیل علی کونهما معلولین لعلّة واحدة، فلا یستقیم حینئذ ما أفاده قدّس سرّه </w:t>
      </w:r>
      <w:r>
        <w:rPr>
          <w:rStyle w:val="FootnoteAnchor"/>
          <w:rtl w:val="true"/>
        </w:rPr>
        <w:footnoteReference w:id="446"/>
      </w:r>
      <w:r>
        <w:rPr>
          <w:rFonts w:ascii="IRNazanin" w:hAnsi="IRNazanin" w:eastAsia="IRNazanin"/>
          <w:color w:val="111111"/>
          <w:sz w:val="28"/>
          <w:sz w:val="28"/>
          <w:szCs w:val="28"/>
          <w:rtl w:val="true"/>
          <w:lang w:bidi="fa-IR"/>
        </w:rPr>
        <w:t>من أنّه لو کان دلیل الاضطرار رافعا للحرمة النفسیة خطابا و ملاکا لکان موجبا لارتفاع المانعیة المزبورة، فإنّه إنّما یوجب ارتفاعها لو قام الدلیل علی أنّ العلّة فی المانعیة المزبورة المستفادة من مثل لا تصلّ فی لباس الحریر، هی العلّة فی الحرمة النفسیة المستفادة من النهی عن لبس الحریر، الذی وقع الاضطرار إلیه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أفادوه من برهان المانعیة و أنّها ناشئة عن النهی النفسی، أعنی منافاة النهی النفسی مع الأمر، و أن تحقّق النهی یوجب ارتفاع الأمر عمّا تعلّق به النهی، و تقیّد الأمر و اختصاصه بما عدا مورد النهی، کلّ ذلک لا ینطبق علی النهی النفسی المتعلّق بلبس 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النفسی الذی جعلوا مضادّته مع الأمر برهانا علی سببیته للمانعیة، و کذلک النهی النفسی الذی سلّم الأستاذ قدّس سرّه مضادّته مع الأمر و لکن أنکر کون تحقّقه علّة فی ارتفاع الأمر</w:t>
      </w:r>
      <w:r>
        <w:rPr>
          <w:rStyle w:val="FootnoteAnchor"/>
          <w:rtl w:val="true"/>
        </w:rPr>
        <w:footnoteReference w:id="447"/>
      </w:r>
      <w:r>
        <w:rPr>
          <w:rFonts w:ascii="IRNazanin" w:hAnsi="IRNazanin" w:eastAsia="IRNazanin"/>
          <w:color w:val="111111"/>
          <w:sz w:val="28"/>
          <w:sz w:val="28"/>
          <w:szCs w:val="28"/>
          <w:rtl w:val="true"/>
          <w:lang w:bidi="fa-IR"/>
        </w:rPr>
        <w:t>، لیس هو النهی النفسی المتعلّق بلبس الحریر، لما عرفت من عدم مضادّته للأمر بالصلاة، سواء کان المنهی عنه هو مطلق اللبس، أو کان هو خصوص اللبس فی حال الصلاة، بناء علی کون النهی فی ذلک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النهی المتعلّق بالصلاة مع الحریر، فإن قلنا إنّه نهی غیری فلا شبهة فی خروجه عن مورد کلماتهم فی هذا التنبیه، لدخوله فی القسم الأوّل من أقسام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قلنا إنّه نفسی و لکن یستفاد منه النهی الغیری، فإنّه أیضا یکون خارجا عن محلّ کلامهم، فإنّ المانعیة فیه تکون منتزعة عن النهی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 أنّه استفید ذلک النهی الغیری من النهی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المنع من هذه الاستفادة، إذ لا وجه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مانعیة لباس الحریر و النهی الغیری عنه بعد فرض تعلّق النهی التحریمی النفسی بالصلاة مع لباس الحریر، الموجب لخروج الصلاة المزبورة عن حیّز الأمر خروجا واقعیا، لا یکون إلّا لغوا صرفا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مجموع هذا الذی حرّرناه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مرادهم من النهی النفسی الذی هو السبب فی المانعیة هو النهی المتعلّق بالصلاة المزبورة، و أنّ ذلک النهی نهی نفسی و أنّه محقّق للمانعیة ابتداء بلا توسّط نهی غیری، علی وجه لا یکون فی البین من الأحکام الشرعیة إلّا ذلک التحریم النفسی و تلک المانعیة، غایته أنّ الجماعة یدّعون الطولیة بین هذین الحکمین الشرعیین، و یقولون إنّ المانعیة التی هی حکم من الأحکام الشرعیة مسبّبة عن النهی التحریمی النفسی المتعلّق بالصلاة مع الحریر، و الأستاذ قدّس سرّه یقول بالعرضیة، و أنّ المانعیة المذکورة هی فی</w:t>
      </w:r>
    </w:p>
    <w:p>
      <w:pPr>
        <w:pStyle w:val="BookText"/>
        <w:rPr/>
      </w:pPr>
      <w:r>
        <w:rPr>
          <w:rFonts w:ascii="IRNazanin" w:hAnsi="IRNazanin" w:eastAsia="IRNazanin"/>
          <w:color w:val="111111"/>
          <w:sz w:val="28"/>
          <w:sz w:val="28"/>
          <w:szCs w:val="28"/>
          <w:rtl w:val="true"/>
          <w:lang w:bidi="fa-IR"/>
        </w:rPr>
        <w:t>عرض النهی المذکور، و إن اشترکا فی کونهما معلولین لعلّة واحدة، و هی المفسدة فی الصلاة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نحن لو نظرنا إلی الدلیل الدالّ علی النهی عن الصلاة فی لباس الحریر و استفدنا منه التحریم النفسی، و جمعناه مع عمومات الأمر بالصلاة، سواء کانت بدلیة أو کانت شمولیة، وجدناهما متنافیین فی مقام الدلالة و الحکایة، فلا بدّ حینئذ من إدخالهما فی باب التعارض، و حیث کان دلیل النهی أخصّ مطلقا من دلیل الأمر، فلا محیص من جعله مخصّصا لدلیل الأمر، بحیث یکون موجبا لانحصار مدلول الأمر بما عدا مورد النهی، کما هو الشأن فی جمیع ما کان من هذا القبیل، کصلاة الحائض و نحوها من العبادات التی تعلّق بها النهی النفسی التحریمی، فلا یکون فی البین إلّا التخصیص الواقعی، و إخراج مورد النهی عن عموم الأمر إخراجا واقعیا، و تقیید متعلّق الأمر بما عدا مورد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ذلک بمجرّده لیس من الأحکام الشرعیة المجعولة للشارع، کی نتکلّم علی أنّ هذا الحکم الشرعی هل هو فی طول الحرمة النفسیة کما یقوله الجماعة، أو هو فی عرضها کما یقوله الأستاذ قدّس سرّه، إذ لیس فی قبال النهی النفسی حینئذ إلّا التخصیص و الخروج الواقعی و التقیّد القهری لمتعلّق الأمر بما عدا مورد النهی، و ذلک أجنبی عن الأحکام الشرعیة بالمرّة، سیّما علی مسلک الأستاذ قدّس سرّه من عدم کون المانعیة التی هی عبارة عن تقیّد المأمور به بقید عدمی مجعولة بنفسها، و أنّ المجعول إنّما هو منشأ انتزاعها کالجزئیة و الشرطیة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یصحّ ذلک علی مسلک من یقول إنّ التقیید للمأمور به بقید وجودی أو بقید عدمی مجعول بنفسه للشارع، و أنّ الأمر الغیری المتعلّق بذلک القید الوجودی و النهی الغیری المتعلّق بذلک الذی اعتبر عدمه فی المأمور به منتزع عن</w:t>
      </w:r>
    </w:p>
    <w:p>
      <w:pPr>
        <w:pStyle w:val="BookText"/>
        <w:rPr/>
      </w:pPr>
      <w:r>
        <w:rPr>
          <w:rFonts w:ascii="IRNazanin" w:hAnsi="IRNazanin" w:eastAsia="IRNazanin"/>
          <w:color w:val="111111"/>
          <w:sz w:val="28"/>
          <w:sz w:val="28"/>
          <w:szCs w:val="28"/>
          <w:rtl w:val="true"/>
          <w:lang w:bidi="fa-IR"/>
        </w:rPr>
        <w:t>التقیید المزبور، فإنّه بناء علی هذا القول یمکن أن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بالصلاة مع الحریر بناء علی کونه نفسیا لما أوجب تقیّد المأمور به بما عدا مورد النهی،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التقیید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شرعیا مسبّبا عن النهی المذکور، و ذلک التقیّد هو المعبّر عنه بالمانعیة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التقیید و إن کان من محض التعبیر، إذ لا واقعیة فی البین إلّا للحرمة الشرعیة النفسیة، و أمّا التقیّد المزبور فلیس حکما شرعیا، بل هو لازم قهری لکلّ تخصیص، لکن له صورة فی الجملة عند أرباب هذا القول، أعنی القائلین بجعل الجزئیة و الشرطیة و المانعیة، التی هی عندهم لیست إلّا تقیّد المأمور به بقید وجودی أو بقید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الأستاذ قدّس سرّه الذی یقول بعدم جعل هذه الأمور، و یقول إنّها انتزاعیة محضة، و إنّ المجعول إنّما هو منشأ انتزاعها، الذی هو الأمر الغیری المتعلّق بالأمور الوجودیة و النهی المتعلّق بالأمور العدمیة، فلا یصحّ له أن یقول هنا إنّ لنا حکما آخر فی عرض الحرمة النفسیة، لما عرفت من أنّه لیس فی البین إلّا تلک الحرمة النفسیة و تقیّد المأمور به بما عدا مورد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 البین حکم شرعی آخر فی مقابل الحرمة النفسیة یکون هو المعبّر عنه بالمانعیة، علی وجه یکون ذلک الحکم باقیا بعد ارتفاع تلک الحرمة النفسیة بالاضطرار و نحوه، أو یکون هو فی حدّ نفسه مجری للأصل العملی فی قبال جریان الأصل فی ناحیة تلک الحرمة فی مقام الشبهة الحکمیة أو الموضوعیة، کما أفاده قدّس سرّه </w:t>
      </w:r>
      <w:r>
        <w:rPr>
          <w:rStyle w:val="FootnoteAnchor"/>
          <w:rtl w:val="true"/>
        </w:rPr>
        <w:footnoteReference w:id="448"/>
      </w:r>
      <w:r>
        <w:rPr>
          <w:rFonts w:ascii="IRNazanin" w:hAnsi="IRNazanin" w:eastAsia="IRNazanin"/>
          <w:color w:val="111111"/>
          <w:sz w:val="28"/>
          <w:sz w:val="28"/>
          <w:szCs w:val="28"/>
          <w:rtl w:val="true"/>
          <w:lang w:bidi="fa-IR"/>
        </w:rPr>
        <w:t>فی ردّ القائلین بالطولیة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التأمّل فیما أفاده قدّس سرّه من قیاس هذه الحرمة النفسیة المتعلّقة بالصلاة مع لباس الحریر بالحرمة النفسیة المتعلّقة بالأکل فی مسألة مانعیة عدم المأکولیة من الصلاة، بحیث إنّه قدّس سرّه أفاد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یکون الاضطرار</w:t>
      </w:r>
    </w:p>
    <w:p>
      <w:pPr>
        <w:pStyle w:val="BookText"/>
        <w:rPr/>
      </w:pPr>
      <w:r>
        <w:rPr>
          <w:rFonts w:ascii="IRNazanin" w:hAnsi="IRNazanin" w:eastAsia="IRNazanin"/>
          <w:color w:val="111111"/>
          <w:sz w:val="28"/>
          <w:sz w:val="28"/>
          <w:szCs w:val="28"/>
          <w:rtl w:val="true"/>
          <w:lang w:bidi="fa-IR"/>
        </w:rPr>
        <w:t>المسوغ لأکل لحم الأرنب مثلا، أو البراءة الشرعیة المسوّغة لأکل اللحم عند الشکّ رافعین للمانعیة، فکذلک حالهما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التأمّل واضح، فإنّ المانعیة فی غیر المأکول لما کانت منتزعة عن النهی الغیری المتعلّق بما یؤخذ من حیوانات خاصّة عبّر عنها فی الروایات الشریفة بما لا یؤکل لحمه، لم یکن حل أکل لحم حیوان خاصّ عند الاضطرار، أو عند الشکّ موجبا لاندراج ما یؤخذ من ذلک الحیوان فی ذلک الصنف الخاصّ، المعبّر عنه بأنّه مأکول اللحم، الظاهر فی کونه بعنوانه الأوّلی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الفرق بین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حرمة الأکل لیس الإشکال مقصورا علیها، بل یوجد فی قبالها حکم شرعی آخر، و هو النهی الغیری عن الصلاة فیما لا یؤکل لحمه، الذی هو منشأ انتزاع التقیید المعبّر عنه بالمانعیة، بخلاف حرمة الصلاة فی لباس الحریر بناء علی هذا التحریر، فإنّها لا یوجد فی قبالها حکم شرعی آخر، إذ لیس فی البین إلّا التقیّد و الخروج الواقعی الناشئ عن أخصیة دلیل الحرمة من دلیل الأمر، فلو سقطت الحرمة المذکورة لاضطرار لم یکن فی البین ما یوجب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الحال فی صورة الشکّ، نعم فی خصوص الشبهة الموضوعیة إشکال، و سیأتی </w:t>
      </w:r>
      <w:r>
        <w:rPr>
          <w:rStyle w:val="FootnoteAnchor"/>
          <w:rtl w:val="true"/>
        </w:rPr>
        <w:footnoteReference w:id="449"/>
      </w:r>
      <w:r>
        <w:rPr>
          <w:rFonts w:ascii="IRNazanin" w:hAnsi="IRNazanin" w:eastAsia="IRNazanin"/>
          <w:color w:val="111111"/>
          <w:sz w:val="28"/>
          <w:sz w:val="28"/>
          <w:szCs w:val="28"/>
          <w:rtl w:val="true"/>
          <w:lang w:bidi="fa-IR"/>
        </w:rPr>
        <w:t>توضیح ذلک کلّه، و بیان أنّ الحکومة ظاهریة أو واقعیة إن شاء اللّه تعالی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یبعد بل ینبغی القطع بأنّ مراده قدّس سرّه بالحرمة النفسیة فی هذا المقام هی الحرمة المتعلّقة بنفس لبس الحریر، و مراده بالمانعیة هی المستفادة من النهی عن الصلاة فیه، بناء علی کون مفاده هو النهی الغیری، و حینئذ تتمّ المقایسة التی</w:t>
      </w:r>
    </w:p>
    <w:p>
      <w:pPr>
        <w:pStyle w:val="BookText"/>
        <w:rPr/>
      </w:pPr>
      <w:r>
        <w:rPr>
          <w:rFonts w:ascii="Amiri" w:hAnsi="Amiri" w:eastAsia="Amiri" w:cs="Amiri"/>
          <w:color w:val="111111"/>
          <w:sz w:val="28"/>
          <w:sz w:val="28"/>
          <w:szCs w:val="28"/>
          <w:rtl w:val="true"/>
          <w:lang w:bidi="ar-SA"/>
        </w:rPr>
        <w:t xml:space="preserve">أفادها قدّس سرّه </w:t>
      </w:r>
      <w:r>
        <w:rPr>
          <w:rStyle w:val="FootnoteAnchor"/>
          <w:rtl w:val="true"/>
        </w:rPr>
        <w:footnoteReference w:id="450"/>
      </w:r>
      <w:r>
        <w:rPr>
          <w:rFonts w:ascii="IRNazanin" w:hAnsi="IRNazanin" w:eastAsia="IRNazanin"/>
          <w:color w:val="111111"/>
          <w:sz w:val="28"/>
          <w:sz w:val="28"/>
          <w:szCs w:val="28"/>
          <w:rtl w:val="true"/>
          <w:lang w:bidi="fa-IR"/>
        </w:rPr>
        <w:t>، و إن کان حمل کلامه قدّس سرّه علی ذلک منافیا لما سلّمه من المضادّة بین الحرمة النفسیة و الأمر، فإنّ المضادّة لا تنطبق إلّا علی حرمة الصلاة فی 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یکون تسلیمه المضادّة المزبورة من باب المماشاة مع الجماعة، کما سیأتی الاشارة إلیه فی آخر المبحث إن شاء اللّه تعالی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فالذی ینبغی هو تحریر الکلام فی هذا النهی المتعلّق بالصلاة مع لباس الحریر، بناء علی هذا الذی یظهر من الجماعة من کونه نفسیا تحریمیا فی مقامات أربعة، و تلحق بذلک فی کلّ مقام من هذه المقامات الاشارة إلی حکم مسألة الاجتماع علی القول بالامتناع من الجهة الأولی، و مسألة النهی الغیری لو کان النهی المتعلّق بالصلاة بلباس الحریر من قبیل النهی الغیری، مثل النهی عن الصلاة فیما لا یؤکل لحمه، کما هو غیر بعید، لما سیتّضح </w:t>
      </w:r>
      <w:r>
        <w:rPr>
          <w:rStyle w:val="FootnoteAnchor"/>
          <w:rtl w:val="true"/>
        </w:rPr>
        <w:footnoteReference w:id="452"/>
      </w:r>
      <w:r>
        <w:rPr>
          <w:rFonts w:ascii="IRNazanin" w:hAnsi="IRNazanin" w:eastAsia="IRNazanin"/>
          <w:color w:val="111111"/>
          <w:sz w:val="28"/>
          <w:sz w:val="28"/>
          <w:szCs w:val="28"/>
          <w:rtl w:val="true"/>
          <w:lang w:bidi="fa-IR"/>
        </w:rPr>
        <w:t>إن شاء اللّه من عدم انطباق جملة من الفتاوی المسلّمة ظاهرا عندهم علی دعوی کون النهی المزبور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کون ذلک خلاف ظاهر الأدلّة، فإنّ ظاهرها هو مجرّد النهی الغیری عن الصلاة مع لبس الحریر، کالنهی عن الصلاة فیما لا یؤکل لحمه، کما لا یخفی علی من لاحظ الأدلّة المقرون جملة منها بما لا یؤکل </w:t>
      </w:r>
      <w:r>
        <w:rPr>
          <w:rStyle w:val="FootnoteAnchor"/>
          <w:rtl w:val="true"/>
        </w:rPr>
        <w:footnoteReference w:id="453"/>
      </w:r>
      <w:r>
        <w:rPr>
          <w:rFonts w:ascii="IRNazanin" w:hAnsi="IRNazanin" w:eastAsia="IRNazanin"/>
          <w:color w:val="111111"/>
          <w:sz w:val="28"/>
          <w:sz w:val="28"/>
          <w:szCs w:val="28"/>
          <w:rtl w:val="true"/>
          <w:lang w:bidi="fa-IR"/>
        </w:rPr>
        <w:t xml:space="preserve">، و المعبّر فی بعضها بلا یصحّ الصلاة فیه </w:t>
      </w:r>
      <w:r>
        <w:rPr>
          <w:rStyle w:val="FootnoteAnchor"/>
          <w:rtl w:val="true"/>
        </w:rPr>
        <w:footnoteReference w:id="454"/>
      </w:r>
      <w:r>
        <w:rPr>
          <w:rFonts w:ascii="IRNazanin" w:hAnsi="IRNazanin" w:eastAsia="IRNazanin"/>
          <w:color w:val="111111"/>
          <w:sz w:val="28"/>
          <w:sz w:val="28"/>
          <w:szCs w:val="28"/>
          <w:rtl w:val="true"/>
          <w:lang w:bidi="fa-IR"/>
        </w:rPr>
        <w:t>فنقول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تنجّز النهی المزبور، و عدم عروض ما یوجب المعذوریة فی مخالفته من جهل أو غفلة أو نسیان أو شکّ أو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فی بطلان الصلاة فی هذا المورد، لما عرفت من أنّ النهی عن الصلاة فی لباس الحریر لمّا کان أخصّ من الأمر بالصلاة کان مخصّصا له، و موجبا لخروج الصلاة المذکورة عن تحت الأمر خطابا و ملاکا، و قهرا تکون فاسدة، من دون أن یکون فی البین مانعیة و ممنوعیة، لا فی طول النهی المذکور و لا فی عرضه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مسألة الاجتماع علی القول بالامتناع من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مسألة النهی الغیری یکون الفساد مستندا إلی المانعیة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یعلم الکلام فی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مورد الجهل أو الغفلة أو النسیان، سواء تعلّقت هذه الأمور بالحکم أو کانت متعلّقة بالموضوع، إذ بعد أن اتّضح خروج الصلاة مع الحریر عن الأمر خروجا واقعیا خطابا و ملاکا، لم یکن حینئذ أثر للعلم بذلک</w:t>
      </w:r>
    </w:p>
    <w:p>
      <w:pPr>
        <w:pStyle w:val="BookText"/>
        <w:rPr/>
      </w:pPr>
      <w:r>
        <w:rPr>
          <w:rFonts w:ascii="IRNazanin" w:hAnsi="IRNazanin" w:eastAsia="IRNazanin"/>
          <w:color w:val="111111"/>
          <w:sz w:val="28"/>
          <w:sz w:val="28"/>
          <w:szCs w:val="28"/>
          <w:rtl w:val="true"/>
          <w:lang w:bidi="fa-IR"/>
        </w:rPr>
        <w:t>و الجهل به، و لا للغفلة و لا للنسیان فی جمیع مواردها من التعلّق بالحکم أو التعلّق بالموضوع، فیکون مقتضی ذلک هو الحکم ببطلان الصلاة فی الصور المفروضة جمیعا، إلّا بدلیل آخر مثل حدیث لا تعاد</w:t>
      </w:r>
      <w:r>
        <w:rPr>
          <w:rStyle w:val="FootnoteAnchor"/>
          <w:rtl w:val="true"/>
        </w:rPr>
        <w:footnoteReference w:id="456"/>
      </w:r>
      <w:r>
        <w:rPr>
          <w:rFonts w:ascii="IRNazanin" w:hAnsi="IRNazanin" w:eastAsia="IRNazanin"/>
          <w:color w:val="111111"/>
          <w:sz w:val="28"/>
          <w:sz w:val="28"/>
          <w:szCs w:val="28"/>
          <w:rtl w:val="true"/>
          <w:lang w:bidi="fa-IR"/>
        </w:rPr>
        <w:t>و نحوه، ممّا یستند إلیه فی تصحیح الصلاة التی وقعت مخالفة للأمر من جهة بعض الأجزاء أو الشرائط عن جهل أو نسیان أو نحوهما، إن قلنا بجریان حدیث لا تعاد فی مثل ذلک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الحال فی مسألة الاجتماع علی القول بالامتناع من الجهة الأولی، فکما أفاد قدّس سرّه </w:t>
      </w:r>
      <w:r>
        <w:rPr>
          <w:rStyle w:val="FootnoteAnchor"/>
          <w:rtl w:val="true"/>
        </w:rPr>
        <w:footnoteReference w:id="457"/>
      </w:r>
      <w:r>
        <w:rPr>
          <w:rFonts w:ascii="IRNazanin" w:hAnsi="IRNazanin" w:eastAsia="IRNazanin"/>
          <w:color w:val="111111"/>
          <w:sz w:val="28"/>
          <w:sz w:val="28"/>
          <w:szCs w:val="28"/>
          <w:rtl w:val="true"/>
          <w:lang w:bidi="fa-IR"/>
        </w:rPr>
        <w:t>أنّ التخصیص هناک یکون واقعیا لا یؤثّر فیه الجهل و النسیان، فکذلک ینبغی أن یقول هنا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بجریان حدیث لا تعاد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مسألة حرمة الصلاة فی لباس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لزمنا القول به فی تلک المسألة، أعنی مسألة الاجتماع علی القول بالامتناع من الجهة الأولی، لکنّه قدّس سرّه جعل ما تسالموا علیه من الحکم بصحّة الصلاة فی مورد الاجتماع عند الجهل و النسیان برهانا علی بطلان القول بالامتناع من الجهة الأولی، و لم أتوفّق لمعرفة وجه الفرق بین المسألتین، فإنّه قدّس سرّه </w:t>
      </w:r>
      <w:r>
        <w:rPr>
          <w:rStyle w:val="FootnoteAnchor"/>
          <w:rtl w:val="true"/>
        </w:rPr>
        <w:footnoteReference w:id="458"/>
      </w:r>
      <w:r>
        <w:rPr>
          <w:rFonts w:ascii="IRNazanin" w:hAnsi="IRNazanin" w:eastAsia="IRNazanin"/>
          <w:color w:val="111111"/>
          <w:sz w:val="28"/>
          <w:sz w:val="28"/>
          <w:szCs w:val="28"/>
          <w:rtl w:val="true"/>
          <w:lang w:bidi="fa-IR"/>
        </w:rPr>
        <w:t>و إن لم یکن الحدیث الشریف جاریا عنده فی صورة الجهل، و إنّما یجریه فی خصوص النسیان، إلّا أنّهم علی الظاهر یجرون حدیث لا تعاد فی کلّ من صورتی الجهل و النسیان فی مسألة لباس الحریر، فلم لا یمکن أن یقال إنّ الوجه فی حکمهم بالصحّة فی صورة الجهل و النسیان فی مسألة الاجتماع، مع قولهم بالامتناع من الجهة الأولی، هو الاستناد</w:t>
      </w:r>
    </w:p>
    <w:p>
      <w:pPr>
        <w:pStyle w:val="BookText"/>
        <w:rPr/>
      </w:pPr>
      <w:r>
        <w:rPr>
          <w:rFonts w:ascii="IRNazanin" w:hAnsi="IRNazanin" w:eastAsia="IRNazanin"/>
          <w:color w:val="111111"/>
          <w:sz w:val="28"/>
          <w:sz w:val="28"/>
          <w:szCs w:val="28"/>
          <w:rtl w:val="true"/>
          <w:lang w:bidi="fa-IR"/>
        </w:rPr>
        <w:t>إلی حدیث لا تعاد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المناقشة فی جریان حدیث لا تعاد فی کلا المسألتین، بدعوی أنّه إنّما یجری فی خصوص ما لو کان المأمور به محفوظا، غایته أنّه وقع ناقصا لبعض الأجزاء و الشرائط أو واجدا لبعض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فرض أنّ الواقع خارج عن المأمور به خطابا و ملاکا کما هو مقتضی التخصیص، فلا یکون الحدیث جاریا فیه، و إن أمکن دفع المناقشة بأنّ کلّ فاقد لبعض الأجزاء أو الشرائط أو الواجد لبعض الموانع یکون خارجا عن المأمور به، لأنّ التقیید بالجزء أو الشرط أو بعدم المانع یوجب خروج الفاقد عن حیّز الأمر، فإنّ کلّ تقیید ینتهی إلی التخصیص، فتأمّل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لک الحال فی مسألة النهی الغیری، فإنّ مقتضاه هو المانعیة الواقعیة، فتکون الصلاة المخالفة له فاسدة حتّی فی مورد الجهل و النسیان، إلّا أن یستند فی الصحّة فی هذه الموارد إلی حدیث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لتوضیح</w:t>
      </w:r>
    </w:p>
    <w:p>
      <w:pPr>
        <w:pStyle w:val="BookText"/>
        <w:rPr/>
      </w:pPr>
      <w:r>
        <w:rPr>
          <w:rFonts w:ascii="IRNazanin" w:hAnsi="IRNazanin" w:eastAsia="IRNazanin"/>
          <w:color w:val="111111"/>
          <w:sz w:val="28"/>
          <w:sz w:val="28"/>
          <w:szCs w:val="28"/>
          <w:rtl w:val="true"/>
          <w:lang w:bidi="fa-IR"/>
        </w:rPr>
        <w:t>مفاد هذا الحدیث الشریف، و بیان جریانه فی موارد الجهل بالحکم و عدم جریانه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الکلام فی هذا المقام یظهر لک الکلام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مورد الشکّ، سواء کان من قبیل الشبهة الحکمیة أو کان من قبیل الشبهة الموضوعیة، فإنّ جریان البراءة فی حرمة الصلاة فی هذا اللباس یکون مسوغا للاتیان بها، من دون حاجة إلی أصل آخر یجری فی طرف المانعیة، لما عرفت من أنّه لیس فی البین مانعیة و لا ممنوعیة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انکشف الخلاف بعد الفراغ کان اللازم هو الاعادة أو القضاء، إلّا إذا استند إلی حدیث لا تعاد، بناء علی جریانه فیما نحن فیه من موارد التخصیص علی ما عرفت الاشارة إلیه أو إلی الإجماع علی إجزاء الأوامر الظاهریة فی خصوص باب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المنع ممّا أفادوه ممّا یظهر من کلامهم، أعنی الصحّة الواقعیة لأجل حکومة البراءة علی الشکّ فی المانعیة، لما عرفت من أنّه بناء علی کون النهی عن الصلاة فی لباس الحریر تحریمیا نفسیا لا یکون فی البین مانعیة، و إنّما هو الخروج الواقعی، فلو صحّ لنا أن نسمّی ذلک التخصیص الموجب للتقیید المزبور بالمانعیة، و صحّ لنا أن نقول إنّه حکم شرعی، لم تکن الحکومة إلّا حکومة ظاهریة لا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لک الکلام فی مسألة الاجتماع علی القول بالامتناع من الجهة الأولی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لنا إشکال فی خصوص الشبهة الموضوعیة، حیث إنّ مجرّد الحکم الظاهری برفع الحرمة أو بعدم استحقاق العقاب علیها، لا یصحّح الاقدام علی الصلاة بعنوان الامتثال بعد فرض خروج الصلاة مع الحریر عن عموم الأمر خروجا واقعیا، فلا یکون التمسّک بالعموم فی مورد الشکّ المزبور إلّا من قبیل التمسّک به فی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الاقدام علی الصلاة إلّا مع</w:t>
      </w:r>
    </w:p>
    <w:p>
      <w:pPr>
        <w:pStyle w:val="BookText"/>
        <w:rPr/>
      </w:pPr>
      <w:r>
        <w:rPr>
          <w:rFonts w:ascii="IRNazanin" w:hAnsi="IRNazanin" w:eastAsia="IRNazanin"/>
          <w:color w:val="111111"/>
          <w:sz w:val="28"/>
          <w:sz w:val="28"/>
          <w:szCs w:val="28"/>
          <w:rtl w:val="true"/>
          <w:lang w:bidi="fa-IR"/>
        </w:rPr>
        <w:t>إحراز الأمر بها بالتمسّک بعموم الأمر، فإن کانت الشبهة حکمیة لم یکن مانع من التمسّک بالعموم بعد جریان حدیث البراءة فی الحرمة النفسیة، و إن کانت الشبهة موضوعیة کان التمسّک به من قبیل التمسّک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ما نحن فیه و بین المانعیة المستفادة من النهی الغیری، أنّ المانعیة لمّا کانت هناک انحلالیة کان مرجع الشبهة المصداقیة إلی الشکّ فی اعتبار عدم هذا اللباس الخاصّ فی المأمور به، فلو جرت البراءة من اعتباره، بمعنی أجرینا البراءة فی ذلک النهی الغیری المتعلّق بذلک اللباس الخاص، کان ذلک مصحّحا للعموم فی ذلک المورد، لرجوع الأمر بالأخرة إلی الشکّ فی تخصیص العام بهذا اللباس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الشبهة المصداقیة فیما نحن فیه، فإنّ النهی التحریمی و إن کان انحلالیا، إلّا أنّه لمّا أوجب خروج مورده عن تحت العام خروجا واقعیا، کان التمسّک بالعموم فی مورد الشبهة المزبورة تمسّکا به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الفرق المذکور تأمّل، لامکان أن یقال إنّ النهی التحریمی أیضا یوجب تقیّد المأمور به بما عدا مورده، فإذا جرت فیه البراءة فی مورد الشبهة المزبورة کان مرجعها إلی رفع ذلک المنع الموجب للتقیید، فلا یکون فی البین ما یمنع من جریان العموم،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یتّضح لک الکلام فی مسألة النهی الغیری، فإنّ الکلام فی مورد الشکّ فیها مبنی علی مسألة الشکّ فی الأقل و الأکثر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مقام الاضطرار، فالکلام موقوف علی تحریر مقدّمة، و هی أنّ الاضطرار إنّما یکون رافعا للحرمة التی کان متعلّقها موردا للاضطرار دون غیرها، فلو کان الاضطرار متعلّقا بفعل لم یکن هو متعلّقا للحرمة،</w:t>
      </w:r>
    </w:p>
    <w:p>
      <w:pPr>
        <w:pStyle w:val="BookText"/>
        <w:rPr/>
      </w:pPr>
      <w:r>
        <w:rPr>
          <w:rFonts w:ascii="IRNazanin" w:hAnsi="IRNazanin" w:eastAsia="IRNazanin"/>
          <w:color w:val="111111"/>
          <w:sz w:val="28"/>
          <w:sz w:val="28"/>
          <w:szCs w:val="28"/>
          <w:rtl w:val="true"/>
          <w:lang w:bidi="fa-IR"/>
        </w:rPr>
        <w:t>بل کان المتعلّق لها غیره، لم یکن الاضطرار المذکور رافعا للحرمة المفروض عدم تعلّقها بما تعلّق به، و ذلک واضح لا یحتاج إلی شرح و 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الاضطرار فی مثل مسألة لباس الحریر و الصلاة فیه یکون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مضطرّا إلی لبسه، و لکن انحصر ساتره بالحریر علی وجه یکون متمکّنا من أحد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عریانا، أو الصلاة مع الحریر، أو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خروج هذه الصورة عمّا نحن فیه، أعنی الاضطرار إلی متعلّق الحرمة النفسیة، الذی هو حسب الفرض نفس الصلاة فی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هذه الصورة هو بقاء الحرمة المذکورة بحالها، فیسقط الاحتمال الثانی و یبقی الأمر دائرا بین الاحتمال الأوّل و هو الصلاة عریانا و الاحتمال الثالث و هو ترک الصلاة، و تکون المسألة من باب تعذّر الشرط أعنی ستر العورة، و حیث إنّ الصلاة لا تترک بحال یتعیّن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الکلام فی مسألة الاجتماع علی القول بالامتناع من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النهی الغیری ففی هذه الصورة تکون من قبیل التزاحم بین المانعیة 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الساقط هو شرطیة الستر فیصلّی عریانا، أو أنّ الساقط هو المانعیة فیصلّی فیما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و إشکال، و الکلام فی ذلک موکول إلی محلّه من باب التزاحم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مضطرّا إلی لبس الحریر لبرد و نحوه، من دون</w:t>
      </w:r>
    </w:p>
    <w:p>
      <w:pPr>
        <w:pStyle w:val="BookText"/>
        <w:rPr/>
      </w:pPr>
      <w:r>
        <w:rPr>
          <w:rFonts w:ascii="IRNazanin" w:hAnsi="IRNazanin" w:eastAsia="IRNazanin"/>
          <w:color w:val="111111"/>
          <w:sz w:val="28"/>
          <w:sz w:val="28"/>
          <w:szCs w:val="28"/>
          <w:rtl w:val="true"/>
          <w:lang w:bidi="fa-IR"/>
        </w:rPr>
        <w:t>اضطرار إلی نفس الصلاة و إن کانت واجبة علیه لضیق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الاضطرار فی هذه الصورة إنّما یسقط حرمة لبسه، دون حرمة الصلاة فیه، إذ لم تکن الصلاة بنفسها هی مورد الاضطرار، و إنّما کان مورد الاضطرار هو مجرّد اللبس، و بناء علی ذلک یقع التزاحم بین حرمة الصلاة المزبورة و وجوب أصل الصلاة، و لا بدّ حینئذ فی تقدیم وجوب أصل الصلاة من الرکون إلی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لا تترک بحال </w:t>
      </w:r>
      <w:r>
        <w:rPr>
          <w:rStyle w:val="FootnoteAnchor"/>
          <w:rtl w:val="true"/>
        </w:rPr>
        <w:footnoteReference w:id="462"/>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الاستحاضة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و إلّا کان الحکم بصحّة الصلاة المزبورة بناء علی تعلّق الحرمة النفسیة بنفس الصلاة فی غایة الإشکال، بل بناء علی الحرمة المزبورة لا یبعد القول بتقدیم جانب النهی، و لزوم تأخیر الصلاة إلی ما بعد ارتفاع الاضطرار و لو بعد الوقت فتکون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منهم قدّس سرّهم التسالم علی صحّة الصلاة فی الصورة المزبورة استنادا إلی الاضطرار، و هو ممّا یؤیّد بل یدلّ علی بنائهم علی عدم حرمة الصلاة فی الحریر، و إن حرم مطلق لبسه، بل و إن حرم لبسه فی خصوص حال الصلاة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فلو قلنا بحرمة الصلاة فی الحریر، و بعدم سقوط تلک الحرمة فی هذه الصورة، یظهر لک الفرق بین هذه المسألة علی هذا التقدیر، و بین مسألة الاجتماع علی القول بالامتناع من الجهة الأولی، فإنّه لو اضطرّ إلی المکان المغصوب أو اللباس المغصوب لا بسوء الاختیار صحّت الصلاة فیه بلا إشکال، من دون حاجة إلی أنّ الصلاة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لنا فی تلک المسألة حرمتان، تعلّقت إحداهما بلبس المغصوب و الأخری بالصلاة فیه، کی نقول إنّه لا یلزم من سقوط الأولی سقوط الثانیة، و إنّما الحرمة فی تلک المسألة</w:t>
      </w:r>
    </w:p>
    <w:p>
      <w:pPr>
        <w:pStyle w:val="BookText"/>
        <w:rPr/>
      </w:pPr>
      <w:r>
        <w:rPr>
          <w:rFonts w:ascii="IRNazanin" w:hAnsi="IRNazanin" w:eastAsia="IRNazanin"/>
          <w:color w:val="111111"/>
          <w:sz w:val="28"/>
          <w:sz w:val="28"/>
          <w:szCs w:val="28"/>
          <w:rtl w:val="true"/>
          <w:lang w:bidi="fa-IR"/>
        </w:rPr>
        <w:t>ممحضة للجهة الأولی، أعنی حرمة لبس المغصوب و التصرّف فیه، و حیث إنّ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الامتناع من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متّحدة مع التصرّف المزبور حکمنا علیها بالحرمة المزبورة، فإذا سقطت الحرمة المزبورة بالاضطرار إلی لبس المغصوب لم یکن فی البین مانع من صحّة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الحال فی النهی الغیری، فإنّه لو اضطرّ إلی لبس ما لا یؤکل لحمه کان ذلک موجبا لسقوط المانعیة، لعدم القدرة علی تحصیل ذلک القید العدمی، فیکون ذلک موجبا لسقوطه، و لو من جهة أنّ الصلاة لا تترک بحال، الحاکم علی مقتضی القیدیة من سقوط المقیّد عند تعذّر قیده، المعبّر عنه بالقیدیة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ذکرناه فی هذه الصورة یظهر لک الحکم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لو لم یکن مضطرا إلی لبس الحریر و لا إلی الصلاة فیه، و لکنّه لو أراد أن یصلّی لم یتمکّن من الصلاة إلّا مع لبس الحریر، لتقیة أو لحکم قاهر علیه یمنعه من الصلاة إلّا مع الحریر، فإنّ الکلام فیها عین الکلام فی الصورة الثانیة، لکن لو اتّفق مثلها فی المغصوب علی القول بالامتناع من الجهة الأولی لم یجز له الإقدام علی الصلاة فیه بلا کلام، لدوران الأمر حینئذ بین الغصب الحرام أو الصلاة، و لا ریب فی تقدّم الأوّل علی الثانی لکونه من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اتّفق مثل ذلک فی مسألة النهی الغیری لزمه الصلاة معه، لسقوط المانعیة بذلک کما عرفت فی الصورة الثانیة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مضطرا إلی الصلاة مع لبس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أنّها لا صغری لها، نعم یتصوّر ذلک فی الإکراه و الالجاء، کأن یقهره قاهر علی لبس الحریر و علی الصلاة فیه، بحیث إنّه لا یرضی منه بمجرّد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لیست من صغریات الاضطرار، بل هی من صغریات الاکراه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فالحکم فی هذه الصورة هو صحّة الصلاة المذکورة بحسب الجمع العرفی بین الأدلّة اللفظیة، فإنّ دلیل حرمة الصلاة فیه و إن کان مخصّصا لدلیل الأمر بالصلاة، إلّا أنّه لمّا کانت أدلّة الاکراه أو الاضطرار حاکمة علی دلیل التحریم، کان دلیل حرمة الصلاة بلباس الحریر مختصّا بما عدا مورد الاکراه و الاضطرار، فیکون الخارج عن عمومات الأمر هو الصلاة الاختیاریة فی لباس الحریر، دون ما کان منها واقعا بالاکراه أو الاضطرار، من دون حاجة إلی ما أفادوه من کون المانعیة فی طول الحرمة النفسیة، لما عرفت </w:t>
      </w:r>
      <w:r>
        <w:rPr>
          <w:rStyle w:val="FootnoteAnchor"/>
          <w:rtl w:val="true"/>
        </w:rPr>
        <w:footnoteReference w:id="463"/>
      </w:r>
      <w:r>
        <w:rPr>
          <w:rFonts w:ascii="IRNazanin" w:hAnsi="IRNazanin" w:eastAsia="IRNazanin"/>
          <w:color w:val="111111"/>
          <w:sz w:val="28"/>
          <w:sz w:val="28"/>
          <w:szCs w:val="28"/>
          <w:rtl w:val="true"/>
          <w:lang w:bidi="fa-IR"/>
        </w:rPr>
        <w:t>من أنّه لیس فی البین مانعیة و ممنوعیة، لا طولیة و لا عرضیة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أفاده قدّس سرّه </w:t>
      </w:r>
      <w:r>
        <w:rPr>
          <w:rStyle w:val="FootnoteAnchor"/>
          <w:rtl w:val="true"/>
        </w:rPr>
        <w:footnoteReference w:id="464"/>
      </w:r>
      <w:r>
        <w:rPr>
          <w:rFonts w:ascii="IRNazanin" w:hAnsi="IRNazanin" w:eastAsia="IRNazanin"/>
          <w:color w:val="111111"/>
          <w:sz w:val="28"/>
          <w:sz w:val="28"/>
          <w:szCs w:val="28"/>
          <w:rtl w:val="true"/>
          <w:lang w:bidi="fa-IR"/>
        </w:rPr>
        <w:t>، من الإشکال علی ذلک بأنّ الترخیص للاضطرار أو للاکراه لا یکون رافعا إلّا للخطاب التحریمی، دون ملاکه الذی هو المفسدة الواقعیة، فلو کان المراد بالحرمة المذکورة فیه هی الحرمة المتعلّقة بالصلاة فی لباس الحریر، و لو بقرینة اعترافه قدّس سرّه بکون الحرمة النفسیة مضادّة للأمر، و بقرینة إلحاقه مسألة الاجتماع علی القول بالامتناع من الجهة الأولی بهذه المسألة، لکان قابلا للتأمّل و الإشکال من جهات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المفسدة إنّما استکشفناها من الخطاب التحریمی، و مع کون دلیل الاکراه حاکما علی دلیل التحریم و موجبا لاختصاصه بما عدا مورد الاکراه تخصیصا واقعیا، لم یبق عندنا ما یستکشف منه الملاک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أن یقال بدلالة دلیل الاضطرار علی سقوط التحریم خطابا و ملاکا کما اعترف به قدّس سرّه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عدم المانعیة الشرعیة علی هذا التقدیر، و أنّه بناء علیه لا یکون فی البین إلّا النهی النفسی التحریمی المتعلّق بالصلاة بلباس الحریر، و هذا هو المخصّص لدلیل الأمر الموجب لبطلان الصلاة المذکورة، و مع فرض کون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دلیل الحرمة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 بدلیل الاکراه بما عدا مورد الاکراه، لم یبق لنا ما یوجب خروج الصلاة المزبورة التی أکره علیها عن عموم الأمر، و مجرّد وجود ملاک التحریم المفروض کونه مرخّصا فیه شرعا لا یوجب التخصیص،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لو سلّمنا خروج الصلاة المذکورة عن الأمر، فلا ینبغی لنا الإشکال فی جواز الإقدام علیها حتّی لو قلنا بالمانعیة الشرعیة زیادة علی الحرمة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حینئذ فی کونها مسقطة للاعادة أو القضاء، و یمکننا الحکم بذلک حینئذ استنادا إلی حدیث لا تعاد</w:t>
      </w:r>
      <w:r>
        <w:rPr>
          <w:rStyle w:val="FootnoteAnchor"/>
          <w:rtl w:val="true"/>
        </w:rPr>
        <w:footnoteReference w:id="466"/>
      </w:r>
      <w:r>
        <w:rPr>
          <w:rFonts w:ascii="IRNazanin" w:hAnsi="IRNazanin" w:eastAsia="IRNazanin"/>
          <w:color w:val="111111"/>
          <w:sz w:val="28"/>
          <w:sz w:val="28"/>
          <w:szCs w:val="28"/>
          <w:rtl w:val="true"/>
          <w:lang w:bidi="fa-IR"/>
        </w:rPr>
        <w:t>، بناء علی جریانه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الحال فی مسألة الاجتماع علی القول بالامتناع من الجهة الأولی، و فی مسألة النهی الغیری،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هذه التأمّلات الثلاثة إنّما تتوجّه علی ما أفاده قدّس سرّه لو کان مراده بالحرمة النفسیة المدّعی ارتفاعها بالاضطرار هی حرمة الصلاة بلباس الحریر، المستفادة من النهی عنها، بناء علی کون مفاد النهی المذکور هو الحرمة النفسیة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کان مراده قدّس سرّه بالحرمة المذکورة هی الحرمة المتعلّقة بلبس الحریر فلا مورد للتأمّلات المسطورة، لوضوح أنّ ارتفاع حرمة اللبس بالاضطرار إلیه لا یوجب ارتفاع المانعیة المستفادة من النهی عن الصلاة فیه، بناء علی کون مفاده</w:t>
      </w:r>
    </w:p>
    <w:p>
      <w:pPr>
        <w:pStyle w:val="BookText"/>
        <w:rPr/>
      </w:pPr>
      <w:r>
        <w:rPr>
          <w:rFonts w:ascii="IRNazanin" w:hAnsi="IRNazanin" w:eastAsia="IRNazanin"/>
          <w:color w:val="111111"/>
          <w:sz w:val="28"/>
          <w:sz w:val="28"/>
          <w:szCs w:val="28"/>
          <w:rtl w:val="true"/>
          <w:lang w:bidi="fa-IR"/>
        </w:rPr>
        <w:t>المانعیة، بل لا بدّ حینئذ من إسقاط المانعیة بمثل أنّ الصلاة لا تسقط بحال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المراد بالحرمة النفسیة هی الحرمة المتعلّقة بنفس لبس الحریر و کون النهی عن الصلاة فیه ممحضا للمانعیة و النهی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ینبغی أن یجزم به، و هو الذی ینبغی أن یحمل علیه کلامه قدّس سرّه، فیتّجه حینئذ ما أفاده من الإشکال علی سقوط المانعیة بالاضطرار إلی مخالفة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بعدم کون المانعیة مسبّبة عن الحرمة النفسیة، و ثانیا بأنّ الاضطرار إنّما یسقط الخطاب بالتحریم، دون ملاکه الذی هو أیضا ملاک المانعیة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یتوجّه الخدشة فیما أفاده من تسلیم المضادّة بین الحرمة النفسیة و الأمر و إنکار کون تحقّق الحرمة سببا لعدم الأمر</w:t>
      </w:r>
      <w:r>
        <w:rPr>
          <w:rStyle w:val="FootnoteAnchor"/>
          <w:rtl w:val="true"/>
        </w:rPr>
        <w:footnoteReference w:id="467"/>
      </w:r>
      <w:r>
        <w:rPr>
          <w:rFonts w:ascii="IRNazanin" w:hAnsi="IRNazanin" w:eastAsia="IRNazanin"/>
          <w:color w:val="111111"/>
          <w:sz w:val="28"/>
          <w:sz w:val="28"/>
          <w:szCs w:val="28"/>
          <w:rtl w:val="true"/>
          <w:lang w:bidi="fa-IR"/>
        </w:rPr>
        <w:t>، فإنّ هذه المضادّة لا تنطبق علی حرمة لبس الحریر، و إنّما تنطبق علی حرمة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تسلیمه المضادّة من باب المماشاة مع الجماعة، بناء علی أنّ مرادهم من الحرمة المضادّة للأمر هی الحرمة المتعلّقة بلبس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خلاف ظاهر ما نقله قدّس سرّه </w:t>
      </w:r>
      <w:r>
        <w:rPr>
          <w:rStyle w:val="FootnoteAnchor"/>
          <w:rtl w:val="true"/>
        </w:rPr>
        <w:footnoteReference w:id="468"/>
      </w:r>
      <w:r>
        <w:rPr>
          <w:rFonts w:ascii="IRNazanin" w:hAnsi="IRNazanin" w:eastAsia="IRNazanin"/>
          <w:color w:val="111111"/>
          <w:sz w:val="28"/>
          <w:sz w:val="28"/>
          <w:szCs w:val="28"/>
          <w:rtl w:val="true"/>
          <w:lang w:bidi="fa-IR"/>
        </w:rPr>
        <w:t>عنهم، فإنّ ظاهر کلامهم هو أنّ الحرمة المضادّة للأمر هی حرمة الصلاة فی الحریر، دون حرمة لبسه، و لأجل ذلک ألحقوا بهذه المسألة مسألة الاجتماع علی القول بالامتناع من الجهة الأولی، فإنّ ظاهر هذا الالحاق هو أنّهم یریدون بالحرمة هی حرمة الصلاة بالحریر، إذ لو کان مرادهم بالحرمة حرمة اللبس لکان القول بالجواز من الجهة الأولی أیضا من قبیل هذه المسألة، لاشتماله علی حرمة اللبس، 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من شیخنا قدّس سرّه </w:t>
      </w:r>
      <w:r>
        <w:rPr>
          <w:rStyle w:val="FootnoteAnchor"/>
          <w:rtl w:val="true"/>
        </w:rPr>
        <w:footnoteReference w:id="469"/>
      </w:r>
      <w:r>
        <w:rPr>
          <w:rFonts w:ascii="IRNazanin" w:hAnsi="IRNazanin" w:eastAsia="IRNazanin"/>
          <w:color w:val="111111"/>
          <w:sz w:val="28"/>
          <w:sz w:val="28"/>
          <w:szCs w:val="28"/>
          <w:rtl w:val="true"/>
          <w:lang w:bidi="fa-IR"/>
        </w:rPr>
        <w:t xml:space="preserve">فی أوّل المسألة عند التعرّض لمسألة الشکّ فی اقتضاء النهی الفساد ما یستفاد منه أنّ نفس التحریم مانع، فإنّ الصلاة تکون مقیّدة بعدمه، لکن قد عرفت فیما تقدّم </w:t>
      </w:r>
      <w:r>
        <w:rPr>
          <w:rStyle w:val="FootnoteAnchor"/>
          <w:rtl w:val="true"/>
        </w:rPr>
        <w:footnoteReference w:id="470"/>
      </w:r>
      <w:r>
        <w:rPr>
          <w:rFonts w:ascii="IRNazanin" w:hAnsi="IRNazanin" w:eastAsia="IRNazanin"/>
          <w:color w:val="111111"/>
          <w:sz w:val="28"/>
          <w:sz w:val="28"/>
          <w:szCs w:val="28"/>
          <w:rtl w:val="true"/>
          <w:lang w:bidi="fa-IR"/>
        </w:rPr>
        <w:t>أنّ هذه المانعیة عقلیة لا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علی مانعیة النهی الغیری و مانعیة النهی النفسی، و یلحق به مسألة الاجتماع علی القول بالامتناع من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هو المختار من الجواز من الجهة الأولی و الامتناع من الجهة الثانیة، فالذی ینبغی أن یحکم به هو صحّة الصلاة واقعا فی مورد الجهل و الغفلة و النسیان، و فی مورد الشکّ أیضا، بلا حاجة إلی مثل حدیث لا تعاد، و فی الصورة الثانیة و الرابعة من صور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مورد العلم و الاختیار، و فی الصورة الأولی و الثانیة</w:t>
      </w:r>
      <w:r>
        <w:rPr>
          <w:rStyle w:val="FootnoteAnchor"/>
          <w:rtl w:val="true"/>
        </w:rPr>
        <w:footnoteReference w:id="471"/>
      </w:r>
      <w:r>
        <w:rPr>
          <w:rFonts w:ascii="IRNazanin" w:hAnsi="IRNazanin" w:eastAsia="IRNazanin"/>
          <w:color w:val="111111"/>
          <w:sz w:val="28"/>
          <w:sz w:val="28"/>
          <w:szCs w:val="28"/>
          <w:rtl w:val="true"/>
          <w:lang w:bidi="fa-IR"/>
        </w:rPr>
        <w:t>من صور الاضطرار، فیتعیّن الحکم ببطلان الصلاة و عدم جواز الإقدام علیها مع المغصوب، فلاحظ و تأمّل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إنّی بعد ما حرّرت هذا المبحث راجعت تقریرات درس الشیخ المرتضی قدّس سرّه الذی أظن أنّه الأصل فی هذا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تقسیم المانعیة إلی الأقسام الثلاثة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صریحا فی أنّ مرادهم بالنهی الذی هو سبب الفساد و المانعیة هو النهی النفسی المتعلّق بالعبادة، فإنّه فی مبحث دلالة النهی علی الفساد ذکر أنّ النواهی الواردة فی العبادة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النواهی الغیریة، و الثانی النواهی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للثانی بمثل لا تصلّ فی الدار المغصوبة،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النهی التحریمی یقتضی الفساد، لما عرفت فی المسألة المتقدّمة من عدم جواز اجتماع الوجوب و الحرمة فی مورد شخصی، فالنهی</w:t>
      </w:r>
    </w:p>
    <w:p>
      <w:pPr>
        <w:pStyle w:val="BookText"/>
        <w:rPr/>
      </w:pPr>
      <w:r>
        <w:rPr>
          <w:rFonts w:ascii="IRNazanin" w:hAnsi="IRNazanin" w:eastAsia="IRNazanin"/>
          <w:color w:val="111111"/>
          <w:sz w:val="28"/>
          <w:sz w:val="28"/>
          <w:szCs w:val="28"/>
          <w:rtl w:val="true"/>
          <w:lang w:bidi="fa-IR"/>
        </w:rPr>
        <w:t>یلازم فساد ما 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لیس الفساد الحاصل من النهی فی المقام مثل الفساد فی القسم الأوّل، لأنّ الفساد فی المقام تابع للنهی، فمتی وجد النهی یمکن الحکم بالفساد، و متی انتفی النهی 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کالغفلة و النسیان و الضرورة و نحوها ممّا یرتفع معها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فساد، بخلاف الفساد فی القسم الأوّل، فإنّه لیس تابعا للنهی، بل النهی إنّما تعلّق به لکونه فاسدا، فعند ارتفاع النهی بواسطة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الحکم بعدم الفساد، الخ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کما تری صریح فی أنّ التحریم الذی جعلوه سببا للمانعیة و أنّ المانعیة ترتفع بارتفاعه هو التحریم اللاحق لنفس العبادة، و هو ما یستفاد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الدار المغصوبة أو لا تصلّ فی الحریر، و أمّا ما أفاده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النهی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تابعا للنهی، بل إنّما تعلّق به لکونه فاسدا، فکأنّه إیماء إلی أنّ النهی الغیری یکون منتزعا عن المانعیة، التی هی عبارة عن تقیّد العبادة بعدم ذلک المنهی عنه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مراجعة ما حرّره فی مسألة اجتماع الأمر و النهی فی ذیل الجواب عن الوجه الثالث ممّا احتجّ به المجوّزون </w:t>
      </w:r>
      <w:r>
        <w:rPr>
          <w:rStyle w:val="FootnoteAnchor"/>
          <w:rtl w:val="true"/>
        </w:rPr>
        <w:footnoteReference w:id="473"/>
      </w:r>
      <w:r>
        <w:rPr>
          <w:rFonts w:ascii="IRNazanin" w:hAnsi="IRNazanin" w:eastAsia="IRNazanin"/>
          <w:color w:val="111111"/>
          <w:sz w:val="28"/>
          <w:sz w:val="28"/>
          <w:szCs w:val="28"/>
          <w:rtl w:val="true"/>
          <w:lang w:bidi="fa-IR"/>
        </w:rPr>
        <w:t>، إذ لا یخلو من منافاة لما أفاده فی هذا المقام، فإنّ المتحصّل من کلامه هناک أنّ النهی المتعلّق بالعبادة لصفة لاحقة لها و کان أخصّ من الأمر، و مثّل لذلک بقوله لا تصلّ فی الدار المغصوبة، و أفاد أنّ هذا القسم لا یؤثّر فیه السهو و النسیان و الاضطرار، بخلاف ما لو کان متعلّق النهی أعمّ من وجه من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أراد ممّا هو أخصّ من متعلّق الأمر هو خصوص النهی الغیری، و یشهد بذلک أنّه ذکر فی بیان هذا النهی الذی هو أخصّ</w:t>
      </w:r>
    </w:p>
    <w:p>
      <w:pPr>
        <w:pStyle w:val="BookText"/>
        <w:rPr/>
      </w:pPr>
      <w:r>
        <w:rPr>
          <w:rFonts w:ascii="IRNazanin" w:hAnsi="IRNazanin" w:eastAsia="IRNazanin"/>
          <w:color w:val="111111"/>
          <w:sz w:val="28"/>
          <w:sz w:val="28"/>
          <w:szCs w:val="28"/>
          <w:rtl w:val="true"/>
          <w:lang w:bidi="fa-IR"/>
        </w:rPr>
        <w:t>مطلقا من الأمر جمیع ما ذکره فی بیان النهی الغیری، فلا منافاة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الإشکال فیما أفاده فی خصوص ما کان بینهما عموم من وجه، من تأثیر السهو و النسیان و الاضطرار فیه، فإنّه لا یجتمع مع قوله بالامتناع </w:t>
      </w:r>
      <w:r>
        <w:rPr>
          <w:rStyle w:val="FootnoteAnchor"/>
          <w:rtl w:val="true"/>
        </w:rPr>
        <w:footnoteReference w:id="474"/>
      </w:r>
      <w:r>
        <w:rPr>
          <w:rFonts w:ascii="IRNazanin" w:hAnsi="IRNazanin" w:eastAsia="IRNazanin"/>
          <w:color w:val="111111"/>
          <w:sz w:val="28"/>
          <w:sz w:val="28"/>
          <w:szCs w:val="28"/>
          <w:rtl w:val="true"/>
          <w:lang w:bidi="fa-IR"/>
        </w:rPr>
        <w:t xml:space="preserve">، إذ بناء علی هذا القول یکون مورد الاجتماع ملحقا بالنهی عن العبادة، الذی مقتضاه التخصیص الواقعی و خروج مورد الاجتماع عن عموم الأمر خطابا و ملاکا، فلا یؤثّر فیه السهو و النسیان و الاضطرار، لکنّه مع قوله بامتناع الاجتماع أجری علیه حکم باب التزاحم، فیتوجّه علیه حینئذ الإشکال الذی توجّه علی الکفایة، من أنّ المسألة علی القول بالامتناع من الجهة الأولی لا تدخل فی باب التزاحم، و إنّما هی داخلة فی باب التعارض </w:t>
      </w:r>
      <w:r>
        <w:rPr>
          <w:rStyle w:val="FootnoteAnchor"/>
          <w:rtl w:val="true"/>
        </w:rPr>
        <w:footnoteReference w:id="475"/>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أهمّها هو المنع من تولّد المانعیة من النهی النفسی المتعلّق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النهی عن مثل الصلاة فی الحریر یوجب خروج تلک الصلاة عن عموم الأمر، فیکون الباقی تحت الأمر هو ما عداها، و بذلک یتعنون الباقی بعنوان عدم تلک الصلاة، کما هو الحال فی جمیع التخصیصات، إلّا أنّ ذلک التقیید أعنی تقیید الباقی و اتّصافه بعدم الخارج لیس مرجعه إلی کون الخارج مانعا بالاصطلاح، أعنی تقیّد المأمور به بعدمه، بل هو نحو آخر لا دخل له بالمانعیة التی هی فی قبال الجزئیة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تقدّم فی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التخصیص فی مثل أکرم عالما و لا تکرم الفاسق من العلماء، و بینه فی مثل صلّ و لا تصلّ فی الحریر، و فی مثل صلّ و لا تغصب، بناء علی الامتناع من الجهة الأولی، فراجع منه قدّس سرّه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سقوط الخطاب إن کان لدلیل عقلی فلا یکون کاشفا عن سقوط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أنّا بعد أن ذکرنا فی مقام التشریع أنّ ملاک النهی قد غلب علی ملاک الأمر، لا یکون النسیان أو الاضطرار المسوّغان لارتکاب ذلک المنهی مصحّحین لتعلّق الأمر بتلک العبادة، إلّا أن نقول بأنّ طروّ الاضطرار أو النسیان یوجب انقلاب تلک الغلبة من جانب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إلی جانب ملاک الأمر، فلا یمکننا الحکم بالصحّة إلّا إذا أحرزنا الانقلاب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مقام الاثبات ربما نجعل دلیل الاضطرار المسقط للحرمة</w:t>
      </w:r>
      <w:r>
        <w:rPr>
          <w:rStyle w:val="FootnoteAnchor"/>
          <w:rtl w:val="true"/>
        </w:rPr>
        <w:footnoteReference w:id="477"/>
      </w:r>
      <w:r>
        <w:rPr>
          <w:rFonts w:ascii="IRNazanin" w:hAnsi="IRNazanin" w:eastAsia="IRNazanin"/>
          <w:color w:val="111111"/>
          <w:sz w:val="28"/>
          <w:sz w:val="28"/>
          <w:szCs w:val="28"/>
          <w:rtl w:val="true"/>
          <w:lang w:bidi="fa-IR"/>
        </w:rPr>
        <w:t>، مثلا أن نقول إنّه مع دلیل التحریم نستکشف أنّ الغالب هو ملاک التحریم، أمّا مع فرض خروج الاضطرار عن حیّز دلیل التحریم کان فی إمکاننا أن نقول إنّه فی مورد الاضطرار لا دلیل علی الغلبة المذکورة، أو لا دلیل علی أصل ملاک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 إذ کما أنّه لا دلیل علی غلبة ملاک التحریم، أو لا دلیل علی أصل وجود ملاکه، فلا دلیل لنا أیضا علی وجود ملاک الایجاب أو غلبة ملاکه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اطلاق الأمر و شموله للاضطرار الخارج عن عموم النهی کاف فی إثبات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لیس بأولی من أن نقول إنّ مقتضی إطلاق</w:t>
      </w:r>
    </w:p>
    <w:p>
      <w:pPr>
        <w:pStyle w:val="BookText"/>
        <w:rPr/>
      </w:pPr>
      <w:r>
        <w:rPr>
          <w:rFonts w:ascii="IRNazanin" w:hAnsi="IRNazanin" w:eastAsia="IRNazanin"/>
          <w:color w:val="111111"/>
          <w:sz w:val="28"/>
          <w:sz w:val="28"/>
          <w:szCs w:val="28"/>
          <w:rtl w:val="true"/>
          <w:lang w:bidi="fa-IR"/>
        </w:rPr>
        <w:t>النهی هو وجود ملاکه و غلبته علی ملاک الأمر، و لم یحرز من مقاومة دلیل الاضطرار لذلک الاطلاق إلّا مجرّد الترخیص فی فعل ذلک الحرام، و لم یحرز منه انتفاء ملاک التحریم أو انتفاء غلبة ملاکه،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أنّه بعد الاعتراف بهذا التخصیص لا وجه لدعوی کونه تخصیصا عقلیا ناشئا عن التزاحم المفقود فی صورة عدم تنجّز النهی کما فی الکفایة</w:t>
      </w:r>
      <w:r>
        <w:rPr>
          <w:rStyle w:val="FootnoteAnchor"/>
          <w:rtl w:val="true"/>
        </w:rPr>
        <w:footnoteReference w:id="478"/>
      </w:r>
      <w:r>
        <w:rPr>
          <w:rFonts w:ascii="IRNazanin" w:hAnsi="IRNazanin" w:eastAsia="IRNazanin"/>
          <w:color w:val="111111"/>
          <w:sz w:val="28"/>
          <w:sz w:val="28"/>
          <w:szCs w:val="28"/>
          <w:rtl w:val="true"/>
          <w:lang w:bidi="fa-IR"/>
        </w:rPr>
        <w:t>، لما عرفت مرارا من أنّ التزاحم هنا آمری، فیکون التخصیص الناتج منه واقعیا، و لیس هو تزاحما مأموریا کی لا یکون التخصیص فیه إلّا عقلیا ناشئا عن عدم القدرة، کی ینحصر بصورة تنجّز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وجه لما فی الحاشیة</w:t>
      </w:r>
      <w:r>
        <w:rPr>
          <w:rStyle w:val="FootnoteAnchor"/>
          <w:rtl w:val="true"/>
        </w:rPr>
        <w:footnoteReference w:id="479"/>
      </w:r>
      <w:r>
        <w:rPr>
          <w:rFonts w:ascii="IRNazanin" w:hAnsi="IRNazanin" w:eastAsia="IRNazanin"/>
          <w:color w:val="111111"/>
          <w:sz w:val="28"/>
          <w:sz w:val="28"/>
          <w:szCs w:val="28"/>
          <w:rtl w:val="true"/>
          <w:lang w:bidi="fa-IR"/>
        </w:rPr>
        <w:t>من الاشارة إلی حاشیة تقدّمت فی مبحث الاجتماع من أنّ ملاک النهی و إن کان موجودا، إلّا أنّه لمّا لم یکن مؤثّرا فی توجّه النهی لم یکن هناک ما یمنع من تأثیر ملاک الأمر المفروض کونه مغلوبا، و ذلک لما عرفت من أنّ الملاک المغلوب لا یؤثّر و لو مع تعطیل الملاک الغالب عن التأثیر بواسطة طروّ الاضطرار، فإنّ المانع من الأمر حینئذ هو قصور ملاکه، لا وجود أثر ملاک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ندّعی کما تقدّمت الاشارة إلیه أنّ طروّ الاضطرار یوجب انقلاب تلک الغلبة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المانع من الأمر هو التمانع بینه و بین النهی، بل المانع منه هو مغلوبیة ملاکه، و هی موجودة مع الاضطرار، إلّا أن یکون ذلک الاضطرار موجبا لتحویل الغلبة من جانب ملاک النهی إلی جانب ملاک الأمر، فراجع الحاشیة المشار إلیها و تأمّل</w:t>
      </w:r>
      <w:r>
        <w:rPr>
          <w:rFonts w:eastAsia="IRNazanin" w:cs="IRNazanin"/>
          <w:color w:val="111111"/>
          <w:sz w:val="28"/>
          <w:szCs w:val="28"/>
          <w:rtl w:val="true"/>
          <w:lang w:bidi="fa-IR"/>
        </w:rPr>
        <w:t>.</w:t>
      </w:r>
      <w:bookmarkStart w:id="199" w:name="pg19667_765278"/>
    </w:p>
    <w:p>
      <w:pPr>
        <w:pStyle w:val="BookText"/>
        <w:rPr/>
      </w:pPr>
      <w:bookmarkEnd w:id="199"/>
      <w:r>
        <w:rPr>
          <w:rFonts w:ascii="Amiri" w:hAnsi="Amiri" w:eastAsia="Amiri" w:cs="Amiri"/>
          <w:color w:val="111111"/>
          <w:sz w:val="28"/>
          <w:sz w:val="28"/>
          <w:szCs w:val="28"/>
          <w:rtl w:val="true"/>
          <w:lang w:bidi="ar-SA"/>
        </w:rPr>
        <w:t>نعم، تقدّمت الاشارة</w:t>
      </w:r>
      <w:r>
        <w:rPr>
          <w:rStyle w:val="FootnoteAnchor"/>
          <w:rtl w:val="true"/>
        </w:rPr>
        <w:footnoteReference w:id="480"/>
      </w:r>
      <w:r>
        <w:rPr>
          <w:rFonts w:ascii="IRNazanin" w:hAnsi="IRNazanin" w:eastAsia="IRNazanin"/>
          <w:color w:val="111111"/>
          <w:sz w:val="28"/>
          <w:sz w:val="28"/>
          <w:szCs w:val="28"/>
          <w:rtl w:val="true"/>
          <w:lang w:bidi="fa-IR"/>
        </w:rPr>
        <w:t>إلی الفرق بین مثل أکرم عالما و لا تکرم العالم الفاسق و بین مثل صلّ و لا تصلّ فی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الأوّل یکون الخروج فیه واقعیا و لا یکون الاضطرار فیه مصحّحا، لعدم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الثانی فإنّه من باب التزاحم فی مقام التشریع، و غلبة ملاک النهی علی ملاک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و إن کان هو الالحاق بالأوّل، إلّا أنّه لمّا قام الإجماع علی الصحّة فی مورد الاضطرار کان ذلک الإجماع کاشفا عن تأثیر ملاک الأمر عند سقوط التحریم بالاضطرار، و هکذا الحال فی مسألة الاجتماع علی القول بالامتناع من الجهة الأولی</w:t>
      </w:r>
      <w:r>
        <w:rPr>
          <w:rFonts w:eastAsia="IRNazanin" w:cs="IRNazanin"/>
          <w:color w:val="111111"/>
          <w:sz w:val="28"/>
          <w:szCs w:val="28"/>
          <w:rtl w:val="true"/>
          <w:lang w:bidi="fa-IR"/>
        </w:rPr>
        <w:t>.</w:t>
      </w:r>
    </w:p>
    <w:p>
      <w:pPr>
        <w:pStyle w:val="Heading4"/>
        <w:numPr>
          <w:ilvl w:val="3"/>
          <w:numId w:val="1"/>
        </w:numPr>
        <w:rPr/>
      </w:pPr>
      <w:bookmarkStart w:id="200" w:name="__RefHeading___Toc3538583_2314609296"/>
      <w:bookmarkStart w:id="201" w:name="_Toc69"/>
      <w:bookmarkEnd w:id="200"/>
      <w:r>
        <w:rPr>
          <w:rtl w:val="true"/>
        </w:rPr>
        <w:t>[</w:t>
      </w:r>
      <w:r>
        <w:rPr>
          <w:rtl w:val="true"/>
        </w:rPr>
        <w:t>الکلام فی اقتضاء النهی عن معاملة فسادها</w:t>
      </w:r>
      <w:r>
        <w:rPr>
          <w:rtl w:val="true"/>
        </w:rPr>
        <w:t>]</w:t>
      </w:r>
      <w:bookmarkEnd w:id="20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النهی عن المعاملات فتوضیح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النهی المتعلّق بمعاملة تارة یکون نهیا غیریا مسوقا لبیان المانعیة، فلا إشکال فی دلالته علی الفساد، سواء تعلّق بالسبب فیدلّ علی تقیّده بعدمه، أو تعلّق بالمسبّب فیدلّ علی عدم ترتّبه به، فیدلّ علی تقیّد السبب بعدمه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النهی عن السبب النهی عن بیع المنابذة، و مثال النهی عمّا یکون وجوده مفسدا للمعاملة النهی عن الفصل الطویل بین الایجاب و القبول، و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 بذرا و لا بقرا</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و مثال النهی عن المسبّب النهی الوارد عن نقل أمّ الولد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تسمیة أمثال هذه النواهی بالنواهی الغیریة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و الأخیر</w:t>
      </w:r>
    </w:p>
    <w:p>
      <w:pPr>
        <w:pStyle w:val="BookText"/>
        <w:rPr/>
      </w:pPr>
      <w:r>
        <w:rPr>
          <w:rFonts w:ascii="IRNazanin" w:hAnsi="IRNazanin" w:eastAsia="IRNazanin"/>
          <w:color w:val="111111"/>
          <w:sz w:val="28"/>
          <w:sz w:val="28"/>
          <w:szCs w:val="28"/>
          <w:rtl w:val="true"/>
          <w:lang w:bidi="fa-IR"/>
        </w:rPr>
        <w:t>فواضح، إذ لیس فی البین قید و مقیّد کی یکون النهی عمّا اعتبر عدمه نهیا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المنهی عنه و إن کان قد اعتبر عدمه فی المعاملة، إلّا أنّ ذلک لا یصحّح النهی عنه بالنهی الغیری، کما فی العبادات التی یکون المانع فیها مطلوب العدم فی ضمن الطلب المتعلّق بالکل، إذ لیس فی البین طلب، و إنّما المانعیة هنا عبارة عن کون ما یترتّب علیه الأثر من العقد مقیّدا بعدم ذلک المانع، سواء قلنا إنّ هذه المانعیة منتزعة من جعل الأثر مترتّبا علی المقیّد بالعدم، أو قلنا بأنّها مجعولة ابتداء، فإنّه علی أی حال لا یکون فی البین طلب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المقام تبدیل النهی الغیری بالارشادی، و یکون النهی فی الأوّل ارشادا إلی عدم ترتّب الأثر علی مثل بیع المنابذة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ارشادا إلی مانعیة الفصل الطویل من ترتّب الأثر، أو إلی تقیّد السبب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 إرشادا إلی عدم حصول النقل 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العبارة الجامعة هی کون النهی ارشادیا، کما صنعه المرحوم الشیخ محمّد علی </w:t>
      </w:r>
      <w:r>
        <w:rPr>
          <w:rStyle w:val="FootnoteAnchor"/>
          <w:rtl w:val="true"/>
        </w:rPr>
        <w:footnoteReference w:id="483"/>
      </w:r>
      <w:r>
        <w:rPr>
          <w:rFonts w:ascii="IRNazanin" w:hAnsi="IRNazanin" w:eastAsia="IRNazanin"/>
          <w:color w:val="111111"/>
          <w:sz w:val="28"/>
          <w:sz w:val="28"/>
          <w:szCs w:val="28"/>
          <w:rtl w:val="true"/>
          <w:lang w:bidi="fa-IR"/>
        </w:rPr>
        <w:t>تبعا للکفایة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النهی عن بیع المنابذة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الاستثناء من عموم السبب، و مفاد الثالث هو الاستثناء من عموم المسبّب، و مفاد الثانی هو تقیّد السبب من ناحیة ترتّب الأثر علیه بعدمه، فیکون وزان التقیّد بالعدم وزان جزء العقد أو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هو عدم ترتّب الأثر، و یکون النهی عن کلّ واحد من هذه الأمور الثلاثة إرشادا إلی عدم ترتّب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منشؤه فی الثانی هو التقیّد، و فی الأوّل و الثالث هو الاستثناء</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یجعل النهی عن البیع وقت النداء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نُودِیَ</w:t>
      </w:r>
    </w:p>
    <w:p>
      <w:pPr>
        <w:pStyle w:val="BookText"/>
        <w:rPr/>
      </w:pPr>
      <w:r>
        <w:rPr>
          <w:rFonts w:ascii="Amiri" w:hAnsi="Amiri" w:eastAsia="Amiri" w:cs="Amiri"/>
          <w:color w:val="111111"/>
          <w:sz w:val="28"/>
          <w:sz w:val="28"/>
          <w:szCs w:val="28"/>
          <w:rtl w:val="true"/>
          <w:lang w:bidi="ar-SA"/>
        </w:rPr>
        <w:t xml:space="preserve">لِلصَّلاةِ مِنْ یَوْمِ الْجُمُعَةِ فَاسْعَوْا إِلی ذِکْرِ اللَّهِ وَ ذَرُوا الْبَیْعَ ذلِکُمْ خَیْرٌ لَکُمْ إِنْ کُنْتُمْ تَعْلَمُونَ </w:t>
      </w:r>
      <w:r>
        <w:rPr>
          <w:rStyle w:val="FootnoteAnchor"/>
          <w:rtl w:val="true"/>
        </w:rPr>
        <w:footnoteReference w:id="485"/>
      </w:r>
      <w:r>
        <w:rPr>
          <w:rFonts w:ascii="IRNazanin" w:hAnsi="IRNazanin" w:eastAsia="IRNazanin"/>
          <w:color w:val="111111"/>
          <w:sz w:val="28"/>
          <w:sz w:val="28"/>
          <w:szCs w:val="28"/>
          <w:rtl w:val="true"/>
          <w:lang w:bidi="fa-IR"/>
        </w:rPr>
        <w:t>إرشادا إلی وجوب الصلاة، و أنّها هی المطلوب فی ذلک الحال، فیکون ذلک حثّا علی حضورها بالنصیحة فی ترک البیع و أمثاله من الأمور الدنیویة، لا أنّه متضمّن للحرمة التکلیفیة، کما هو الشأن فی کلّ ما هو ضدّ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تدخل المعاملة المذکورة فیما سیأتی </w:t>
      </w:r>
      <w:r>
        <w:rPr>
          <w:rStyle w:val="FootnoteAnchor"/>
          <w:rtl w:val="true"/>
        </w:rPr>
        <w:footnoteReference w:id="486"/>
      </w:r>
      <w:r>
        <w:rPr>
          <w:rFonts w:ascii="IRNazanin" w:hAnsi="IRNazanin" w:eastAsia="IRNazanin"/>
          <w:color w:val="111111"/>
          <w:sz w:val="28"/>
          <w:sz w:val="28"/>
          <w:szCs w:val="28"/>
          <w:rtl w:val="true"/>
          <w:lang w:bidi="fa-IR"/>
        </w:rPr>
        <w:t>التعرّض له إن شاء اللّه تعالی من المعاملات المأمور بضدّها، و أنّ ذلک هل یوجب سلب السلطنة علیها مطلقا، أو نفصّل بین ما یکون الضدّ ممّا یتعلّق بالمال فیوجب الفساد، دون ما لیس له الدخل فی المال، مثل إزالة النجاسة و نحوها، فلا یکون الأمر به موجبا لسلب السلطنة علی المال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487"/>
      </w:r>
      <w:r>
        <w:rPr>
          <w:rFonts w:ascii="IRNazanin" w:hAnsi="IRNazanin" w:eastAsia="IRNazanin"/>
          <w:color w:val="111111"/>
          <w:sz w:val="28"/>
          <w:sz w:val="28"/>
          <w:szCs w:val="28"/>
          <w:rtl w:val="true"/>
          <w:lang w:bidi="fa-IR"/>
        </w:rPr>
        <w:t>إن شاء اللّه تعالی بیان أنّه لو کان هذا النهی تحریمیا لما کان دالا علی الفساد، لا لأنّه من قبیل النهی المتعلّق بالسبب، إذ لیس المراد بالبیع هاهنا سببه الذی هو العقد نفسه، لوضوح أنّ المراد به هو نفس المعاملة التی هی عبارة عن تبدیل المالین، بل لأنّ هذا النهی المتعلّق بهذه المعاملة لم یتعلّق بها بما أنّها تصرّف و من حیث کونها تصرّفا فی المال، بل إنّ النهی تعلّق بها بما أنّها فعل من الأفعال باعتبار کونها فعلا شاغلا عن الصلاة، کسائر الأفعال الأخر مثل الأکل و الشرب و نحوهما، و إنّما ذکر خصوص البیع من جهة خصوصیة المورد، أعنی به سبب النزول کما یعطیه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رَأَوْا تِجارَةً أَوْ لَهْواً</w:t>
      </w:r>
      <w:r>
        <w:rPr>
          <w:rStyle w:val="FootnoteAnchor"/>
          <w:rtl w:val="true"/>
        </w:rPr>
        <w:footnoteReference w:id="488"/>
      </w:r>
      <w:r>
        <w:rPr>
          <w:rFonts w:ascii="IRNazanin" w:hAnsi="IRNazanin" w:eastAsia="IRNazanin"/>
          <w:color w:val="111111"/>
          <w:sz w:val="28"/>
          <w:sz w:val="28"/>
          <w:szCs w:val="28"/>
          <w:rtl w:val="true"/>
          <w:lang w:bidi="fa-IR"/>
        </w:rPr>
        <w:t>الخ، فلا</w:t>
      </w:r>
    </w:p>
    <w:p>
      <w:pPr>
        <w:pStyle w:val="BookText"/>
        <w:rPr/>
      </w:pPr>
      <w:r>
        <w:rPr>
          <w:rFonts w:ascii="IRNazanin" w:hAnsi="IRNazanin" w:eastAsia="IRNazanin"/>
          <w:color w:val="111111"/>
          <w:sz w:val="28"/>
          <w:sz w:val="28"/>
          <w:szCs w:val="28"/>
          <w:rtl w:val="true"/>
          <w:lang w:bidi="fa-IR"/>
        </w:rPr>
        <w:t>یکون النهی عنها من الناحیة المذکورة موجبا لفسادها، و إنّما یکون النهی عنها موجبا لفسادها لو کان تعلّق النهی بها من الناحیة الأخری، أعنی کونها تصرّفا فی المال بالنقل 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تلخّص لک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البیع فی قوله تعالی وَ ذَرُوا الْبَیْعَ لا یکون موجبا للفساد، سواء جعلناه إرشادا إلی وجوب السعی، أو جعلناه تکلیفا مولویا متعلّقا بالمسبّب الذی هو البیع بما أنّه فعل من الأفعال لا من باب أنّه عبارة عن النقل المالی، أو جعلناه متعلّقا بالسبب بمعنی العقد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قدّس سرّه فیما حکاه عنه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النواهی فی المعاملات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متعلّقا بالمعاملة من حیث إنّها أحد أفعال المکلّف، فیکون إیجاد السبب و التلفّظ بالایجاب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النداء مثل شرب الخمر محرّما، من غیر ملاحظة أنّ ذلک الفعل المحرّم یوجب نقلا و انتقالا، و لا ریب فی عدم دلالة هذا النحو من النهی علی الفساد، فإنّ غایة مدلوله التحریم، و هو لا ینافی الصحّة، فإنّ المعصیة تجامع ترتّب الأثر، کما یشاهد فی الأسباب العقلیة بالنسبة إلی الآثار العقلیة، و الشرعیة أیضا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 النهی هو مبغوضیة إیجاد السبب، لا من حیث إنّه فعل من الأفعال المتعلّقة للأمر و النهی باعتبار المصالح و المفاسد، بل من حیث إنّ ذلک السبب یوجب وجود مسبّب مبغوض فی نفسه، کما فی النهی عن بیع المسلم للکافر، فإنّ إیجاد السبب حرام بواسطة إیراثه أمرا غیر مطلوب مبغوض، و هو سلطنة الکافر علی المسلم بناء علی القول بالصحّة،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أیضا یمکن القول بعدم دلالة النهی فیه علی الفساد، إذ لا مانع من صحّة البیع</w:t>
      </w:r>
    </w:p>
    <w:p>
      <w:pPr>
        <w:pStyle w:val="BookText"/>
        <w:rPr/>
      </w:pPr>
      <w:r>
        <w:rPr>
          <w:rFonts w:ascii="IRNazanin" w:hAnsi="IRNazanin" w:eastAsia="IRNazanin"/>
          <w:color w:val="111111"/>
          <w:sz w:val="28"/>
          <w:sz w:val="28"/>
          <w:szCs w:val="28"/>
          <w:rtl w:val="true"/>
          <w:lang w:bidi="fa-IR"/>
        </w:rPr>
        <w:t>حینئذ،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إنّما یستقیم فیما إذا قلنا بأنّ الأسباب الناقلة إنّما هی مؤثّرات عقلیة، قد اطّلع الشارع علیها و بیّنها لنا من دون تصرّف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بأنّ هذه أسباب شرعیة إنّما وضعها الشارع و جعلها مؤثّرة فی الآثار المطلوبة منها، فلا بدّ من القول بدلالة النهی علی الفساد، فإنّ من البعید فی الغایة جعل السبب فیما إذا کان وجود المسبّب مبغوضا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إلی ذلک ینظر ما حکی عن الفخر</w:t>
      </w:r>
      <w:r>
        <w:rPr>
          <w:rStyle w:val="FootnoteAnchor"/>
          <w:rtl w:val="true"/>
        </w:rPr>
        <w:footnoteReference w:id="489"/>
      </w:r>
      <w:r>
        <w:rPr>
          <w:rFonts w:ascii="IRNazanin" w:hAnsi="IRNazanin" w:eastAsia="IRNazanin"/>
          <w:color w:val="111111"/>
          <w:sz w:val="28"/>
          <w:sz w:val="28"/>
          <w:szCs w:val="28"/>
          <w:rtl w:val="true"/>
          <w:lang w:bidi="fa-IR"/>
        </w:rPr>
        <w:t>بأنّ قضیة اللطف عدم امضاء المعاملات التی تکون مبغوضة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علی اطلاقه ربما لا یساعده دلیل و لا ضرورة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تأمّلت هذه الکلمات تقدر علی تفسیرها بما ذکرناه، من کون النظر فی النهی عن المعاملة تارة إلی ناحیة کونها عملا من أعمال یتوخّی الناهی ترکه و انعدامه، کما فی مثل النهی النفسی عن المعاملة عند إرادة سکون المکلّف و عدم اقدامه علی فعل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إیقاع العبد عقد البیع بین البائع و المشتری بتوکیل منهما، مع فرض کونه مملوکا لغیرهما، و کما فی ضماناته لما یتبع به بعد العتق، و نحو ذلک ممّا لا تعلّق له بسیده، فإنّ نفس إیجاد المعاملة یکون محرّما، لکونه غیر مأذون بها من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التحریم لا یوجب الفساد، لتعلّقه بإیجاد المعاملة المعبّر عنه بالمعنی المصدری، لا بما هو ملحوظ قنطرة لحصول اسم المصدر، کما فی معاملته فیما یتعلّق به حقّ سیّده من نقل ما یملکه العبد أو تزویج نفسه، فإنّ النهی عنه یوجب الفساد لکن تصلحه الإجازة خلافا لما یظهر من شیخنا قدّس سرّه </w:t>
      </w:r>
      <w:r>
        <w:rPr>
          <w:rStyle w:val="FootnoteAnchor"/>
          <w:rtl w:val="true"/>
        </w:rPr>
        <w:footnoteReference w:id="491"/>
      </w:r>
      <w:r>
        <w:rPr>
          <w:rFonts w:ascii="IRNazanin" w:hAnsi="IRNazanin" w:eastAsia="IRNazanin"/>
          <w:color w:val="111111"/>
          <w:sz w:val="28"/>
          <w:sz w:val="28"/>
          <w:szCs w:val="28"/>
          <w:rtl w:val="true"/>
          <w:lang w:bidi="fa-IR"/>
        </w:rPr>
        <w:t xml:space="preserve">و من الشیخ </w:t>
      </w:r>
      <w:r>
        <w:rPr>
          <w:rStyle w:val="FootnoteAnchor"/>
          <w:rtl w:val="true"/>
        </w:rPr>
        <w:footnoteReference w:id="492"/>
      </w:r>
      <w:r>
        <w:rPr>
          <w:rFonts w:ascii="IRNazanin" w:hAnsi="IRNazanin" w:eastAsia="IRNazanin"/>
          <w:color w:val="111111"/>
          <w:sz w:val="28"/>
          <w:sz w:val="28"/>
          <w:szCs w:val="28"/>
          <w:rtl w:val="true"/>
          <w:lang w:bidi="fa-IR"/>
        </w:rPr>
        <w:t>أیضا فی مبحث معاملة العبد من</w:t>
      </w:r>
    </w:p>
    <w:p>
      <w:pPr>
        <w:pStyle w:val="BookText"/>
        <w:rPr/>
      </w:pPr>
      <w:r>
        <w:rPr>
          <w:rFonts w:ascii="IRNazanin" w:hAnsi="IRNazanin" w:eastAsia="IRNazanin"/>
          <w:color w:val="111111"/>
          <w:sz w:val="28"/>
          <w:sz w:val="28"/>
          <w:szCs w:val="28"/>
          <w:rtl w:val="true"/>
          <w:lang w:bidi="fa-IR"/>
        </w:rPr>
        <w:t>المکاسب، و کلام شیخنا قدّس سرّه هناک لعلّه مخالف لما هنا، فإنّه هناک جعل المعنی المصدری من باب المسبّب، و هنا جعله من باب السبب،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النظر فی ذلک النهی إلی ناحیة کونه نقلا مالیا، کما فی مثل النهی عن نقل المصحف أو العبد المسلم إلی الکافر، أو ناحیة کونه علقة ازدواجیة، کما فی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تَنْکِحُوا ما نَکَحَ آباؤُکُمْ </w:t>
      </w:r>
      <w:r>
        <w:rPr>
          <w:rStyle w:val="FootnoteAnchor"/>
          <w:rtl w:val="true"/>
        </w:rPr>
        <w:footnoteReference w:id="493"/>
      </w:r>
      <w:r>
        <w:rPr>
          <w:rFonts w:ascii="Amiri" w:hAnsi="Amiri" w:eastAsia="Amiri" w:cs="Amiri"/>
          <w:color w:val="111111"/>
          <w:sz w:val="28"/>
          <w:sz w:val="28"/>
          <w:szCs w:val="28"/>
          <w:rtl w:val="true"/>
          <w:lang w:bidi="ar-SA"/>
        </w:rPr>
        <w:t>، و لیس هذا النهی بارشاد إلی الفساد، لقوّة ظهوره فی التحریم بواسطة ما اکتنف به من استثناء ما قَدْ سَلَفَ فی زمان الجاهلیة و تسمیته مَقْتاً وَ ساءَ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الحال فی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تَجْمَعُوا بَیْنَ الْأُخْتَیْنِ إِلَّا ما قَدْ سَلَفَ </w:t>
      </w:r>
      <w:r>
        <w:rPr>
          <w:rStyle w:val="FootnoteAnchor"/>
          <w:rtl w:val="true"/>
        </w:rPr>
        <w:footnoteReference w:id="494"/>
      </w:r>
      <w:r>
        <w:rPr>
          <w:rFonts w:ascii="IRNazanin" w:hAnsi="IRNazanin" w:eastAsia="IRNazanin"/>
          <w:color w:val="111111"/>
          <w:sz w:val="28"/>
          <w:sz w:val="28"/>
          <w:szCs w:val="28"/>
          <w:rtl w:val="true"/>
          <w:lang w:bidi="fa-IR"/>
        </w:rPr>
        <w:t>فإنّ جمیع هذه النواهی نواه تحریمیة نفسیة، و علی الظاهر أنّه لم یتردّد أحد فی استفادة الفساد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نقول إنّک تقدر علی ارجاع ما أفاده الشیخ قدّس سرّه فی النحو الأوّل إلی ما ذکرناه فی النحو الأوّل، و ارجاع ما أفاده فی الوجه الثانی إلی ما ذکرناه فی النحو الثانی من النهی، فیکون مراده من السبب هو المعاملة بجهة النظر إلی کونها فعلا خارجیا، و یکون مراده من المسبّب هو المعاملة أیضا لکن بملاحظة جهة النقل و الانتقال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 ما ذکرناه فی النحو الثانی و بین ما ذکره الشیخ فیه، هو أنّ الشیخ یستدلّ علی اقتضائه الفساد بنحو من الدلالة العرفیة، و نحن نرید أن نجعل النهی موجبا للفساد قهرا لکونه علّة لسلب السلطنة، فلاحظ و تأمّل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إرجاع ما أفاده شیخنا قدّس سرّه إلی هذا التفصیل، خصوصا مثل قوله</w:t>
      </w:r>
      <w:bookmarkStart w:id="202" w:name="pg19667_765284"/>
    </w:p>
    <w:p>
      <w:pPr>
        <w:pStyle w:val="BookText"/>
        <w:rPr/>
      </w:pPr>
      <w:bookmarkEnd w:id="202"/>
      <w:r>
        <w:rPr>
          <w:rFonts w:ascii="IRNazanin" w:hAnsi="IRNazanin" w:eastAsia="IRNazanin"/>
          <w:color w:val="111111"/>
          <w:sz w:val="28"/>
          <w:sz w:val="28"/>
          <w:szCs w:val="28"/>
          <w:rtl w:val="true"/>
          <w:lang w:bidi="fa-IR"/>
        </w:rPr>
        <w:t>فی مقام بیان النهی عن السبب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مبغوضیة الایجاد بما هو فعل من أفعال المکلّف لا تلازم عدم ترتّب أثر المعاملة علیها بوجه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بنحو ذلک عبّر المرحوم الشیخ محمّد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لو کان عن نفس الایجاد و الانشاء و الاشتغال بالمعاملة فهو لا یقتضی الفساد، إذ حرمة الایجاد لا یلازم مبغوضیة الموجد و عدم تحقّقه الخ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المرحوم الشیخ موسی فی النهی عن المعاملة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قسمین، لأنّ متعلّقه تارة المعاملة من حیث الانشاء، أی من حیث إنّه فعل من أفعال المکلّف، و غیر ناظر إلی المنشأ، کالنهی عن البیع وقت النداء، فهذا لا إشکال فی عدم دلالته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متعلّقه نفس المنشأ کبیع المصحف و العبد المسلم من الکافر الخ</w:t>
      </w:r>
      <w:r>
        <w:rPr>
          <w:rFonts w:eastAsia="IRNazanin" w:cs="IRNazanin"/>
          <w:color w:val="111111"/>
          <w:sz w:val="28"/>
          <w:szCs w:val="28"/>
          <w:rtl w:val="true"/>
          <w:lang w:bidi="fa-IR"/>
        </w:rPr>
        <w:t>.</w:t>
      </w:r>
    </w:p>
    <w:p>
      <w:pPr>
        <w:pStyle w:val="Heading4"/>
        <w:numPr>
          <w:ilvl w:val="3"/>
          <w:numId w:val="1"/>
        </w:numPr>
        <w:rPr/>
      </w:pPr>
      <w:bookmarkStart w:id="203" w:name="__RefHeading___Toc3538585_2314609296"/>
      <w:bookmarkStart w:id="204" w:name="_Toc70"/>
      <w:bookmarkEnd w:id="203"/>
      <w:r>
        <w:rPr>
          <w:rtl w:val="true"/>
        </w:rPr>
        <w:t>[</w:t>
      </w:r>
      <w:r>
        <w:rPr>
          <w:rtl w:val="true"/>
        </w:rPr>
        <w:t>الکلام فی أخذ الأجرة علی الواجب أو الحرام و حکم المعاملة أو العبادة المأمور بضدّها</w:t>
      </w:r>
      <w:r>
        <w:rPr>
          <w:rtl w:val="true"/>
        </w:rPr>
        <w:t>]</w:t>
      </w:r>
      <w:bookmarkEnd w:id="20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ذلک یترتّب حکمهم بفساد الاجارة فی الواجبات المجانیة، فإنّ العمل بعد خروجه عن سلطان المکلّف و کونه مملوکا له تبارک و تعالی، لا یمکن له تملیکه من الغیر بالاجارة، و حکمهم ببطلان بیع منذور الصدقة، فإنّ المکلّف بنذره یکون محجورا عن کلّ ما ینافی الوفاء بنذره، فلا ینفذ تصرّفاته الناقلة، و حکمهم بفساد البیع من شخص خاصّ إذا اشترط فی ضمن العقد عدم البیع له، فإنّه بالاشتراط یکون محجورا عن البیع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الاجارة علی الواجبات فقد حقّق فی محلّه أنّه یعتبر فی متعلّق الاجارة</w:t>
      </w:r>
    </w:p>
    <w:p>
      <w:pPr>
        <w:pStyle w:val="BookText"/>
        <w:rPr/>
      </w:pPr>
      <w:r>
        <w:rPr>
          <w:rFonts w:ascii="IRNazanin" w:hAnsi="IRNazanin" w:eastAsia="IRNazanin"/>
          <w:color w:val="111111"/>
          <w:sz w:val="28"/>
          <w:sz w:val="28"/>
          <w:szCs w:val="28"/>
          <w:rtl w:val="true"/>
          <w:lang w:bidi="fa-IR"/>
        </w:rPr>
        <w:t>أن یکون زمام العمل بید الأجیر شرعا، و أن یکون ذلک العمل حاصلا للمستأجر، و الایجاب الشرعی یخرجه عن ذلک، فتکون الاجارة علیه فاسدة و إن لم نقل بکون الفعل الواجب مملوکا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توجیه بطلان الاجارة علی ذلک بما فی الحاشیة من دعوی العلم الخارجی بتقیید العمل بالمجانیة فیمکن منعه، و إلّا صحّ عمله للغیر تبرّعا بلا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المانع من أخذ الأجرة علی الواجبات هو کون الواجب علی الأجیر مملوکا للشارع و غیر مملوک للأجیر، أو أنّ الایجاب یسلب سلطنة الأجیر علی ذلک الفعل، أو أنّ الایجاب علی الأجیر یوجب عدم حصول الفعل للمستأجر، لأنّه بعد الایجاب علی المؤجّر لا یمکن أن یحصل إلّا للمؤجّر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هذه الجهات محلّها باب أخذ الأجرة علی الواجبات، و قد تعرّض له شیخنا قدّس سرّه </w:t>
      </w:r>
      <w:r>
        <w:rPr>
          <w:rStyle w:val="FootnoteAnchor"/>
          <w:rtl w:val="true"/>
        </w:rPr>
        <w:footnoteReference w:id="498"/>
      </w:r>
      <w:r>
        <w:rPr>
          <w:rFonts w:ascii="IRNazanin" w:hAnsi="IRNazanin" w:eastAsia="IRNazanin"/>
          <w:color w:val="111111"/>
          <w:sz w:val="28"/>
          <w:sz w:val="28"/>
          <w:szCs w:val="28"/>
          <w:rtl w:val="true"/>
          <w:lang w:bidi="fa-IR"/>
        </w:rPr>
        <w:t xml:space="preserve">فی تلک المباحث، فراجعه بما علّقناه </w:t>
      </w:r>
      <w:r>
        <w:rPr>
          <w:rStyle w:val="FootnoteAnchor"/>
          <w:rtl w:val="true"/>
        </w:rPr>
        <w:footnoteReference w:id="499"/>
      </w:r>
      <w:r>
        <w:rPr>
          <w:rFonts w:ascii="IRNazanin" w:hAnsi="IRNazanin" w:eastAsia="IRNazanin"/>
          <w:color w:val="111111"/>
          <w:sz w:val="28"/>
          <w:sz w:val="28"/>
          <w:szCs w:val="28"/>
          <w:rtl w:val="true"/>
          <w:lang w:bidi="fa-IR"/>
        </w:rPr>
        <w:t>علیه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 ما نحن فیه به مبنی علی کون المانع هو الجهة الأولی أو الجهة الثانیة، و کان الأنسب قیاس ما نحن فیه بأخذ الأجرة علی الفعل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أنّ محلّ البحث فی هذه المسائل إنّما هو ذلک البحث، فراجعه و تأمّل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الاجارة علی الفعل المحرّم، هل المانع فیه هو عدم المملوکیة، أو عدم المقدوریة، أو سلب السلطنة، أو أنّ التحریم یوجب سلب المالیة، أو النصوص الخاصّة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إذا حرّم شیئا حرّم ثمنه</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 کلّ ذلک محرّر فی تلک</w:t>
      </w:r>
    </w:p>
    <w:p>
      <w:pPr>
        <w:pStyle w:val="BookText"/>
        <w:rPr/>
      </w:pPr>
      <w:r>
        <w:rPr>
          <w:rFonts w:ascii="IRNazanin" w:hAnsi="IRNazanin" w:eastAsia="IRNazanin"/>
          <w:color w:val="111111"/>
          <w:sz w:val="28"/>
          <w:sz w:val="28"/>
          <w:szCs w:val="28"/>
          <w:rtl w:val="true"/>
          <w:lang w:bidi="fa-IR"/>
        </w:rPr>
        <w:t>المباحث،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الکلمة الجامعة هنا هی أنّ باب المعاملات من حیث اعتبار السلطنة فیها یکون حالها حال التکالیف المشروطة شرعا بالقدرة، فی أنّ أقلّ التکالیف المشروطة بالقدرة عقلا یوجب سقوطها، فإنّ التکلیف فی باب المعاملات إذا کان سالبا للسلطنة کانت المعاملة فاسدة من هذه الجهة، و هذا المانع جار فی کون متعلّق الاجارة فی حدّ نفسه واجبا أو محرّما، و فی المعاملة المأخوذ ضدّها أو نقیضها شرطا فی معاملة أخری أو منذورا، مثل ما لو شرط علیه أن لا یبیع فباع، أو شرط علیه البیع من عمرو فباعه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فیما لو کان المنذور هو أحد هذین الأمرین، لا من جهة أنّ الشرط أو النذر یحدثان حقّا للمشروط له أو للشارع، بل من جهة حرمة المخالفة الموجبة لسلب السلطنة، فبالاقدام علی مثل تلک المعاملة یکون قد فعل حراما، و به یتحقّق الخیار للمشروط له و الحنث الموجب للکفّارة فی باب النذر،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الالتزام بفساد ما أقدم علیه من المعاملة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حقّقنا هذه الجهات فی بعض ما حرّرناه فی المجموعة الفقهیة،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المنذور ضدّه عبادة، مثل ما لو نذر أن یصلّی ظهر هذا الیوم جماعة فصلّاها منفردا، فإنّ صلاته تکون صحیحة کما صرّح به فی العروة 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بالنذر و العهد و الیمین، و لکن لو خالف صحّت الصلاة و إن کان متعمّدا، و وجبت علیه الکفّارة الخ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 و بین المعاملة المنذور ضدّها هو ما أشرنا إلیه من کون المعاملة ملحقة بالتکالیف المشروطة بالقدرة الشرعیة لاعتبار السلطنة فیها، و وجوب</w:t>
      </w:r>
    </w:p>
    <w:p>
      <w:pPr>
        <w:pStyle w:val="BookText"/>
        <w:rPr/>
      </w:pPr>
      <w:r>
        <w:rPr>
          <w:rFonts w:ascii="IRNazanin" w:hAnsi="IRNazanin" w:eastAsia="IRNazanin"/>
          <w:color w:val="111111"/>
          <w:sz w:val="28"/>
          <w:sz w:val="28"/>
          <w:szCs w:val="28"/>
          <w:rtl w:val="true"/>
          <w:lang w:bidi="fa-IR"/>
        </w:rPr>
        <w:t>ضدّها یخرجها عن السلطنة، بخلاف مثل صلاة الفرادی فإنّها مشروطة بالقدرة العقلیة، فلا یکون التکلیف بضدّها موجبا لبطلانها، لامکان تصحیحها بالملاک و بالترتّب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المنذور هو ترک الصلاة فرادی بطلت الصلاة المزبورة، لکونها حینئذ محرّمة، کما ذکروه فی مسألة نذر ترک الصلاة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الأمر بضدّ المعاملة إنّما یکون موجبا لسلب السلطنة علیها لو کان ذلک الضدّ متعلّقا بما هو مورد المعاملة، مثل ما لو وجب علیه التصدّق بهذه الشاة بنذر و نحوه، فإنّه یکون سالبا للسلطنة علی بیعها، حیث إنّ وجوب التصدّق بتلک الشاة یسلب سلطانه علیها، بخلاف ما لو لم یکن کذلک، مثل لزوم إزالة النجاسة عن المسجد لو زاحم المعاملة، بأن یترک الازالة و یشتغل بالبیع و الشراء مثلا، فإنّه لم یتخیّل أحد أنّ ذلک موجب لسلب سلطانه علی البیع، بحیث یکون البیع فاسدا عند مزاحمته لازالة النجاسة عن المسجد، و لعلّ من هذا القبیل البیع وقت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الفرق هو ما عرفت من أنّ التکلیف المتعلّق بنفس العین یوجب سلب السلطنة علی تلک العین، بخلاف التکلیف المتوجّه إلی الشخص من دون تعلّق له بالعین مثل إزالة النجاسة، فإنّه لا یوجب إلّا سلب سلطنة الشخص علی نفسه، و سلب قدرته علی الأفعال المضادّة لذلک الفعل و من جملتها المعاملة، لکنّه لا یوجب إفسادها، إذ لم تکن القدرة علی المعاملة بما أنّها فعل من الأفعال الخارجیة مأخوذة فی صحّتها، و إنّما المأخوذ فی صحّتها هو السلطنة علی المال الذی تقع علیه تلک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سلب القدرة علی المعاملة بما أنّها فعل خارجی لا یوجب قصر سلطنته علی العین التی تقع علیها تلک المعاملة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تصحّ الاجارة علی ما هو ضدّ للواجب الذی هو الازالة المذکورة،</w:t>
      </w:r>
    </w:p>
    <w:p>
      <w:pPr>
        <w:pStyle w:val="BookText"/>
        <w:rPr/>
      </w:pPr>
      <w:r>
        <w:rPr>
          <w:rFonts w:ascii="IRNazanin" w:hAnsi="IRNazanin" w:eastAsia="IRNazanin"/>
          <w:color w:val="111111"/>
          <w:sz w:val="28"/>
          <w:sz w:val="28"/>
          <w:szCs w:val="28"/>
          <w:rtl w:val="true"/>
          <w:lang w:bidi="fa-IR"/>
        </w:rPr>
        <w:t>فإنّ ذلک الضدّ یکون حینئذ غیر مقدور شرعا، و لا تصحّ الاجارة علیه حینئذ، و لأجل ذلک التزموا بخروج مقدار أداء الصلاة فیما لو آجر نفسه من الصبح إلی الغروب، بمعنی کون الاجارة فیما قابل مقدار أداء الصلاة تکون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منشأ له إلّا الضدّیة المذکورة، علی وجه لو عصی الأجیر و لم یصلّ لم یکن للمستأجر الزامه بالعمل فی مقدار المدّة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الفرق الذی ذکرناه بین الضدّ الذی یکون تصرّفا فی المال و الضدّ الذی لا یکون تصرّفا فیه فی کون الأوّل موجبا لسلب السلطنة علی المعاملة دون الثانی، یتّضح لک مطلب مهمّ فی أصل المسألة، أعنی مسألة النهی عن المعاملة، فإنّ النهی عنها ربما یتعلّق بها بما أنّها تصرّف فی المال، فیکون موجبا لفسادها، لکونه سالبا للسلطنة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کان النهی عنها متعلّقا بها بما أنّها فعل من الأفعال الخارجیة، لا باعتبار کونه تصرّفا فی المال و إن کان هو تصرّفا فیها، کما لو نذر أن لا یفعل فی هذه الساعة فعلا من الأفعال، فإنّ ذلک و إن أوجب حرمة البیع مثلا، إلّا أنّه لا یوجب فساد البیع المذکور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 قال إنّ النهی عن المعاملة لا یوجب فسادها إنّما ینظر إلی هذا النحو من النهی، دون النحو الأوّل، بل لعلّ نظر شیخنا قدّس سرّه فی بیان أنّ النهی عن السبب لا یوجب بطلان المعاملة، معلّلا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مبغوضیة الایجاد بما هو فعل من أفعال المکلّف لا تلازم عدم ترتّب أثر المعاملة علیها بوجه، فلا ینافی حرمة البیع وقت النداء مع وقوع المبادلة به فی الخارج الخ </w:t>
      </w:r>
      <w:r>
        <w:rPr>
          <w:rStyle w:val="FootnoteAnchor"/>
          <w:rtl w:val="true"/>
        </w:rPr>
        <w:footnoteReference w:id="502"/>
      </w:r>
      <w:r>
        <w:rPr>
          <w:rFonts w:ascii="IRNazanin" w:hAnsi="IRNazanin" w:eastAsia="IRNazanin"/>
          <w:color w:val="111111"/>
          <w:sz w:val="28"/>
          <w:sz w:val="28"/>
          <w:szCs w:val="28"/>
          <w:rtl w:val="true"/>
          <w:lang w:bidi="fa-IR"/>
        </w:rPr>
        <w:t>إلی هذا الذی ذکرناه من کون الملحوظ فی النهی هو مجرّد الفعل، لا بما أنّه تصرّف فی المال، و إلّا فإنّک قد عرفت أنّ النهی عن المسبّب لا بدّ أن یتعلّق به باعتبار إیجاده، و لا یعقل</w:t>
      </w:r>
      <w:bookmarkStart w:id="205" w:name="pg19667_765289"/>
    </w:p>
    <w:p>
      <w:pPr>
        <w:pStyle w:val="BookText"/>
        <w:rPr/>
      </w:pPr>
      <w:bookmarkEnd w:id="205"/>
      <w:r>
        <w:rPr>
          <w:rFonts w:ascii="IRNazanin" w:hAnsi="IRNazanin" w:eastAsia="IRNazanin"/>
          <w:color w:val="111111"/>
          <w:sz w:val="28"/>
          <w:sz w:val="28"/>
          <w:szCs w:val="28"/>
          <w:rtl w:val="true"/>
          <w:lang w:bidi="fa-IR"/>
        </w:rPr>
        <w:t>أن یتعلّق النهی به و الزجر عنه بما أنّه حدث و عرض من الأعراض فی قبال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نهیا تحریمیا نفسیا، و هو تارة یکون متعلّقا بالسبب أی بالایجاد بما هو، من دون أن یکون ما یوجد مبغوضا کالنهی عن البیع وقت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البیع وقت النداء فیمکن کما عرفت </w:t>
      </w:r>
      <w:r>
        <w:rPr>
          <w:rStyle w:val="FootnoteAnchor"/>
          <w:rtl w:val="true"/>
        </w:rPr>
        <w:footnoteReference w:id="504"/>
      </w:r>
      <w:r>
        <w:rPr>
          <w:rFonts w:ascii="IRNazanin" w:hAnsi="IRNazanin" w:eastAsia="IRNazanin"/>
          <w:color w:val="111111"/>
          <w:sz w:val="28"/>
          <w:sz w:val="28"/>
          <w:szCs w:val="28"/>
          <w:rtl w:val="true"/>
          <w:lang w:bidi="fa-IR"/>
        </w:rPr>
        <w:t>أن یکون النهی عنه کنایة عن الأمر بضدّه علی نحو لا یکون سالبا للسلطنة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إرجاع النهی عن السبب إلی النهی عن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إیجاد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تأمّل، لأنّ إیجاد المعاملة لیس إلّا المسبّب</w:t>
      </w:r>
      <w:r>
        <w:rPr>
          <w:rFonts w:eastAsia="IRNazanin" w:cs="IRNazanin"/>
          <w:color w:val="111111"/>
          <w:sz w:val="28"/>
          <w:szCs w:val="28"/>
          <w:rtl w:val="true"/>
          <w:lang w:bidi="fa-IR"/>
        </w:rPr>
        <w:t>.</w:t>
      </w:r>
    </w:p>
    <w:p>
      <w:pPr>
        <w:pStyle w:val="Heading4"/>
        <w:numPr>
          <w:ilvl w:val="3"/>
          <w:numId w:val="1"/>
        </w:numPr>
        <w:rPr/>
      </w:pPr>
      <w:bookmarkStart w:id="206" w:name="__RefHeading___Toc3538587_2314609296"/>
      <w:bookmarkStart w:id="207" w:name="_Toc71"/>
      <w:bookmarkEnd w:id="206"/>
      <w:r>
        <w:rPr>
          <w:rtl w:val="true"/>
        </w:rPr>
        <w:t>[</w:t>
      </w:r>
      <w:r>
        <w:rPr>
          <w:rtl w:val="true"/>
        </w:rPr>
        <w:t>المناقشة فی تفسیر السبب بإیجاد المعاملة و المسبّب باسم المصدر</w:t>
      </w:r>
      <w:r>
        <w:rPr>
          <w:rtl w:val="true"/>
        </w:rPr>
        <w:t>]</w:t>
      </w:r>
      <w:bookmarkEnd w:id="20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یظهر من بعض التحاریر عنه قدّس سرّه أنّ النهی تارة یکون عن السبب، و أخری عن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المسبّب بالمعنی الاسم المصدری، و فسّر السبب بالمعنی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الاسم المصدری المجرّد عن لحاظ النسبة الذی یکون المنظور إلیه هو ذات الحدث غیر منسوب إلی فاعل، ممّا لا وجه لتعلّق النهی به، و إنّما یکون کذلک لو لوحظ منسوبا إلی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قابل لتعلّق الحکم الوضعی به، کما فی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Style w:val="FootnoteAnchor"/>
          <w:rtl w:val="true"/>
        </w:rPr>
        <w:footnoteReference w:id="505"/>
      </w:r>
      <w:r>
        <w:rPr>
          <w:rFonts w:ascii="IRNazanin" w:hAnsi="IRNazanin" w:eastAsia="IRNazanin"/>
          <w:color w:val="111111"/>
          <w:sz w:val="28"/>
          <w:sz w:val="28"/>
          <w:szCs w:val="28"/>
          <w:rtl w:val="true"/>
          <w:lang w:bidi="fa-IR"/>
        </w:rPr>
        <w:t>إذا أخذنا الحلّیة فیه وضعیة بمعنی النفوذ و الصحّة و نحوهما، فإنّها یصحّ تعلّقها بالبیع بالمعنی الاسم المصدری</w:t>
      </w:r>
      <w:r>
        <w:rPr>
          <w:rFonts w:eastAsia="IRNazanin" w:cs="IRNazanin"/>
          <w:color w:val="111111"/>
          <w:sz w:val="28"/>
          <w:szCs w:val="28"/>
          <w:rtl w:val="true"/>
          <w:lang w:bidi="fa-IR"/>
        </w:rPr>
        <w:t>.</w:t>
      </w:r>
      <w:bookmarkStart w:id="208" w:name="pg19667_765290"/>
    </w:p>
    <w:p>
      <w:pPr>
        <w:pStyle w:val="BookText"/>
        <w:rPr/>
      </w:pPr>
      <w:bookmarkEnd w:id="208"/>
      <w:r>
        <w:rPr>
          <w:rFonts w:ascii="IRNazanin" w:hAnsi="IRNazanin" w:eastAsia="IRNazanin"/>
          <w:color w:val="111111"/>
          <w:sz w:val="28"/>
          <w:sz w:val="28"/>
          <w:szCs w:val="28"/>
          <w:rtl w:val="true"/>
          <w:lang w:bidi="fa-IR"/>
        </w:rPr>
        <w:t>أمّا السبب المجرّد فهو العقد نفسه، فإنّه ربما توجّه النهی إلیه باعتبار کونه فی حدّ نفسه کلاما لفظیا، مثل ما لو حرم علیه الکلام، و هذا هو الذی ینبغی فیه أنّه لا یقتضی الفساد حتّی لو کان 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تحریم السبب المنحصر ملازم لسلب السلطنة علی تلک المعاملة، لکنّک قد عرفت أنّ ذلک أقصی ما فیه أن تکون المعاملة بما أنّها فعل من الأفعال غیر مقدورة، و ذلک لا یوجب فسادها، بل یکون الفساد الطارئ علی المعاملة من ناحیة کونها منهیا عنها منحصرا بما یرجع إلی سلب السلطنة علی المال، و لا یکفی فیه مجرّد کون المعاملة غیر مقدورة شرعا، فتأمّل</w:t>
      </w:r>
      <w:r>
        <w:rPr>
          <w:rFonts w:eastAsia="IRNazanin" w:cs="IRNazanin"/>
          <w:color w:val="111111"/>
          <w:sz w:val="28"/>
          <w:szCs w:val="28"/>
          <w:rtl w:val="true"/>
          <w:lang w:bidi="fa-IR"/>
        </w:rPr>
        <w:t>.</w:t>
      </w:r>
    </w:p>
    <w:p>
      <w:pPr>
        <w:pStyle w:val="Heading4"/>
        <w:numPr>
          <w:ilvl w:val="3"/>
          <w:numId w:val="1"/>
        </w:numPr>
        <w:rPr/>
      </w:pPr>
      <w:bookmarkStart w:id="209" w:name="__RefHeading___Toc3538589_2314609296"/>
      <w:bookmarkStart w:id="210" w:name="_Toc72"/>
      <w:bookmarkEnd w:id="209"/>
      <w:r>
        <w:rPr>
          <w:rtl w:val="true"/>
        </w:rPr>
        <w:t>[</w:t>
      </w:r>
      <w:r>
        <w:rPr>
          <w:rtl w:val="true"/>
        </w:rPr>
        <w:t>مناقشات مع السیّد الخوئی قدّس سرّه فیما ذهب إلیه من أنّ المعاملات تتضمّن اعتبارا نفسیا و مبرزا خارجیا و أنّ النهی عنهما لا یقتضی الفساد</w:t>
      </w:r>
      <w:r>
        <w:rPr>
          <w:rtl w:val="true"/>
        </w:rPr>
        <w:t>]</w:t>
      </w:r>
      <w:bookmarkEnd w:id="210"/>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 هذا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ثلاثة أمور،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بمن بیده الاعتبار أعنی به الشارع، 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الملکیة القائم بالمتبایعین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امضاء الشارع له و عدم امضائه، 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المتبایعین فی مفروض المثال اعتبارهما النفسانی بمظهر خارجی من لفظ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مرارا أن الملکیة من الأمور الاعتباریة القابلة للجعل و الایجاد فی وعائها من الاعتبار، و هذا الجعل و الایجاد أو الانشاء إنّما یکون محتاجا إلی آلة ینشئ الجاعل بها ذلک الأمر الاعتباری فیتحقّق فی وعائه من الاعتبار، و تلک الآلة هی الانشاء العقدی أو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تضمّنته الحاشیة من کون الملکیة قائمة فی نفس الجاعل الذی هو الشارع، أو فی نفس المتبایعین، و أنّ هذه الأحکام الشرعیة أو هذه العقود الانشائیة لیست إلّا مظهرات لذلک الاعتبار النفسانی القائم بنفس المعتبر، فذلک ممّا لا وجه له، و إلّا لکان الانشاء إخبارا عن تلک الحالة</w:t>
      </w:r>
    </w:p>
    <w:p>
      <w:pPr>
        <w:pStyle w:val="BookText"/>
        <w:rPr/>
      </w:pPr>
      <w:r>
        <w:rPr>
          <w:rFonts w:ascii="IRNazanin" w:hAnsi="IRNazanin" w:eastAsia="IRNazanin"/>
          <w:color w:val="111111"/>
          <w:sz w:val="28"/>
          <w:sz w:val="28"/>
          <w:szCs w:val="28"/>
          <w:rtl w:val="true"/>
          <w:lang w:bidi="fa-IR"/>
        </w:rPr>
        <w:t>النفسانیة، و لا أظن أنّ أحدا یقول بهذا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باب التکالیف قال بعضهم إنّه عبارة عن الارادة أو الطلب القائم بنفس الطالب، و أنّ الطلب الانشائی یکون مظهرا لذلک الطلب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تمّ هذا فإنّما هو فی خصوص الطلب الذی هو من مقولة الارادة دون مثل الملکیة و العتاق و الطلاق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ما حرّر فی باب اتّحاد الطلب و الارادة، و بیان الفرق بین الانشاء و الاخبار،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الاعتبار القائم بالمتبایعین مثلا فهو و إن کان قابلا لتعلّق النهی به، إلّا أنّه لا یدلّ علی عدم امضاء الشارع له، لأنّ سلب القدرة عن المکلّف فی مقام التکلیف لا یستلزم حجر المالک و عدم إمضاء اعتباره علی تقدیر تحقّقه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لیت شعری أی عبارة أدلّ علی الردع و عدم الامضاء فی باب النکاح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ما نَکَحَ آباؤُکُمْ الخ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الردع لا یتوقّف علی جریان سابق علی النهی، بل یکفی فیه مجرّد توهّم النفوذ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الردع مرجعه إلی التخصیص فیما لو کان فی البین عموم، و قد تقدّم </w:t>
      </w:r>
      <w:r>
        <w:rPr>
          <w:rStyle w:val="FootnoteAnchor"/>
          <w:rtl w:val="true"/>
        </w:rPr>
        <w:footnoteReference w:id="509"/>
      </w:r>
      <w:r>
        <w:rPr>
          <w:rFonts w:ascii="IRNazanin" w:hAnsi="IRNazanin" w:eastAsia="IRNazanin"/>
          <w:color w:val="111111"/>
          <w:sz w:val="28"/>
          <w:sz w:val="28"/>
          <w:szCs w:val="28"/>
          <w:rtl w:val="true"/>
          <w:lang w:bidi="fa-IR"/>
        </w:rPr>
        <w:t>نقل الکلمات التی مفادها الاستناد بفساد المعاملة المنهی عنها إلی التخصیص، فدعوی کون دلالة النهی علی الردع خارج عن محل کلامهم کما فی آخر هذه الحاشیة قابل للمنع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اقتضاء النهی للردع لا یتوقّف علی قصد الردع، بل یکفی نفس النهی فی تحقّق الردع، بل لیس الردع إلّا</w:t>
      </w:r>
    </w:p>
    <w:p>
      <w:pPr>
        <w:pStyle w:val="BookText"/>
        <w:rPr/>
      </w:pPr>
      <w:r>
        <w:rPr>
          <w:rFonts w:ascii="IRNazanin" w:hAnsi="IRNazanin" w:eastAsia="IRNazanin"/>
          <w:color w:val="111111"/>
          <w:sz w:val="28"/>
          <w:sz w:val="28"/>
          <w:szCs w:val="28"/>
          <w:rtl w:val="true"/>
          <w:lang w:bidi="fa-IR"/>
        </w:rPr>
        <w:t>نفس النهی، فلا یکون اقتضاؤه الردع متوقّفا علی کونه واردا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الردع و التخصیص من لوازم النهی قهرا، بل إنّ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النهی، فلا محصّل للقول بأنّه یتوقّف علی القصد و الدلالة، أو علی کونه واردا فی ذلک المقام فتأمّل، کما ربما یظهر من المرحوم شیخنا الأستاذ العراقی کما فی مقالته المطبوعة</w:t>
      </w:r>
      <w:r>
        <w:rPr>
          <w:rStyle w:val="FootnoteAnchor"/>
          <w:rtl w:val="true"/>
        </w:rPr>
        <w:footnoteReference w:id="51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شیخنا قدّس سرّه </w:t>
      </w:r>
      <w:r>
        <w:rPr>
          <w:rStyle w:val="FootnoteAnchor"/>
          <w:rtl w:val="true"/>
        </w:rPr>
        <w:footnoteReference w:id="511"/>
      </w:r>
      <w:r>
        <w:rPr>
          <w:rFonts w:ascii="IRNazanin" w:hAnsi="IRNazanin" w:eastAsia="IRNazanin"/>
          <w:color w:val="111111"/>
          <w:sz w:val="28"/>
          <w:sz w:val="28"/>
          <w:szCs w:val="28"/>
          <w:rtl w:val="true"/>
          <w:lang w:bidi="fa-IR"/>
        </w:rPr>
        <w:t>من أنّ النهی عن المعاملة یوجب سلب السلطنة علیها فی مرحلة التشریع و إن کان قویا متینا، إلّا أنّه یکفی فی الحکم بالفساد ما یدلّ علیه النهی من الردع و الزجر الموجب لخروج مورده عن العمومات الواردة فی تلک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اقتضاء هذا النهی الشرعی لفساد المعاملة أوضح من اقتضاء وجوب العمل علی الأجیر فساد أخذه الأجرة علیه، کما أنّه أیضا أوضح من اقتضاء تعلّق النذر بما هو ضدّ المعاملة أو بما هو نقیضها لفسادها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بالمعاملة و إن سلب سلطان المالک علیها إلّا أنّه لا أثر لذلک السلب، لأنّه لا یکون مخصّصا لحدیث السلطنة</w:t>
      </w:r>
      <w:r>
        <w:rPr>
          <w:rStyle w:val="FootnoteAnchor"/>
          <w:rtl w:val="true"/>
        </w:rPr>
        <w:footnoteReference w:id="512"/>
      </w:r>
      <w:r>
        <w:rPr>
          <w:rFonts w:ascii="IRNazanin" w:hAnsi="IRNazanin" w:eastAsia="IRNazanin"/>
          <w:color w:val="111111"/>
          <w:sz w:val="28"/>
          <w:sz w:val="28"/>
          <w:szCs w:val="28"/>
          <w:rtl w:val="true"/>
          <w:lang w:bidi="fa-IR"/>
        </w:rPr>
        <w:t>، لأنّ حدیث السلطنة لا یعمّ المعاملة المشکوکة النفوذ فی حدّ نفسها علی نحو الشبهة الحکمیة، لما حقّق فی محلّه أنّه إنّما ورد فی مقام توهّم الحجر، لا فی مقام أصل تشریع المعاملة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السلطنة غیر شامل للمعاملة المنهی عنها قبل تعلّق النهی بها، کما أنّه غیر شامل لها بعد تعلّق النهی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إنّ عمومات المعاملة مقیّدة بعدم الحجر و بالسلطنة علی المعاملة التی یوقعها المکلّف، و حینئذ یکون النهی موجبا لخروجها عن القید المزبور،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حدیث السلطنة لا شغل له ببعض المعاملات، مثل النکاح و ما یتبعه ممّا لا یکون تصرّفا فی الأموال،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مطلب لا بأس بالاشارة إلیه، و هو أنّ الشیخ قدّس سرّه </w:t>
      </w:r>
      <w:r>
        <w:rPr>
          <w:rStyle w:val="FootnoteAnchor"/>
          <w:rtl w:val="true"/>
        </w:rPr>
        <w:footnoteReference w:id="513"/>
      </w:r>
      <w:r>
        <w:rPr>
          <w:rFonts w:ascii="IRNazanin" w:hAnsi="IRNazanin" w:eastAsia="IRNazanin"/>
          <w:color w:val="111111"/>
          <w:sz w:val="28"/>
          <w:sz w:val="28"/>
          <w:szCs w:val="28"/>
          <w:rtl w:val="true"/>
          <w:lang w:bidi="fa-IR"/>
        </w:rPr>
        <w:t>منع من جریان حدیث السلطنة فی مقام الشکّ فی السبب، کما لو شککنا فی نفوذ المعاطاة فی البیع، و حصر موارد التمسّک به بما لو کان الشکّ فی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إن کانت من قبیل المعاملات المبتدأة، مثل الاباحة بالعوض و مثل الإعراض المدّعی کونه موجبا لانسلاخ الملکیة، یکون الشکّ فیها راجعا إلی مقام السبب، و حینئذ ینحصر مورد التمسّک بالحدیث المزبور بما لو حصل الشکّ فی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قد أشکلنا علی ذلک بأنّ الشبهة فی الحجر إن کانت موضوعیة کان التمسّک بالحدیث من قبیل التمسّک بالعموم فی الشبهات المصداقیة، و إن کانت الشبهة حکمیة کما فی مثل معاملة المریض رجع الأمر فیها إلی السبب، للشکّ حینئذ فی اشتراط عدم مرض الموت فی المعاملة المالیة، فیرجع الأمر إلی الاشتراط فی ناحیة أحد المتعاقدین، فیرجع الأمر إلی الشکّ فی ناحیة السبب، فینبغی أن لا یتمسّک فیه بحدیث السلطنة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 هذا الإشکال بأنّ احتمال اشتراط عدم المرض الموتی فی المعاملة لیس لجهة استقلالیة مثل الاختیار و نحوه، بل هو علی تقدیره لا یکون ناشئا إلّا عن احتمال کون المریض محجورا علیه، فإذا نفینا ذلک بحدیث السلطنة ارتفع الشک فی اشتراطه فی العاقد، و حینئذ یکون حدیث</w:t>
      </w:r>
    </w:p>
    <w:p>
      <w:pPr>
        <w:pStyle w:val="BookText"/>
        <w:rPr/>
      </w:pPr>
      <w:r>
        <w:rPr>
          <w:rFonts w:ascii="IRNazanin" w:hAnsi="IRNazanin" w:eastAsia="IRNazanin"/>
          <w:color w:val="111111"/>
          <w:sz w:val="28"/>
          <w:sz w:val="28"/>
          <w:szCs w:val="28"/>
          <w:rtl w:val="true"/>
          <w:lang w:bidi="fa-IR"/>
        </w:rPr>
        <w:t>السلطنة نافعا فی موارد الشکّ فی الحجر علی نحو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 إنّ النهی عن المعاملة یکون سالبا شرعیا للسلطنة علیها کانت تلک المعاملة فاسدة، لعدم کونه مسلّطا علیها شرعا، و بذلک تخرج عن عموم الحدیث المذکور الذی استفید منه تقیّد المعاملة بالسلطنة و عدم الحجر، و حینئذ یتمّ ما أفاده شیخنا قدّس سرّه و إن کان ما ذکرناه من الاستناد فی الفساد إلی کون النهی موجبا للردع عن المعاملة أسهل تناولا، فتأمّل و راجع ما حرّرناه علی درس المکاسب فی أوائل بحث المعاطاة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بعض العبائر المنقولة عن شیخنا ربما تساعد علی اعتماده فی الفساد علی کون النهی ردعا،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النهی یدلّ علی عدم کونها ممضاة فی نظر الشارع الخ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بیع منذور الصدقة إذا لم یکن النذر من نذر النتیجة لیس ممّا تسالم الفقهاء علی بطلانه، بل هو محلّ الخلاف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المرحوم الشیخ محمّد علی بعد أن ذکر البیع المخالف للنذر أو المخالف للشرط، و غیر ذلک من الفروع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ما یترتّب علی ذلک من الفروع کأنّه متسالم علیه عند الأصحاب، و إن کان بعضه الآخر لا یخلو عن</w:t>
      </w:r>
    </w:p>
    <w:p>
      <w:pPr>
        <w:pStyle w:val="BookText"/>
        <w:rPr/>
      </w:pPr>
      <w:r>
        <w:rPr>
          <w:rFonts w:ascii="IRNazanin" w:hAnsi="IRNazanin" w:eastAsia="IRNazanin"/>
          <w:color w:val="111111"/>
          <w:sz w:val="28"/>
          <w:sz w:val="28"/>
          <w:szCs w:val="28"/>
          <w:rtl w:val="true"/>
          <w:lang w:bidi="fa-IR"/>
        </w:rPr>
        <w:t xml:space="preserve">خلاف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المرحوم الشیخ موسی بعد أن بیّن أنّ النهی عن المعاملة یوجب سلب السلطنة علیها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اخترنا فی باب النذر أنّه لا یجوز التصرّف فی منذور الصدقة، و هکذا فی باب الشرط، و سرّه خروج المنذورة عن تحت سلطنة الناذر، و هکذا بالنسبة إلی المشروط علیه، فتدبّر جیّدا،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شئت فراجع ما حرّره الحقیر عنه قدّس سرّه فی هذا المقام </w:t>
      </w:r>
      <w:r>
        <w:rPr>
          <w:rStyle w:val="FootnoteAnchor"/>
          <w:rtl w:val="true"/>
        </w:rPr>
        <w:footnoteReference w:id="518"/>
      </w:r>
      <w:r>
        <w:rPr>
          <w:rFonts w:ascii="IRNazanin" w:hAnsi="IRNazanin" w:eastAsia="IRNazanin"/>
          <w:color w:val="111111"/>
          <w:sz w:val="28"/>
          <w:sz w:val="28"/>
          <w:szCs w:val="28"/>
          <w:rtl w:val="true"/>
          <w:lang w:bidi="fa-IR"/>
        </w:rPr>
        <w:t>، فإنّه علی طوله لیس فیه نقل عن الأصحاب بعنوان التسالم، و لا بعنوان غیره، بل جلّه مقصور علی بیان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یقول شیخنا إنّ المعاملة المخالفة قد تسالم الأصحاب علی بطلانها، و ها هو فی حواشیه علی العروة خصوصا فی باب الاجارة و غیرها فی خلاف عظیم مع الماتن قدّس سرّه، فالسیّد قدّس سرّه یذهب إلی صحّة المعاملة المخالفة و هو یعلّق علیها ببطلانها، فراجع العروة فی الاجارة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227</w:t>
      </w:r>
      <w:r>
        <w:rPr>
          <w:rStyle w:val="FootnoteAnchor"/>
          <w:rtl w:val="true"/>
        </w:rPr>
        <w:footnoteReference w:id="519"/>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مسألة الاجارة علی الواجبات نقل الشیخ قدّس سرّه فی المکاسب المحرّمة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ممّا یحرم التکسّب به الخ، نقل الإجماع علی عدم جواز أخذ الأجرة علی الواجبات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إنّی لا أتذکّر أنّ شیخنا قدّس سرّه فی هذا المقام نقل الإجماع أو التسالم علی عدم جواز أخذ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ذلک هو مراد</w:t>
      </w:r>
      <w:bookmarkStart w:id="211" w:name="pg19667_765296"/>
    </w:p>
    <w:p>
      <w:pPr>
        <w:pStyle w:val="BookText"/>
        <w:rPr/>
      </w:pPr>
      <w:bookmarkEnd w:id="211"/>
      <w:r>
        <w:rPr>
          <w:rFonts w:ascii="IRNazanin" w:hAnsi="IRNazanin" w:eastAsia="IRNazanin"/>
          <w:color w:val="111111"/>
          <w:sz w:val="28"/>
          <w:sz w:val="28"/>
          <w:szCs w:val="28"/>
          <w:rtl w:val="true"/>
          <w:lang w:bidi="fa-IR"/>
        </w:rPr>
        <w:t>المرحوم الشیخ محمّد علی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 ما یترتّب علی ذلک من الفروع کأنّه متسالم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لم یذکر فرع الاجارة، فتأمّل</w:t>
      </w:r>
      <w:r>
        <w:rPr>
          <w:rFonts w:eastAsia="IRNazanin" w:cs="IRNazanin"/>
          <w:color w:val="111111"/>
          <w:sz w:val="28"/>
          <w:szCs w:val="28"/>
          <w:rtl w:val="true"/>
          <w:lang w:bidi="fa-IR"/>
        </w:rPr>
        <w:t>.</w:t>
      </w:r>
    </w:p>
    <w:p>
      <w:pPr>
        <w:pStyle w:val="Heading4"/>
        <w:numPr>
          <w:ilvl w:val="3"/>
          <w:numId w:val="1"/>
        </w:numPr>
        <w:rPr/>
      </w:pPr>
      <w:bookmarkStart w:id="212" w:name="__RefHeading___Toc3538591_2314609296"/>
      <w:bookmarkStart w:id="213" w:name="_Toc73"/>
      <w:bookmarkEnd w:id="212"/>
      <w:r>
        <w:rPr>
          <w:rtl w:val="true"/>
        </w:rPr>
        <w:t>[</w:t>
      </w:r>
      <w:r>
        <w:rPr>
          <w:rtl w:val="true"/>
        </w:rPr>
        <w:t>عود إلی مسألة أخذ الأجرة علی الواجب أو الحرام و حکم المعاملة المأمور بضدّها أو بترکها</w:t>
      </w:r>
      <w:r>
        <w:rPr>
          <w:rtl w:val="true"/>
        </w:rPr>
        <w:t>]</w:t>
      </w:r>
      <w:bookmarkEnd w:id="213"/>
    </w:p>
    <w:p>
      <w:pPr>
        <w:pStyle w:val="BookText"/>
        <w:rPr/>
      </w:pPr>
      <w:r>
        <w:rPr>
          <w:rFonts w:ascii="IRNazanin" w:hAnsi="IRNazanin" w:eastAsia="IRNazanin"/>
          <w:color w:val="111111"/>
          <w:sz w:val="28"/>
          <w:sz w:val="28"/>
          <w:szCs w:val="28"/>
          <w:rtl w:val="true"/>
          <w:lang w:bidi="fa-IR"/>
        </w:rPr>
        <w:t>و خلاصة المبحث أو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شیخنا</w:t>
      </w:r>
      <w:r>
        <w:rPr>
          <w:rStyle w:val="FootnoteAnchor"/>
          <w:rtl w:val="true"/>
        </w:rPr>
        <w:footnoteReference w:id="521"/>
      </w:r>
      <w:r>
        <w:rPr>
          <w:rFonts w:ascii="IRNazanin" w:hAnsi="IRNazanin" w:eastAsia="IRNazanin"/>
          <w:color w:val="111111"/>
          <w:sz w:val="28"/>
          <w:sz w:val="28"/>
          <w:szCs w:val="28"/>
          <w:rtl w:val="true"/>
          <w:lang w:bidi="fa-IR"/>
        </w:rPr>
        <w:t>استشهد لما أفاده من کون النهی عن المعاملة یوجب سلب السلطنة علیها فتفسد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أخذ الأجرة علی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الأنسب الاستشهاد بعدم جواز أخذ الأجرة علی المحرّمات، لأنّ المنع عن الفعل یوجب سلب السلطنة علیه فلا تصحّ الاجارة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نفوذ المعاملة المنذور ضدّها، أو المنذور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نفوذ المعاملة المشروط ضدّها، أو المشروط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فمحلّ الکلام فیه هو ما تعرّضوا له فی المکاسب المحرّمة و فی کتاب الاجارة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المنع من أخذ الأجرة علی الفعل الواجب علی الأجیر قد وجّهت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الطارئ علی الفعل یوجب کونه مملوکا للشارع، فلا یصحّ للمکلّف الذی وجب علیه ذلک الفعل أن یملکه للغیر، نظیر ما لو ملک علیه العمل باجارة، فإنّه لا یصحّ له أن یملک نفس ذلک العمل من شخص آخر غیر المستأجر الأوّل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التوجیه قابل للمناقشة بأنّ المراد من ملکیة الشارع إن کان بمعنی أنّه تعالی مالک کلّ شی‌ء، و مالک الملک و الصعلوک و المالک و المملوک، فتلک ملکیة أخری لا تنافی التملیک من الغیر، فإنّه تعالی مالک لک و لعبدک و مع ذلک یصحّ لک أن تملّک عبدک من شخص مثلک بالبیع و نحوه من النواقل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w:t>
      </w:r>
    </w:p>
    <w:p>
      <w:pPr>
        <w:pStyle w:val="BookText"/>
        <w:rPr/>
      </w:pPr>
      <w:r>
        <w:rPr>
          <w:rFonts w:ascii="IRNazanin" w:hAnsi="IRNazanin" w:eastAsia="IRNazanin"/>
          <w:color w:val="111111"/>
          <w:sz w:val="28"/>
          <w:sz w:val="28"/>
          <w:szCs w:val="28"/>
          <w:rtl w:val="true"/>
          <w:lang w:bidi="fa-IR"/>
        </w:rPr>
        <w:t>من مالکیة الشارع للعمل الواجب أنّه یملکه علی المکلّف بنحو مالکیة المستأجر العمل علی الأجیر، فهذا ممنوع أشدّ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العمل یوجب سلب سلطنة المکلّف علی ذلک العمل، بل یوجب سلب قدرته علیه، لأنّه لا بدّ فی السلطنة و القدرة من کون طرفی الفعل وجودا و عدما بید الفاعل، و الایجاب یوجب سلب قدرته علی الترک، کما أنّ التحریم یوجب سلب قدرته علی الفعل، و یکون الفعل بطروّ الوجوب أو التحریم علیه خارجا فی عالم التشریع عن قدرة الفاعل و عن سلطنته علیه، فلا یصحّ أخذ الأجرة علیه، لأنّه لا بدّ فی الاجارة من کون الأجیر مسلّطا علی الفعل مقدورا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التوجیه و إن نوقش فیه فی محلّه، إلّا أنّ نظر شیخنا قدّس سرّه فی الاستشهاد بالفرع المذکور إلی هذا التوجیه الثانی، و إن کانت بعض کلماته تشیر إلی التوجیه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الثالث لبطلان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بدّ فی صحّة الاجارة من کون العمل الذی تقع علیه الاجارة حاصلا للمستأجر، و لو کان الفعل واجبا علیه لم یکن ذلک العمل حاصلا للمستأجر، علی تفصیل مذکور فی محلّه الذی أشرنا إلیه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التوجیه لو کان هو المستند فی بطلان الاجارة علی الواجبات لم یکن محل للاستشهاد بها لما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شیخنا قدّس سرّه فی ذلک المبحث جعل بطلان الاجارة مستندا إلی کلّ واحد من هذه الوجوه، و إن کان کلّ واحد منها علی انفراده کافیا فی الحکم بفساد الاجارة، فراجع ذلک المبحث بتمامه و تمام ما حرّرناه فی</w:t>
      </w:r>
    </w:p>
    <w:p>
      <w:pPr>
        <w:pStyle w:val="BookText"/>
        <w:rPr/>
      </w:pPr>
      <w:r>
        <w:rPr>
          <w:rFonts w:ascii="IRNazanin" w:hAnsi="IRNazanin" w:eastAsia="IRNazanin"/>
          <w:color w:val="111111"/>
          <w:sz w:val="28"/>
          <w:sz w:val="28"/>
          <w:szCs w:val="28"/>
          <w:rtl w:val="true"/>
          <w:lang w:bidi="fa-IR"/>
        </w:rPr>
        <w:t xml:space="preserve">التعلیق علیه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یظهر لک الحال فی الفعل المحرّم، فإنّه إنّما یکون بطلان الاجارة علیه شاهدا لما نحن فیه لو وجّهنا ذلک بما تقدّم من الوجه الثانی، أعنی کون النهی سالبا للسلطنة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وجّهنا ذلک بأنّ النهی عن الفعل یوجب سلب مالیته، قیاسا علی المنافع المحرّمة التی یکون تحریمها موجبا لسلب مالیة العین ذات المنفعة المذکورة، فلا شاهد فیه علی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لو کان المستند فی بطلان الاجارة علیه النصّ الدالّ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إذا حرّم شیئا حرّم ثمنه</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أو ما تضمّنته روایة تحف العقول </w:t>
      </w:r>
      <w:r>
        <w:rPr>
          <w:rStyle w:val="FootnoteAnchor"/>
          <w:rtl w:val="true"/>
        </w:rPr>
        <w:footnoteReference w:id="524"/>
      </w:r>
      <w:r>
        <w:rPr>
          <w:rFonts w:ascii="IRNazanin" w:hAnsi="IRNazanin" w:eastAsia="IRNazanin"/>
          <w:color w:val="111111"/>
          <w:sz w:val="28"/>
          <w:sz w:val="28"/>
          <w:szCs w:val="28"/>
          <w:rtl w:val="true"/>
          <w:lang w:bidi="fa-IR"/>
        </w:rPr>
        <w:t>من الدلالة علی بطلان الاجارة علی المحرّمات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مسألة النذر و الشرط فقبل بیان الوجه فی الاستشهاد بها لما نحن فیه ینبغی تقدیم مقدّمة، و هی أنّه لا ریب فی أنّ النذر یوجب طروّ الوجوب الشرعی المولوی علی الفعل المنذور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المشروط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الشهید الثانی </w:t>
      </w:r>
      <w:r>
        <w:rPr>
          <w:rStyle w:val="FootnoteAnchor"/>
          <w:rtl w:val="true"/>
        </w:rPr>
        <w:footnoteReference w:id="525"/>
      </w:r>
      <w:r>
        <w:rPr>
          <w:rFonts w:ascii="IRNazanin" w:hAnsi="IRNazanin" w:eastAsia="IRNazanin"/>
          <w:color w:val="111111"/>
          <w:sz w:val="28"/>
          <w:sz w:val="28"/>
          <w:szCs w:val="28"/>
          <w:rtl w:val="true"/>
          <w:lang w:bidi="fa-IR"/>
        </w:rPr>
        <w:t>علی ما نقله الشیخ قدّس سرّه فی باب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یحدث وجوبا شرعیا علی الشرط، و أنّ أقصی فائدة الشرط هو أنّ المشروط له یکون مسلّطا علی الخیار عند تخلّف المشروط علیه عن الشرط، و حینئذ لا یکون موجبا لفساد المعاملة المخالفة</w:t>
      </w:r>
    </w:p>
    <w:p>
      <w:pPr>
        <w:pStyle w:val="BookText"/>
        <w:rPr/>
      </w:pPr>
      <w:r>
        <w:rPr>
          <w:rFonts w:ascii="IRNazanin" w:hAnsi="IRNazanin" w:eastAsia="IRNazanin"/>
          <w:color w:val="111111"/>
          <w:sz w:val="28"/>
          <w:sz w:val="28"/>
          <w:szCs w:val="28"/>
          <w:rtl w:val="true"/>
          <w:lang w:bidi="fa-IR"/>
        </w:rPr>
        <w:t>للشرط، و یکون أجنبیا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الحقّ هو کون الشرط موجبا لوجوب فعل الشرط علی المشروط علیه کما فی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ثبوت الوجوب الشرعی یقع الکلام فی أنّ الشرط هل یحدث حقّا للمشروط له علی المشروط علیه، بحیث یکون مالکا علیه ذلک الشرط علی وجه یکون له اجباره علی الوفاء بذلک الشرط، أو أنّه لیس فی البین إلّا الوجوب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المختار لشیخنا قدّس سرّه </w:t>
      </w:r>
      <w:r>
        <w:rPr>
          <w:rStyle w:val="FootnoteAnchor"/>
          <w:rtl w:val="true"/>
        </w:rPr>
        <w:footnoteReference w:id="526"/>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کون الشرط ممّا یورث من أقوی ما یستفاد منه کونه من الحقوق لا مجرّد التکلیف، بل ربما قیل إنّ النذر یکون کذلک، بحیث إنّه یحدث حقّا للشارع علی الناذر، و بناء علی الحقّیة المذکورة لا ینبغی الریب فی بطلان المعاملة المخالفة لذلک الشرط أو النذر، کما لو کان قد اشترط أن لا یبیعه من زید فباعه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 له الشیخ قدّس سرّه فی باب الشروط</w:t>
      </w:r>
      <w:r>
        <w:rPr>
          <w:rStyle w:val="FootnoteAnchor"/>
          <w:rtl w:val="true"/>
        </w:rPr>
        <w:footnoteReference w:id="527"/>
      </w:r>
      <w:r>
        <w:rPr>
          <w:rFonts w:ascii="IRNazanin" w:hAnsi="IRNazanin" w:eastAsia="IRNazanin"/>
          <w:color w:val="111111"/>
          <w:sz w:val="28"/>
          <w:sz w:val="28"/>
          <w:szCs w:val="28"/>
          <w:rtl w:val="true"/>
          <w:lang w:bidi="fa-IR"/>
        </w:rPr>
        <w:t xml:space="preserve">و فی مسألة اشتراط عدم الفسخ بخیار المجلس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قلنا بعدم الحقّیة و أنّه لیس فی البین إلّا الوجوب الشرعی فالحقّ أیضا هو بطلان المعاملة المشروط أو المنذور عدمها لأنّ وجوب ترک المعاملة علی المکلّف یوجب سلب سلطنته علیها فتفسد و یکون حینئذ من جملة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معاملته المذکورة باطلة محرّمة و موجبة للخیار فی الشرط و للکفّارة فی النذر کما حقّقناه فی بعض ما حرّرناه فی مجموعتنا الفقهیة فراجع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المعاملة المشروط أو المنذور ضدّها، کما لو شرط علیه التصدّق بهذه</w:t>
      </w:r>
    </w:p>
    <w:p>
      <w:pPr>
        <w:pStyle w:val="BookText"/>
        <w:rPr/>
      </w:pPr>
      <w:r>
        <w:rPr>
          <w:rFonts w:ascii="IRNazanin" w:hAnsi="IRNazanin" w:eastAsia="IRNazanin"/>
          <w:color w:val="111111"/>
          <w:sz w:val="28"/>
          <w:sz w:val="28"/>
          <w:szCs w:val="28"/>
          <w:rtl w:val="true"/>
          <w:lang w:bidi="fa-IR"/>
        </w:rPr>
        <w:t>العین، أو أنّه قد نذر ذلک، فلا یکون بیعها نافذا، لأنّ الأمر بالشی‌ء و إن لم یوجب النهی عن ضدّه، إلّا أنّه یوجب سلب القدرة و السلطنة علی ذلک الضدّ، فتفسد من هذه الجهة، و یکون العصیان و تخلّف الشرط و حنث النذر حاصلین بما قارن تلک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ترک ذلک الضدّ المشروط أو المنذور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بنفس المعاملة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کان ذلک الضدّ تصرّفا فی نفس العین، مثل الصدقة و نحوها من التصرّفات فی العین التی قد وقعت شرطا أو منذورة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یکون تصرّفا فی نفس تلک العین، بل کان فعلا خارجیا اتّفق أن قد صار ضدّا للمعاملة التی أوقعها ذلک المکلّف، کما لو وجب علیه عمل خارجی بنذر أو بشرط، و لم یکن ذلک العمل تصرّفا فی تلک العین، لکنّه اتّفق مضادّته للمعاملة التی أوقعها المکلّف من جهة أنّ الزمان لا یسعهما و المکلّف لا یقدر علی الجمع بینهما فی آن واحد، فلا یکون ترک ذلک الفعل الواجب بالنذر أو الشرط و الاقدام علی تلک المعاملة المزاحمة له موجبا لفساد المعاملة، و إن أوجب ذلک الترک العصیان و الخیار و الکفّارة بالحنث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لو وجبت علیه إزالة النجاسة عن المسجد فوریا و عصی و اشتغل بالبیع، فإنّه لا یوجب بطلان البیع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البیع وقت النداء بناء علی أنّه لیس فی البین إلّا وجوب المسارعة إلی الصلاة، و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ذَرُوا الْبَیْعَ </w:t>
      </w:r>
      <w:r>
        <w:rPr>
          <w:rStyle w:val="FootnoteAnchor"/>
          <w:rtl w:val="true"/>
        </w:rPr>
        <w:footnoteReference w:id="530"/>
      </w:r>
      <w:r>
        <w:rPr>
          <w:rFonts w:ascii="IRNazanin" w:hAnsi="IRNazanin" w:eastAsia="IRNazanin"/>
          <w:color w:val="111111"/>
          <w:sz w:val="28"/>
          <w:sz w:val="28"/>
          <w:szCs w:val="28"/>
          <w:rtl w:val="true"/>
          <w:lang w:bidi="fa-IR"/>
        </w:rPr>
        <w:t>إرشاد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عرفت </w:t>
      </w:r>
      <w:r>
        <w:rPr>
          <w:rStyle w:val="FootnoteAnchor"/>
          <w:rtl w:val="true"/>
        </w:rPr>
        <w:footnoteReference w:id="531"/>
      </w:r>
      <w:r>
        <w:rPr>
          <w:rFonts w:ascii="IRNazanin" w:hAnsi="IRNazanin" w:eastAsia="IRNazanin"/>
          <w:color w:val="111111"/>
          <w:sz w:val="28"/>
          <w:sz w:val="28"/>
          <w:szCs w:val="28"/>
          <w:rtl w:val="true"/>
          <w:lang w:bidi="fa-IR"/>
        </w:rPr>
        <w:t>أنّ من هذا القبیل النهی عن البیع لا بما أنّه تصرّف فی المال و نقل للملکیة، بل بما أنّه فعل خارجی فلاحظ و تأمّل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هذه التکالیف لا توجب سلب سلطنة المکلّف علی</w:t>
      </w:r>
      <w:bookmarkStart w:id="214" w:name="pg19667_765301"/>
    </w:p>
    <w:p>
      <w:pPr>
        <w:pStyle w:val="BookText"/>
        <w:rPr/>
      </w:pPr>
      <w:bookmarkEnd w:id="214"/>
      <w:r>
        <w:rPr>
          <w:rFonts w:ascii="IRNazanin" w:hAnsi="IRNazanin" w:eastAsia="IRNazanin"/>
          <w:color w:val="111111"/>
          <w:sz w:val="28"/>
          <w:sz w:val="28"/>
          <w:szCs w:val="28"/>
          <w:rtl w:val="true"/>
          <w:lang w:bidi="fa-IR"/>
        </w:rPr>
        <w:t>التصرّف فی ماله بما أنّه نقل فی عالم الملکیة، و إنّما أقصی ما فیها هو أنّها توجب سلب قدرته علیها بما أنّها فعل خارجی، و قد عرفت أنّ ذلک لا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سلب السلطنة لو ثبت فلا إشکال فی کونه مفسدا، و إنّما الإشکال فیما نحن فیه فی أنّ النهی هل یوجب سلب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الموارد لا تنفع فیه</w:t>
      </w:r>
      <w:r>
        <w:rPr>
          <w:rFonts w:eastAsia="IRNazanin" w:cs="IRNazanin"/>
          <w:color w:val="111111"/>
          <w:sz w:val="28"/>
          <w:szCs w:val="28"/>
          <w:rtl w:val="true"/>
          <w:lang w:bidi="fa-IR"/>
        </w:rPr>
        <w:t>.</w:t>
      </w:r>
    </w:p>
    <w:p>
      <w:pPr>
        <w:pStyle w:val="Heading4"/>
        <w:numPr>
          <w:ilvl w:val="3"/>
          <w:numId w:val="1"/>
        </w:numPr>
        <w:rPr/>
      </w:pPr>
      <w:bookmarkStart w:id="215" w:name="__RefHeading___Toc3538593_2314609296"/>
      <w:bookmarkStart w:id="216" w:name="_Toc74"/>
      <w:bookmarkEnd w:id="215"/>
      <w:r>
        <w:rPr>
          <w:rtl w:val="true"/>
        </w:rPr>
        <w:t>[</w:t>
      </w:r>
      <w:r>
        <w:rPr>
          <w:rtl w:val="true"/>
        </w:rPr>
        <w:t>مناقشات مع السیّد الخوئی قدّس سرّه فی مسألة نکاح العبد بدون إذن سیّده</w:t>
      </w:r>
      <w:bookmarkEnd w:id="216"/>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نکاح العبد بغیر إذن سیّده لیس من التصرّفات المحرّمة شرعا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تصرّف العبد فی نفسه ببیع نفسه مثلا أو بتزویج نفسه من أعظم التصرّفات فی أموال الناس، فیکون محرّما کما حقّقنا ذلک فی الفضولی، لکن هذه الحرمة لمّا کان ملاکها هو عدم الرضا المرتفع بالاجازة، کانت الاجازة نافعة فی انفاذ العقد من حینها، و إن لم یکن نافذا قبل ذلک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شرحناه فی مسألة الفضولی من أنّ ذلک التبدیل و هاتیک العقدة النقلیة قد وقعت علی جهة من موقعها و هو الفضولی، و هی بما أنّها منسوبة إلیه باقیة علی ما هی علیه من التحریم، الذی مقتضاه عدم النفوذ من ناحیته، لکن الاجازة تنسب نفس تلک العقدة و ذلک النقل إلی المالک، و لا ریب أنّ فعله و نقله بما أنّه منسوب إلیه لا یکون متّصفا بصفة التحریم، فینفذ من هذه الجهة، و آخر کلمة للشیخ فی ذلک البحث ناظرة إلی ذلک </w:t>
      </w:r>
      <w:r>
        <w:rPr>
          <w:rStyle w:val="FootnoteAnchor"/>
          <w:rtl w:val="true"/>
        </w:rPr>
        <w:footnoteReference w:id="533"/>
      </w:r>
      <w:r>
        <w:rPr>
          <w:rFonts w:ascii="IRNazanin" w:hAnsi="IRNazanin" w:eastAsia="IRNazanin"/>
          <w:color w:val="111111"/>
          <w:sz w:val="28"/>
          <w:sz w:val="28"/>
          <w:szCs w:val="28"/>
          <w:rtl w:val="true"/>
          <w:lang w:bidi="fa-IR"/>
        </w:rPr>
        <w:t xml:space="preserve">، فراجعه و راجع ما حرّرناه </w:t>
      </w:r>
      <w:r>
        <w:rPr>
          <w:rStyle w:val="FootnoteAnchor"/>
          <w:rtl w:val="true"/>
        </w:rPr>
        <w:footnoteReference w:id="534"/>
      </w:r>
      <w:r>
        <w:rPr>
          <w:rFonts w:ascii="IRNazanin" w:hAnsi="IRNazanin" w:eastAsia="IRNazanin"/>
          <w:color w:val="111111"/>
          <w:sz w:val="28"/>
          <w:sz w:val="28"/>
          <w:szCs w:val="28"/>
          <w:rtl w:val="true"/>
          <w:lang w:bidi="fa-IR"/>
        </w:rPr>
        <w:t>فی توضیحه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لو عقد العبد لغیر نفسه لما احتاج نفوذه إلی إجازة سیّده قطعا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ما أفاده الشیخ قدّس سرّه </w:t>
      </w:r>
      <w:r>
        <w:rPr>
          <w:rStyle w:val="FootnoteAnchor"/>
          <w:rtl w:val="true"/>
        </w:rPr>
        <w:footnoteReference w:id="536"/>
      </w:r>
      <w:r>
        <w:rPr>
          <w:rFonts w:ascii="IRNazanin" w:hAnsi="IRNazanin" w:eastAsia="IRNazanin"/>
          <w:color w:val="111111"/>
          <w:sz w:val="28"/>
          <w:sz w:val="28"/>
          <w:szCs w:val="28"/>
          <w:rtl w:val="true"/>
          <w:lang w:bidi="fa-IR"/>
        </w:rPr>
        <w:t>فی هذا المقام تجد أنّ عقد العبد لغیره غیر نافذ لکونه عبدا مملوکا لا یقدر علی شی‌ء، و إنّما العمدة فی أنّ الاجازة بعد ذلک هل تصلح العقد الواقع من العبد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 الشیخ قدّس سرّه لذلک مفصّلا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عقد العبد لغیره و إن کان محرّما من جهة إیجاد المعاملة المعبّر عنه بالمعنی المصدری، إلّا أنّ هذه الحرمة لا توجب الفساد، و إنّما توجبه فیما لو کان النهی عن الایجاد باعتبار کونه إیجادا للمعاملة، بحیث یکون المنهی عنه فی الحقیقة هو نفس المعاملة من حیث إیجادها لا الایجاد نفسه، کما عرفت الاشارة إلیه فیما تقدّم </w:t>
      </w:r>
      <w:r>
        <w:rPr>
          <w:rStyle w:val="FootnoteAnchor"/>
          <w:rtl w:val="true"/>
        </w:rPr>
        <w:footnoteReference w:id="537"/>
      </w:r>
      <w:r>
        <w:rPr>
          <w:rFonts w:ascii="IRNazanin" w:hAnsi="IRNazanin" w:eastAsia="IRNazanin"/>
          <w:color w:val="111111"/>
          <w:sz w:val="28"/>
          <w:sz w:val="28"/>
          <w:szCs w:val="28"/>
          <w:rtl w:val="true"/>
          <w:lang w:bidi="fa-IR"/>
        </w:rPr>
        <w:t>، و الاجازة ترفع هذه الجهة، بخلاف ما لو کان النهی عن الایجاد بالنحو الأوّل، فإنّه لو قلنا بکونه موجبا للفساد لا یرتفع أثره و هو الفساد بالاجازة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غیر العبد لو عقد للعبد لاحتاج نفوذه إلی اجازة السید بلا إشکال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إنّه یحتاج إلی الاجازة بلا إشکال، لکن لم یقل أحد بأنّ الاحتیاج إلی الاجازة منحصر بما لو کان العقد واقعا عصیانا، کی یقال إنّه لا عصیان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مورد الروایة</w:t>
      </w:r>
      <w:r>
        <w:rPr>
          <w:rStyle w:val="FootnoteAnchor"/>
          <w:rtl w:val="true"/>
        </w:rPr>
        <w:footnoteReference w:id="539"/>
      </w:r>
      <w:r>
        <w:rPr>
          <w:rFonts w:ascii="IRNazanin" w:hAnsi="IRNazanin" w:eastAsia="IRNazanin"/>
          <w:color w:val="111111"/>
          <w:sz w:val="28"/>
          <w:sz w:val="28"/>
          <w:szCs w:val="28"/>
          <w:rtl w:val="true"/>
          <w:lang w:bidi="fa-IR"/>
        </w:rPr>
        <w:t>کان مشتملا علی العصیان، لکون العقد صادرا من العبد عصیانا، و معنی عصیان العبد لسیده هو وقوع العقد منه بدون إذن سیده، فإذا لحقته الاجازة صحّ، فیدخل فیه عقد الغیر له و عقده للغیر و عقده لنفسه، و یشتمل الأخیران علی عصیان الشارع لکونهما تصرّفا فی مال السید بدون إذنه، بل یکون الغیر فی الأوّل عاصیا أیضا بهذا المعنی، إلّا أنّ هذا العصیان الشرعی یرتفع بالاجازة اللاحقة، لا بمعنی أنّ ما وقع ینقلب من حینه، بل بمعنی أنّ الاجازة تؤثر الصحّة فی ناحیة العقد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العصیان الشرعی لا یکون هو الملاک فی البطلان فی المقام، لکونه واردا علی المعاملة لا بما أنّه نقل، بل بما أنّها مخالفة للسید، و یکون المؤثّر فی بطلانه هو المخالفة المذکورة التی هی عبارة عن التصرّف فی ملکه بدون رضاه، و یکون هذا التحریم الشرعی الوارد علی تلک المعاملة بما أنّها مخالفة للسیّد کالتحریم الوارد علیها بما أنّها فعل من الأفعال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تأمّل، لإمکان القول بأنّ حرمة ذلک النقل من جهة کونه تصرّفا فی سلطان الغیر لیس إلّا عبارة عن کون نفس النقل و الانتقال محرّما، و حینئذ ینحصر الجواب بما أشرنا إلیه ممّا حرّرناه </w:t>
      </w:r>
      <w:r>
        <w:rPr>
          <w:rStyle w:val="FootnoteAnchor"/>
          <w:rtl w:val="true"/>
        </w:rPr>
        <w:footnoteReference w:id="540"/>
      </w:r>
      <w:r>
        <w:rPr>
          <w:rFonts w:ascii="IRNazanin" w:hAnsi="IRNazanin" w:eastAsia="IRNazanin"/>
          <w:color w:val="111111"/>
          <w:sz w:val="28"/>
          <w:sz w:val="28"/>
          <w:szCs w:val="28"/>
          <w:rtl w:val="true"/>
          <w:lang w:bidi="fa-IR"/>
        </w:rPr>
        <w:t>فی مسألة بیع الفضولی، فراجع</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إنّ ما أفاده شیخنا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الطبعة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ارتفع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باجازة من له الحقّ تلک المعاملة ارتفع النهی أیضا</w:t>
      </w:r>
      <w:r>
        <w:rPr>
          <w:rStyle w:val="FootnoteAnchor"/>
          <w:rtl w:val="true"/>
        </w:rPr>
        <w:footnoteReference w:id="541"/>
      </w:r>
      <w:r>
        <w:rPr>
          <w:rFonts w:ascii="IRNazanin" w:hAnsi="IRNazanin" w:eastAsia="IRNazanin"/>
          <w:color w:val="111111"/>
          <w:sz w:val="28"/>
          <w:sz w:val="28"/>
          <w:szCs w:val="28"/>
          <w:rtl w:val="true"/>
          <w:lang w:bidi="fa-IR"/>
        </w:rPr>
        <w:t>، لا ینفع فی دفع الإشکال، لأنّ ذلک لا یوجب ارتفاع الحرمة السابقة، و لا یغیّر الفعل عمّا وقع</w:t>
      </w:r>
      <w:bookmarkStart w:id="217" w:name="pg19667_765304"/>
    </w:p>
    <w:p>
      <w:pPr>
        <w:pStyle w:val="BookText"/>
        <w:rPr/>
      </w:pPr>
      <w:bookmarkEnd w:id="217"/>
      <w:r>
        <w:rPr>
          <w:rFonts w:ascii="IRNazanin" w:hAnsi="IRNazanin" w:eastAsia="IRNazanin"/>
          <w:color w:val="111111"/>
          <w:sz w:val="28"/>
          <w:sz w:val="28"/>
          <w:szCs w:val="28"/>
          <w:rtl w:val="true"/>
          <w:lang w:bidi="fa-IR"/>
        </w:rPr>
        <w:t>علیه من جهة التحریم،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عقد الغیر له بإذن من العبد أو بامضاء منه یشتمل علی جهة الفضولیة من ذلک الغیر و علی جهة العصیان من ناحیة العبد بنفسه، و یحتاج إلی اجازة السید من الجهتین</w:t>
      </w:r>
      <w:r>
        <w:rPr>
          <w:rFonts w:eastAsia="IRNazanin" w:cs="IRNazanin"/>
          <w:color w:val="111111"/>
          <w:sz w:val="28"/>
          <w:szCs w:val="28"/>
          <w:rtl w:val="true"/>
          <w:lang w:bidi="fa-IR"/>
        </w:rPr>
        <w:t>.</w:t>
      </w:r>
    </w:p>
    <w:p>
      <w:pPr>
        <w:pStyle w:val="Heading4"/>
        <w:numPr>
          <w:ilvl w:val="3"/>
          <w:numId w:val="1"/>
        </w:numPr>
        <w:rPr/>
      </w:pPr>
      <w:bookmarkStart w:id="218" w:name="__RefHeading___Toc3538595_2314609296"/>
      <w:bookmarkStart w:id="219" w:name="_Toc75"/>
      <w:bookmarkEnd w:id="218"/>
      <w:r>
        <w:rPr>
          <w:rtl w:val="true"/>
        </w:rPr>
        <w:t>[</w:t>
      </w:r>
      <w:r>
        <w:rPr>
          <w:rtl w:val="true"/>
        </w:rPr>
        <w:t>ذکر الروایات الواردة فی نکاح العبد بدون إذن سیّده</w:t>
      </w:r>
      <w:bookmarkEnd w:id="219"/>
    </w:p>
    <w:p>
      <w:pPr>
        <w:pStyle w:val="BookText"/>
        <w:rPr/>
      </w:pPr>
      <w:r>
        <w:rPr>
          <w:rFonts w:ascii="IRNazanin" w:hAnsi="IRNazanin" w:eastAsia="IRNazanin"/>
          <w:color w:val="111111"/>
          <w:sz w:val="28"/>
          <w:sz w:val="28"/>
          <w:szCs w:val="28"/>
          <w:rtl w:val="true"/>
          <w:lang w:bidi="fa-IR"/>
        </w:rPr>
        <w:t>قوله فی الحاشیة المشار إلیها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ذکرناه أنّه لو کان العقد محرّما لعارض کما إذا قصد به إضرار مسلم و نحو ذلک لما حکم بفساد العقد قطعا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إن لم أتصوّر له مثالا فعلا، لکن لو فرضنا أنّ الضرر الحرام کان مترتّبا علی نفس النقل، بحیث کان النقل مضرّا بالغیر، لکانت المعاملة فاسدة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تصرّفات الشخص فی ملکه بالتصرّفات الخارجیة لو کانت مضرّة بالغیر تکون محرّمة، و بذلک یکون مسلوب السلطنة علیها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الروایات الواردة فی الباب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فی الکفایة</w:t>
      </w:r>
      <w:r>
        <w:rPr>
          <w:rStyle w:val="FootnoteAnchor"/>
          <w:rtl w:val="true"/>
        </w:rPr>
        <w:footnoteReference w:id="543"/>
      </w:r>
      <w:r>
        <w:rPr>
          <w:rFonts w:ascii="IRNazanin" w:hAnsi="IRNazanin" w:eastAsia="IRNazanin"/>
          <w:color w:val="111111"/>
          <w:sz w:val="28"/>
          <w:sz w:val="28"/>
          <w:szCs w:val="28"/>
          <w:rtl w:val="true"/>
          <w:lang w:bidi="fa-IR"/>
        </w:rPr>
        <w:t xml:space="preserve">عن الکافی </w:t>
      </w:r>
      <w:r>
        <w:rPr>
          <w:rStyle w:val="FootnoteAnchor"/>
          <w:rtl w:val="true"/>
        </w:rPr>
        <w:footnoteReference w:id="544"/>
      </w:r>
      <w:r>
        <w:rPr>
          <w:rFonts w:ascii="IRNazanin" w:hAnsi="IRNazanin" w:eastAsia="IRNazanin"/>
          <w:color w:val="111111"/>
          <w:sz w:val="28"/>
          <w:sz w:val="28"/>
          <w:szCs w:val="28"/>
          <w:rtl w:val="true"/>
          <w:lang w:bidi="fa-IR"/>
        </w:rPr>
        <w:t xml:space="preserve">و الفقیه </w:t>
      </w:r>
      <w:r>
        <w:rPr>
          <w:rStyle w:val="FootnoteAnchor"/>
          <w:rtl w:val="true"/>
        </w:rPr>
        <w:footnoteReference w:id="545"/>
      </w:r>
      <w:r>
        <w:rPr>
          <w:rFonts w:ascii="IRNazanin" w:hAnsi="IRNazanin" w:eastAsia="IRNazanin"/>
          <w:color w:val="111111"/>
          <w:sz w:val="28"/>
          <w:sz w:val="28"/>
          <w:szCs w:val="28"/>
          <w:rtl w:val="true"/>
          <w:lang w:bidi="fa-IR"/>
        </w:rPr>
        <w:t>عن زرارة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مملوک تزوّج بغیر إذن سیده،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سیده، إن شاء أجازه و إن شاء 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تعالی، إنّ حکیم بن عتبة</w:t>
      </w:r>
      <w:r>
        <w:rPr>
          <w:rStyle w:val="FootnoteAnchor"/>
          <w:rtl w:val="true"/>
        </w:rPr>
        <w:footnoteReference w:id="546"/>
      </w:r>
      <w:r>
        <w:rPr>
          <w:rFonts w:ascii="IRNazanin" w:hAnsi="IRNazanin" w:eastAsia="IRNazanin"/>
          <w:color w:val="111111"/>
          <w:sz w:val="28"/>
          <w:sz w:val="28"/>
          <w:szCs w:val="28"/>
          <w:rtl w:val="true"/>
          <w:lang w:bidi="fa-IR"/>
        </w:rPr>
        <w:t>و إبراهیم النخعی و أصحابهما یقولون إنّ أصل النکاح فاسد، و لا تحلّ اجازة السیّد له،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إنّما عصی</w:t>
      </w:r>
    </w:p>
    <w:p>
      <w:pPr>
        <w:pStyle w:val="BookText"/>
        <w:rPr/>
      </w:pPr>
      <w:r>
        <w:rPr>
          <w:rFonts w:ascii="IRNazanin" w:hAnsi="IRNazanin" w:eastAsia="IRNazanin"/>
          <w:color w:val="111111"/>
          <w:sz w:val="28"/>
          <w:sz w:val="28"/>
          <w:szCs w:val="28"/>
          <w:rtl w:val="true"/>
          <w:lang w:bidi="fa-IR"/>
        </w:rPr>
        <w:t>سیّده، فإذا أجاز فهو له جائز</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تزوّج عبده امرأة بغیر إذنه فدخل بها، ثمّ اطّلع علی ذلک مولاه،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لمولاه، إن شاء فرّق بینهما، و إن شاء أجاز نکاحهما، فإن فرّق بینهما فللمرأة ما أصدقها، إلّا أن یکون قد اعتدی فأصدقها صداقا کثیرا</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یمکن أن یقال إنّ الاقدام منوط بصحّة العقد، فمع بطلانه فلا إقدام منها علی هدر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الکلام فی محلّه فی الفضولی منه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إن أجاز نکاحه فهما علی نکاحهما الأوّل، فقلت لأبی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أصل النکاح کان عاصیا،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أتی شیئا حلالا، و لیس بعاص للّه، إنّما عصی سیده و لم یعص اللّه، إنّ ذلک لیس کإتیان ما حرّم اللّه علیه من نکاح فی عدّة و أشباهه</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مملوک تزوّج بغیر إذن مولاه أ عاص 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لمولاه،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أزعم أنّه حرام، و قل له أن لا یفعل إلّا بإذن مولاه</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حرّة زوّجت نفسها عبدا بغیر إذن موالیه فقد أباحت</w:t>
      </w:r>
    </w:p>
    <w:p>
      <w:pPr>
        <w:pStyle w:val="BookText"/>
        <w:rPr/>
      </w:pPr>
      <w:r>
        <w:rPr>
          <w:rFonts w:ascii="IRNazanin" w:hAnsi="IRNazanin" w:eastAsia="IRNazanin"/>
          <w:color w:val="111111"/>
          <w:sz w:val="28"/>
          <w:sz w:val="28"/>
          <w:szCs w:val="28"/>
          <w:rtl w:val="true"/>
          <w:lang w:bidi="fa-IR"/>
        </w:rPr>
        <w:t>فرجها و لا صداق لها</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الأمة تزوّجت بغیر إذن موالیها،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ذلک علیها، و هو زنا</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یبعد أن یکون المراد من نفی الحرمة فیما عدا هذا الأخیر هو نفی الحرمة بالأصالة، کما فی مثل النکاح فی العدّة، و فی هذا الأخیر هو الحرمة باعتبار کون العقد بغیر إذن السیّد، فیکون حراما شرعا و لو بواسطة مخالفة السید، و حینئذ یتمّ ما أفاده شیخنا قدّس سرّه </w:t>
      </w:r>
      <w:r>
        <w:rPr>
          <w:rStyle w:val="FootnoteAnchor"/>
          <w:rtl w:val="true"/>
        </w:rPr>
        <w:footnoteReference w:id="553"/>
      </w:r>
      <w:r>
        <w:rPr>
          <w:rFonts w:ascii="IRNazanin" w:hAnsi="IRNazanin" w:eastAsia="IRNazanin"/>
          <w:color w:val="111111"/>
          <w:sz w:val="28"/>
          <w:sz w:val="28"/>
          <w:szCs w:val="28"/>
          <w:rtl w:val="true"/>
          <w:lang w:bidi="fa-IR"/>
        </w:rPr>
        <w:t>من أنّ المراد بالعصیان المنفی هو العصیان التکلیفی، دون الوضعی یعنی مخالفة الأحکام الوضعیة فی باب النکاح، أعنی مجرّد مخالفة ما یعتبر فیه من الشروط و عدم الموانع و إن لم یکن له مساس بالحرمة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 أنّه لیس المراد هو مجرّد الحکم الوضعی التمثیل له بالنکاح فی العدّة، الذی لا إشکال فی حرمته تکلیفا، و إن کان فاسدا أیضا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 ذلک هو أنّ العصیان لا یکون إلّا بمعنی العصیان التکلیفی، إذ لا جهة وضعیة فی ناحیة السید کی یکون مخالفا له فیها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 العصیان فیها بمعنی الاقدام مع عدم الإذن کما فی الکفایة</w:t>
      </w:r>
      <w:r>
        <w:rPr>
          <w:rStyle w:val="FootnoteAnchor"/>
          <w:rtl w:val="true"/>
        </w:rPr>
        <w:footnoteReference w:id="554"/>
      </w:r>
      <w:r>
        <w:rPr>
          <w:rFonts w:ascii="IRNazanin" w:hAnsi="IRNazanin" w:eastAsia="IRNazanin"/>
          <w:color w:val="111111"/>
          <w:sz w:val="28"/>
          <w:sz w:val="28"/>
          <w:szCs w:val="28"/>
          <w:rtl w:val="true"/>
          <w:lang w:bidi="fa-IR"/>
        </w:rPr>
        <w:t>لعلّه غیر ملائم لظاهر المورد بالنسبة إلی عصیان اللّه، لأنّ مجرّد عدم الإذن منه تعالی و عدم الامضاء لا یوجب البطلان إلّا استنادا إلی أصالة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لو فسّرناه</w:t>
      </w:r>
      <w:bookmarkStart w:id="220" w:name="pg19667_765307"/>
    </w:p>
    <w:p>
      <w:pPr>
        <w:pStyle w:val="BookText"/>
        <w:rPr/>
      </w:pPr>
      <w:bookmarkEnd w:id="220"/>
      <w:r>
        <w:rPr>
          <w:rFonts w:ascii="Amiri" w:hAnsi="Amiri" w:eastAsia="Amiri" w:cs="Amiri"/>
          <w:color w:val="111111"/>
          <w:sz w:val="28"/>
          <w:sz w:val="28"/>
          <w:szCs w:val="28"/>
          <w:rtl w:val="true"/>
          <w:lang w:bidi="ar-SA"/>
        </w:rPr>
        <w:t xml:space="preserve">کما حرّره قدّس سرّه </w:t>
      </w:r>
      <w:r>
        <w:rPr>
          <w:rStyle w:val="FootnoteAnchor"/>
          <w:rtl w:val="true"/>
        </w:rPr>
        <w:footnoteReference w:id="555"/>
      </w:r>
      <w:r>
        <w:rPr>
          <w:rFonts w:ascii="IRNazanin" w:hAnsi="IRNazanin" w:eastAsia="IRNazanin"/>
          <w:color w:val="111111"/>
          <w:sz w:val="28"/>
          <w:sz w:val="28"/>
          <w:szCs w:val="28"/>
          <w:rtl w:val="true"/>
          <w:lang w:bidi="fa-IR"/>
        </w:rPr>
        <w:t>فی الحاشیة علی الهامش بأنّه بالنسبة إلیه تعالی بمعنی الاتیان بغیر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یرجع إلی المخالفة فی الحکم الوضعی بما یرجع إلی عالم اجتماع الاجزاء و الشرائط، و حینئذ لا یحسن مقابلته بعصیان السید، فتأمّل</w:t>
      </w:r>
      <w:r>
        <w:rPr>
          <w:rFonts w:eastAsia="IRNazanin" w:cs="IRNazanin"/>
          <w:color w:val="111111"/>
          <w:sz w:val="28"/>
          <w:szCs w:val="28"/>
          <w:rtl w:val="true"/>
          <w:lang w:bidi="fa-IR"/>
        </w:rPr>
        <w:t>.</w:t>
      </w:r>
    </w:p>
    <w:p>
      <w:pPr>
        <w:pStyle w:val="Heading4"/>
        <w:numPr>
          <w:ilvl w:val="3"/>
          <w:numId w:val="1"/>
        </w:numPr>
        <w:rPr/>
      </w:pPr>
      <w:bookmarkStart w:id="221" w:name="__RefHeading___Toc3538597_2314609296"/>
      <w:bookmarkStart w:id="222" w:name="_Toc76"/>
      <w:bookmarkEnd w:id="221"/>
      <w:r>
        <w:rPr>
          <w:rtl w:val="true"/>
        </w:rPr>
        <w:t>[</w:t>
      </w:r>
      <w:r>
        <w:rPr>
          <w:rtl w:val="true"/>
        </w:rPr>
        <w:t>هل تجری أصالة عدم المشروعیة عند الشکّ فی مشروعیة العبادة؟</w:t>
      </w:r>
      <w:r>
        <w:rPr>
          <w:rtl w:val="true"/>
        </w:rPr>
        <w:t>]</w:t>
      </w:r>
      <w:bookmarkEnd w:id="22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شکّ فی مشروعیة عبادة و عدمها یکون الحکم الواقعی بالقبح محرزا بالوجدان، لفرض أعمّیة موضوعه، فلا یجری أصالة عدم المشروعیة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 فی الحاشیة علی ما هو فی هذا المقام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أنّه لا مانع من جریان الأصل فی کلّ مورد کان مجری الأصل فیه قابلا للوضع و الرفع، فیحرز بجریانه وجود ذلک الأمر القابل للوضع و الرفع أو عدمه، فإذا جرت أصالة عدم مشروعیة شی‌ء أحرز بها عدم مشروعیته شرعا، فیکون حرمة التشریع حینئذ لأجل إحراز عدم المشروعیة، لا لأجل الشکّ فی المشروعیة لیکون ذلک من تحصیل الحاصل، بل من أردأ أنحائه، الخ</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بعد أن تمّ أنّ قبح التشریع من قبیل الأحکام العقلیة ذات الملاک الواحد فی مورد العلم بعدم المشروعیة و فی مورد عدم العلم بها، و أنّ ملاکه هو القول بما لم یعلم أنّه من الشریعة، سواء علم بأنّه لیس منها أو لم یعلم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تبیّن أیضا أنّ حرمة التشریع شرعا تابعة للقبح العقلی المفروض کون موضوعه هو عدم العلم، سواء کان معلوم العدم أو لم یکن معلوما، لا یبقی موقع لهذه الحاشیة، لأنّ الذی یحرز بأصالة عدم المشروعیة و الذی یترتّب علی</w:t>
      </w:r>
    </w:p>
    <w:p>
      <w:pPr>
        <w:pStyle w:val="BookText"/>
        <w:rPr/>
      </w:pPr>
      <w:r>
        <w:rPr>
          <w:rFonts w:ascii="IRNazanin" w:hAnsi="IRNazanin" w:eastAsia="IRNazanin"/>
          <w:color w:val="111111"/>
          <w:sz w:val="28"/>
          <w:sz w:val="28"/>
          <w:szCs w:val="28"/>
          <w:rtl w:val="true"/>
          <w:lang w:bidi="fa-IR"/>
        </w:rPr>
        <w:t>ذلک لیس هو إلّا ما کان متحقّقا بالوجدان، فلا فرق فی ذلک القبح العقلی و الحرمة الشرعیة التابعة له بین ما کان مورده إحراز عدم المشروعیة، أو کان مورده هو عدم الاحراز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الحرمة و ذلک القبح العقلی الذی کان محقّقا وجدانا مع قطع النظر عن جریان الأصل المحرز لعدم التعبّد، هو بعینه یکون مترتّبا علی إحراز عدم المشروعیة بالأصل، فلا یکون اجراء أصالة عدم المشروعیة لأجل أن یترتّب علیه القبح و الحرمة المذکوران إلّا من قبیل التوخّی لاحراز شی‌ء بالأصل کان هو محرزا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إحراز التشریع بالأصل أو بالتعبّد بالأمارة، کما فی موارد استصحاب الحجّیة أو قیام الدلیل التعبّدی علیها، یکون له أثر مترتّب علیه، و هو الحکم بالحجّیة و المشروعیة، و به یخرج المورد عن کونه من قبیل عدم إحراز المشروعیة، کما حقّقناه فی محلّه فی باب حجّیة الظنّ </w:t>
      </w:r>
      <w:r>
        <w:rPr>
          <w:rStyle w:val="FootnoteAnchor"/>
          <w:rtl w:val="true"/>
        </w:rPr>
        <w:footnoteReference w:id="557"/>
      </w:r>
      <w:r>
        <w:rPr>
          <w:rFonts w:ascii="IRNazanin" w:hAnsi="IRNazanin" w:eastAsia="IRNazanin"/>
          <w:color w:val="111111"/>
          <w:sz w:val="28"/>
          <w:sz w:val="28"/>
          <w:szCs w:val="28"/>
          <w:rtl w:val="true"/>
          <w:lang w:bidi="fa-IR"/>
        </w:rPr>
        <w:t>و باب الاجتهاد و التقلید</w:t>
      </w:r>
      <w:r>
        <w:rPr>
          <w:rStyle w:val="FootnoteAnchor"/>
          <w:rtl w:val="true"/>
        </w:rPr>
        <w:footnoteReference w:id="55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الشأن فی هذا الباب أعنی الاحراز التعبّدی لما هو محرز بالوجدان، فإنّ ذلک التعبّد إن کان علی وفق ما کان موضوعه محرزا بالوجدان لم یکن ذلک التعبّد 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کان علی خلافه، لکون التعبّد حینئذ رافعا تنزیلیا لموضوع ذلک الأمر المحرز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لو شکّ فی سعة الوقت للصلاة مع الطهارة المائیة، فإذا لم یعلم مقدار ما بقی من الوقت لزمه الوضوء، استنادا إلی استصحاب بقاء الوقت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لو علم مقدار الباقی و لکن شک فی کونه یسع الصلاة مع الطهارة</w:t>
      </w:r>
    </w:p>
    <w:p>
      <w:pPr>
        <w:pStyle w:val="BookText"/>
        <w:rPr/>
      </w:pPr>
      <w:r>
        <w:rPr>
          <w:rFonts w:ascii="IRNazanin" w:hAnsi="IRNazanin" w:eastAsia="IRNazanin"/>
          <w:color w:val="111111"/>
          <w:sz w:val="28"/>
          <w:sz w:val="28"/>
          <w:szCs w:val="28"/>
          <w:rtl w:val="true"/>
          <w:lang w:bidi="fa-IR"/>
        </w:rPr>
        <w:t>المائیة، فإنّه یلزمه التیمّم، لخوف فوت الوقت مع عدم المؤمّن، الذی هو الاستصحاب فی المسألة الأولی، فإنّ موضوع وجوب التیمم و إن کان هو الخوف، إلّا أنّ استصحاب بقاء الوقت رافع شرعی لذلک الخوف الوجدانی، لأنّه عبارة عن احتمال عدم بقاء الوقت إلی الحدّ الذی تکمل فیه الصلاة مع الطهارة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ذلک ینظر السید قدّس سرّه فی العروة</w:t>
      </w:r>
      <w:r>
        <w:rPr>
          <w:rStyle w:val="FootnoteAnchor"/>
          <w:rtl w:val="true"/>
        </w:rPr>
        <w:footnoteReference w:id="559"/>
      </w:r>
      <w:r>
        <w:rPr>
          <w:rFonts w:ascii="IRNazanin" w:hAnsi="IRNazanin" w:eastAsia="IRNazanin"/>
          <w:color w:val="111111"/>
          <w:sz w:val="28"/>
          <w:sz w:val="28"/>
          <w:szCs w:val="28"/>
          <w:rtl w:val="true"/>
          <w:lang w:bidi="fa-IR"/>
        </w:rPr>
        <w:t>فی التفرقة بین المسألتین، و إن کانت عبارته لا تخلو من إجمال، و لعلّ هذا الإجمال هو الذی أوجب توجّه الایراد علیه من جماعة من المحشّین بما حاصله أنّه لم یظهر الفرق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مطلب آخر لعلّه هو المنشأ فی الحکم بعدم الفرق بین الصورتین و هو دعوی عدم جریان الاستصحاب فی الصورة الأولی لکونه مثبتا، فإنّه بناء علی أنّ موضوع سقوط الوضوء هو الخوف الوجدانی أعنی تلک الحالة النفسانیة، و هی لیست عین احتمال عدم بقاء الوقت أو عدم العلم ببقائه، کی یکون استصحاب بقاء الوقت حاکما تعبّدا بنفیها، بل هی لازمة عقلا للاحتمال المذکور، فلا یکون استصحاب بقاء الوقت حاکما تعبّدا بعدمها إلّا علی الأصل المثبت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مسألة خوف الضرر من الصوم فهی نظیر المسألة الثانیة، التی لا مجری فیها للاستصحاب أصلا فضلا عن کونه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الصحّة و عدم المرض لا أثر له، إذ الأثر إنّما هو مترتّب علی الضرر و الخوف منه، لا علی الصحّة و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صام مقدارا من الیوم فلم یضرّه الصوم لم یمکنه استصحاب عدم مضرّیته فیما یأتی من باقی ذلک الیوم، لأنّ کون ما مضی من الامساک غیر مضرّ لا</w:t>
      </w:r>
    </w:p>
    <w:p>
      <w:pPr>
        <w:pStyle w:val="BookText"/>
        <w:rPr/>
      </w:pPr>
      <w:r>
        <w:rPr>
          <w:rFonts w:ascii="IRNazanin" w:hAnsi="IRNazanin" w:eastAsia="IRNazanin"/>
          <w:color w:val="111111"/>
          <w:sz w:val="28"/>
          <w:sz w:val="28"/>
          <w:szCs w:val="28"/>
          <w:rtl w:val="true"/>
          <w:lang w:bidi="fa-IR"/>
        </w:rPr>
        <w:t>دخل له بما سیأتی من الامساک الذی یحتمل الضرر فیه،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فی آخر الحاشیة المزبورة</w:t>
      </w:r>
      <w:r>
        <w:rPr>
          <w:rStyle w:val="FootnoteAnchor"/>
          <w:rtl w:val="true"/>
        </w:rPr>
        <w:footnoteReference w:id="560"/>
      </w:r>
      <w:r>
        <w:rPr>
          <w:rFonts w:ascii="IRNazanin" w:hAnsi="IRNazanin" w:eastAsia="IRNazanin"/>
          <w:color w:val="111111"/>
          <w:sz w:val="28"/>
          <w:sz w:val="28"/>
          <w:szCs w:val="28"/>
          <w:rtl w:val="true"/>
          <w:lang w:bidi="fa-IR"/>
        </w:rPr>
        <w:t>من قیاس ما نحن فیه بالبراءة العقلیة و الاباحة الظاهریة، ففیه ما لا یخفی، لأنّ الاباحة الظاهریة حکم شرعی ظاهری، و أین هو من مفاد قاعدة قبح العقاب بلا بیان کی یقال إنّ المحرز بالأوّل هو المحرز بالثانی، کی یکون من قبیل اللغویة، أو من قبیل الاحراز التعبّدی لما هو محرز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الأولی هو النقض بحدیث الرفع </w:t>
      </w:r>
      <w:r>
        <w:rPr>
          <w:rStyle w:val="FootnoteAnchor"/>
          <w:rtl w:val="true"/>
        </w:rPr>
        <w:footnoteReference w:id="561"/>
      </w:r>
      <w:r>
        <w:rPr>
          <w:rFonts w:ascii="IRNazanin" w:hAnsi="IRNazanin" w:eastAsia="IRNazanin"/>
          <w:color w:val="111111"/>
          <w:sz w:val="28"/>
          <w:sz w:val="28"/>
          <w:szCs w:val="28"/>
          <w:rtl w:val="true"/>
          <w:lang w:bidi="fa-IR"/>
        </w:rPr>
        <w:t>فی موارد جریان قاعدة قبح العقاب بلا بیان، بناء علی أنّ المرفوع بحدیث الرفع هو العقاب، لکنّه لیس بوارد أیضا، لأنّ الممنوع أو المحال إنّما هو الاحراز التعبّدی فی مورد الاحراز الوجدانی، دون حکم الشرع بحکم واقعی مع فرض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هذا التوجیه لحدیث الرفع بأنّه لرفع العقاب إشکال آخر، و هو أنّ رفع العقاب لیس بشرعی، و 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الرفع حینئذ لا یکون إلّا اخبارا عن أمر واقعی عقلی، و هو عدم استحقاق العقاب، لا أنّه حکم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نقول کما حقّق فی محلّه </w:t>
      </w:r>
      <w:r>
        <w:rPr>
          <w:rStyle w:val="FootnoteAnchor"/>
          <w:rtl w:val="true"/>
        </w:rPr>
        <w:footnoteReference w:id="562"/>
      </w:r>
      <w:r>
        <w:rPr>
          <w:rFonts w:ascii="IRNazanin" w:hAnsi="IRNazanin" w:eastAsia="IRNazanin"/>
          <w:color w:val="111111"/>
          <w:sz w:val="28"/>
          <w:sz w:val="28"/>
          <w:szCs w:val="28"/>
          <w:rtl w:val="true"/>
          <w:lang w:bidi="fa-IR"/>
        </w:rPr>
        <w:t>إنّه من قبیل الدفع لایجاب الاحتیاط، بمعنی أنّ الشارع لمّا کان یمکنه تحصیل مراده الواقعی فی مورد الشکّ فیه بجعل وجوب الاحتیاط، کان حدیث الرفع مسوقا لدفع ذلک الایجاب الاحتیاطی، بمعنی أنّ الشارع لم یجعل وجوب الاحتیاط، فراجع و تأمّل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یعلم أنّ الأصل فی هذه الشبهة هو ما أفاده العلّامة الخراسانی قدّس سرّه</w:t>
      </w:r>
    </w:p>
    <w:p>
      <w:pPr>
        <w:pStyle w:val="BookText"/>
        <w:rPr/>
      </w:pPr>
      <w:r>
        <w:rPr>
          <w:rFonts w:ascii="IRNazanin" w:hAnsi="IRNazanin" w:eastAsia="IRNazanin"/>
          <w:color w:val="111111"/>
          <w:sz w:val="28"/>
          <w:sz w:val="28"/>
          <w:szCs w:val="28"/>
          <w:rtl w:val="true"/>
          <w:lang w:bidi="fa-IR"/>
        </w:rPr>
        <w:t>فی حاشیته علی الرسائل، فقد قال الشیخ قدّس سرّه فی أوائل 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یقرّر الأصل بوجوه أخر، منها أنّ الأصل عدم الحجّیة و عدم وقوع التعبّد به و إیجاب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و إن کان ذلک، إلّا أنّه لا یترتّب علی مقتضاه شی‌ء، فإنّ حرمة العمل بالظنّ یکفی فی موضوعها عدم العلم بورود التعبّد، من غیر حاجة إلی إحراز عدم ورود التعبّد به، لیحتاج فی ذلک إلی الأصل ثمّ إثبات الحرمة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الخراسانی قدّس سرّه فی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الحجّیة و عدمها و کذا إیجاب التعبّد و عدمه بنفسهما ممّا یتطرّق إلیه الجعل، و تناله ید التصرّف من الشارع، و ما کان کذلک یکون الاستصحاب فیه جاریا، کان هناک أثر شرعی یترتّب علی المستصحب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إلی أنّه لا مجال للأصل فی المسبّب مع جریان الأصل فی السبب کما حقّق فی محلّه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کان الحجّیة و عدمها من الموضوعات الخارجیة، التی لا یصحّ الاستصحاب فیها إلّا بملاحظة ما یترتّب علیها من الآثار الشرعیة، فإنّما لا یکون مجال لاستصحاب عدم الحجّیة فیما إذا لم یکن حرمة العمل إلّا أثرا للشک فیها لا لعدمها واقعا، و أمّا إذا کانت أثرا له أیضا فالمورد و إن کان فی نفسه قابلا لکلّ من الاستصحاب و القاعدة المضروبة لحکم هذا الشکّ، إلّا أنّه لا یجری فعلا إلّا الاستصحاب لحکومته علیها، إلی آخر کلامه قدّس سرّه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یظهر منه فی الکفایة العدول عن ذلک، فإنّه بعد بیان أنّ الأصل هو عدم الحجّیة جزما، و بعد أن شرح آثار الحجّیة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الشکّ فی التعبّد به یقطع بعدم حجّیته و عدم ترتیب شی‌ء من الآثار علیه، للقطع بانتفاء</w:t>
      </w:r>
    </w:p>
    <w:p>
      <w:pPr>
        <w:pStyle w:val="BookText"/>
        <w:rPr/>
      </w:pPr>
      <w:r>
        <w:rPr>
          <w:rFonts w:ascii="IRNazanin" w:hAnsi="IRNazanin" w:eastAsia="IRNazanin"/>
          <w:color w:val="111111"/>
          <w:sz w:val="28"/>
          <w:sz w:val="28"/>
          <w:szCs w:val="28"/>
          <w:rtl w:val="true"/>
          <w:lang w:bidi="fa-IR"/>
        </w:rPr>
        <w:t xml:space="preserve">الموضوع معه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فتراه قد عدل عمّا حرّره فی الحاشیة من الایراد علی الشیخ، و سلک عین المسلک الذی سلکه الشیخ قدّس سرّه، و هو عین مسلک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تأمّلت ما فی الحاشیة</w:t>
      </w:r>
      <w:r>
        <w:rPr>
          <w:rStyle w:val="FootnoteAnchor"/>
          <w:rtl w:val="true"/>
        </w:rPr>
        <w:footnoteReference w:id="566"/>
      </w:r>
      <w:r>
        <w:rPr>
          <w:rFonts w:ascii="IRNazanin" w:hAnsi="IRNazanin" w:eastAsia="IRNazanin"/>
          <w:color w:val="111111"/>
          <w:sz w:val="28"/>
          <w:sz w:val="28"/>
          <w:szCs w:val="28"/>
          <w:rtl w:val="true"/>
          <w:lang w:bidi="fa-IR"/>
        </w:rPr>
        <w:t>تری أنّ جلّها راجع إلی ما أفاده المحقّق الخراسانی قدّس سرّه فی الحاشیة، الذی عدل عنه إلی ما فی الکفایة،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یخفی أنّ شیخنا قدّس سرّه </w:t>
      </w:r>
      <w:r>
        <w:rPr>
          <w:rStyle w:val="FootnoteAnchor"/>
          <w:rtl w:val="true"/>
        </w:rPr>
        <w:footnoteReference w:id="567"/>
      </w:r>
      <w:r>
        <w:rPr>
          <w:rFonts w:ascii="IRNazanin" w:hAnsi="IRNazanin" w:eastAsia="IRNazanin"/>
          <w:color w:val="111111"/>
          <w:sz w:val="28"/>
          <w:sz w:val="28"/>
          <w:szCs w:val="28"/>
          <w:rtl w:val="true"/>
          <w:lang w:bidi="fa-IR"/>
        </w:rPr>
        <w:t>فی هذا المقام أثبت فساد العبادة التشریعیة التی صادف أنّها فی الواقع مشروعة، مع عدم علم المشرّع بذلک فی حال اتیانه بها بمقدّمات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بقبح التشریع من باب الأحکام العقلیة ذات الملاک الواحد، الموجود فی حال العلم بالعدم و حال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العقلی لیس من قبیل الاطاعة و المعصیة غیر القابلة للتشریع علی طبقه، بل هو قابل لذلک، و بقاعدة الملازمة یستکشف الحرمة الشرعیة علی طبق ذلک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العقلی و هاتیک الحرمة الشرعیة لیست بمقصورة علی الفعل القلبی، بل هما ساریان إلی نفس الفعل الذی یتحقّق به التشریع</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سریان الحرمة إلی ذلک الفعل تکون الحرمة المذکورة مدافعة لوجوبه الواقعی، و حیث إنّها مقدّمة علیه و موجبة لتقیید الأمر و تخصیص متعلّقه بما عدا موردها یکون ذلک الفعل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استشکل فی ذلک بأنّ هذه الحرمة لمّا کان الملاک فیها هو عدم العلم بالوجوب، کانت متأخرة رتبة عن ذلک الوجوب، و حیث قد اختلفت الرتبة فیهما فلا مانع من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قدّس سرّه قد سلّم هذا الإشکال لکنّه سلک للحکم بالفساد من طریق آخر غیر طریقة التخصیص و تلک الطریقة هی طریقة القبح الفاعلی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قدّس سرّه أعرض عن طریقة المنافاة بین الحکمین الموجبة للتخصیص، و أثبت الفساد من ناحیة القبح الفاعلی،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طریقة القبح الفاعلی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تتوقّف علی تلک المقدّمات التی حرّرها، بل یکفی فیها مجرّد قبح التشریع عقلا، الموجب للقبح الفاعلی المانع من التقرّب،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قدّس سرّه لا داعی له إلی الاعراض عن طریقة التخصیص، بل هی جاریة فیما نحن فیه، فإنّه بعد فرض کون معروض الحرمة الشرعیة التشریعیة هو الفعل الخارجی، و أنّها غیر مقصورة علی الفعل القلبی، یکون مورد کلّ من الوجوب الواقعی و الحرمة التشریعیة هو ذلک الفعل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اختلافهما فی الرتبة لکون الحرمة التشریعیة معلّقة علی عدم العلم بالوجوب الواقعی، الذی هو متأخر رتبة عن الوجوب الواقعی، لا ینفع فی رفع التنافی بینهما، و إلّا لصحّ اجتماع الوجوب مع الحرمة المعلّقة علی العلم بذلک، لأنّها حینئذ مثلها فی التأخر الرتبی، إذ کما أنّ عدم العلم بالوجوب الواقعی متأخر رتبة عن نفس الوجوب، فکذلک العلم بذلک الوجوب یکون متأخرا عنه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یفرق بین الصورتین بقبح الثانیة، لکونها موجبة للتناقض فی نظر المکلّف، بخلاف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یدفع الإشکال من الناحیة التی نحن فیها و هی التناقض بین الوجوب الواقعی و بین الحرمة الواقعیة، سواء کانت</w:t>
      </w:r>
    </w:p>
    <w:p>
      <w:pPr>
        <w:pStyle w:val="BookText"/>
        <w:rPr/>
      </w:pPr>
      <w:r>
        <w:rPr>
          <w:rFonts w:ascii="IRNazanin" w:hAnsi="IRNazanin" w:eastAsia="IRNazanin"/>
          <w:color w:val="111111"/>
          <w:sz w:val="28"/>
          <w:sz w:val="28"/>
          <w:szCs w:val="28"/>
          <w:rtl w:val="true"/>
          <w:lang w:bidi="fa-IR"/>
        </w:rPr>
        <w:t>الحرمة الواقعیة مشروطة بالعلم بالوجوب الواقعی، أو کانت مشروطة بعدم العلم به، أو کانت مطلقة</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مضافا إلی أنّ التحریم فی الرتبة المتأخرة عن الایجاب الأوّلی کاف فی الحکم بالفساد فی هذه الرتبة، بل هی فی هذه الرتبة خارجة عن الوجوب فی رتبتها، و إن کان وجوبها فی الرتبة السابقة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الحرمة التشریعیة مناقضة لذلک الوجوب، و موجبة للتخصیص و انحصار مورد الوجوب بما عدا مورد التشریع، و یکون حرمة التشریع الطارئة علی الفعل باعتبار الاتیان به بصفة الوجوب مع عدم العلم بالوجوب کسائر العناوین الثانویة، الموجبة للتحریم و الرافعة للحکم الأوّلی اللاحق للشی‌ء فی حدّ نفسه، و حینئذ ینحصر وجوب تلک العبادة فیما إذا لم یؤت بها بعنوان الوجوب التشریعی، و مع هذا التخصیص تکون العبادة فاسدة من دون حاجة إلی القبح الفاعلی، و لا إلی المبغوضیة الفعلیة التی ذکرها المحشی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لنا طریقة أخری للحکم بفساد العبادة المذکورة، و هی أنّ ذلک المکلّف لم یأت بها بداعی أمرها، بل إنّما أتی بها بداعی ذلک الأمر الذی شرعه من قبل نفسه، سواء کان التشریع قبیحا أو لم یکن، کان فی البین قبح فاعلی أو لم یکن، کان فی البین حرمة شرعیة تشریعیة أو لم تکن، کان فی البین تخصیص أو لم یکن، حتّی أنّا نلتزم بأنّ من علم بأنّ هذه الصلاة واجبة شرعا، و لکن أراد أن یخترع لنفسه شریعة خاصّة، فأوجب علی نفسه أو علی غیره أشیاء، و حرّم علی</w:t>
      </w:r>
      <w:bookmarkStart w:id="223" w:name="pg19667_765315"/>
    </w:p>
    <w:p>
      <w:pPr>
        <w:pStyle w:val="BookText"/>
        <w:rPr/>
      </w:pPr>
      <w:bookmarkEnd w:id="223"/>
      <w:r>
        <w:rPr>
          <w:rFonts w:ascii="IRNazanin" w:hAnsi="IRNazanin" w:eastAsia="IRNazanin"/>
          <w:color w:val="111111"/>
          <w:sz w:val="28"/>
          <w:sz w:val="28"/>
          <w:szCs w:val="28"/>
          <w:rtl w:val="true"/>
          <w:lang w:bidi="fa-IR"/>
        </w:rPr>
        <w:t>نفسه أشیاء خالف فیها الشارع المقدّس، غیر أنّه فی هذه العبادة الخاصّة کصوم شهر رمضان وافق الشارع فیها، بمعنی أنّه أیضا قال قد أوجبته، و لکنّه أتی به بداعی ذلک الوجوب الذی جعله من قبل نفسه، کان عمله المذکور فاسدا أیضا، لأنّه لم یأت به بداعی الأمر الشرعی الذی یعلمه، بل أتی به بداعی أمره الذی هو شرعه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ثمرة هذه المسألة تظهر فی العبادة التی لها إعادة و قضاء لو وقعت فاسدة، و اتّفق أنّ شخصا کان معتقدا لعدم وجوبها أو کان شاکّا فی ذلک فبنی تشریعا منه علی وجوبها، و أتی بها بذلک الداعی، ثمّ انکشف أنّها واجبة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لتحقّق هذه الثمرة التمثیل بجزء من أجزاء الصلاة الرکنیة کالرکوع مثلا، فاعتقد أنّه غیر واجب أو شکّ فی وجوبه فشرّع وجوبه، و أتی به بذلک الداعی ثمّ انکشف أنّه واجب، فبناء علی عدم کون التشریع فی العبادة مفسدا لها تکون صلاته المذکورة صحیحة، بخلاف ما لو قیل بأنّه مفسد لها تکون صلاته المذکورة فاسدة، إذ لا أقل من فقدانها الجزء المذکور</w:t>
      </w:r>
      <w:r>
        <w:rPr>
          <w:rFonts w:eastAsia="IRNazanin" w:cs="IRNazanin"/>
          <w:color w:val="111111"/>
          <w:sz w:val="28"/>
          <w:szCs w:val="28"/>
          <w:rtl w:val="true"/>
          <w:lang w:bidi="fa-IR"/>
        </w:rPr>
        <w:t>.</w:t>
      </w:r>
    </w:p>
    <w:p>
      <w:pPr>
        <w:pStyle w:val="Heading4"/>
        <w:numPr>
          <w:ilvl w:val="3"/>
          <w:numId w:val="1"/>
        </w:numPr>
        <w:rPr/>
      </w:pPr>
      <w:bookmarkStart w:id="224" w:name="__RefHeading___Toc3538599_2314609296"/>
      <w:bookmarkStart w:id="225" w:name="_Toc77"/>
      <w:bookmarkEnd w:id="224"/>
      <w:r>
        <w:rPr>
          <w:rtl w:val="true"/>
        </w:rPr>
        <w:t>[</w:t>
      </w:r>
      <w:r>
        <w:rPr>
          <w:rtl w:val="true"/>
        </w:rPr>
        <w:t>الجواب عن محذور لزوم التسلسل من القول بمولویة أوامر الاطاعة</w:t>
      </w:r>
      <w:r>
        <w:rPr>
          <w:rtl w:val="true"/>
        </w:rPr>
        <w:t>]</w:t>
      </w:r>
      <w:bookmarkEnd w:id="22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و القبح فیهما لو انتهی إلی وجوب آخر لدار أو تسلسل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أمکن الجواب عن هذا التسلسل بأنّه لا مانع منه فی مثل ذلک، فإنّه إذا توقّف شی‌ء علی آخر و الآخر علی آخر فأقصی ما فیه هو أنّ حصول الشی‌ء الأوّل محال، و إذا کان هذا الموجود صادرا عن آخر و آخر عن آخر و هکذا فهو</w:t>
      </w:r>
    </w:p>
    <w:p>
      <w:pPr>
        <w:pStyle w:val="BookText"/>
        <w:rPr/>
      </w:pPr>
      <w:r>
        <w:rPr>
          <w:rFonts w:ascii="IRNazanin" w:hAnsi="IRNazanin" w:eastAsia="IRNazanin"/>
          <w:color w:val="111111"/>
          <w:sz w:val="28"/>
          <w:sz w:val="28"/>
          <w:szCs w:val="28"/>
          <w:rtl w:val="true"/>
          <w:lang w:bidi="fa-IR"/>
        </w:rPr>
        <w:t>محال أیضا، من جهة انتهائه إلی قدم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مثل ما نحن فیه من التکالیف التی یکون وجودها بالاعتبار فلا مانع منه، و لا یستلزم الجعل الدائم و لا التشریع المستمر، بل یکفی فیه الجعل الواحد علی نحو القضیة الحقیقیة، بأن یقول أطع کلّ أمر لی، و تکون القضیة شاملة لنفسها، علی حذو ما ذکروه فی مثل کلّ خبر لی فهو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خبر لی فهو کاذب، لو کانت القضیة شاملة لنفسها لا یمکن الحکم بتصدیقها، لأنّه یلزم من التصدیق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ذلک لا یتوقّف علی کون القضیة شاملة لنفسها، بل یمکن أن یتأتّی ذلک بطریق حکم العقل بحسن الاطاعة مع ضمیمة أنّ کلّ ما حکم به العقل یحکم به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أمر له إطاعة، و کلّ إطاعة حسنة عقلا، و کلّ ما حسّنه العقل أوجبه الشارع، فکلّ اطاعة أوجبها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 بانقطاع السلسلة علی الاطاعة الأولی، لأنّ إطاعة الأمر بالاطاعة لا یراها العقل شیئا قابلا للحسن أو القبح، کی یحکم بحسنها و یستکشف الحکم الشرعی من حکم العقل بحسنها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التسلسل الباطل هو التسلسل فی العلل، بأن یکون هذا الشی‌ء معلولا لشی‌ء آخر، و ذلک الآخر معلولا لثالث و هکذا، فإنّه یلزم من وجود المعلول عدمه، لتوقّف علّته علی علّتها، و هکذا إلی ما لا 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التسلسل فی المعلولات بأن یکون هذا الشی‌ء علّة لآخر، و ذلک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کونه معلولا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لآخر و هکذا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الأوّل الصادر من الشارع علّة لتحقّق عنوان الاطاعة فی امتثاله، و هذا العنوان علّة فی تولّد الأمر بالاطاعة، و هکذا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الالتزام بکون هذه الأوامر ارشادیة إلی ما یحکم به العقل من حسن</w:t>
      </w:r>
    </w:p>
    <w:p>
      <w:pPr>
        <w:pStyle w:val="BookText"/>
        <w:rPr/>
      </w:pPr>
      <w:r>
        <w:rPr>
          <w:rFonts w:ascii="IRNazanin" w:hAnsi="IRNazanin" w:eastAsia="IRNazanin"/>
          <w:color w:val="111111"/>
          <w:sz w:val="28"/>
          <w:sz w:val="28"/>
          <w:szCs w:val="28"/>
          <w:rtl w:val="true"/>
          <w:lang w:bidi="fa-IR"/>
        </w:rPr>
        <w:t>الاطاعة أو لزومها، لا حاجة إلیه بعد إمکان کونها مولویة، و یکون حکم الشارع بوجوب إطاعة أوامر نفسه کحکم العقل بوجوب إطاعة أوامر نفسه، فکما أنّ حکم العقل بلزوم إطاعة أوامر نفسه لا تکون إرشادا إلی شی‌ء خارج عن الحکم العقلی، فکذلک حکم الشارع بوجوب إطاعة أوامر نفسه لا یکون إرشادا إلی حکم آخر خارج عن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یشکل علی هذه الطریقة فیما نحن فیه بلزوم عقابات متعدّدة غیر متناهیة عند العصیان، و ثوابات کذلک عند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عنه بأنّ هذه الأوامر و إن کانت مولویة، إلّا أنّها لا یترتّب الثواب علی إطاعتها و لا العقاب علی مخالفتها، لکونها طریقیة صرفة، لا یکون المقصود بها إلّا الواجب الأصلی الأوّلی، و حینئذ یتوجّه إشکال اللغویة، لتکفل حکم العقل بما یراد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الإشکال الوحید علی مولویة هذه الأوامر هو ما عرفت من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لزوم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یرجع إلیها ما قیل من أنّ مقام الاطاعة غیر قابل للتصرّف و الجعل الشرعی،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یدّعی من وجوب المقدّمات وجوبا شرعیا مولویا یشارکها فی هذه اللغویة، حیث إنّ العقل حاکم بلزوم الاتیان بها من باب الاطاعة أیضا، و لا یترتّب علی وجوبها عقاب و لا ثواب، و لا تحتاج فی سقوطها إلی قصد الامتثال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فرق بینهما أنّ أوامر الاطاعة لو قلنا بمولویتها و التزمنا بذهابها إلی ما لا نهایة له، یستحیل فیها الاتیان بمتعلّقها بداعی أمره و إنّما أقصی ما فی البین هو الاتیان بمتعلّق الأمر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بذلک یتحقّق اطاعته، و تکون هذه الاطاعة محقّقة لما تعلّق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 أمر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 أمر الاطاعة المتعلّقة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اطاعة ثانیة مضافة إلی الأمر المتعلّق باطاعة الصلاة، بل لا یکون ما یصدر من المکلّف فی البین إلّا إطاعة واحدة هی إطاعة الأمر بالصلاة، و هذه الاطاعة مسقطة للأمر المتعلّق بها و هو أوّل أمر من تلک الأوامر، و بسقوطه تسقط الأوامر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أوامر الاطاعة تسقط بفعل الصلاة الموجب لسقوط الأمر المتعلّق بها، لبقائها حینئذ بلا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عصیان الأمر المتعلّق بالصلاة، الموجب لسقوطه بالعصیان، فإنّه یوجب ارتفاع موضوعها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لأجل ذلک لم یکن فی البین إلّا عقاب واحد عند العصیان، و ثواب واحد عند الاطاعة للأمر المتعلّق بالصلاة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 من لزوم التسلسل فی الوجوبات إنّما یلزم لو قلنا إنّ کلّ أمر لا بدّ أن تکون إطاعته واجبة حتّی أوامر الاطاعة، بنحو ما ذکرناه من کون القضیة شاملة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قلنا بعدم ذلک و أنّ وجوب الاطاعة للأوامر لا یشمل أوامر الاطاعة و أنّه مقصور علی الأوامر المتعلّقة بأفعال المکلّفین العادیة مثل الصوم و الصلاة، دون الاطاعة نفسها، فلا یکون لنا فی سائر الأوامر إلّا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متعلّق بالفعل، و أمر آخر متعلّق باطاعة ذلک الأمر، من دون أن یکون فی البین أمر باطاعة أمر 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امتثال کلّ تکلیف و حرمة عصیانه ینتهی بالأخرة إلی ما بالذات، و هو حسن الطاعة و قبح المعصیة، و الحسن و القبح فیهما لو انتهی إلی وجوب آخر لدار أو تسلسل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یدّعی أنّ أوامر الاطاعة مولویة لا یرید أن یقول إنّ حسنها یتوقّف</w:t>
      </w:r>
    </w:p>
    <w:p>
      <w:pPr>
        <w:pStyle w:val="BookText"/>
        <w:rPr/>
      </w:pPr>
      <w:r>
        <w:rPr>
          <w:rFonts w:ascii="IRNazanin" w:hAnsi="IRNazanin" w:eastAsia="IRNazanin"/>
          <w:color w:val="111111"/>
          <w:sz w:val="28"/>
          <w:sz w:val="28"/>
          <w:szCs w:val="28"/>
          <w:rtl w:val="true"/>
          <w:lang w:bidi="fa-IR"/>
        </w:rPr>
        <w:t>علی تعلّق الأمر المولوی بها، کی یقال له إنّ حسنها ذاتی لا یتوقّف علی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لو سلّمنا أنّ حسن إطاعة الأمر یتوقّف علی أمر، فأقصی ما یکون فی البین هو أنّ حسن اطاعة طبیعة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أمر، فلا ریب أنّ هذا الأمر الذی یتعلّق بنفس الاطاعة لیس هو نفس الأمر الذی کان هو المطاع کی یلزم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یلزم التسلسل، لکنّک قد عرفت </w:t>
      </w:r>
      <w:r>
        <w:rPr>
          <w:rStyle w:val="FootnoteAnchor"/>
          <w:rtl w:val="true"/>
        </w:rPr>
        <w:footnoteReference w:id="572"/>
      </w:r>
      <w:r>
        <w:rPr>
          <w:rFonts w:ascii="IRNazanin" w:hAnsi="IRNazanin" w:eastAsia="IRNazanin"/>
          <w:color w:val="111111"/>
          <w:sz w:val="28"/>
          <w:sz w:val="28"/>
          <w:szCs w:val="28"/>
          <w:rtl w:val="true"/>
          <w:lang w:bidi="fa-IR"/>
        </w:rPr>
        <w:t>الحال فی محالیته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لم أتوفّق لکیفیة تأتّی الدور فیما نحن فیه </w:t>
      </w:r>
      <w:r>
        <w:rPr>
          <w:rStyle w:val="FootnoteAnchor"/>
          <w:rtl w:val="true"/>
        </w:rPr>
        <w:footnoteReference w:id="573"/>
      </w:r>
      <w:r>
        <w:rPr>
          <w:rFonts w:ascii="IRNazanin" w:hAnsi="IRNazanin" w:eastAsia="IRNazanin"/>
          <w:color w:val="111111"/>
          <w:sz w:val="28"/>
          <w:sz w:val="28"/>
          <w:szCs w:val="28"/>
          <w:rtl w:val="true"/>
          <w:lang w:bidi="fa-IR"/>
        </w:rPr>
        <w:t>، نعم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انتهی هو أیضا إلی غیره لدار أو تسلسل</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یتأتّی الدور، لأنّا لو فرضنا أنّ حجّیته العلم متوقّفة علی الدلیل و قیام حجّة علیها، فلا ریب أنّ تلک الحجّیة متوقّفة علی العلم بها، و لا بدّ من إثبات حجّیته، فیکون حجّیة العلم متوقّفة علی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لا معنی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فی حجّیة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للتسلسل،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نغایر بین العلوم فیقال إنّ العلم بوجوب الصلاة مثلا حجّة لقیام الروایة الفلانیة علیه، و حجّیة الروایة المذکورة إنّما هی بالعلم بها، و حجّیة هذا العلم بالبیّنة مثلا، و حجّیة البیّنة بالعلم، و حجّیة هذا العلم بالإجماع، و حجّیة الإجماع بالعلم، و هکذا، فإن عادت السلسلة إلی الأوّل جاء الدور، و إن ذهبت إلی ما لا نهایة له جاء التسلسل، فتأمّل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التسلسل الباطل هو عدم التناهی فی سلسلة العلل، بأن</w:t>
      </w:r>
    </w:p>
    <w:p>
      <w:pPr>
        <w:pStyle w:val="BookText"/>
        <w:rPr/>
      </w:pPr>
      <w:r>
        <w:rPr>
          <w:rFonts w:ascii="IRNazanin" w:hAnsi="IRNazanin" w:eastAsia="IRNazanin"/>
          <w:color w:val="111111"/>
          <w:sz w:val="28"/>
          <w:sz w:val="28"/>
          <w:szCs w:val="28"/>
          <w:rtl w:val="true"/>
          <w:lang w:bidi="fa-IR"/>
        </w:rPr>
        <w:t>یکون هذا الشی‌ء مثلا معلولا لشی‌ء آخر، و ذلک الآخر معلولا لآخر و هکذا، فإنّ ذلک محال، لأنّ حصول المعلول الأخیر یتوقّف علی حصول العلّة الأولی، و مع فرض عدم تناهی العلل لا یکون حصول العلّة الأولی ممکنا، و حینئذ یلزم من فرض وجود ذلک المعلول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التسلسل فی المعلولات بأن یکون هذا الشی‌ء علّة لآخر، و ذلک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کونه معلولا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لآخر و هکذا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الأوّل المتعلّق بالصلاة مثلا یکون علّة لانطباق عنوان الاطاعة علی امتثاله، و هذا العنوان علّة فی تولّد الأمر بالاطاعة المذکورة،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یعبّر عن الأوّل بعدم التناهی فی العلل، بحیث تذهب العلل إلی ما لا نهایة له، فإنّه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لک فساد ما یظهر من الشمسیة</w:t>
      </w:r>
      <w:r>
        <w:rPr>
          <w:rStyle w:val="FootnoteAnchor"/>
          <w:rtl w:val="true"/>
        </w:rPr>
        <w:footnoteReference w:id="575"/>
      </w:r>
      <w:r>
        <w:rPr>
          <w:rFonts w:ascii="IRNazanin" w:hAnsi="IRNazanin" w:eastAsia="IRNazanin"/>
          <w:color w:val="111111"/>
          <w:sz w:val="28"/>
          <w:sz w:val="28"/>
          <w:szCs w:val="28"/>
          <w:rtl w:val="true"/>
          <w:lang w:bidi="fa-IR"/>
        </w:rPr>
        <w:t>من أنّه لا مانع من حصول أمور نظریة غیر متناهیة للنفس علی القول بقدمها، فإنّ هذه المسألة مثلا لو کانت نظریة مکتسبة من ثانیة أخری، و الثانیة من الثالثة، و الثالثة من الرابعة و هکذا، کان العلم بالأولی معلولا للعلم بالثانیة، و العلم بالثانیة معلولا للعلم بالثالثة، و العلم بالثالثة معلولا للعلم بالرابعة و هکذا، و حینئذ لا یحصل لنا العلم بالأولی و لو قلنا بقدم النفس و بقائها سرمدیا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یعبّر عن الثانی بعدم التناهی فی المعلولات، و الظاهر أنّه لا مانع منه، فإنّ العلّة الأولی بعد أن أوجدها الواجب المقدّس تکون هی المعلول الأوّل، و هی توجد المعلول الثانی، و هو یوجد المعلول الثالث، و هکذا یستمرّ التوالد و الانتقال من المعلول إلی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حصل لنا العلم بمسألة ضروریة فهذا العلم الضروری نحصّل به مسألة نظریة، و هذه بعد حصولها لنا نحصّل بها</w:t>
      </w:r>
      <w:bookmarkStart w:id="226" w:name="pg19667_765321"/>
    </w:p>
    <w:p>
      <w:pPr>
        <w:pStyle w:val="BookText"/>
        <w:rPr/>
      </w:pPr>
      <w:bookmarkEnd w:id="226"/>
      <w:r>
        <w:rPr>
          <w:rFonts w:ascii="IRNazanin" w:hAnsi="IRNazanin" w:eastAsia="IRNazanin"/>
          <w:color w:val="111111"/>
          <w:sz w:val="28"/>
          <w:sz w:val="28"/>
          <w:szCs w:val="28"/>
          <w:rtl w:val="true"/>
          <w:lang w:bidi="fa-IR"/>
        </w:rPr>
        <w:t>أخری، و هکذا تستمرّ سلسلة التحصیل ما دامت النفس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قیل ببقائها إلی ما لا نهایة له کان تحصیلها للمعلومات غیر متناه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النفس و إن لم تکن قدیمة بل حادثة، لکن لا برهان علی عروض العدم علیها، بل إنّ الأدلّة السمعیة الدالّة علی أنّ أهل النار فیها خالدون و أهل الجنّة فیها خالدون دالّة علی بقاء البشر إلی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القول بأنّ عدد النفوس غیر متناه، لا من جهة بقاء التوالد، بل من جهة امکان وجود نفوس أخری غیر النفوس البشریة، و تکون تلک النفوس التی أوجدها الواجب تعالی غیر متناهیة، غایته أن نقول إنّها مجرّدة غیر مادّیة، لدعوی استحالة عدم التناهی فی المادّة، لبرهانین ذکرهما الطوسی قدّس سرّه فی التجرید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بقیة أحکام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تشترک الأجسام فی وجوب التناهی </w:t>
      </w:r>
      <w:r>
        <w:rPr>
          <w:rStyle w:val="FootnoteAnchor"/>
          <w:rtl w:val="true"/>
        </w:rPr>
        <w:footnoteReference w:id="57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هذین البرهانین و نحوهما ممّا أقاموه علی عدم معقولیة عدم التناهی فی المادّة لأمکننا القول بوجود عوالم مادّیة غیر متناهیة، و هی کعالمنا و کنظام شمسنا</w:t>
      </w:r>
      <w:r>
        <w:rPr>
          <w:rFonts w:eastAsia="IRNazanin" w:cs="IRNazanin"/>
          <w:color w:val="111111"/>
          <w:sz w:val="28"/>
          <w:szCs w:val="28"/>
          <w:rtl w:val="true"/>
          <w:lang w:bidi="fa-IR"/>
        </w:rPr>
        <w:t>.</w:t>
      </w:r>
    </w:p>
    <w:p>
      <w:pPr>
        <w:pStyle w:val="Heading4"/>
        <w:numPr>
          <w:ilvl w:val="3"/>
          <w:numId w:val="1"/>
        </w:numPr>
        <w:rPr/>
      </w:pPr>
      <w:bookmarkStart w:id="227" w:name="__RefHeading___Toc3538601_2314609296"/>
      <w:bookmarkStart w:id="228" w:name="_Toc78"/>
      <w:bookmarkEnd w:id="227"/>
      <w:r>
        <w:rPr>
          <w:rtl w:val="true"/>
        </w:rPr>
        <w:t>[</w:t>
      </w:r>
      <w:r>
        <w:rPr>
          <w:rtl w:val="true"/>
        </w:rPr>
        <w:t>إشارة إلی بعض البراهین التی أقاموها علی عدم معقولیة عدم التناهی</w:t>
      </w:r>
      <w:bookmarkEnd w:id="228"/>
    </w:p>
    <w:p>
      <w:pPr>
        <w:pStyle w:val="BookText"/>
        <w:rPr/>
      </w:pPr>
      <w:r>
        <w:rPr>
          <w:rFonts w:ascii="IRNazanin" w:hAnsi="IRNazanin" w:eastAsia="IRNazanin"/>
          <w:color w:val="111111"/>
          <w:sz w:val="28"/>
          <w:sz w:val="28"/>
          <w:szCs w:val="28"/>
          <w:rtl w:val="true"/>
          <w:lang w:bidi="fa-IR"/>
        </w:rPr>
        <w:t>أمّا البراهین التی أقاموها علی عدم معقولیة عدم التناهی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التطبیق، و هو أنّه لو فرضنا خطّین غیر متناهیین، و نقصنا من أحدهما مقدارا، و طبّقنا أحدهما علی الآخر، فإن تساویا لزم عدم تأثیر ذلک التنقیص و هو محال، و إن لم یتساویا لزم التناهی فیهما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أوّلا منقوض بتسلسل المعلولات، فإنّا لو نقصنا من إحدی السلسلتین مقدارا من العلل و المعلولات فإن کان الباقی مساویا لما لم ننقص منه لزم عدم تأثیر ذلک التنقیص، و إن لم یکن مساویا له لزم التناهی فی السلسلتین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التنقیص</w:t>
      </w:r>
      <w:bookmarkStart w:id="229" w:name="pg19667_765322"/>
    </w:p>
    <w:p>
      <w:pPr>
        <w:pStyle w:val="BookText"/>
        <w:rPr/>
      </w:pPr>
      <w:bookmarkEnd w:id="229"/>
      <w:r>
        <w:rPr>
          <w:rFonts w:ascii="IRNazanin" w:hAnsi="IRNazanin" w:eastAsia="IRNazanin"/>
          <w:color w:val="111111"/>
          <w:sz w:val="28"/>
          <w:sz w:val="28"/>
          <w:szCs w:val="28"/>
          <w:rtl w:val="true"/>
          <w:lang w:bidi="fa-IR"/>
        </w:rPr>
        <w:t>من أوّل الخطّ لا ینافی ذهاب الباقی إلی غیر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مبدأ الخطّ محدودا لا ینافی کون آخره غیر متناه، و إن کان الخطّان غیر محدودین مبدءا و نهایة فلا معنی للتنقیص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تناهی ما بین الحاصرین، کما لو قام أحد الخطّین علی الآخر، فإنّ الزاویة تتّسع بامتداد الضلعین، فإذا فرضنا ذهابهما إلی غیر النهایة کان ما بینهما غیر متناه، و هو محال لکونه بین حاصرین و هما الضلعان، و لا یعقل عدم التناهی فیما هو محدود بین الحاصرین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أنّه منقوض بما یدّعونه من ترکّب الجسم ممّا لا یتناهی من الأجزاء، بناء علی استحالة الترکّب من الأجزاء غیر القابلة للقسمة، و أنّ کلّ جزء منه لا بدّ أن یکون منقسما إلی جزءین، فإنّه یلزم عدم التناهی فی الأجزاء مع کونها بین حاصرین، أعنی الخطین المحیطین بالجسم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التناهی فیما بین الخطّین الحاصرین إنّما یلزم إذا وصل الخطّان إلی غیر النهایة، و هو خلف، لفرض عدم تناهیهما، فأی نقطة نفرض انتهاء الخطّین إلیها فهی متناهیة، و لا بدّ أن یکون ما بینهما متناهیا أیضا، و لا یعقل انتهاء الخطّین إلی غیر النهایة کی یلزم أن یکون ما بینهما غیر متناه، کی یشکل علیه بأنّه بین حاصرین و أنّه لا یعقل عدم التناهی فیه</w:t>
      </w:r>
      <w:r>
        <w:rPr>
          <w:rFonts w:eastAsia="IRNazanin" w:cs="IRNazanin"/>
          <w:color w:val="111111"/>
          <w:sz w:val="28"/>
          <w:szCs w:val="28"/>
          <w:rtl w:val="true"/>
          <w:lang w:bidi="fa-IR"/>
        </w:rPr>
        <w:t>.</w:t>
      </w:r>
    </w:p>
    <w:p>
      <w:pPr>
        <w:pStyle w:val="Heading4"/>
        <w:numPr>
          <w:ilvl w:val="3"/>
          <w:numId w:val="1"/>
        </w:numPr>
        <w:rPr/>
      </w:pPr>
      <w:bookmarkStart w:id="230" w:name="__RefHeading___Toc3538603_2314609296"/>
      <w:bookmarkStart w:id="231" w:name="_Toc79"/>
      <w:bookmarkEnd w:id="230"/>
      <w:r>
        <w:rPr>
          <w:rtl w:val="true"/>
        </w:rPr>
        <w:t>[</w:t>
      </w:r>
      <w:r>
        <w:rPr>
          <w:rtl w:val="true"/>
        </w:rPr>
        <w:t>ذکر أمور استطرد بها الماتن فی نهایة بحث اقتضاء النهی التشریعی للفساد</w:t>
      </w:r>
      <w:r>
        <w:rPr>
          <w:rtl w:val="true"/>
        </w:rPr>
        <w:t>]</w:t>
      </w:r>
      <w:bookmarkEnd w:id="23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یخفی أنّ شیخنا قدّس سرّه </w:t>
      </w:r>
      <w:r>
        <w:rPr>
          <w:rStyle w:val="FootnoteAnchor"/>
          <w:rtl w:val="true"/>
        </w:rPr>
        <w:footnoteReference w:id="577"/>
      </w:r>
      <w:r>
        <w:rPr>
          <w:rFonts w:ascii="IRNazanin" w:hAnsi="IRNazanin" w:eastAsia="IRNazanin"/>
          <w:color w:val="111111"/>
          <w:sz w:val="28"/>
          <w:sz w:val="28"/>
          <w:szCs w:val="28"/>
          <w:rtl w:val="true"/>
          <w:lang w:bidi="fa-IR"/>
        </w:rPr>
        <w:t>استطرد أمورا هی غیر دخیلة فیما یتوخّاه من استنتاج کون النهی التشریعی موجبا للفساد، لکن من باب أنّ الشی‌ء بالشی‌ء یذکر و الحدیث ذو شجون تعرّض لهذه الأمور التی أشرنا إلیها، و هی تنحصر فی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تعرّض له من الفرق بین الأحکام الشرعیة و العقلیة فیما یعود إلی الجهل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تعرّض له من الفرق بین هذا النحو من الأحکام العقلیة ممّا هو قابل للتصرّف و الحکم الشرعی علی طبقه و لو بقاعدة الملازمة، و بین ما هو غیر قابل لذلک، کحکمه بحسن الاطاعة و قبح المعصیة، و کحکمه بحجّیة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تعرّض له من الفرق بین حرمة التشریع عقلا و شرعا و بین غیر التشریع من موارد سائر الأحکام العقلیة و ما یتبعها من الأحکام الشرعیة، کقبح ارتکاب الضرر بالنفس و حرمته، فی کون الأوّل لا مورد فیه للتعبّد بالأصل فی الجملة،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الأولی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حکم العقل بحسن بعض الأفعال فی قبال حکم الشرع بإیجابها، و حکمه بقبح بعض الأفعال و یقابله حکم الشرع بحرمتها، فإنّ الایجاب و التحریم لاحقان للفعل الذی تعلّقا به و إن کان الفاعل له جاهلا به أو بحکمه الواقعی، بخلاف الحسن و القبح فإنّهما إنّما یلحقانه بشرط العلم به و الإقدام علیه اختیارا من الفاعل، لیکون موردا لحکم العقل بحسن فعله و استحقاقه المدح علیه، أو بقبح فعله و استحقاقه الذمّ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أضرّ غیره جاهلا بذلک الضرر لم یحکم العقل بقبح فعله، و إن کان ذلک الفعل منه محرّما فی الواقع غایته أنّه معذور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من فعل الإحسان إلی الغیر جاهلا بأنّه إحسان واجب، فإنّه قد فعل واجبا شرعیا، لکنّه لا یحکم العقل علی ذلک الفعل منه بالحسن، و لا باستحقاق المدح علیه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الفرق واضح فی الجملة لا غبار علیه، نعم فی اتّصاف الفعل بکونه فی الواقع واجبا شرعا مع الجهل بوجوبه حکما أو موضوعا إشکال، من جهة</w:t>
      </w:r>
    </w:p>
    <w:p>
      <w:pPr>
        <w:pStyle w:val="BookText"/>
        <w:rPr/>
      </w:pPr>
      <w:r>
        <w:rPr>
          <w:rFonts w:ascii="IRNazanin" w:hAnsi="IRNazanin" w:eastAsia="IRNazanin"/>
          <w:color w:val="111111"/>
          <w:sz w:val="28"/>
          <w:sz w:val="28"/>
          <w:szCs w:val="28"/>
          <w:rtl w:val="true"/>
          <w:lang w:bidi="fa-IR"/>
        </w:rPr>
        <w:t xml:space="preserve">خروج ذلک الفعل عن سلسلة الایجاب، و تقیّد الفعل الذی وقع موردا للایجاب تقیّدا قهریا بکونه واقعا فی سلسلة الایجاب و بداعیه، فما لم یکن بداعیه و لو من جهة الجهل بوجوبه حکما أو موضوعا یکون خارجا عن تلک السلسلة، و لأجل ذلک قلنا فی محلّه </w:t>
      </w:r>
      <w:r>
        <w:rPr>
          <w:rStyle w:val="FootnoteAnchor"/>
          <w:rtl w:val="true"/>
        </w:rPr>
        <w:footnoteReference w:id="578"/>
      </w:r>
      <w:r>
        <w:rPr>
          <w:rFonts w:ascii="IRNazanin" w:hAnsi="IRNazanin" w:eastAsia="IRNazanin"/>
          <w:color w:val="111111"/>
          <w:sz w:val="28"/>
          <w:sz w:val="28"/>
          <w:szCs w:val="28"/>
          <w:rtl w:val="true"/>
          <w:lang w:bidi="fa-IR"/>
        </w:rPr>
        <w:t>إنّ الأصل فی الوجوب هو کونه تعبّدیا، فراجع ما علّقناه علی هذه الجهة من مبحث التعبّدی و 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فرقا آخر بین الأحکام الشرعیة و 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الکلام فی تنبیهات الاستصحاب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قابلیة الحکم الشرعی للشکّ فیه بنحو الشبهة الحکمیة و الموضوعیة، بخلاف الحکم العقلی فإنّه لمّا کان الحاکم فیه هو العقل، فلا یتأتّی فیه الشکّ علی نحو الشبهة الحکمیة، نعم یتأتّی فیه الشکّ علی نحو الشبهة الموضوعیة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و أنّه لم یتّضح کون الاطاعة و المعصیة موردا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بالغیر لا بدّ أن ینتهی إلی 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یدّعی صحّة تعلّق الأمر المولوی بالاطاعة مثلا لا یدّعی أنّ حسنها بالغیر الذی هو الأمر المولوی، کی یتوجّه علیه أنّه لا بدّ أن تنتهی السلسلة إلی إطاعة حسنة بالذات، و إن لم یحصل ذلک الانتهاء یلزم التسلسل، بل أقصی ما یدّعیه القائل بالمولویة هو أنّ الإطاعة حسنة عقلا، و أنّه لا مانع من أن تکون موردا للحکم</w:t>
      </w:r>
    </w:p>
    <w:p>
      <w:pPr>
        <w:pStyle w:val="BookText"/>
        <w:rPr/>
      </w:pPr>
      <w:r>
        <w:rPr>
          <w:rFonts w:ascii="IRNazanin" w:hAnsi="IRNazanin" w:eastAsia="IRNazanin"/>
          <w:color w:val="111111"/>
          <w:sz w:val="28"/>
          <w:sz w:val="28"/>
          <w:szCs w:val="28"/>
          <w:rtl w:val="true"/>
          <w:lang w:bidi="fa-IR"/>
        </w:rPr>
        <w:t>الشرعی بالوجوب، و لا یلزمه التسلسل، إلّا إذا قلنا بأنّ کلّ إطاعة هی حسنة بحکم العقل و أنّ کلّ إطاعة مأمور بها لقاعدة الملازمة</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من قبیل شمول القضیة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المنع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الثانی فواضح، و أمّا الأوّل فلما عرفت </w:t>
      </w:r>
      <w:r>
        <w:rPr>
          <w:rStyle w:val="FootnoteAnchor"/>
          <w:rtl w:val="true"/>
        </w:rPr>
        <w:footnoteReference w:id="583"/>
      </w:r>
      <w:r>
        <w:rPr>
          <w:rFonts w:ascii="IRNazanin" w:hAnsi="IRNazanin" w:eastAsia="IRNazanin"/>
          <w:color w:val="111111"/>
          <w:sz w:val="28"/>
          <w:sz w:val="28"/>
          <w:szCs w:val="28"/>
          <w:rtl w:val="true"/>
          <w:lang w:bidi="fa-IR"/>
        </w:rPr>
        <w:t>من أنّ العقل و إن حکم بحسن الاطاعة، إلّا أنّ حکمه بذلک مقصور علی إطاعة الأوامر العادیة المتعارفة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الأمر المتعلّق باطاعة الأمر بالصلاة فلا یری العقل إطاعته فعلا آخر فی قبال اطاعة الأمر بالصلاة کی یحکم بحسنه، لیکون حکمه بحسنه مستتبعا لحکم الشارع بوجوبه، و هکذا، لیلزم منه التسلسل، هذا کلّه مضافا إلی ما عرفت </w:t>
      </w:r>
      <w:r>
        <w:rPr>
          <w:rStyle w:val="FootnoteAnchor"/>
          <w:rtl w:val="true"/>
        </w:rPr>
        <w:footnoteReference w:id="585"/>
      </w:r>
      <w:r>
        <w:rPr>
          <w:rFonts w:ascii="IRNazanin" w:hAnsi="IRNazanin" w:eastAsia="IRNazanin"/>
          <w:color w:val="111111"/>
          <w:sz w:val="28"/>
          <w:sz w:val="28"/>
          <w:szCs w:val="28"/>
          <w:rtl w:val="true"/>
          <w:lang w:bidi="fa-IR"/>
        </w:rPr>
        <w:t>الاشارة إلیه من عدم المحالیة فی هذا النحو من التسلسل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لا یلزم من کون إطاعة الأمر بالصلاة مأمورا بها شرعا أن یکون إطاعة الأمر المتعلّق بالاطاعة المذکورة موردا للثواب، و لا عصیانه موردا</w:t>
      </w:r>
    </w:p>
    <w:p>
      <w:pPr>
        <w:pStyle w:val="BookText"/>
        <w:rPr/>
      </w:pPr>
      <w:r>
        <w:rPr>
          <w:rFonts w:ascii="IRNazanin" w:hAnsi="IRNazanin" w:eastAsia="IRNazanin"/>
          <w:color w:val="111111"/>
          <w:sz w:val="28"/>
          <w:sz w:val="28"/>
          <w:szCs w:val="28"/>
          <w:rtl w:val="true"/>
          <w:lang w:bidi="fa-IR"/>
        </w:rPr>
        <w:t xml:space="preserve">للعقاب، لما عرفت </w:t>
      </w:r>
      <w:r>
        <w:rPr>
          <w:rStyle w:val="FootnoteAnchor"/>
          <w:rtl w:val="true"/>
        </w:rPr>
        <w:footnoteReference w:id="586"/>
      </w:r>
      <w:r>
        <w:rPr>
          <w:rFonts w:ascii="IRNazanin" w:hAnsi="IRNazanin" w:eastAsia="IRNazanin"/>
          <w:color w:val="111111"/>
          <w:sz w:val="28"/>
          <w:sz w:val="28"/>
          <w:szCs w:val="28"/>
          <w:rtl w:val="true"/>
          <w:lang w:bidi="fa-IR"/>
        </w:rPr>
        <w:t>فیما أشرنا إلیه من أنّ هذا الأمر طریقی صرف، لا یترتّب علیه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ترتّب الأثر علی هذا الأمر المولوی و لزوم لغویته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ینبغی أن یکون الإشکال الوحید فی المسألة، لکنّهم التزموا بمثله فی وجوب المقدّمة وجوبا شرعیا و إن کان غیریا، و حینئذ فالذی ینبغی هو إسقاط الإشکال بالتسلسل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إشکال الدور فقد تقدّم </w:t>
      </w:r>
      <w:r>
        <w:rPr>
          <w:rStyle w:val="FootnoteAnchor"/>
          <w:rtl w:val="true"/>
        </w:rPr>
        <w:footnoteReference w:id="587"/>
      </w:r>
      <w:r>
        <w:rPr>
          <w:rFonts w:ascii="IRNazanin" w:hAnsi="IRNazanin" w:eastAsia="IRNazanin"/>
          <w:color w:val="111111"/>
          <w:sz w:val="28"/>
          <w:sz w:val="28"/>
          <w:szCs w:val="28"/>
          <w:rtl w:val="true"/>
          <w:lang w:bidi="fa-IR"/>
        </w:rPr>
        <w:t>أنّی لم أتوفّق لتطبیقه فی المقام،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یراد منه أنّ الأمر المتعلّق بالاطاعة فی الدرجة الثانیة هو الأمر المتعلّق بالاطاعة فی الدرجة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 حجّیة العلم عقلا فهی مورد هذه القضیة، أعنی قضیة أنّ ما بالغیر لا بدّ أن ینتهی إلی ما بالذات، لأنّا إذا قلنا إنّ حجّیة العلم غیر ذاتیة و أنّها محتاجة إلی دلیل، فذلک الدلیل لا یمکننا إثبات حجّیته إلّا بالعلم، و حینئذ یلزم الدور، لأنّ حجّیة العلم موقوفة علی الدلیل، و حجّیة ذلک الدلیل موقوفة علی العلم بحجّیته، التی هی عبارة أخری عن حجّیة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تقریب التسلسل فیه فهو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ذلک الدلیل موقوفة علی العلم بها، و حجّیة العلم بها موقوفة علی الدلیل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العلم الواقع فی هذه السلسلة هو نفس العلم الذی أردنا إثبات حجّیته لا شیئا آخر، فلا یکون فی البین إلّا إشکال الدور، فتأمّل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تفصیل الکلام فیها فیما قدّمناه </w:t>
      </w:r>
      <w:r>
        <w:rPr>
          <w:rStyle w:val="FootnoteAnchor"/>
          <w:rtl w:val="true"/>
        </w:rPr>
        <w:footnoteReference w:id="588"/>
      </w:r>
      <w:r>
        <w:rPr>
          <w:rFonts w:ascii="Amiri" w:hAnsi="Amiri" w:eastAsia="Amiri" w:cs="Amiri"/>
          <w:color w:val="111111"/>
          <w:sz w:val="28"/>
          <w:sz w:val="28"/>
          <w:szCs w:val="28"/>
          <w:rtl w:val="true"/>
          <w:lang w:bidi="ar-SA"/>
        </w:rPr>
        <w:t>و أنّ ما</w:t>
      </w:r>
    </w:p>
    <w:p>
      <w:pPr>
        <w:pStyle w:val="BookText"/>
        <w:rPr/>
      </w:pPr>
      <w:r>
        <w:rPr>
          <w:rFonts w:ascii="IRNazanin" w:hAnsi="IRNazanin" w:eastAsia="IRNazanin"/>
          <w:color w:val="111111"/>
          <w:sz w:val="28"/>
          <w:sz w:val="28"/>
          <w:szCs w:val="28"/>
          <w:rtl w:val="true"/>
          <w:lang w:bidi="fa-IR"/>
        </w:rPr>
        <w:t>فی الحاشیة</w:t>
      </w:r>
      <w:r>
        <w:rPr>
          <w:rStyle w:val="FootnoteAnchor"/>
          <w:rtl w:val="true"/>
        </w:rPr>
        <w:footnoteReference w:id="589"/>
      </w:r>
      <w:r>
        <w:rPr>
          <w:rFonts w:ascii="IRNazanin" w:hAnsi="IRNazanin" w:eastAsia="IRNazanin"/>
          <w:color w:val="111111"/>
          <w:sz w:val="28"/>
          <w:sz w:val="28"/>
          <w:szCs w:val="28"/>
          <w:rtl w:val="true"/>
          <w:lang w:bidi="fa-IR"/>
        </w:rPr>
        <w:t>غیر متوجّه علی ما أفاده شیخنا قدّس سرّه بعد الالتزام بکون حکم العقل بقبح التشریع و حرمته الشرعیة من قبیل ما هو متحقّق وجدانا بملاک واحد فی مورد العلم بالعدم و مورد عدم العلم، فلا یجری فیه استصحاب العدم أعنی عدم الحجّیة، إذ لا یترتّب علیه إلّا ما هو متحقّق وجدانا من القبح و الحرمة الشرعیة المنوطین بعدم العلم و العلم بالعدم بملاک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فی آخر هذه الحاشیة من قیاس ما نحن فیه بالبراءة العقلیة و الاباحة الشرعیة الظاهریة، و ذلک لوضوح أنّ الاباحة الشرعیة الظاهریة حکم من الأحکام الشرعیة، و أین ذلک من مجرّد قبح العقاب بلا بیان، و حینئذ فکیف تکون الاباحة الشرعیة الظاهریة من قبیل الاحراز التعبّدی لما هو محرز وجدانا، أو من قبیل اللغویة کما هو ظاهر الحاشیة، فإنّ اللغویة إنّما تکون فیما لو کان الأثر الحاصل بأصالة الحل هو بعینه حاصلا بقاعدة قبح العقاب من دون بیان، و المفروض أنّ أثرهما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اشتراکهما فی مطلق تجویز الاقدام لا یوجب ذلک مع فرض کون أحدهما عقلیا و الآخر شرعیا، فتأمّل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استصحاب الحجّیة نافع فی المقام، لأنّه یخرجه عن موضوع عدم إحراز الحجّیة أو إحراز عدمها إلی إحراز الحجّیة، الموجبة لخروجه عن موضوع المنع عن التشریع 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الأمارة القائمة علی عدم الحجّیة فقد تعرّض شیخنا قدّس سرّه فی أوائل مباحث حجّیة الظنّ للفرق بینها و بین استصحاب عدم الحجّیة، فراجعه بما علّقناه علیه هناک </w:t>
      </w:r>
      <w:r>
        <w:rPr>
          <w:rStyle w:val="FootnoteAnchor"/>
          <w:rtl w:val="true"/>
        </w:rPr>
        <w:footnoteReference w:id="590"/>
      </w:r>
      <w:r>
        <w:rPr>
          <w:rFonts w:ascii="Amiri" w:hAnsi="Amiri" w:eastAsia="Amiri" w:cs="Amiri"/>
          <w:color w:val="111111"/>
          <w:sz w:val="28"/>
          <w:sz w:val="28"/>
          <w:szCs w:val="28"/>
          <w:rtl w:val="true"/>
          <w:lang w:bidi="ar-SA"/>
        </w:rPr>
        <w:t>و تأمّل</w:t>
      </w:r>
      <w:r>
        <w:rPr>
          <w:rFonts w:eastAsia="Amiri" w:cs="Amiri" w:ascii="Amiri" w:hAnsi="Amiri"/>
          <w:color w:val="111111"/>
          <w:sz w:val="28"/>
          <w:szCs w:val="28"/>
          <w:rtl w:val="true"/>
          <w:lang w:bidi="ar-SA"/>
        </w:rPr>
        <w:t>.</w:t>
      </w:r>
      <w:bookmarkStart w:id="232" w:name="pg19667_765328"/>
    </w:p>
    <w:p>
      <w:pPr>
        <w:pStyle w:val="Heading3"/>
        <w:numPr>
          <w:ilvl w:val="2"/>
          <w:numId w:val="1"/>
        </w:numPr>
        <w:rPr/>
      </w:pPr>
      <w:bookmarkStart w:id="233" w:name="__RefHeading___Toc3538605_2314609296"/>
      <w:bookmarkStart w:id="234" w:name="_Toc80"/>
      <w:bookmarkEnd w:id="232"/>
      <w:bookmarkEnd w:id="233"/>
      <w:r>
        <w:rPr>
          <w:rtl w:val="true"/>
        </w:rPr>
        <w:t>[</w:t>
      </w:r>
      <w:r>
        <w:rPr>
          <w:rtl w:val="true"/>
        </w:rPr>
        <w:t>مبحث المفاهیم</w:t>
      </w:r>
      <w:bookmarkEnd w:id="234"/>
    </w:p>
    <w:p>
      <w:pPr>
        <w:pStyle w:val="Heading4"/>
        <w:numPr>
          <w:ilvl w:val="3"/>
          <w:numId w:val="1"/>
        </w:numPr>
        <w:rPr/>
      </w:pPr>
      <w:bookmarkStart w:id="235" w:name="__RefHeading___Toc3538607_2314609296"/>
      <w:bookmarkStart w:id="236" w:name="_Toc81"/>
      <w:bookmarkEnd w:id="235"/>
      <w:r>
        <w:rPr>
          <w:rtl w:val="true"/>
        </w:rPr>
        <w:t>[</w:t>
      </w:r>
      <w:r>
        <w:rPr>
          <w:rtl w:val="true"/>
        </w:rPr>
        <w:t>فی بیان المراد من المفهوم</w:t>
      </w:r>
      <w:bookmarkEnd w:id="236"/>
    </w:p>
    <w:p>
      <w:pPr>
        <w:pStyle w:val="Heading5"/>
        <w:numPr>
          <w:ilvl w:val="4"/>
          <w:numId w:val="1"/>
        </w:numPr>
        <w:rPr/>
      </w:pPr>
      <w:bookmarkStart w:id="237" w:name="__RefHeading___Toc3538609_2314609296"/>
      <w:bookmarkStart w:id="238" w:name="_Toc82"/>
      <w:bookmarkEnd w:id="237"/>
      <w:r>
        <w:rPr>
          <w:rtl w:val="true"/>
        </w:rPr>
        <w:t>[</w:t>
      </w:r>
      <w:r>
        <w:rPr>
          <w:rtl w:val="true"/>
        </w:rPr>
        <w:t>التأمّل فی کون المفهوم مشترکا لفظیا</w:t>
      </w:r>
      <w:r>
        <w:rPr>
          <w:rtl w:val="true"/>
        </w:rPr>
        <w:t>]</w:t>
      </w:r>
      <w:bookmarkEnd w:id="23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بهذا الاعتبار یختصّ بالمفاهیم الافرادیة، و المفهوم المقابل للمنطوق الذی هو محلّ الکلام یختصّ بالجمل الترکیبیة، و الدلالة مشترکة بین القسمین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عقّبه فی الطبعة الجدیدة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 المفهوم حینئذ یکون مشترکا لفظیا بین المعنیین، بخلاف لفظ المدلول فإنّه مشترک معنوی بینهما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لفظ المفهوم مشترکا لفظیا بینهما محلّ تأمّل، لعدم ثبوت اصطلاح جدید، بل الظاهر أنّه باق علی ما هو علیه من کونه اسم مفعول من الفهم، غایته أنّه قد یطلق علی ذلک المعنی البسیط المعبّر عنه بالصورة العقلیة من الشی‌ء، باعتبار کونه مفهوما من اللفظ الدالّ علیها، و أخری یطلق علی الجملة المستفادة من جملة أخری بطریق الملازمة، باعتبار أنّها یفهم محصّلها من تلک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فی ذلک سهل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المرحوم الشیخ محمّد علی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کما یکون فی الألفاظ الأفرادیة کذلک یکون فی الجمل الترکیبیة الخ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فإنّ مرجعه إلی إنکار القضیة العقلیة، التی هی علی طبق القضیة الخارجیة المحکیة بالقضیة اللفظیة</w:t>
      </w:r>
      <w:r>
        <w:rPr>
          <w:rFonts w:eastAsia="IRNazanin" w:cs="IRNazanin"/>
          <w:color w:val="111111"/>
          <w:sz w:val="28"/>
          <w:szCs w:val="28"/>
          <w:rtl w:val="true"/>
          <w:lang w:bidi="fa-IR"/>
        </w:rPr>
        <w:t>.</w:t>
      </w:r>
      <w:bookmarkStart w:id="239" w:name="pg19667_765329"/>
    </w:p>
    <w:p>
      <w:pPr>
        <w:pStyle w:val="Heading5"/>
        <w:numPr>
          <w:ilvl w:val="4"/>
          <w:numId w:val="1"/>
        </w:numPr>
        <w:rPr/>
      </w:pPr>
      <w:bookmarkStart w:id="240" w:name="__RefHeading___Toc3538611_2314609296"/>
      <w:bookmarkStart w:id="241" w:name="_Toc83"/>
      <w:bookmarkEnd w:id="239"/>
      <w:bookmarkEnd w:id="240"/>
      <w:r>
        <w:rPr>
          <w:rtl w:val="true"/>
        </w:rPr>
        <w:t>[</w:t>
      </w:r>
      <w:r>
        <w:rPr>
          <w:rtl w:val="true"/>
        </w:rPr>
        <w:t>دخول الدلالة التضمّنیة فی الدلالة الالتزامیة</w:t>
      </w:r>
      <w:r>
        <w:rPr>
          <w:rtl w:val="true"/>
        </w:rPr>
        <w:t>]</w:t>
      </w:r>
      <w:bookmarkEnd w:id="24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تدخل الدلالة التضمّنیة بهذا الاعتبار فی الدلالة الالتزامیة، و لا تکون قسما آخر فی قبالها، إذ اللازم فی الدلالة الالتزامیة کون انفهام شی‌ء لازما لانفهام الموضوع له، کما فی مثال العمی و البصر، لاکون ما یفهم من اللفظ لازما للموضوع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ملاک الملازمة بین الدلالتین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المطابقة 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المعنی فی الثانیة خارجا لازما للمعنی فی الأوّل، علی وجه یکون تصوّر الأوّل موجبا لتصوّر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لا ینطبق علی جزء المعنی، لکونه داخلا فیه، و لأجل کون الجزء داخلا فی الکلّ یکون انفهامه فی ضمن انفهام الکل، کما أنّ إرادة المتکلّم له تکون فی ضمن إرادته للکل، فهی فی ذلک نظیر وجوب الجزء فی ضمن وجوب الکلّ، لا الوجوب المدّعی ترشّحه علیه من وجوب الکل، أعنی بذلک 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انفهام الجزء لو کان بطریق الالتزام لکان متأخرا رتبة عن انفهام الکل، کتأخّر الوجوب الغیری عن الوجوب النفسی الطارئ علی الکلّ، و قد عرفت أنّه یکون انفهامه فی ضمن انفهام الکلّ فیکون فی رتبته، إذ لیس هو انفهاما آخر متأخّرا عن انفهام الکل، و 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قلنا إنّ مفاد الوجوب هو طلب الفعل مع المنع من الترک یکون دلالة الأمر الوجوبی علی النهی عن الترک بالدلالة التضمّنیة، فتأمّل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المرحوم الشیخ محمّد علی قد نقل عنه قدّس سرّه </w:t>
      </w:r>
      <w:r>
        <w:rPr>
          <w:rStyle w:val="FootnoteAnchor"/>
          <w:rtl w:val="true"/>
        </w:rPr>
        <w:footnoteReference w:id="594"/>
      </w:r>
      <w:r>
        <w:rPr>
          <w:rFonts w:ascii="IRNazanin" w:hAnsi="IRNazanin" w:eastAsia="IRNazanin"/>
          <w:color w:val="111111"/>
          <w:sz w:val="28"/>
          <w:sz w:val="28"/>
          <w:szCs w:val="28"/>
          <w:rtl w:val="true"/>
          <w:lang w:bidi="fa-IR"/>
        </w:rPr>
        <w:t>البرهان علی إنکار الدلالة التضمّنیة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الذی هو المدرک العقلانی بسیط لا</w:t>
      </w:r>
      <w:bookmarkStart w:id="242" w:name="pg19667_765330"/>
    </w:p>
    <w:p>
      <w:pPr>
        <w:pStyle w:val="BookText"/>
        <w:rPr/>
      </w:pPr>
      <w:bookmarkEnd w:id="242"/>
      <w:r>
        <w:rPr>
          <w:rFonts w:ascii="IRNazanin" w:hAnsi="IRNazanin" w:eastAsia="IRNazanin"/>
          <w:color w:val="111111"/>
          <w:sz w:val="28"/>
          <w:sz w:val="28"/>
          <w:szCs w:val="28"/>
          <w:rtl w:val="true"/>
          <w:lang w:bidi="fa-IR"/>
        </w:rPr>
        <w:t>ترکیب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هذا البرهان مبنی علی أنّ ما تحکیه الألفاظ هو تلک الصور العقلیة، و یمکن منعه، بل إنّ المحکی باللفظ و المقصود به هو المعنی الواقعی لا بقید وجوده الذهنی،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أهل المنطق و إن ذکروا أنّ اللزوم المعتبر فی الدلالة الالتزامیة هو اللزوم البیّن بالمعنی الأخصّ، کالبصر بالنسبة إلی العمی، فإنّ لفظ العمی یحدث معناه فی ذهن السامع، و حیث إنّ تصوّر معنی العمی لا ینفکّ عن تصوّر البصر قالوا إنّ دلالته علیه التزامیة، فلا یکون ملاک الدلالة الالتزامیة عندهم هو الملازمة الواقعیة بین المعنیین، بل ملاکه هو الملازمة بین التصوّرین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هذا إنّما یتأتّی فی الدلالة التصوّریة التی هی عبارة عن حضور المعنی فی ذهن السامع، دون الدلالة التصدیقیة التی هی عبارة عن الحکم علی المتکلّم بأنّه أراد ذلک المعنی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دخل لذلک بالتلازم بین التصوّرین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الواضح أنّ هذه الدلالة لا دخل لها بالدلالة الالتزامیة التی اصطلح علیها أهل المنطق، و جعلوا الملاک فیها هو اللزوم البیّن بالمعنی الأخصّ، فإنّ تلک الملازمة لا دخل لها بعالم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الغالب فیها أنّ المتکلّم لا یکون مریدا للازم و إن کان ذلک اللازم یحضر فی ذهن السامع لکن لا یحکم السامع بأنّ المتکلّم أراد ذلک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جاءَهُ الْأَعْمی </w:t>
      </w:r>
      <w:r>
        <w:rPr>
          <w:rStyle w:val="FootnoteAnchor"/>
          <w:rtl w:val="true"/>
        </w:rPr>
        <w:footnoteReference w:id="595"/>
      </w:r>
      <w:r>
        <w:rPr>
          <w:rFonts w:ascii="IRNazanin" w:hAnsi="IRNazanin" w:eastAsia="IRNazanin"/>
          <w:color w:val="111111"/>
          <w:sz w:val="28"/>
          <w:sz w:val="28"/>
          <w:szCs w:val="28"/>
          <w:rtl w:val="true"/>
          <w:lang w:bidi="fa-IR"/>
        </w:rPr>
        <w:t>دالا علی أن جاءه البصیر</w:t>
      </w:r>
      <w:r>
        <w:rPr>
          <w:rFonts w:eastAsia="IRNazanin" w:cs="IRNazanin"/>
          <w:color w:val="111111"/>
          <w:sz w:val="28"/>
          <w:szCs w:val="28"/>
          <w:rtl w:val="true"/>
          <w:lang w:bidi="fa-IR"/>
        </w:rPr>
        <w:t>.</w:t>
      </w:r>
    </w:p>
    <w:p>
      <w:pPr>
        <w:pStyle w:val="Heading5"/>
        <w:numPr>
          <w:ilvl w:val="4"/>
          <w:numId w:val="1"/>
        </w:numPr>
        <w:rPr/>
      </w:pPr>
      <w:bookmarkStart w:id="243" w:name="__RefHeading___Toc3538613_2314609296"/>
      <w:bookmarkStart w:id="244" w:name="_Toc84"/>
      <w:bookmarkEnd w:id="243"/>
      <w:r>
        <w:rPr>
          <w:rtl w:val="true"/>
        </w:rPr>
        <w:t>[</w:t>
      </w:r>
      <w:r>
        <w:rPr>
          <w:rtl w:val="true"/>
        </w:rPr>
        <w:t>الفرق بین المفهوم و بین الدلالة الالتزامیة باصطلاح المنطقیین</w:t>
      </w:r>
      <w:bookmarkEnd w:id="24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فرق آخر بین الدلالة الالتزامیة المصطلحة لأهل المنطق و بین ما نحن فیه من المفهوم، فإنّ تلک فی المفردات باعتبار تلازمها فی مقام التصوّر، و هذه فی الأحکام الخبریة أو الانشائیة باعتبار تلازمها فی عالم التحقّق فی وعاء اعتبارها، و لا معنی لأن یقال إنّ مفهوم الجملة الثانیة ملازم لمفهوم الجملة الأولی</w:t>
      </w:r>
    </w:p>
    <w:p>
      <w:pPr>
        <w:pStyle w:val="BookText"/>
        <w:rPr/>
      </w:pPr>
      <w:r>
        <w:rPr>
          <w:rFonts w:ascii="IRNazanin" w:hAnsi="IRNazanin" w:eastAsia="IRNazanin"/>
          <w:color w:val="111111"/>
          <w:sz w:val="28"/>
          <w:sz w:val="28"/>
          <w:szCs w:val="28"/>
          <w:rtl w:val="true"/>
          <w:lang w:bidi="fa-IR"/>
        </w:rPr>
        <w:t>الموجود فی عالم المنطوق لزوما ذهنیا بیّنا بالمعنی الأخصّ، خصوصا فی مثل مفهوم حرمة الضرب بالنسبة إلی حرمة قول أف، بل إنّ هذا اللزوم لزوم خارجی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مفهوم الحصر، مثل ما لو حصر جواز الفعل المحرّم فی حدّ نفسه بصورة الاضطرار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اضطررت جاز لک شربه، أو إنّما یجوز عند الاضطرار، فإنّ هذا الحکم و هو الحکم بالجواز بنحو الحصر یلزمه واقعا انتفاء الجواز فی غیر المورد المحصور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سائر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دخل لذلک باللزوم الذهنی البیّن بالمعنی الأخصّ الذی هو مجرّد التلازم بین التصوّرین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الذی حرّرناه یکون النزاع فی أنّ الجملة هل لها مفهوم أو لا، راجعا إلی أنّها هل تدلّ علی خصوصیة یکون تحقّق تلک الخصوصیة فی وعائها ملزوما لتحقّق المفهوم فی وعائه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التأمّل فیما أفید فی الطبعة الجدیدة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حجّیة المفهوم و عدمها إنّما هو نزاع فی وجود المفهوم و عدمه لأنّ النزاع فی الحقیقة إنّما هو فی دلالة اللفظ علیه بنحو الالتزام و عدمها</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النزاع لیس فی دلالة اللفظ علی المفهوم ابتداء، بل إنّما هو فی دلالته علی ما هو ملزوم ذلک المفهوم، إذ بعد دلالته علی الملزوم یکون لازمه الذی هو المفهوم متحقّقا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دلالة الجملة الفلانیة علی أنّ الجهة الفلانیة علّة للحکم علی نحو الانحصار یلزمه انتفاء ذلک الحکم عند انتفائها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نسمّی هذه الدلالة علی الانتفاء عند الانتفاء لفظیة باعتبار دلالته علی</w:t>
      </w:r>
    </w:p>
    <w:p>
      <w:pPr>
        <w:pStyle w:val="BookText"/>
        <w:rPr/>
      </w:pPr>
      <w:r>
        <w:rPr>
          <w:rFonts w:ascii="IRNazanin" w:hAnsi="IRNazanin" w:eastAsia="IRNazanin"/>
          <w:color w:val="111111"/>
          <w:sz w:val="28"/>
          <w:sz w:val="28"/>
          <w:szCs w:val="28"/>
          <w:rtl w:val="true"/>
          <w:lang w:bidi="fa-IR"/>
        </w:rPr>
        <w:t>ملزوم الانتفاء عند الانتفاء، بخلاف دلالة مثل کفّر علی سببیة الوطء للکفّارة، و دلالة الآیتین علی أقل الحمل، فإنّها إنّما تکون بعنایات أخر و جهات أجنبیة عن الدلالة علی الملزوم الموجبة لانتقال الذهن إلی لازمه، و بناء علی ذلک یکون دلالة الأمر بالشی‌ء علی إیجاب مقدّمته و نحو ذلک من قبیل الدلالة اللفظیة بهذه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تلخّص من هذا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دلالة اللفظ علی ما هو لازم معناه بالمعنی الذی ذکروه للبین بالمعنی الأخصّ إنّما هی من محض حضور اللازم فی ذهن السامع عند حضور ملزومه فی الذهن بواسطة سماع اللفظ، لیست من الدلالة التصدیقیة التی مرجعها إلی الحکم علی المتکلّم بأنّه أراد ذلک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یقع الکلام فی أنّه هل لنا دلالة تصدیقیة لفظیة التزامیة، بحیث یکون منشأ الحکم بأنّ المتکلّم أراد ذلک اللازم هو الملازمة بین المعنیین؟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وجود لمثل هذه الدلالة، نعم بعد تحقّق الملازمة بین المعنیین لو دلّ الکلام اللفظی علی تحقّق الملزوم ننتقل نحن إلی أنّ لازم ذلک المعنی قد تحقّق أیضا بعد ثبوت الملازمة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هذا الانتقال لیس من الدلالة اللفظیة التصدیقیة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تحقّق الملازمة بین المعنیین و بما ذا تثبت به تلک الملازمة بینهما فذلک أمر آخر، و ربما کان مجرّد تصوّر الملزوم کافیا فی إثبات الملازمة بینهما، کما یقال إنّ تصوّر معنی الاثنین کاف فی الحکم بأنّها ضعف الواحد</w:t>
      </w:r>
      <w:r>
        <w:rPr>
          <w:rStyle w:val="FootnoteAnchor"/>
          <w:rtl w:val="true"/>
        </w:rPr>
        <w:footnoteReference w:id="597"/>
      </w:r>
      <w:r>
        <w:rPr>
          <w:rFonts w:ascii="IRNazanin" w:hAnsi="IRNazanin" w:eastAsia="IRNazanin"/>
          <w:color w:val="111111"/>
          <w:sz w:val="28"/>
          <w:sz w:val="28"/>
          <w:szCs w:val="28"/>
          <w:rtl w:val="true"/>
          <w:lang w:bidi="fa-IR"/>
        </w:rPr>
        <w:t>و ربما سمّی هذا النحو من اللزوم بأنّه البیّن بالمعنی الأخصّ، و ربما کان ذلک غیر کاف فی الحکم باللزوم بینهما، بل یکون الحکم</w:t>
      </w:r>
      <w:bookmarkStart w:id="245" w:name="pg19667_765333"/>
    </w:p>
    <w:p>
      <w:pPr>
        <w:pStyle w:val="BookText"/>
        <w:rPr/>
      </w:pPr>
      <w:bookmarkEnd w:id="245"/>
      <w:r>
        <w:rPr>
          <w:rFonts w:ascii="IRNazanin" w:hAnsi="IRNazanin" w:eastAsia="IRNazanin"/>
          <w:color w:val="111111"/>
          <w:sz w:val="28"/>
          <w:sz w:val="28"/>
          <w:szCs w:val="28"/>
          <w:rtl w:val="true"/>
          <w:lang w:bidi="fa-IR"/>
        </w:rPr>
        <w:t>باللزوم بینهما متوقّفا علی تصوّر اللازم أیضا، ککون الکل أعظم من الجزء، فإنّ هذا اللازم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کونه أعظم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الحکم بلزومه للکل مجرّد تصوّر الکل، بل لا بدّ فی ذلک من تصوّر الجزء، بأن تتصوّر الکل و تتصوّر الجزء و بعد تصوّرک الطرفین تحکم حینئذ بأنّ الکل أعظم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هذا النحو باللزوم البیّن بالمعنی الأخصّ، و تسمّی هذه القضیة القائلة بأنّ الکل أعظم من الجزء بأنّها من القضایا التی قیاساتها معها، لکفایة تصوّر طرفیها فی التصدیق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الحکم باللزوم بینهما محتاجا إلی تصوّر النسبة بینهما مضافا إلی تصوّرهما، فیکون الحکم باللزوم بینهما محتاجا إلی تصوّرات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الملزوم و تصوّر اللازم و تصوّر النسبة بینهما، مثل کون الاثنین ربع الثمانیة، فإنّ الحکم علی الاثنین بأنّها ربع الثمانیة یحتاج إلی تصوّر الاثنین و تصوّر الثمانیة و تصوّر النسبة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یظهر من التهذیب </w:t>
      </w:r>
      <w:r>
        <w:rPr>
          <w:rStyle w:val="FootnoteAnchor"/>
          <w:rtl w:val="true"/>
        </w:rPr>
        <w:footnoteReference w:id="598"/>
      </w:r>
      <w:r>
        <w:rPr>
          <w:rFonts w:ascii="IRNazanin" w:hAnsi="IRNazanin" w:eastAsia="IRNazanin"/>
          <w:color w:val="111111"/>
          <w:sz w:val="28"/>
          <w:sz w:val="28"/>
          <w:szCs w:val="28"/>
          <w:rtl w:val="true"/>
          <w:lang w:bidi="fa-IR"/>
        </w:rPr>
        <w:t>أنّ هذا هو اللزوم البیّن بالمعنی الأعمّ، لکن الذی ذکره فی الشمسیة</w:t>
      </w:r>
      <w:r>
        <w:rPr>
          <w:rStyle w:val="FootnoteAnchor"/>
          <w:rtl w:val="true"/>
        </w:rPr>
        <w:footnoteReference w:id="599"/>
      </w:r>
      <w:r>
        <w:rPr>
          <w:rFonts w:ascii="IRNazanin" w:hAnsi="IRNazanin" w:eastAsia="IRNazanin"/>
          <w:color w:val="111111"/>
          <w:sz w:val="28"/>
          <w:sz w:val="28"/>
          <w:szCs w:val="28"/>
          <w:rtl w:val="true"/>
          <w:lang w:bidi="fa-IR"/>
        </w:rPr>
        <w:t>أنّ اللزوم بالمعنی الأعمّ هو السابق، أعنی ما توقّف الحکم به علی تصوّر الطرفین فقط</w:t>
      </w:r>
      <w:r>
        <w:rPr>
          <w:rFonts w:eastAsia="IRNazanin" w:cs="IRNazanin"/>
          <w:color w:val="111111"/>
          <w:sz w:val="28"/>
          <w:szCs w:val="28"/>
          <w:rtl w:val="true"/>
          <w:lang w:bidi="fa-IR"/>
        </w:rPr>
        <w:t>.</w:t>
      </w:r>
    </w:p>
    <w:p>
      <w:pPr>
        <w:pStyle w:val="Heading5"/>
        <w:numPr>
          <w:ilvl w:val="4"/>
          <w:numId w:val="1"/>
        </w:numPr>
        <w:rPr/>
      </w:pPr>
      <w:bookmarkStart w:id="246" w:name="__RefHeading___Toc3538615_2314609296"/>
      <w:bookmarkStart w:id="247" w:name="_Toc85"/>
      <w:bookmarkEnd w:id="246"/>
      <w:r>
        <w:rPr>
          <w:rtl w:val="true"/>
        </w:rPr>
        <w:t>[</w:t>
      </w:r>
      <w:r>
        <w:rPr>
          <w:rtl w:val="true"/>
        </w:rPr>
        <w:t>الفرق بین اللزوم البیّن بالمعنی الأعمّ و الأخصّ</w:t>
      </w:r>
      <w:bookmarkEnd w:id="247"/>
    </w:p>
    <w:p>
      <w:pPr>
        <w:pStyle w:val="BookText"/>
        <w:rPr/>
      </w:pPr>
      <w:r>
        <w:rPr>
          <w:rFonts w:ascii="IRNazanin" w:hAnsi="IRNazanin" w:eastAsia="IRNazanin"/>
          <w:color w:val="111111"/>
          <w:sz w:val="28"/>
          <w:sz w:val="28"/>
          <w:szCs w:val="28"/>
          <w:rtl w:val="true"/>
          <w:lang w:bidi="fa-IR"/>
        </w:rPr>
        <w:t>ثمّ إنّه ربما کان الحکم بالملازمة متوقّفا علی جهات أخر زائدة علی تصوّر الطرفین و تصوّر النسبة بینهما، و هذا هو غیر البیّن بالمعنی الأعمّ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فالذی ینبغی أن یسمّی بالبیّن بالمعنی الأخصّ هو الذی یکفی فی الحکم باللزوم فیه مجرّد تصوّر الملزوم، فإنّ ما یکفی فی الحکم باللزوم فیه مجرّد التصوّر الواحد الذی هو تصوّر الملزوم أخصّ ممّا یحتاج إلی</w:t>
      </w:r>
    </w:p>
    <w:p>
      <w:pPr>
        <w:pStyle w:val="BookText"/>
        <w:rPr/>
      </w:pPr>
      <w:r>
        <w:rPr>
          <w:rFonts w:ascii="IRNazanin" w:hAnsi="IRNazanin" w:eastAsia="IRNazanin"/>
          <w:color w:val="111111"/>
          <w:sz w:val="28"/>
          <w:sz w:val="28"/>
          <w:szCs w:val="28"/>
          <w:rtl w:val="true"/>
          <w:lang w:bidi="fa-IR"/>
        </w:rPr>
        <w:t>تصوّرین أو ثلاثة تصوّرات، لأنّه کلّما کفی التصوّر الواحد کفی التصوّران أو الثلاثة، و 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ذلک البیّن الذی اصطلحوا علیه بأنّه البیّن بالمعنی الأخص، أعنی ما یکون فیه حضور الملزوم فی الذهن موجبا لحضور اللازم فیه و إن کان بینهما کمال المباینة، کما فی مثل البصر بالنسبة إلی العمی، أو الأبوّة بالنسبة إلی البنوّة، فینبغی أن یکون أجنبیا عن هذا اللزوم الذی سمّوه بیّنا بالمعنی الأعمّ، بل بینهما کمال المباینة، لأنّ ذلک فی ناحیة، و هذا فی ناحیة، فلا معنی للقول بأنّه أخصّ منه، لأنّ هذا فی ناحیة ما یکفی فی الحکم باللزوم بینهما، و ذاک راجع إلی أنّ حضور الملزوم فی الذهن موجب لحضور اللازم فیه، و أین هذه الناحیة من ناحیة الحکم باللزوم بینهما،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اللازم لیس من عوارض الملزوم، فکیف صحّ أن یعدّ من أقسام الخاصّة و العرض العام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منهما إن امتنع انفکاکه عن الشی‌ء فلازم بالنظر إلی الماهیة أو الوجود، بیّن یلزم تصوّره من تصوّر الملزوم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کانت العبارة فی بعض النسخ مبدّلة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یلزم من تصوّر الملزوم أو من تصوّرهما و النسبة بینهما الجزم باللزوم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اللازم البیّن بالمعنی الأخصّ منطبقا علی ما ذکرناه من مثل لزوم ضعف الواحد للاثنین، فیکون من عوارض الملزوم، و یکون تصوّر الملزوم فیه کافیا فی الحکم باللزوم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علی الظاهر من الغلط فی العبارة من قبل النسّاخ، فإنّه لم یذکر هذا المعنی للبین بالمعنی الأخصّ غیره من المنطقیین، فراجع و تأمّل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أنّ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الحکم بأنّ هذا العارض لازم لذلک</w:t>
      </w:r>
    </w:p>
    <w:p>
      <w:pPr>
        <w:pStyle w:val="BookText"/>
        <w:rPr/>
      </w:pPr>
      <w:r>
        <w:rPr>
          <w:rFonts w:ascii="IRNazanin" w:hAnsi="IRNazanin" w:eastAsia="IRNazanin"/>
          <w:color w:val="111111"/>
          <w:sz w:val="28"/>
          <w:sz w:val="28"/>
          <w:szCs w:val="28"/>
          <w:rtl w:val="true"/>
          <w:lang w:bidi="fa-IR"/>
        </w:rPr>
        <w:t>المعروض، و أنّه لا ینفکّ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ثبوتها بأحد الطرق السابقة تکون موجبة للحکم بأنّه متی وجد الملزوم فقد وجد لازمه، فیکون اللفظ الدالّ علی وجود الملزوم دالا علی وجود اللازم، بمعنی أنّا بعد أن ثبت عندنا وجود الملزوم بذلک الدلیل اللفظی أو بغیره من الأدلّة نحکم بأنّ اللازم موجود أیضا، و هذا علی حذو ما یقال من أنّ الأمارات حجّة فی إثبات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ذلک لیس من قبیل الدلالة اللفظیة، بل هو من قبیل الدلالة العقلیة، فإنّ اللفظ لا یدلّ إلّا علی وجود الملزوم، و نحن نحکم بوجود اللازم بعد أن تحقّق عندنا وجود الملزوم، و لا ریب أنّ الانتقال من وجود الملزوم إلی الحکم بوجود اللازم لا یکون إلّا بحکم العقل، فاللفظ الدالّ علی وجوب ذی المقدّمة، سواء کان إخبارا عن وجوبه أو کان انشاء لجعل وجوبه یکون عندنا موجبا لتحقّق وجوبه، و نحن بعد أن تحقّق عندنا وجوبه نحکم بأنّ مقدّمته واجبة أیضا، لأنّه قد ثبت عندنا من الخارج أنّ وجوب المقدّمة لازم لوجوب ذیها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جمیع ما هو من هذا القبیل، حتّی ما نحن فیه من مفهوم القضیة الشرطیة الذی هو الانتفاء عند الانتفاء، لأنّ القضیة الشرطیة بعد أن دلّت علی أنّ علّة الحکم فی ناحیة الجزاء هو المقدّم، و أنّه علی نحو العلّة المنحصرة، یتحقّق عندنا المفهوم الذی هو الانتفاء عند الانتفاء، لأنّ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للانحصار المذکور، نعم حیث إنّ هذه الملازمة یکفی فی الحکم بها مجرّد تصوّر الملزوم الذی هو انحصار علّة الحکم بالمقدّم، 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اللزوم بیّن بالمعنی الأخصّ بذلک المعنی الذی ذکرناه، لا بالمعنی الذی اصطلح علیه أهل المنطق، و اللفظ المذکور و هو القضیة الشرعیة و إن کانت لم تدلّ إلّا علی الملزوم، لکن لمّا کان لزوم ذلک اللازم بیّنا واضحا، فلنا أن نقول إنّ اللفظ</w:t>
      </w:r>
      <w:bookmarkStart w:id="248" w:name="pg19667_765336"/>
    </w:p>
    <w:p>
      <w:pPr>
        <w:pStyle w:val="BookText"/>
        <w:rPr/>
      </w:pPr>
      <w:bookmarkEnd w:id="248"/>
      <w:r>
        <w:rPr>
          <w:rFonts w:ascii="IRNazanin" w:hAnsi="IRNazanin" w:eastAsia="IRNazanin"/>
          <w:color w:val="111111"/>
          <w:sz w:val="28"/>
          <w:sz w:val="28"/>
          <w:szCs w:val="28"/>
          <w:rtl w:val="true"/>
          <w:lang w:bidi="fa-IR"/>
        </w:rPr>
        <w:t>یدلّ علیه بنحو من المسامحة، و إلّا فإنّ هذه الدلالة عقلیة صرفة</w:t>
      </w:r>
      <w:r>
        <w:rPr>
          <w:rFonts w:eastAsia="IRNazanin" w:cs="IRNazanin"/>
          <w:color w:val="111111"/>
          <w:sz w:val="28"/>
          <w:szCs w:val="28"/>
          <w:rtl w:val="true"/>
          <w:lang w:bidi="fa-IR"/>
        </w:rPr>
        <w:t>.</w:t>
      </w:r>
    </w:p>
    <w:p>
      <w:pPr>
        <w:pStyle w:val="Heading5"/>
        <w:numPr>
          <w:ilvl w:val="4"/>
          <w:numId w:val="1"/>
        </w:numPr>
        <w:rPr/>
      </w:pPr>
      <w:bookmarkStart w:id="249" w:name="__RefHeading___Toc3538617_2314609296"/>
      <w:bookmarkStart w:id="250" w:name="_Toc86"/>
      <w:bookmarkEnd w:id="249"/>
      <w:r>
        <w:rPr>
          <w:rtl w:val="true"/>
        </w:rPr>
        <w:t>[</w:t>
      </w:r>
      <w:r>
        <w:rPr>
          <w:rtl w:val="true"/>
        </w:rPr>
        <w:t>تنبیه</w:t>
      </w:r>
      <w:r>
        <w:rPr>
          <w:rtl w:val="true"/>
        </w:rPr>
        <w:t xml:space="preserve">: </w:t>
      </w:r>
      <w:r>
        <w:rPr>
          <w:rtl w:val="true"/>
        </w:rPr>
        <w:t>فی الجواب عن إشکال ربما یذکر علی کون مدرک الدلالة الالتزامیة هو اللزوم الذهنی البیّن بالمعنی الأخصّ</w:t>
      </w:r>
      <w:bookmarkEnd w:id="250"/>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أشکل علی ما ذکروه من کون مدرک الدلالة الالتزامیة هو اللزوم الذهنی البیّن بالمعنی الأخصّ، الذی هو عبارة عن کون تصوّر الملزوم موجبا لتصوّر اللازم، بما یکون لازما للوجود الذهنی، مثل الکلّیة بالنسبة إلی الإنسان، حیث إنّها إنّما تعرضه فی الذهن، لأنّه فی الخارج لا یتّصف بالکلّیة، و إنّما یتّصف بها عند وجوده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لازم الماهیة مثل زوجیة الأربعة، فإنّها تعرّضها فی الذهن أیضا کما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یلزم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الإنسان علی الکلّیة و الأربعة علی الزوجیة دلالة التزامیة، لأنّ وجود الإنسان فی الذهن یلازم وجود کلّیته فی الذهن، و کذلک وجود الأربعة فی الذهن یکون ملازما لوجود زوجیتها فی الذهن، فیکون مثل العمی بالنسبة إلی البصر، حیث إنّ وجوده فی الذهن یلازم وجود البصر فی الذهن، فینبغی أن تکون دلالة الإنسان علی کونه کلّیا و دلالة الأربعة علی کونها زوجا دلالة التزامیة، مع أنّ الملازمة بینهما لیست من قبیل البیّن بالمعنی الأخصّ، بل هی من قبیل البیّن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الإشکال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الإنسان فی الذهن و إن کان یلزمه اتّصافه بالکلّیة، و هکذا وجود الأربعة فی الذهن و إن لازم اتّصافها بالزوجیة فی الذهن، إلّا أنّ ذلک لیس من قبیل البیّن بالمعنی الأخصّ، إذ لا یکون تصوّر الإنسان موجبا لتصوّر الکلّیة کما أنّ تصوّر العمی موجب لتصوّر البصر، بل أقصی ما فی البین هو أنّ الکلّیة تعرضه عند وجوده فی الذهن، و هذا أمر آخر غیر أنّ نفس تصوّر الإنسان یوجب تصوّر الکلّیة، إذ ربما نتصوّر الإنسان و نغفل عن کونه کلّیا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الکلّیة لازمة له عند وجوده فی الذهن الذی هو ملاک</w:t>
      </w:r>
    </w:p>
    <w:p>
      <w:pPr>
        <w:pStyle w:val="BookText"/>
        <w:rPr/>
      </w:pPr>
      <w:r>
        <w:rPr>
          <w:rFonts w:ascii="IRNazanin" w:hAnsi="IRNazanin" w:eastAsia="IRNazanin"/>
          <w:color w:val="111111"/>
          <w:sz w:val="28"/>
          <w:sz w:val="28"/>
          <w:szCs w:val="28"/>
          <w:rtl w:val="true"/>
          <w:lang w:bidi="fa-IR"/>
        </w:rPr>
        <w:t>لزومها له ذهنا غیر کون تصوّره موجبا لتصوّر کلّیته، و هکذا الحال فی زوجیة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مأخوذ ممّا حقّقه السیّد الشریف فی حاشیته علی شرح الشمسیة</w:t>
      </w:r>
      <w:r>
        <w:rPr>
          <w:rStyle w:val="FootnoteAnchor"/>
          <w:rtl w:val="true"/>
        </w:rPr>
        <w:footnoteReference w:id="602"/>
      </w:r>
      <w:r>
        <w:rPr>
          <w:rFonts w:ascii="IRNazanin" w:hAnsi="IRNazanin" w:eastAsia="IRNazanin"/>
          <w:color w:val="111111"/>
          <w:sz w:val="28"/>
          <w:sz w:val="28"/>
          <w:szCs w:val="28"/>
          <w:rtl w:val="true"/>
          <w:lang w:bidi="fa-IR"/>
        </w:rPr>
        <w:t>فی الجواب عن الإشکال فی لازم الماهیة، و أنّه یلزم أن یکون من البیّن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عبارته صریحة فی أنّ اللازم الذهنی هو البیّن بالمعنی الأخصّ، و أنّ الإشکال إنّما هو فی لازم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فی هذا الجواب مجالا للنظر، لأنّا إذا اعترفنا أنّ الکلّیة لازمة لوجود الإنسان ذهنا کان محصّله أنّ الإنسان إذا وجد فی الذهن لحقته الکلّیة فی الذهن فکانت کلّیته موجودة فی الذهن، و لیس الوجود الذهنی إلّا التصوّر، و حینئذ یکون تصوّر الإنسان الذی هو عبارة عن وجوده ذهنا ملزوما لتصوّر کلّیته الذی هو عبارة عن وجود کلّیته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الإشکال علیهم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مثل اللازم البیّن من عوارض الملزوم، و قد عرفت أنّه کثیرا ما لا یکون منها، مثل لزوم البصر للعمی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اللزوم المذکور ملاکا للدلالة الالتزامیة لا یتسرّی إلی الدلالة التصدیقیة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البیّن بالمعنی الأخص بالتفسیر المذکور لا یصحّ فیه أن نقول إنّه أخص من البیّن بالمعنی الأعمّ</w:t>
      </w:r>
      <w:r>
        <w:rPr>
          <w:rFonts w:eastAsia="IRNazanin" w:cs="IRNazanin"/>
          <w:color w:val="111111"/>
          <w:sz w:val="28"/>
          <w:szCs w:val="28"/>
          <w:rtl w:val="true"/>
          <w:lang w:bidi="fa-IR"/>
        </w:rPr>
        <w:t>.</w:t>
      </w:r>
      <w:bookmarkStart w:id="251" w:name="pg19667_765338"/>
    </w:p>
    <w:p>
      <w:pPr>
        <w:pStyle w:val="BookText"/>
        <w:rPr/>
      </w:pPr>
      <w:bookmarkEnd w:id="251"/>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الملاک فی الدلالة الالتزامیة هو اللزوم المذکور یوجب عدم انحصار الدلالة الالتزامیة فیه، بل ینبغی تسریتها إلی مطلق اللزوم الذهنی، فتأمّل</w:t>
      </w:r>
      <w:r>
        <w:rPr>
          <w:rFonts w:eastAsia="IRNazanin" w:cs="IRNazanin"/>
          <w:color w:val="111111"/>
          <w:sz w:val="28"/>
          <w:szCs w:val="28"/>
          <w:rtl w:val="true"/>
          <w:lang w:bidi="fa-IR"/>
        </w:rPr>
        <w:t>.</w:t>
      </w:r>
    </w:p>
    <w:p>
      <w:pPr>
        <w:pStyle w:val="Heading5"/>
        <w:numPr>
          <w:ilvl w:val="4"/>
          <w:numId w:val="1"/>
        </w:numPr>
        <w:rPr/>
      </w:pPr>
      <w:bookmarkStart w:id="252" w:name="__RefHeading___Toc3538619_2314609296"/>
      <w:bookmarkStart w:id="253" w:name="_Toc87"/>
      <w:bookmarkEnd w:id="252"/>
      <w:r>
        <w:rPr>
          <w:rtl w:val="true"/>
        </w:rPr>
        <w:t>[</w:t>
      </w:r>
      <w:r>
        <w:rPr>
          <w:rtl w:val="true"/>
        </w:rPr>
        <w:t>نقل کلام العراقی قدّس سرّه فی أقسام الملازمة و مراتبها</w:t>
      </w:r>
      <w:r>
        <w:rPr>
          <w:rtl w:val="true"/>
        </w:rPr>
        <w:t>]</w:t>
      </w:r>
      <w:bookmarkEnd w:id="253"/>
    </w:p>
    <w:p>
      <w:pPr>
        <w:pStyle w:val="BookText"/>
        <w:rPr/>
      </w:pPr>
      <w:r>
        <w:rPr>
          <w:rFonts w:ascii="IRNazanin" w:hAnsi="IRNazanin" w:eastAsia="IRNazanin"/>
          <w:color w:val="111111"/>
          <w:sz w:val="28"/>
          <w:sz w:val="28"/>
          <w:szCs w:val="28"/>
          <w:rtl w:val="true"/>
          <w:lang w:bidi="fa-IR"/>
        </w:rPr>
        <w:t>قال أستاذنا المحقّق المرحوم آغا ضیاء الدین العراقی قدّس سرّه فیما حرّرته عن درسه فی هذا المقام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الملازمة تارة تکون بعیدة جدّا، بحیث إنّه لا ینتقل الذهن من الملزوم فیها إلی اللازم إلّا بعد بیان ملاک الملازمة و برهانها، و لیسمّ باللزوم غیر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تکون أظهر من ذلک، بحیث لا یحتاج الانتقال المذکور إلی أزید من الالتفات إلی نفس الملازمة تفصیلا، و لیسمّ باللزوم البیّن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تکون أظهر من هذا أیضا، بحیث لا یحتاج فی الانتقال المذکور إلی الالتفات إلی الملازمة تفصیلا، لکونها ملتفتا إلیها إجمالا حیث إنّها ارتکازیة، و لیسمّ ذلک بالبین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بالملازمة فی الدلالة اللفظیة الالتزامیة هو هذا الأخیر، أمّا إذا کانت الملازمة علی أحد النحوین الأوّلین فلا تکون الدلالة علی اللازم فیه من قبیل الدلالة اللفظیة، و إن کانت حجّة متّبعة عند العقلاء، و هی مدار المطالب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المفهوم حیث یدّعی فهو من قبیل القسم الأخیر، أعنی ما کان لزومه للمنطوق من قبیل البیّن بالمعنی الأخصّ، انتهی ما حرّرته عن درسه قدّس سرّه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هو قدّس سرّه فی مقالته المطبوعة 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فی المفهوم و المنطوق، و عرّفوهما بما دلّ علیه اللفظ لا فی محلّ النطق أو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ما فیه من أنّ هذا البیان فی المفهوم یشمل مطلق المدالیل الالتزامیة حتّی غیر البیّنة منها بالمعنی الأعمّ، و لازمه کون المنطوق منحصرا بالدلالة المطابقیة و التضمّنیة لأنّها</w:t>
      </w:r>
    </w:p>
    <w:p>
      <w:pPr>
        <w:pStyle w:val="BookText"/>
        <w:rPr/>
      </w:pPr>
      <w:r>
        <w:rPr>
          <w:rFonts w:ascii="IRNazanin" w:hAnsi="IRNazanin" w:eastAsia="IRNazanin"/>
          <w:color w:val="111111"/>
          <w:sz w:val="28"/>
          <w:sz w:val="28"/>
          <w:szCs w:val="28"/>
          <w:rtl w:val="true"/>
          <w:lang w:bidi="fa-IR"/>
        </w:rPr>
        <w:t>یکون مدلولها فی محلّ النطق لا غیر، و الحال أنّ بناءهم علی حصر المفهوم المصطلح بالبیّنات بالمعنی الأخصّ، الذی کانت الملازمة بینهما بمثابة من الوضوح الموجب للانتقال من الملزوم إلی اللازم فی عالم التصوّر، بلا التفات إلی الملازمة تفصیلا، بل یختصّ المفهوم المصطلح أیضا بالقضایا، و لا یشمل دلالة المفردات علی لازمها و لو کانت بتلک المثابة کدلالة الحاتم علی الجود، بل ینحصر اصطلاح المفهوم بصورة تعلیق سنخ الحکم لا شخصیته و إلّا فلیس ذلک بمفهوم، و حینئذ فلو فرض حصر المعنی عندهم بالمفهوم و المنطوق، لازمه دخول غیر ما هو مفهوم عندهم فی المنطوق، کما صرّح الفصول حیث جعل دلالة الآیتین علی أقلّ الحمل فی المنطوق، و حینئذ یختلّ أمر التعریفین کلیهما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هذا التفصیل الذی أفاده قدّس سرّه فی بیان مراتب الملازمة من حیث الجلاء و الخفاء و إن کان صحیحا فی حدّ نفسه، إلّا أنّه علی الظاهر لا ینطبق علی ما اصطلحوا علیه فی البیّن بالمعنی الأخصّ، فإنّ الذی اصطلحوا فی هذا النحو من اللزوم هو أن یکون تصوّر أحد الطرفین کالعمی موجبا لتصوّر الآخر الذی هو البصر، من دون أن یکون بینهما ملازمة ذاتیة، کی یقال إنّ وضوح ذلک التلازم الذاتی بینهما هو الذی أوجب الانتقال فی عالم التصوّر من تصوّر الأوّل إلی تصوّر الثانی، بل إنّ الذی أوجب هذا الانتقال التصوّری من الأوّل إلی الثانی هو کون الثانی مأخوذا فی الأوّل، لأنّ العمی لمّا کان معناه الموضوع له هو عدم البصر عمّا من شأنه أن یکون بصیرا، کان تصوّر معناه المذکور موجبا لتصوّر البصر، لأنّ معناه هو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من شأنه أن یکون بصیرا، فکان حضور هذا المعنی</w:t>
      </w:r>
    </w:p>
    <w:p>
      <w:pPr>
        <w:pStyle w:val="BookText"/>
        <w:rPr/>
      </w:pPr>
      <w:r>
        <w:rPr>
          <w:rFonts w:ascii="IRNazanin" w:hAnsi="IRNazanin" w:eastAsia="IRNazanin"/>
          <w:color w:val="111111"/>
          <w:sz w:val="28"/>
          <w:sz w:val="28"/>
          <w:szCs w:val="28"/>
          <w:rtl w:val="true"/>
          <w:lang w:bidi="fa-IR"/>
        </w:rPr>
        <w:t>فی الذهن ملازما لحضور معنی البصر فی الذهن أیضا، من دون أن یکون بینهما تلازم ذاتی، کی یقال إنّ هذا التلازم التصوّری الذی هو عبارة عن الانتقال فی عالم التصوّر من الأوّل إلی الثانی منشؤه وضوح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أنّ وضوح الملازمة بین التصوّرین هو الذی أوجب ذلک الانتقال، ففیه أنّ الملازمة بین التصوّرین لیست إلّا کون تصوّر الأوّل موجبا للانتقال إلی تصوّر الثانی، فلا معنی لاتّصافها بالوضوح و الخفاء، و لا لکون الوضوح هو الذی أوجب ذلک الانتقال، لما عرفت أنّ ذلک الانتقال التصوّری هو عین الملازمة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الحال فی الأبوّة و البنوّة فإنّهما لیسا من المتلازمین بحسب الذات، إذ التلازم الذاتی إنّما ینشأ عن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الأمرین معلولا للآخر أو کونهما معلولین لعلّة ثالثة، و المفروض أنّهما لا علّیة و معلولیة بینهما و لیسا معلولین لعلّة ثالثة، و مع ذلک یکون تصوّر أحدهما مستدعیا لتصوّر الثانی، فلا یمکن أن یقال إنّ منشأه هو وضوح الملازمة، لما عرفت من أنّه لا ملازمة بینهما، بل إنّ منشأه هو التضایف بینهما الموجب لکون تعقّل أحدهما مستدعیا تعقّل الآخر، و حینئذ لو خصصنا اللزوم البیّن بالمعنی الأخصّ بما یکون منشأ الانتقال التصوّری فیه هو وضوح الملازمة، لخرجت هذه الأمثلة عن کونها من قبیل اللزوم البیّن بالمعنی الأخصّ</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نوسّع المنطقة فی اللزوم البیّن بالمعنی الأخصّ، و نقول إنّه عبارة عن کون تصوّر الأوّل موجبا لتصوّر الثانی، سواء کان ذلک ناشئا عن کون الثانی مأخوذا فی معنی الأوّل بالنحو الذی شرحناه فی العمی و البصر، أو کان</w:t>
      </w:r>
    </w:p>
    <w:p>
      <w:pPr>
        <w:pStyle w:val="BookText"/>
        <w:rPr/>
      </w:pPr>
      <w:r>
        <w:rPr>
          <w:rFonts w:ascii="IRNazanin" w:hAnsi="IRNazanin" w:eastAsia="IRNazanin"/>
          <w:color w:val="111111"/>
          <w:sz w:val="28"/>
          <w:sz w:val="28"/>
          <w:szCs w:val="28"/>
          <w:rtl w:val="true"/>
          <w:lang w:bidi="fa-IR"/>
        </w:rPr>
        <w:t>ناشئا عن کونها من قبیل المتضایفین، أو کان ناشئا عن اشتهار الموصوف فی صفة خاصّة کاشتهار حاتم بالجود علی وجه یکون حضوره فی الذهن مستدعیا لحضورها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الثلاثة لا لزوم فیها بین الذاتین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تکلّف التفتازانی </w:t>
      </w:r>
      <w:r>
        <w:rPr>
          <w:rStyle w:val="FootnoteAnchor"/>
          <w:rtl w:val="true"/>
        </w:rPr>
        <w:footnoteReference w:id="604"/>
      </w:r>
      <w:r>
        <w:rPr>
          <w:rFonts w:ascii="IRNazanin" w:hAnsi="IRNazanin" w:eastAsia="IRNazanin"/>
          <w:color w:val="111111"/>
          <w:sz w:val="28"/>
          <w:sz w:val="28"/>
          <w:szCs w:val="28"/>
          <w:rtl w:val="true"/>
          <w:lang w:bidi="fa-IR"/>
        </w:rPr>
        <w:t>للثالث و ألحقه بالملازمة و سمّاها ملازمة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ناشئا عن وضوح الملازمة الذاتیة بینهما علی وجه یکون تصوّر أحدهما موجبا لتصوّر الآخر، لأنّهما لشدّة الملازمة بینهما و وضوحها و جلائها لدی العقل یری أنّ أحدهما عین الآخر، علی وجه یکون العقل بتعقّل أحدهما متعقّلا للآخر، بحیث إنّه یغفل عن کونهما متغایرین و أنّ الثانی منهما لازم لذات الأوّل، بل بواسطة وضوح الملازمة لا یری التغایر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الأخیر إنّما یکون فی اللازم الذی یکون فیه مجرّد تصوّر الملزوم کافیا فی الحکم باللزوم، کما فی مثل لزوم ضعف الواحد للاثنین، و منه ملازمة الانتفاء عند الانتفاء للعلّیة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لو تمّ فإنّما یوجب کون اللفظ الموجب لحضور الأوّل منهما فی ذهن السامع موجبا لحضور الثانی أیضا فی ذهنه، و هذه المرحلة لیست إلّا مرحلة الدلالة الخطوریة المعبّر عنها بالدلالة التصوّریة، و أین ذلک من الدلالة التصدیقیة التی مرجعها إلی الحکم علی المتکلّم بأنّه أراد الثانی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إنّا بعد أن تحقّق عندنا الملازمة الذاتیة بینهما و أخبرنا المخبر بوجود الأوّل ننتقل إلی الحکم بوجود الثانی، و هذا هو عبارة عن الاستدلال العقلی، و لا دخل له بالدلالة اللفظیة، و لا دخل فیه أیضا لوضوح الملازمة و جلائها، فإنّه</w:t>
      </w:r>
    </w:p>
    <w:p>
      <w:pPr>
        <w:pStyle w:val="BookText"/>
        <w:rPr/>
      </w:pPr>
      <w:r>
        <w:rPr>
          <w:rFonts w:ascii="IRNazanin" w:hAnsi="IRNazanin" w:eastAsia="IRNazanin"/>
          <w:color w:val="111111"/>
          <w:sz w:val="28"/>
          <w:sz w:val="28"/>
          <w:szCs w:val="28"/>
          <w:rtl w:val="true"/>
          <w:lang w:bidi="fa-IR"/>
        </w:rPr>
        <w:t>یجری حتّی فی الملازمة الخفیة، و حینئذ یکون إدراج مثل ذلک فی الدلالة اللفظیة منوطا بأنّ هذه الملازمة لوضوحها یکون اللفظ الدالّ علی وجود الملزوم دالا علی وجود اللازم لأنّ ذلک الوضوح یسلب ما بینهما من التغایر، فیکون الاخبار بأحدهما إخبارا بالثانی، فیکون ذلک هو الملاک فی کون هذه الدلالة لفظیة، لا أنّ ملاکه هو کون حضور الأوّل فی الذهن موجبا لحضور الثانی، بل إنّ ذلک أعنی وضوح الملازمة هو الملاک أیضا فی کون حضور الأوّل فی الذهن موجبا لحضور الثانی فیه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وضوح الملازمة بتلک الدرجة لما لم یکن له ضابط یضبطه، جعلوا الضابط فیه هو کون الملازمة بدرجة من الوضوح بحیث یکون حضور الأوّل فی الذهن موجبا لحضور الثانی، و یتفرّع علی الوضوح بهذه الدرجة کون الاخبار عن الأوّل إخبارا عن الثانی، و حینئذ یکون الأمر فی ذلک سهلا، لأنّا لا بدّ لنا بعد أن ثبت وجود الأوّل أن نحکم بوجود الثانی، بحیث ننتقل من وجود الأوّل إلی وجود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لا إشکال فیه، غایته أنّ ذلک الانتقال هل هو عقلی صرف أو أنّه بدلالة اللفظ الدالّ علی وجود الأوّل، بحیث یکون اللفظ الدالّ علی الملزوم دالا علی وجود اللازم دلالة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صحّحنا ذلک فلا یکون إلّا بنحو من التسامح، و إلّا فإنّ الدالّ علی وجود الملزوم لو کان أمرا عقلیا لم یکن ذلک الأمر العقلی دالا ابتداء علی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اللازم </w:t>
      </w:r>
      <w:r>
        <w:rPr>
          <w:rStyle w:val="FootnoteAnchor"/>
          <w:rtl w:val="true"/>
        </w:rPr>
        <w:footnoteReference w:id="605"/>
      </w:r>
      <w:r>
        <w:rPr>
          <w:rFonts w:ascii="IRNazanin" w:hAnsi="IRNazanin" w:eastAsia="IRNazanin"/>
          <w:color w:val="111111"/>
          <w:sz w:val="28"/>
          <w:sz w:val="28"/>
          <w:szCs w:val="28"/>
          <w:rtl w:val="true"/>
          <w:lang w:bidi="fa-IR"/>
        </w:rPr>
        <w:t>، و إنّما یدلّ ابتداء علی وجود الملزوم، و نحن ننتقل من وجود الملزوم إلی وجود اللازم ببرهان آخر، و هو استحالة وجود الملزوم بدون اللازم، فتأمّل</w:t>
      </w:r>
      <w:r>
        <w:rPr>
          <w:rFonts w:eastAsia="IRNazanin" w:cs="IRNazanin"/>
          <w:color w:val="111111"/>
          <w:sz w:val="28"/>
          <w:szCs w:val="28"/>
          <w:rtl w:val="true"/>
          <w:lang w:bidi="fa-IR"/>
        </w:rPr>
        <w:t>.</w:t>
      </w:r>
      <w:bookmarkStart w:id="254" w:name="pg19667_765343"/>
    </w:p>
    <w:p>
      <w:pPr>
        <w:pStyle w:val="Heading4"/>
        <w:numPr>
          <w:ilvl w:val="3"/>
          <w:numId w:val="1"/>
        </w:numPr>
        <w:rPr/>
      </w:pPr>
      <w:bookmarkStart w:id="255" w:name="__RefHeading___Toc3538621_2314609296"/>
      <w:bookmarkStart w:id="256" w:name="_Toc88"/>
      <w:bookmarkEnd w:id="254"/>
      <w:bookmarkEnd w:id="255"/>
      <w:r>
        <w:rPr>
          <w:rtl w:val="true"/>
        </w:rPr>
        <w:t>[</w:t>
      </w:r>
      <w:r>
        <w:rPr>
          <w:rtl w:val="true"/>
        </w:rPr>
        <w:t>الکلام فی مفهوم الشرط</w:t>
      </w:r>
      <w:r>
        <w:rPr>
          <w:rtl w:val="true"/>
        </w:rPr>
        <w:t>]</w:t>
      </w:r>
      <w:bookmarkEnd w:id="256"/>
    </w:p>
    <w:p>
      <w:pPr>
        <w:pStyle w:val="Heading5"/>
        <w:numPr>
          <w:ilvl w:val="4"/>
          <w:numId w:val="1"/>
        </w:numPr>
        <w:rPr/>
      </w:pPr>
      <w:bookmarkStart w:id="257" w:name="__RefHeading___Toc3538623_2314609296"/>
      <w:bookmarkStart w:id="258" w:name="_Toc89"/>
      <w:bookmarkEnd w:id="257"/>
      <w:r>
        <w:rPr>
          <w:rtl w:val="true"/>
        </w:rPr>
        <w:t>[</w:t>
      </w:r>
      <w:r>
        <w:rPr>
          <w:rtl w:val="true"/>
        </w:rPr>
        <w:t>تحقیق رشیق حول ما یتوقّف علیه ثبوت المفهوم من علّیة الشرط و انحصارها</w:t>
      </w:r>
      <w:r>
        <w:rPr>
          <w:rtl w:val="true"/>
        </w:rPr>
        <w:t>]</w:t>
      </w:r>
      <w:bookmarkEnd w:id="25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أن یکون من باب ترتّب المعلول علی علّته، لا علی نحو ترتّب العلّة علی المعلول أو ترتّب أحد المتلازمین علی الآخر کما فی البرهان الإنّی، فإنّ غایة ما یقتضیه البرهان الإنّی هو کون تحقّق المقدّم مستلزما لتحقّق التالی حتّی یترتّب انکشاف التالی علی انکشاف المقدّم، و لا یکون فیه دلالة علی امتناع وجود التالی من دون المقدّم، فلا یکون فیه دلالة علی المفهوم قطعا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هذه الجمل یتوقّف علی ذکر مصطلحات لأهل المنطق ذکروها فی قسم التصدیقات، فاللازم ذکر تلک المصطلحات، و ینحصر بیان ذلک فی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کان الأوسط مع علّیته للنسبة فی الذهن علّة لها فی الواقع فلمّی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فالقیاس 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فإنّی </w:t>
      </w:r>
      <w:r>
        <w:rPr>
          <w:rStyle w:val="FootnoteAnchor"/>
          <w:rtl w:val="true"/>
        </w:rPr>
        <w:footnoteReference w:id="607"/>
      </w:r>
      <w:r>
        <w:rPr>
          <w:rFonts w:ascii="IRNazanin" w:hAnsi="IRNazanin" w:eastAsia="IRNazanin"/>
          <w:color w:val="111111"/>
          <w:sz w:val="28"/>
          <w:sz w:val="28"/>
          <w:szCs w:val="28"/>
          <w:rtl w:val="true"/>
          <w:lang w:bidi="fa-IR"/>
        </w:rPr>
        <w:t>، یعنی أنّ الوسط المتکرّر فی الشکل القیاسی، الذی هو علّة لانتقال الذهن إلی التصدیق بالنسبة الواقعة فی النتیجة، إن کان فی الواقع علّة لتلک النسبة کان ذلک الاستدلال القیاسی لمّیا، و إن لم یکن علّة لها فی الواقع کان الاستدلال القیاسی إنّیا، و هو منحصر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الوسط معلولا لتلک النسبة، و کونهما معا معلولین لعلّة ثالثة، و کونهما متضایفین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أب و کلّ أب له ابن فزید له ابن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الانتقال من أحد المعلولین إلی المعلول الآخر یشتمل علی الانتقال أوّلا من المعلول الأوّل إلی علّتهما، و علی الانتقال ثانیا من وجود العلّة لهما إلی وجود المعلول الثانی، فهو یشتمل علی الانتقال من المعلول إلی العلّة</w:t>
      </w:r>
    </w:p>
    <w:p>
      <w:pPr>
        <w:pStyle w:val="BookText"/>
        <w:rPr/>
      </w:pPr>
      <w:r>
        <w:rPr>
          <w:rFonts w:ascii="IRNazanin" w:hAnsi="IRNazanin" w:eastAsia="IRNazanin"/>
          <w:color w:val="111111"/>
          <w:sz w:val="28"/>
          <w:sz w:val="28"/>
          <w:szCs w:val="28"/>
          <w:rtl w:val="true"/>
          <w:lang w:bidi="fa-IR"/>
        </w:rPr>
        <w:t>لهما فیکون إنّیا من هذه الجهة، و علی الانتقال من علّتهما إلی المعلول الثانی فیکون لمّیا من هذه الجهة، لکنّهم أدرجوه فی الإنّی، نظرا إلی أنّ الحجر الأساسی فی الانتقال من أحد المعلولین إلی المعلول الآخر هو الانتقال الأوّل و هو إنّی، فلأجل ذلک أطلقوا علیه اسم الإنّی، و إلّا فهو فی الحقیقة مشتمل علی کلا الانتقالین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قسّموا التلازم و حصروه باعتبار منشئه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 المتلازمین معلولا للآخر، و کونه علّة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کونهما معلولین لعلّة ثالثة، و کونهما متضایفین، و لأجل ذلک کانت القضیة الشرطیة اللزومیة منحصرة فی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المقدّم علّة للتالی، و بالعکس، و کونهما معلولین لعلّة ثالثة، و کونهما متضایفین مثل إن کان زید أبا لعمرو فعمرو ابنه، و حیث إنّ القضیة الشرطیة تشتمل علی انتقال الذهن من المقدّم إلی التالی، لأنّ قولنا إن کانت الشمس طالعة کان النهار موجودا یشتمل علی الانتقال الذهنی من طلوع الشمس إلی وجود النهار، نقول إنّ المقدّم فیها إن کان علّة للتالی کانت من قبیل الاستدلال و الانتقال اللمّی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علّة للتالی بل کان الأمر بالعکس، أو کانا معلولین لعلّة ثالثة، أو کانا متضایفین، کانت القضیة الشرطیة من قبیل الاستدلال و الانتقال الإنّی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المتضایفین راجعان إلی المعلولین لعلّة واحدة، حیث إنّ العلّة فی أبوّة هذا لذاک و بنوّة ذاک لهذا هو تولّد هذا من ماء الأب، و ذلک التولّد هو العلّة فی کون هذا أبا و ذاک ابنا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التهذیب فی القیاس الاستثنائی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الاستثنائی ینتج مع المتّصلة وضع المقدّم و رفع التالی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إنسانا کان ناطقا، کان وضع المقدم بقولک لکنّه إنسان منتجا وضع التالی و هو أنّه ناطق، کما أنّ رفع التالی بقولک لکنّه لیس بناطق یکون منتجا رفع المقدّم و هو أنّه لیس بإنسان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رفع المقدّم بقولک لکنّه لیس بإنسان فلا یکون منتجا رفع التالی، و کذلک وضع التالی بقولک لکنّه ناطق لا یکون منتجا وضع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السرّ فی عدم انتاج ذلک هو أنّه ربما کان التالی أعمّ، لجواز أن یکون اللازم أعمّ من الملزوم،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إنسانا کان حیوانا، فلمّا کان مثل ذلک لا یکون نفی المقدم فیه موجبا لنفی التالی، و لا إثبات التالی إثبات المقدّم، و کانت قواعدهم عامّة، قالوا إنّ القیاس الاستثنائی فی القضیة المتّصلة لا یکون المنتج منه إلّا وضع المقدّم و رفع التالی، و لا یکون رفع المقدم و لا وضع التالی فیه منتجا، فإنّه و إن صحّ الانتاج فیما لو کانا متساویین کما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إنسانا کان ناطقا،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لیس بإنسان فهو لیس بناطق، أو لکنّه ناطق فهو إنسان، لکنّه لمّا لم یجر فیما لو کان التالی أعمّ من المقدم سدوا باب هذا الانتاج، و اقتصروا علی وضع التالی و رفع المقدّم لیکون ذلک قاعدة کلّیة جاریة فی کلا قسمی الشرطیة، أعنی کون التالی أعمّ من المقدم و کونه مساویا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یعقل کون التالی أخصّ من المقدّم، إذ لا یصحّ أن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هذا حیوانا کان إنسانا، علی نحو القضیة الکلّیة،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الشی‌ء حیوانا کان إنسانا، فإنّ المراد من القضیة الشرطیة المنتجة فی القیاس الاستثنائی هی القضیة الکلّیة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إنسانا کان حیوانا، لو ادّعی مدّع أنّها خارجة عن الأقسام الأربعة لم یکن ذلک بضائر، لأنّ ابراز مثل هذه القضایا الحملیة بقالب القضایا الشرطیة إنّما هو من قبیل المسامحة و التوسّع فی التعبیر،</w:t>
      </w:r>
    </w:p>
    <w:p>
      <w:pPr>
        <w:pStyle w:val="BookText"/>
        <w:rPr/>
      </w:pPr>
      <w:r>
        <w:rPr>
          <w:rFonts w:ascii="IRNazanin" w:hAnsi="IRNazanin" w:eastAsia="IRNazanin"/>
          <w:color w:val="111111"/>
          <w:sz w:val="28"/>
          <w:sz w:val="28"/>
          <w:szCs w:val="28"/>
          <w:rtl w:val="true"/>
          <w:lang w:bidi="fa-IR"/>
        </w:rPr>
        <w:t>و إلّا فإنّ الجنس متّحد بالنوع و محمول علیه، لا أنّه شی‌ء آخر یکون معلولا له أو علّة أو مضافا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کون التالی أعمّ لا یتصوّر فی القضیة الشرطیة المؤلّفة من المتضایفین، و لا فی القضیة الشرطیة التی یکون التالی فیها علّة للمقدّم، إذ لا یعقل أعمّیة أحد المتضایفین علی الآخر، و لا یعقل أعمّیة العلّة من المعلول، و إنّما یتصوّر ذلک فیما لو کان التالی معلولا للمقدّم، فإنّه یتصوّر فیه کون المعلول أعمّ من العلّة باعتبار إمکان صدوره من علّة أخری،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رمست یدک النجسة فی الکرّ کانت طاهرة، فإنّه یمکن حصول طهارتها من علّة أخری هی غسلها بصب الماء القلیل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یتصوّر کون التالی أعمّ من المقدّم فی صورة کونهما معلولین لعلّة ثالثة، بأن یکون المعلول الأوّل مساویا لتلک العلّة و لکن یکون الثانی أعمّ منها باعتبار امکان حصوله من غیرها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الفراغ من هذه المقدّمات 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عرفت أنّ أهل المنطق قالوا إنّ رفع المقدّم لا ینتج رفع التالی، و لا یخفی أنّ انتاج رفع التالی </w:t>
      </w:r>
      <w:r>
        <w:rPr>
          <w:rStyle w:val="FootnoteAnchor"/>
          <w:rtl w:val="true"/>
        </w:rPr>
        <w:footnoteReference w:id="609"/>
      </w:r>
      <w:r>
        <w:rPr>
          <w:rFonts w:ascii="IRNazanin" w:hAnsi="IRNazanin" w:eastAsia="IRNazanin"/>
          <w:color w:val="111111"/>
          <w:sz w:val="28"/>
          <w:sz w:val="28"/>
          <w:szCs w:val="28"/>
          <w:rtl w:val="true"/>
          <w:lang w:bidi="fa-IR"/>
        </w:rPr>
        <w:t>لرفع المقدّم هو عبارة أخری عن المفهوم الذی اصطلح علیه أهل الأصول، فإنّ أهل الأصول یقولون إنّ قولنا إن کان هذا إنسانا کان ناطقا، یلزمه أنّه إن لم یکن إنسانا لم یکن ناطقا و هو عبارة أخری ممّا یتحصّل من قولک لکنّه لیس بإنسان فهو لیس بناطق، الذی قال المنطقیون إنّه 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عدم صحّته حقیقة إنّما هو فی صورة کون المقدّم علّة للتالی و فی صورة کونهما معلولین لعلّة ثالثة، أمّا فی صورة کون المقدّم معلولا للتالی و فی صورة کونهما متضایفین فقد عرفت أنّه صحیح حقیقة، لکنّهم إنّما منعوه لیحتفظوا بقاعدتهم</w:t>
      </w:r>
    </w:p>
    <w:p>
      <w:pPr>
        <w:pStyle w:val="BookText"/>
        <w:rPr/>
      </w:pPr>
      <w:r>
        <w:rPr>
          <w:rFonts w:ascii="Amiri" w:hAnsi="Amiri" w:eastAsia="Amiri" w:cs="Amiri"/>
          <w:color w:val="111111"/>
          <w:sz w:val="28"/>
          <w:sz w:val="28"/>
          <w:szCs w:val="28"/>
          <w:rtl w:val="true"/>
          <w:lang w:bidi="ar-SA"/>
        </w:rPr>
        <w:t>الکلّیة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معاشر الأصولیین بعد أن لم نتقیّد بمصطلحات المنطقیین، و قلنا بأنّ القضیة الشرطیة التی یکون المقدم فیها علّة للتالی یکون لها مفهوم، بشرط انحصار العلّة الذی هو عبارة عن کون التالی مساویا للمقدم و لیس بأعمّ منه، کان الأجدر بنا أن نقول بالمفهوم فیما لو کان المقدّم معلولا للتالی، و فیما لو کانا متضایفین، فلما ذا حصرناه فی صورة کون المقدم علّة للتالی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انتفاء المقدم الذی هو علّة للتالی یکون ملازما لانتفاء التالی، فکذلک انتفاء المقدم الذی هو المعلول للتالی أو المتضایف معه یکون ملازما لانتفاء التالی، بل إنّ الملازمة فی هذین أولی منها فی الأوّل، لأنّ الانتفاء عند الانتفاء فی الأوّل یتوقّف علی کون العلّة منحصرة، بخلافه فی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القضیة الشرطیة المؤلّفة من المعلولین لعلّة ثالثة لا یمکننا القول بالمفهوم فیها، لأنّ ذلک یتوقّف علی کون العلّة الثالثة بالنسبة إلی التالی من قبیل العلّة المنحصرة، و لا طریق لنا إلی إثبات ذلک کما أثبتناه فی صورة کون المقدم علّة بطریق الاطلاق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الانتقال من نفی المقدم إلی نفی التالی الذی هو عین المفهوم قد منعه المنطقیون فی صورة کون المقدم علّة للتالی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منعوه نظرا إلی أنّه ربما کان المعلول أعمّ، فلا یکون نفی الخاصّ دلیلا علی نفی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المانع یرتفع فیما لو کانت العلّة منحصرة، فإنّ التالی حینئذ لا یکون أعمّ من المقدّم، فنحن قیّدنا العلّة بالانحصار لأجل ارتفاع المانع المذکور، و حینئذ ففیما کان المقدم متضایفا مع التالی ینبغی أن نقول فیه بثبوت المفهوم بطریق أولی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فیما لو کان المقدم معلولا للتالی ینبغی أن نقول فیه بثبوت المفهوم بطریق</w:t>
      </w:r>
    </w:p>
    <w:p>
      <w:pPr>
        <w:pStyle w:val="BookText"/>
        <w:rPr/>
      </w:pPr>
      <w:r>
        <w:rPr>
          <w:rFonts w:ascii="IRNazanin" w:hAnsi="IRNazanin" w:eastAsia="IRNazanin"/>
          <w:color w:val="111111"/>
          <w:sz w:val="28"/>
          <w:sz w:val="28"/>
          <w:szCs w:val="28"/>
          <w:rtl w:val="true"/>
          <w:lang w:bidi="fa-IR"/>
        </w:rPr>
        <w:t>أولی، لأنّ انتفاء المعلول یلزمه انتفاء العلّة، سواء کانت العلّة منحصرة أو کانت غیر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المعلول الذی لا تکون علّته منحصرة بالتالی لا یصحّ جعله مقدّما، إذ لا یصحّ لک أن تقول إن طهر ثوبک فقد رمسته فی الماء الکثیر، إذ لیس الرمس بالماء الکثیر لازما لطهارة الثوب، لجواز حصول طهارته بالغسل بالماء القلیل، و إنّما یصحّ جعل المعلول مقدما فی خصوص ما لو کان التالی الذی هو علّته من قبیل العلّة المنحصرة، فلما ذا نقول إنّ المفهوم یتوقّف علی کون المقدم علّة للتالی، و لا یتأتّی فیما لو کان الأمر بالعکس أو کانا متضایفین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أفاده فی الجواب عن هذا السؤال فی هذه العبارة الموجودة فی هذه الطبعة الأولی </w:t>
      </w:r>
      <w:r>
        <w:rPr>
          <w:rStyle w:val="FootnoteAnchor"/>
          <w:rtl w:val="true"/>
        </w:rPr>
        <w:footnoteReference w:id="610"/>
      </w:r>
      <w:r>
        <w:rPr>
          <w:rFonts w:ascii="IRNazanin" w:hAnsi="IRNazanin" w:eastAsia="IRNazanin"/>
          <w:color w:val="111111"/>
          <w:sz w:val="28"/>
          <w:sz w:val="28"/>
          <w:szCs w:val="28"/>
          <w:rtl w:val="true"/>
          <w:lang w:bidi="fa-IR"/>
        </w:rPr>
        <w:t>، و کذلک ما أفاده و أوضحه فی العبارة الموجودة فی الطبعة الجدیدة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وجود المعلول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أخذناه 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یکشف عن وجود علّته التامّة بجمیع أجزائها و عن جمیع ما یترتّب علیه، إلّا أنّ عدم المعلول لا یکشف عن عدم ذات العلّة، لجواز استناده إلی وجود المانع، مثلا وجود ممکن ما یکشف عن وجود الواجب بالذات، لاستحالة وجود الممکن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عدمه فلا یکشف عن عدم الواجب و لا عن عدم ممکن آخر، لجواز استناده إلی أمر یخصّه و لا یعمّ غیره، و علی ذلک فالقضیة الشرطیة التی لا یکون ترتّب التالی علی المقدّم فیها من قبیل ترتّب المعلول علی علّته لا یکون فیها دلالة علی المفهوم قطعا، انتهی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تأمّل،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لو فتحنا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أنّ عدم المعلول لا یکشف عن عدم علّته، لجواز وجود العلّة مع المانع من وجود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لانسدّ</w:t>
      </w:r>
    </w:p>
    <w:p>
      <w:pPr>
        <w:pStyle w:val="BookText"/>
        <w:rPr/>
      </w:pPr>
      <w:r>
        <w:rPr>
          <w:rFonts w:ascii="IRNazanin" w:hAnsi="IRNazanin" w:eastAsia="IRNazanin"/>
          <w:color w:val="111111"/>
          <w:sz w:val="28"/>
          <w:sz w:val="28"/>
          <w:szCs w:val="28"/>
          <w:rtl w:val="true"/>
          <w:lang w:bidi="fa-IR"/>
        </w:rPr>
        <w:t>علینا باب البرهان اللمّی، أعنی الانتقال من وجود العلّة إلی وجود المعلول، إذ حینئذ یمکن أن یقال إنّ العلّة و إن کانت موجودة إلّا أنّ وجودها لا یکشف عن وجود معلولها، لجواز اقتران تلک العلّة بالمانع، فلا یکون وجود العلّة کاشفا عن وجود المعلول، و بذلک یبطل الانتقال من وجود العلّة إلی وجود المعلول الذی هو البرهان اللمّی، بل بذلک یبطل منطوق القضیة الشرطیة التی یکون مقدّمها علّة فی جزائها، إذ لا یکون وجود تلک العلّة محقّقا لوجود المعلول، لجواز اقتران تلک العلّة بالمانع من المعلول، فلا یصحّ قولنا إن کانت الشمس طالعة کان الأفق مضیئا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ینهدم أساس ما رمناه من أخذ المفهوم من القضیة الشرطیة التی یکون مقدمها علّة فی الجزاء حتّی بعد إثبات کونها علّة منحصرة، إذ مع بطلان نفس المنطوق کیف یمکننا أخذ المفهوم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لو فرضنا کون العلّة مرکّبة و لو من ذات العلّة و عدم المانع و قابلیة المحل المعبّر عنه فی إیجاد الممکن بالمصلحة و غیر ذلک ممّا یتوقّف علیه وجود الممکن، و إن صحّ لنا أن نستدلّ من وجود الممکن علی وجود ذات علّته، و نشکّل من ذلک قضیة شرطیة و نقول إنّه إن کان الممکن موجودا کانت ذات علّته موجودة أو کان انعدام مانعة محقّقا، إلّا أنّ ذلک تسامح فی التعبیر، بل إنّ وجود الممکن إنّما یکون دلیلا علی وجود تمام علّته، و بعد أن یثبت عندنا تحقّق تمام علّته ننتقل إلی تحقّق الجزء الفلانی من علّته، فعلینا حینئذ أن نشکّل من ذلک قضیتین شرطیتین فنقول إنّه إذا وجد الممکن فقد وجدت تمام علّته، ثمّ نقول إنّه إذا وجدت تمام علّته فقد وجد الجزء الفلانی فی ضمنها، لأنّه إذا وجد الکل فقد وجد الجزء فی ضمنه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انتفاء المقدم فی القضیة الأولی یلزمه انتفاء التالی فیها،</w:t>
      </w:r>
    </w:p>
    <w:p>
      <w:pPr>
        <w:pStyle w:val="BookText"/>
        <w:rPr/>
      </w:pPr>
      <w:r>
        <w:rPr>
          <w:rFonts w:ascii="IRNazanin" w:hAnsi="IRNazanin" w:eastAsia="IRNazanin"/>
          <w:color w:val="111111"/>
          <w:sz w:val="28"/>
          <w:sz w:val="28"/>
          <w:szCs w:val="28"/>
          <w:rtl w:val="true"/>
          <w:lang w:bidi="fa-IR"/>
        </w:rPr>
        <w:t>ثمّ نقول إذا انتفی المقدم فی الثانیة یلزمه انتفاء التالی فیها، و لکن التالی هو وجود الجزء فی ضمن الکل، و أقصی ما یکون من النتیجة حینئذ هو انتفاء الجزء فی ضمن الکل، بمعنی أنّ مفهوم القضیة الأولی هو أنّه إن لم یوجد الممکن لم توجد علّته التامّة، و مفهوم القضیة الثانیة هو أنّه إن لم توجد علّته التامّة لم یکن جزؤها الفلانی موجودا فی 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نفی وجود ذات العلّة فی ضمن تمام العلّة لا ینافیه وجود ذات العلّة فی حدّ نفسها لا فی ضمن مجموع أجزاء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القضیة الأولی أنّه إن وجد الممکن فقد اجتمعت أجزاء علّته، و حاصل القضیة الثانیة أنّه إن اجتمعت أجزاء علّة الممکن فقد وجد فی ضمنها أحد أجزائها الذی هو ذات الواجب، و حینئذ یکون مفهوم الأولی أنّه إن لم یوجد الممکن فلم تجتمع أجزاء علّته، و حاصل مفهوم الثانیة أنّه إن لم تجتمع أجزاء علّة الممکن لم یکن ذات الواجب فی ضمنها، و کلّ هذا لا ضیر فیه و لا إشکال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وجود الممکن لا یمکن أن یکون دلیلا إلّا علی عدم اجتماع أجزاء علّته، و عدم اجتماع أجزاء علّته لا یکون دلیلا إلّا علی عدم کون الجزء الفلانی موجودا فی ضمنها، لا علی عدم وجوده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من طرف الاثبات، إذ لا علقة بین المعلول و بین أحد أجزاء علّته بما أنّه فی حدّ نفسه أمر استقلالی، و إنّما العلقة بینه و بین ذلک الجزء باعتبار کونه داخلا فی ضمن أجزاء علّته، فیکون وجود المعلول دلیلا علی وجود ذلک الجزء من العلّة فی ضمن مجموع العلّة، و حینئذ لا یدلّ وجود الممکن ابتداء و لا یکشف بدوا إلّا عن اجتماع أجزاء علّته، کما أنّ اجتماع أجزاء علّته لا یکون دلیلا إلّا علی وجود الجزء الفلانی فی ضمنها، لا أنّ الاجتماع یکون دلیلا علی أصل وجود ذلک الجزء و إن لم یکن فی ضمن المجموع، لیکون انتفاء اجتماعها دلیلا علی انتفاء</w:t>
      </w:r>
    </w:p>
    <w:p>
      <w:pPr>
        <w:pStyle w:val="BookText"/>
        <w:rPr/>
      </w:pPr>
      <w:r>
        <w:rPr>
          <w:rFonts w:ascii="IRNazanin" w:hAnsi="IRNazanin" w:eastAsia="IRNazanin"/>
          <w:color w:val="111111"/>
          <w:sz w:val="28"/>
          <w:sz w:val="28"/>
          <w:szCs w:val="28"/>
          <w:rtl w:val="true"/>
          <w:lang w:bidi="fa-IR"/>
        </w:rPr>
        <w:t>أصل وجود ذلک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هذه المغالطة بالمغالطة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وجدت الثلاثة فقد وجدت الاثنان، و کلّما وجدت الاثنان کانت زوجا، لتکون النتیجة أنّه کلّما وجدت الثلاثة کانت زوجا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عند کون العلّة بسیطة لا ریب فی أنّ وجودها کاشف عن وجود المعلول، و عدمها کاشف عن عدمه، سواء جعلنا المقدم هو العلّة أو جعلناه هو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العلّة مرکّبة من أربعة أجزاء مثلا فالعلّة إنّما هو اجتماع تلک الأجزاء الأربعة، فیکون اجتماعها کاشفا عن وجود المعلول، و عدم اجتماعها کاشفا عن عدم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وجود ذلک المعلول یکشف عن اجتماعها، و عدم وجوده لا یکشف إلّا عن عدم اجتماعها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یصحّ لنا أن نقول بتمامیة المفهوم فیما لو کان ذلک المعلول هو المقدّم، لأنّ عدمه یکشف عن عدم علّته و هو اجتماع تلک الأربعة، و لا یتوقّف صحّة مفهوم تلک القضیة علی کون عدم ذلک المقدم کاشفا عن عدم وجود ذات الجزء الأوّل من علّته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المفهوم للقضیة الشرطیة لا یتوقّف علی کون المقدّم علّة، بل إنّه لو ثبت کون المقدم علّة یتوقّف ثبوت المفهوم علی ثبوت انحصار تلک العلّة، أمّا إذا کان الشرط معلولا فلا یتوقّف ثبوت المفهوم فیه علی شی‌ء، کما لو قلنا إنّه إن وجبت المقدمة الفلانیة فقد وجب ذوها، فإنّ مفهومه واضح، و هو أنّه إن لم تکن تلک المقدّمة واجبة لم یکن ذوها واجبا، انتقالا من عدم المعلول إلی عدم علّته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المتضایفین لو تصوّرناه فی القضایا الأحکامیة، بأن ندّعی أنّ الطلب الالزامی إضافة بین الفعل و ترکه، فبالاضافة إلی الفعل یکون إیجابا، و بالاضافة إلی الترک یکون تحریما، فنقول إن وجب الفعل الفلانی فقد حرم</w:t>
      </w:r>
    </w:p>
    <w:p>
      <w:pPr>
        <w:pStyle w:val="BookText"/>
        <w:rPr/>
      </w:pPr>
      <w:r>
        <w:rPr>
          <w:rFonts w:ascii="IRNazanin" w:hAnsi="IRNazanin" w:eastAsia="IRNazanin"/>
          <w:color w:val="111111"/>
          <w:sz w:val="28"/>
          <w:sz w:val="28"/>
          <w:szCs w:val="28"/>
          <w:rtl w:val="true"/>
          <w:lang w:bidi="fa-IR"/>
        </w:rPr>
        <w:t xml:space="preserve">ترکه، و مفهومه أنّه إن لم یجب لم یحرم ترکه، بل فی المعلولین لعلّة ثالثة لو تصوّرناه فی الأحکام کما سیأتی </w:t>
      </w:r>
      <w:r>
        <w:rPr>
          <w:rStyle w:val="FootnoteAnchor"/>
          <w:rtl w:val="true"/>
        </w:rPr>
        <w:footnoteReference w:id="612"/>
      </w:r>
      <w:r>
        <w:rPr>
          <w:rFonts w:ascii="IRNazanin" w:hAnsi="IRNazanin" w:eastAsia="IRNazanin"/>
          <w:color w:val="111111"/>
          <w:sz w:val="28"/>
          <w:sz w:val="28"/>
          <w:szCs w:val="28"/>
          <w:rtl w:val="true"/>
          <w:lang w:bidi="fa-IR"/>
        </w:rPr>
        <w:t xml:space="preserve">فی روایة معاویة بن وهب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قصّرت أفطرت و إذا أفطرت قصّرت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فإنّ کلا من التقصیر و الافطار معلول لعلّة واحدة و هی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فی مقدّمتین لفعل واحد مثل الوضوء و تطهیر البدن للصلاة، فنقول حینئذ إن وجب الوضوء مقدمة للصلاة فقد وجب تطهیر البدن، و مفهومه أنّه إن لم یجب الوضوء فلا یجب التطهیر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یحتاج إلی إثبات انحصار مورد وجوب التطهیر بمورد وجوب الوضوء، کما فی صورة کون المقدم علّة للتالی، و یمکننا إثبات ذلک من الطرق التی بها أثبتنا الانحصار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هو ما عرفت من أنّ مثل هذه القضایا ینحل إلی قضیتین، مثلما قلنا</w:t>
      </w:r>
      <w:r>
        <w:rPr>
          <w:rStyle w:val="FootnoteAnchor"/>
          <w:rtl w:val="true"/>
        </w:rPr>
        <w:footnoteReference w:id="614"/>
      </w:r>
      <w:r>
        <w:rPr>
          <w:rFonts w:ascii="IRNazanin" w:hAnsi="IRNazanin" w:eastAsia="IRNazanin"/>
          <w:color w:val="111111"/>
          <w:sz w:val="28"/>
          <w:sz w:val="28"/>
          <w:szCs w:val="28"/>
          <w:rtl w:val="true"/>
          <w:lang w:bidi="fa-IR"/>
        </w:rPr>
        <w:t>فی کون الاستدلال به ینحل إلی استدلالین، فنقول إنّ محصّل القضیة الأولی هو أنّه إن وجب الوضوء غیریا للصلاة فقد تحقّقت علّته و هی وجوب الصلاة، و إن تحقّقت علّته المذکورة تحقّق المعلول الآخر و هو وجوب التطهیر، فیکون حاصل القضیة الثانیة أنّه إن وجبت الصلاة فقد وجب التطهّر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القضیة الثانیة و إن أمکن فیها کون التالی أعمّ، لامکان وجوب التطهیر للثوب بعلّة أخری هی وجوب الطواف مثلا، فتکون هذه القضیة داخلة فیما یکون المقدم فیها علّة للجزاء، فیتوقّف ثبوت المفهوم فیها علی ثبوت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یمکننا إثبات الانحصار من القضیة الأولی اللفظیة و هی قولنا إن</w:t>
      </w:r>
    </w:p>
    <w:p>
      <w:pPr>
        <w:pStyle w:val="BookText"/>
        <w:rPr/>
      </w:pPr>
      <w:r>
        <w:rPr>
          <w:rFonts w:ascii="IRNazanin" w:hAnsi="IRNazanin" w:eastAsia="IRNazanin"/>
          <w:color w:val="111111"/>
          <w:sz w:val="28"/>
          <w:sz w:val="28"/>
          <w:szCs w:val="28"/>
          <w:rtl w:val="true"/>
          <w:lang w:bidi="fa-IR"/>
        </w:rPr>
        <w:t>وجب الوضوء للصلاة فقد وجب التطهیر، فإنّ ظاهرها انحصار المورد الذی یجب فیه التطهّر بالمورد الذی یجب فیه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إنّه بعد إحراز کونهما معلولین لعلّة واحدة یکون محصّل القضیة الأولی هی أنّه إن وجد هذا المعلول لأجل هذه العلّة فقد وجد المعلول الآخر لأجل تلک العلّة، فیکون المنفی عند الانتفاء هو المعلول الآخر المترشّح من تلک العلّة، ففی المثال لا بدّ أن یکون محصّل القضیة الأولی أنّه إن وجب الوضوء للصلاة فقد وجب التطهیر للصلاة، فیکون المنفی عند انتفاء وجوب الوضوء للصلاة، هو وجوب التطهیر للصلاة لا مطلق الوجوب و لو ما یکون للطواف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توقّف ثبوت المفهوم فی مثل هذه القضیة علی استفادة الانحصار شی‌ء، و کون المفهوم منحصرا فی صورة کون المقدم علّة للتالی علی وجه لا یکون غیرها من القضایا الشرطیة ذات مفهوم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کون القضیة الشرطیة ذات مفهوم لا یتوقّف علی کون الشرط علّة، بل یتأتّی فیما لو کان الشرط هو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أنّ المفهوم لا ینحصر بالانتقال من عدم المقدّم إلی عدم التالی، بل یتأتّی الانتقال من عدم التالی إلی عدم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التی یکون مقدّمها هو العلّة یکون لها مفهومان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من عدم مقدمها إلی عدم تالیها، و الانتقال من عدم تالیها إلی عدم مقدمها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القضیة التی یکون مقدمها معلولا لتالیها یکون لها هذان المفهومان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الانتقال من عدم العلّة إلی عدم المعلول لا یکون إلّا إذا کانت العلّة منحصرة، من دون فرق فی ذلک بین کون العلّة هی المقدم کما فی النحو الأوّل، أو کونها هی التالی کما فی النحو الثانی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ذکروه من کون الشرطیة التی یکون المقدم فیها علّة</w:t>
      </w:r>
    </w:p>
    <w:p>
      <w:pPr>
        <w:pStyle w:val="BookText"/>
        <w:rPr/>
      </w:pPr>
      <w:r>
        <w:rPr>
          <w:rFonts w:ascii="IRNazanin" w:hAnsi="IRNazanin" w:eastAsia="IRNazanin"/>
          <w:color w:val="111111"/>
          <w:sz w:val="28"/>
          <w:sz w:val="28"/>
          <w:szCs w:val="28"/>
          <w:rtl w:val="true"/>
          <w:lang w:bidi="fa-IR"/>
        </w:rPr>
        <w:t>للتالی ذات مفهوم بعد قیام الدلیل علی انحصار العلّة، جار فی القضیة التی یکون المقدم فیها مع التالی معلولین لعلّة ثالثة بعد قیام الدلیل علی حصر مورد المعلول الثانی الذی هو التالی بمورد المعلول الأوّل الذی هو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الحصر فیهما واحد، و هو أنّ مقتضی إطلاق الشرطیة هو حصر موارد الجزاء بموارد الشرط الذی هو العلّة أو أحد المعلولین،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انکارهم المفهوم للقضیة الشرطیة التی یکون المقدم فیها معلولا للتالی أو یکونان متضایفین لم یتّضح وجهه، مع أنّهما أولی بالمفهوم من القضیة الشرطیة التی یکون المقدم فیها علّة للتالی، لأنّ المفهوم فی هذه یتوقّف علی دعوی الانحصار بخلافهما، فإنّ انتفاء العلّة عند انتفاء المعلول و کذلک انتفاء أحد المتضایفین عند انتفاء الآخر لا یتوقّف علی انحصار العلّة، و لا یتصوّر فی ذلک کون الجزاء الذی هو العلّة أعمّ من المقدم الذی هو المعلول، أو الجزاء الذی هو أحد المتضایفین أعمّ من الآخر الذی هو المقدّم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أفاده شیخنا قدّس سرّه من البرهان علی عدم صحّة المفهوم للقضیة التی یکون المقدّم فیها معلولا قد عرفت </w:t>
      </w:r>
      <w:r>
        <w:rPr>
          <w:rStyle w:val="FootnoteAnchor"/>
          <w:rtl w:val="true"/>
        </w:rPr>
        <w:footnoteReference w:id="615"/>
      </w:r>
      <w:r>
        <w:rPr>
          <w:rFonts w:ascii="IRNazanin" w:hAnsi="IRNazanin" w:eastAsia="IRNazanin"/>
          <w:color w:val="111111"/>
          <w:sz w:val="28"/>
          <w:sz w:val="28"/>
          <w:szCs w:val="28"/>
          <w:rtl w:val="true"/>
          <w:lang w:bidi="fa-IR"/>
        </w:rPr>
        <w:t>التأمّل فیه،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أنّ القضیة التی یکون مقدّمها معلولا للتالی، مثل إن وجب الوضوء فقد وجبت الصلاة، لا یکون منطوقها صحیحا إذا کان للوجوب الطارئ علی الوضوء علّة أخری غیر وجوب الصلاة، إذ لا یکون وجوب الوضوء حینئذ کاشفا عن وجوب الصلاة، فلا بدّ من إصلاحه بأنّ المراد منه الوجوب الغیری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یتمّ المنطوق و یکون حاصل المفهوم أنّه إن لم یکن الوضوء واجبا بذلک الوجوب الخاصّ لم تکن الصلاة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جی‌ء بمثال آخر یکون المقدم فیه معلولا للتالی لم یصحّ المنطوق إلّا فیما کانت العلّة منحصرة بذلک التالی، و حینئذ یتشارک مع القضیة التی یکون المقدم فیها علّة للتالی فی التوقّف علی الانحصار، غایته أنّ التوقّف هناک للمفهوم بعد صحّة المنطوق فی نفسه و فی هذا یکون التوقّف للمنطوق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لا یکون أخذ المفهوم من القضیة الشرطیة متوقّفا علی کون المقدّم هو العلّة، بل یأتی فیما لو کان المقدم معلولا، غایته بعد الانحصار کما لو کان المقدم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کان المقدم هو المعلول لا بدّ من اصلاح المنطوق فیه بدعوی انحصار العلّة أو بدعوی کون المراد من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الآتی من ناحیة وجوب الصلاة، أو التعبیر بقولک قد یکون إذا وجب الوضوء وجبت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واحد من هذه الاصلاحات یکون انتفاء ذلک المقدم کاشفا عن انتفاء ذلک التالی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فی المقام مطلبا آخر، و هو أنّه ربما یشکل علی ما تقدّمت </w:t>
      </w:r>
      <w:r>
        <w:rPr>
          <w:rStyle w:val="FootnoteAnchor"/>
          <w:rtl w:val="true"/>
        </w:rPr>
        <w:footnoteReference w:id="616"/>
      </w:r>
      <w:r>
        <w:rPr>
          <w:rFonts w:ascii="IRNazanin" w:hAnsi="IRNazanin" w:eastAsia="IRNazanin"/>
          <w:color w:val="111111"/>
          <w:sz w:val="28"/>
          <w:sz w:val="28"/>
          <w:szCs w:val="28"/>
          <w:rtl w:val="true"/>
          <w:lang w:bidi="fa-IR"/>
        </w:rPr>
        <w:t>الاشارة إلیه فی الأمر الثانی من حصر التلازم فی الأقسام المذکورة، فیقال إنّ العارض الذی هو من لوازم الماهیة مثل زوجیة الأربعة، و العارض الذی هو من لوازم الوجود الخارجی مثل حرارة النار، و العارض الذی هو من لوازم الوجود الذهنی مثل الکلّیة للإنسان، لیست من قبیل العلّة و المعلول، و لا من قبیل المعلولین لعلّة ثالثة، و لا من قبیل المتضایفین، فإنّ هذا النحو من التلازم قسم مستقلّ آخر و هو ملازمة العارض لذات المعروض، بمعنی أنّ الزوجیة لازمة لذات الأربعة، لأنّها بالذات زوج لا أنّ ذاتها أوجدت الزوجیة فکانت هی العلّة فی</w:t>
      </w:r>
    </w:p>
    <w:p>
      <w:pPr>
        <w:pStyle w:val="BookText"/>
        <w:rPr/>
      </w:pPr>
      <w:r>
        <w:rPr>
          <w:rFonts w:ascii="IRNazanin" w:hAnsi="IRNazanin" w:eastAsia="IRNazanin"/>
          <w:color w:val="111111"/>
          <w:sz w:val="28"/>
          <w:sz w:val="28"/>
          <w:szCs w:val="28"/>
          <w:rtl w:val="true"/>
          <w:lang w:bidi="fa-IR"/>
        </w:rPr>
        <w:t>الزوجیة، و لا أنّهما معلولان لعلّة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الزوجیة لمّا کانت باقتضاء الذات کانت معلولة للذات، فکانت داخلة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الجواب عن هذا الإشکال فاعلم أنّ قضایا الأحکام یکون التالی فیها هو الحکم، و المقدم فیها هو شرطه أو موضوعه، و الشارع بعد أن جعل الحکم مترتّبا علی ذلک الموضوع، کان نسبة ذلک الموضوع إلی ذلک الحکم کنسبة العلّة إلی معلولها فی کونه سابقا فی الرتبة علی ذلک الحکم، علی وجه أنّ ذلک الحکم بعد جعل الشارع له مترتّبا علی ذلک الموضوع یکون من قبیل لوازم الوجود الخارجی بالنسبة إلی ذلک الموضوع، و بعد أن دخلت القضیة الشرطیة المؤلّفة من الشرط و الحکم ساحة اللازم و الملزوم و العارض و المعروض، و قد فهمنا من الاطلاق و نحوه انحصار الشرط و العلّة علی وجه لا یعقل و لا یمکن الحکم ببقائه بعد انتفاء الشرط، کان ذلک ملازما لانتفائه عند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إنّما حصرنا المفهوم فی الشرطیة الدالّة علی کون المقدم علّة للتالی من جهة أنّ قضایانا الأحکامیة منحصرة فیما یکون من قبیل علّة الحکم، لا من جهة أنّ القضیة الشرطیة لا تکون ذات مفهوم إلّا إذا کان الشرط علّة للجزاء</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الأمر أنّ محطّ کلمات المنطقیین هو الاستدلال و البرهان اللمی أو الإنّی و محلّ کلامنا هو القضایا الأحکامیة التی جعلت الأحکام فیها علی موضوعاتها و أبرزت بقالب القضیة الشرطیة، علی وجه صار الموضوع فی مقام الشرط و الحکم فی مقام الجزاء، فکان هذا الوضع ظاهرا فی ترتّب الجزاء علی الشرط علی نحو ترتّب المعلول علی العلّة، فهل یکون هذا الترتّب موجبا و دالا علی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محلّ کلامنا إلّا فی مرحلة الدلالة اللفظیة، و هی أجنبیة عن تلک المباحث البرهانیة المنطقیة، و لأجل ذلک تکون القضیة الشرطیة التی یکون مقدمها معلولا للتالی خارجة عمّا نحن فیه من دلالة الشرط علی تقیید الحکم، و تکون داخلة فی الاستدلالات البرهانیة و إن کانت فی حدّ نفسها موجبة للانتفاء عند الانتفاء، حیث إنّ انتفاء المعلول یکشف عن انتفاء علّته، إلّا أنّ هذه القضیة بالخصوص لا تکون مسوقة إلّا لاستکشاف تمامیة العلّة من وجود المعلول، علی وجه یجعل انتفاء العلّة التی هی الجزاء کاشفا عن عدم المعلول الذی هو الشرط، لما ذکروه من أنّ القیاس الاستثنائی یکون وضع المقدّم فیه منتجا لوضع التالی، و رفع التالی منتجا لرفع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یتوخّاه المنطقیون من القضایا الشرطیة، و أین هذا ممّا نتوخّاه نحن من القضایا الشرطیة، أعنی ادّعاء ظهورها فی کون الشرط قیدا للحکم فی ناحیة الجزاء، و أنّ مقتضی کونه قیدا فیه هو انتفاؤه عند انتفائه بعد إثبات کونه من القیود المنحصرة، و قد شرحنا هذه القیدیة فی محلّه من بحث الواجب المشروط</w:t>
      </w:r>
      <w:r>
        <w:rPr>
          <w:rStyle w:val="FootnoteAnchor"/>
          <w:rtl w:val="true"/>
        </w:rPr>
        <w:footnoteReference w:id="617"/>
      </w:r>
      <w:r>
        <w:rPr>
          <w:rFonts w:ascii="IRNazanin" w:hAnsi="IRNazanin" w:eastAsia="IRNazanin"/>
          <w:color w:val="111111"/>
          <w:sz w:val="28"/>
          <w:sz w:val="28"/>
          <w:szCs w:val="28"/>
          <w:rtl w:val="true"/>
          <w:lang w:bidi="fa-IR"/>
        </w:rPr>
        <w:t>، و قلنا إنّ المراد بها هو الاناطة، أعنی إناطة الحکم فی ناحیة الجزاء بتقدیر وجود الشرط، فلیس ذلک من قبیل القیود الاصطلاحیة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یریده شیخنا قدّس سرّه، و لیس غرضه من اخراجها ممّا نحن فیه هو أنّ نفی المعلول الواقع فی ناحیة الشرط لا یدلّ علی نفی العلّة الواقعة فی ناحیة الجزاء</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فراجع ما حرّره عنه المرحوم الشیخ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منه ما</w:t>
      </w:r>
    </w:p>
    <w:p>
      <w:pPr>
        <w:pStyle w:val="BookText"/>
        <w:rPr/>
      </w:pPr>
      <w:r>
        <w:rPr>
          <w:rFonts w:ascii="IRNazanin" w:hAnsi="IRNazanin" w:eastAsia="IRNazanin"/>
          <w:color w:val="111111"/>
          <w:sz w:val="28"/>
          <w:sz w:val="28"/>
          <w:szCs w:val="28"/>
          <w:rtl w:val="true"/>
          <w:lang w:bidi="fa-IR"/>
        </w:rPr>
        <w:t xml:space="preserve">حرّره عنه المرحوم الشیخ موسی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لو لم یثبت الظهور فإثبات العلّة فی مقام الثبوت و کذلک الانحصار لا یفید للمفهوم، لأنّ أغلب القضایا المتعارفة واردة فی مقام الاثبات و البرهان، و غیر ناظرة إلی مقام الثبوت المقتضی لتقدّم ما هو المقدّم طبعا و تأخر ما هو المؤخّر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یکون النزاع ناظرا إلی ظهور القضیة فی التقیید و عدمه، أی مفهوم الوصف و الشرط و الغایة کمفهوم اللقب، أی لیس فی القضیة خصوصیة مفیدة لتقیید الحکم بقید، بل لیس فیه إلّا الحکم علی موضوعه من دون تعرّض لنفیه عمّا عداه، أو لیس کمفهوم اللقب بل ظاهر فی التقیید و الاناطة، فینتفی المقیّد بانتفاء قیده بعد إثبات الانحصار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ظاهر التعلیق فی القضیة الشرطیة لبیان فرض وجود الموضوع أو لتقیید الحکم، و الظاهر فی القضایا المتعارفة کونه لتقیید الحکم و تنقیحه یتوقّف علی تمهید مقدّمة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المرحوم الشیخ محمّد علی فوائد الأصول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حرّره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الجملة علی کون الشرط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یبعد دعوی الظهور السیاقی فی ذلک، حیث إنّ سوق الکلام من جعل الشرط مقدما و الجزاء تالیا هو أن یکون الکلام علی وفق ما هو الواقع، بمقتضی تبعیة عالم الاثبات لعالم الثبوت، فإنّه لو کان الجزاء علّة للشرط أو کانا معا معلولین لعلّة ثالثة لکان الکلام مسوقا لبیان البرهان الإنّی، و یتوقّف ذلک علی کون المتکلّم فی مقام الاستدلال علی انتفاء الشرط عند انتفاء الجزاء حسبما یقتضیه الاستدلال الإنّی، و هذا یحتاج إلی مئونة خارجیة، و إلّا فإنّ طبع الکلام یقتضی کون المقدم هو المقدم و التالی هو التالی فی الواقع و عالم الثبوت، فیکون الکلام قد سیق علی طبق الواقع انتهی منه قدّس سرّه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 صریح فیما ذکرناه من کون نفی المعلول</w:t>
      </w:r>
    </w:p>
    <w:p>
      <w:pPr>
        <w:pStyle w:val="BookText"/>
        <w:rPr/>
      </w:pPr>
      <w:r>
        <w:rPr>
          <w:rFonts w:ascii="IRNazanin" w:hAnsi="IRNazanin" w:eastAsia="IRNazanin"/>
          <w:color w:val="111111"/>
          <w:sz w:val="28"/>
          <w:sz w:val="28"/>
          <w:szCs w:val="28"/>
          <w:rtl w:val="true"/>
          <w:lang w:bidi="fa-IR"/>
        </w:rPr>
        <w:t>الواقع فی ناحیة الشرط یستلزم نفی العلّة الواقعة فی ناحیة الجزاء، لکن القضیة المتضمّنة لذلک لا توجب رفع الید عمّا ادّعیناه من ظهور الجملة الشرطیة فی حدّ نفسها فی کون الشرط قیدا فی الحکم الواقع فی ناحیة الجزاء، کما هو الشأن فی قضایانا الأحکامیة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قدّس سرّه صرّح بأنّه لو کان الشرط علّة للجزاء علّة تکوینیة تکون تلک القضیة خارجة عمّا هو محلّ کلامنا من القضایا الأحکامیة، التی یکون مفادها تقیید الحکم بالشرط، کما صرّح بذلک فیما نقله عنه فی هذا الکتاب، فلاحظ عبارته هناک فی مقام دفع توهّم أنّه لا بدّ من کون الشرط علّة للجزاء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بأنّ الموضوع بالاضافة إلی حکمه و إن لم یکن علّة له، إلّا أنّه مترتّب علیه نحو ترتّب المعلول علی علّته، و لا تدلّ القضیة الشرطیة إلّا علی ترتّب التالی علی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 الترتّب بنحو العلّیة فهو لیس مفاد القضیة الشرطیة، و إنّما هو من باب انحصار الترتّب فی غیر الأحکام فی الترتّب بنحو المعلولیة الخ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لاحظ أیضا عبارته فی مقام الردّ علی دعوی الکفایة</w:t>
      </w:r>
      <w:r>
        <w:rPr>
          <w:rStyle w:val="FootnoteAnchor"/>
          <w:rtl w:val="true"/>
        </w:rPr>
        <w:footnoteReference w:id="620"/>
      </w:r>
      <w:r>
        <w:rPr>
          <w:rFonts w:ascii="Amiri" w:hAnsi="Amiri" w:eastAsia="Amiri" w:cs="Amiri"/>
          <w:color w:val="111111"/>
          <w:sz w:val="28"/>
          <w:sz w:val="28"/>
          <w:szCs w:val="28"/>
          <w:rtl w:val="true"/>
          <w:lang w:bidi="ar-SA"/>
        </w:rPr>
        <w:t>أنّ ترتّب المعلول</w:t>
      </w:r>
    </w:p>
    <w:p>
      <w:pPr>
        <w:pStyle w:val="BookText"/>
        <w:rPr/>
      </w:pPr>
      <w:r>
        <w:rPr>
          <w:rFonts w:ascii="IRNazanin" w:hAnsi="IRNazanin" w:eastAsia="IRNazanin"/>
          <w:color w:val="111111"/>
          <w:sz w:val="28"/>
          <w:sz w:val="28"/>
          <w:szCs w:val="28"/>
          <w:rtl w:val="true"/>
          <w:lang w:bidi="fa-IR"/>
        </w:rPr>
        <w:t>علی علّته المنحصرة لیس مغایرا فی السنخ مع ترتّبه علی غیر المنحصر، و بذلک منع التمسّک بالاطلاق علی الانحصار، فقال شیخنا فی ردّه حسبما نقله فی هذا الکتاب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الفساد هو أنّ التمسّک بالاطلاق لیس من جهة إثبات انحصار العلّة حتّی یرد علیه ما ذکره، لما عرفت من أنّه لیس کون الترتّب بنحو المعلولیة مفادا للقضیة الشرطیة، بل مفاده إنّما هو ترتّب التالی علی المقدم لیس إلّا الخ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فلاحظ هذه المقامات فی الطبعة الجدیدة لهذا الکتاب، فإنّها فیه أوضح و أبسط ممّا فی هذه الطبعة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ما حرّره عنه المرحوم الشیخ محمّد علی فی مقام الرد علی الاستدلال علی الانحصار باطلاق العلّیة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أنّ القضیة الشرطیة لا دلالة لها علی استناد الجزاء إلی الشرط و کون وجوده معلولا لوجوده، بل غایة ما تدلّ علیه القضیة الشرطیة هو الترتّب بین الجزاء و الشرط، و وجود الجزاء عند وجود الشرط،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یخفی علیک أنّ هذه الکلمات کلّها أجنبیة عن مسألة استظهار المفهوم للقضیة الشرطیة، بل استظهار المفهوم لها یحتاج إلی بیان آخر، و حاصله الخ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قضایانا الأحکامیة مسوقة لجعل الحکم علی موضوعه، فإن قلنا بأنّ المجعول هو السببیة کان الموضوع علّة للحکم، لکن علّیته له شرعیة لا 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نقل بذلک، بل قلنا إنّ المجعول هو الحکم علی تقدیر الشرط، کان الشرط بمنزلة العلّة، و کانت القضیة فی دلالتها علی المفهوم متوقّفة علی الدلالة علی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حاصل قضایانا الشرعیة، و لیس فیها ما یکون الشرط معلولا، نعم فی باب الملازمات کما فی وجوب المقدمة المعلول لوجوب ذیها یتأتّی ما ذکره المنطقیون من البرهان اللمی و الإنّی، فتارة یکون المقدم هو وجوب ذی المقدمة فیکون الانتقال لمّیا، و أخری یکون المقدم هو وجوب المقدمة فیکون الانتقال إنّیا، و یکون انتفاء المقدم کاشفا عن انتفاء التالی فی کلا الصورتین، کما أنّ تحقّقه یکون کاشفا عن تحقّق التالی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بعد أن کان کلّ ما فی المطلب هو کون الشرط موضوعا و کون الجزاء حکما لذلک الموضوع، و أن لیس فی البین إلّا مجرّد التسمیة، فیسمّی الشرط علّة باعتبار ترتّب الحکم علیه، و یسمّی الجزاء معلولا باعتبار کونه متأخرا رتبة عن الشرط و أنّه یتحقّق عند تحقّق الشرط، نکون فی غنی عن إثبات الأمر الأوّل، أعنی کون القضیة لزومیة فی قبال الاتّفاقیة، بل نکون فی غنی أیضا عن إثبات الأمر الثانی و هو کون الشرط علّة، لما عرفت من أنّ المدار علی کون الشرط موضوعا للجزاء، و هذا أعنی تشخیص کون المقدم موضوعا و شرطا أمر جلی واضح، لا یحتاج إلی إقامة البرهان و لا إلی استظهار من لفظ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الکلام فی الأمر الثالث و هو الانحصار، و نعنی به انحصار موضوع ذلک الحکم بالشرط المذکور، کما نراه فی الاستطاعة و وجوب الحجّ أعنی حجّة الإسلام، فإنّه لا موضوع لوجوبها إلّا الاستطاعة و لا یقوم مقامها شی‌ء آخر، بخلاف وجوب الکفّارة فی مثل إن ظاهرت فکفّر، فإنّ انتفاء الظهار لا یکشف عن انتفاء وجوب الکفّارة، لجواز وجوبها بالافطار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القائل بالمفهوم إثبات الانحصار و أنّ هذا الموضوع لا یقوم مقامه موضوع آخر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المستند فیما لو نوی الاقامة و صلّی رباعیة بتمام ما هذا</w:t>
      </w:r>
    </w:p>
    <w:p>
      <w:pPr>
        <w:pStyle w:val="BookText"/>
        <w:rPr/>
      </w:pP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بعد إیقاع الصلاة الواحدة تامّة لو رجع کما یصلّی باقی الصلوات تامّة یصوم أیضا،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قصرت أفطرت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یجبر عدم دلالته علی الوجوب بالإجماع المرکّب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الروایة المشار إلیها هی ما رواه فی الفقیه فی الصحیح عن معاویة بن وهب، التی یقول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دخلت بلدا أوّل یوم من شهر رمضان و لست أرید أن أقیم عشرا،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 افطر،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مکثت کذلک أقول غدا و بعد غد، فأفطر الشهر کلّه و أقصّر؟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واحد، إذا قصّرت أفطرت و إذا أفطرت قصّرت</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هذه الروایة الشریفة مشتملة علی جملتین إحداهما عکس الأخری، و هما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قصّرت أفطرت و إذا أفطرت 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الجملة الأولی علی وجوب الصوم فی المسألة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لو عدل عن نیّة الاقامة بعد الصلاة الرباعیة بتمام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المفهوم باصطلاح الأصولیین، و هو انتفاء الجزاء عند انتفاء الشرط، فیحتاج دلالته علی وجوب الصوم إلی الاعتضاد بالإجماع المرکّب، لأنّ المنطوق هو أنّک إذا قصرت وجب الافطار، فمفهومه أنّک إذا لم تقصر لم یجب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نفی وجوب الافطار لا یدلّ علی وجوب الصوم و حرمة الافطار إلّا بالإجماع المرکّب، و هو أنّه لا قائل بجواز الصوم، لأنّ المسألة ذات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بوجوب الصوم و قول بحرمته، فإذا دلّ المفهوم علی عدم وجوبه فقد دلّ علی حرمته و وجوب الافطار، و هکذا الحال فی</w:t>
      </w:r>
    </w:p>
    <w:p>
      <w:pPr>
        <w:pStyle w:val="BookText"/>
        <w:rPr/>
      </w:pPr>
      <w:r>
        <w:rPr>
          <w:rFonts w:ascii="IRNazanin" w:hAnsi="IRNazanin" w:eastAsia="IRNazanin"/>
          <w:color w:val="111111"/>
          <w:sz w:val="28"/>
          <w:sz w:val="28"/>
          <w:szCs w:val="28"/>
          <w:rtl w:val="true"/>
          <w:lang w:bidi="fa-IR"/>
        </w:rPr>
        <w:t>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 یقال إنّ المفهوم هو أنّک إذا لم تقصر لم تفطر، و هو دالّ بنفسه علی عدم جواز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إذا أفطرت 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الحکم فی المسألة المزبورة بطریق المفهوم فی اصطلاح المنطقیین، و هو أنّ نفی الجزاء یوجب نفی الشرط، و ذلک بطریق القیاس الاستثنائی بأن یقال إنّ هذا الراجع عن نیة الاقامة بعد أن صلّی الرباعیة بتمام لا یجوز له الافطار، لأنّه لو أفطر لقصر الصلاة، لکن قصرها غیر جائز، فتکون النتیجة أنّ افطاره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أفطر لقصر الصلاة لکنّه لا یقصرها فهو محکوم بأنّه لا یفطر و من الواضح أنّ ذلک لا یحتاج إلی الاعتضاد بالإجماع المرکّب، و هکذا الحال فی مسألة التردّد ثلاثین یوما،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حرّرته فی سالف الزمان، و لکن الظاهر أنّ کلا من الجملتین خارج عن اصطلاح الأصولیین و أنّهما علی اصطلاح المنطقیین، فإنّ کلا من تقصیر الصلاة و الافطار حکم معلول لتحقّق السفر، فالسفر علّة لکلّ منهما، و انتفاء کلّ منهما یکون برهانا علی انتفاء الآخر، لأنّ انتفاء أحدهما یکشف عن عدم العلّة، و هو أعنی عدم العلّة یوجب عدم المعلول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حال التقیید مع الانحصار و عدمه تختلف لا محالة، فیکون اطلاق القید و عدم ذکر عدم له مفیدا لانحصاره لا محالة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یتّضح تمام الاتّضاح اختلاف التقیید مع الانحصار و عدمه علی وجه یکون التقیید مع الانحصار غیر محتاج إلی مئونة زائدة و التقیید مع عدم</w:t>
      </w:r>
    </w:p>
    <w:p>
      <w:pPr>
        <w:pStyle w:val="BookText"/>
        <w:rPr/>
      </w:pPr>
      <w:r>
        <w:rPr>
          <w:rFonts w:ascii="IRNazanin" w:hAnsi="IRNazanin" w:eastAsia="IRNazanin"/>
          <w:color w:val="111111"/>
          <w:sz w:val="28"/>
          <w:sz w:val="28"/>
          <w:szCs w:val="28"/>
          <w:rtl w:val="true"/>
          <w:lang w:bidi="fa-IR"/>
        </w:rPr>
        <w:t>الانحصار محتاجا إلی ذلک، لیکون ما نحن فیه من قبیل الاستدلال بالاطلاق علی إرادة أحد نوعی المطلق الذی لا یحتاج إلی مئونة زائدة، لیکون نظیر الواجب التعیینی فی قبال الواجب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تقریب التمسّک بالاطلاق علی الانحصار بنحو آخر یکون من باب التمسّک بالمطلق علی إرادة المطلق، أعنی بذلک اطلاق نفس التقیید و شموله لما إذا وجد الطرف الآخر الذی یحتمل قیامه مقام القید المذکور فی الشرط، فإنّ مقتضی اطلاق کون الشرط قیدا هو کونه قیدا بقول مطلق حتّی عند وجود ذلک الطرف الآخر، فإذا فرضنا أنّ ذلک الشرط یکون قیدا فی ذلک الحکم حتّی فی حال وجود طرفه المذکور، کان محصّل ذلک هو أنّ ذلک الطرف لا یقوم مقامه، و ذلک هو عین الانتفاء عند انتفاء القید المذکور، الذی هو عبارة عن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طبع التقیید یقتضی تضییق الدائرة الذی هو عبارة عن الانتفاء عند الانتفاء، و لکن نشکّ أنّه عند انتفاء ذلک القید و وجود الطرف الآخر المحتمل القیدیة و القیام مقام ذلک القید المذکور فی ناحیة الشرط، هل یکون الحکم المذکور فی ناحیة الجزاء باقیا علی ما هو علیه من کونه مقیّدا بذلک القید المذکور فی ناحیة الشرط، أو أنّ تقیّده به مختصّ بما إذا لم یوجد ذلک الطرف الآخر، فإذا أثبتنا بمقتضی إطلاق التقیید أنّ ذلک الشرط قید فی ذلک الحکم حتّی فی حالة وجود ذلک الطرف الآخر، کان محصّله أنّه فی ذلک الحال أیضا یکون الحکم المذکور مضیّق الدائرة بوجود الشرط، و أنّه ینعدم عند انعدامه، و یکون محصّله أنّ الحکم فی ذلک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حال وجود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منعدما عند انعدام الشرط، و هو معنی المفهوم، و هو معنی کون الشرط قیدا منحصرا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فقایس ما نحن فیه من قیود الحکم الذی هو الوجوب مثلا بقیود</w:t>
      </w:r>
    </w:p>
    <w:p>
      <w:pPr>
        <w:pStyle w:val="BookText"/>
        <w:rPr/>
      </w:pPr>
      <w:r>
        <w:rPr>
          <w:rFonts w:ascii="IRNazanin" w:hAnsi="IRNazanin" w:eastAsia="IRNazanin"/>
          <w:color w:val="111111"/>
          <w:sz w:val="28"/>
          <w:sz w:val="28"/>
          <w:szCs w:val="28"/>
          <w:rtl w:val="true"/>
          <w:lang w:bidi="fa-IR"/>
        </w:rPr>
        <w:t>الفعل الواجب کالصلاة مثلا، فإنّها قد قیّدت بقیود کثیرة منها التسبیحات فی الرکعتین الأخیرتین، و لا ریب أنّ تقیّدها بالتسبیحات یکون مقیّدا بأن لا تخلفها الفاتحة، فلا یکون انتفاء التسبیحات عند وجود الفاتحة فی مقامها موجبا لانتفاء الصلاة أعنی صحّتها، و حینئذ تکون الفاتحة بدلا من التسبیحات بدلا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لبعض قیودها بدل طولی، کما فی الطهارة المائیة التی لها بدل طولی الذی هو الطهارة الترابیة، و لازم ذلک انحصار قیدیة الطهارة المائیة للصلاة بما إذا کان متمکّنا منها، کما هو الحال فی القیود التی تسقط بالاضطرار أو النسیان بلا أن یکون لها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قید آخر تکون قیدیته مطلقة، علی وجه یکون انتفاؤه موجبا لانتفاء صحّة الصلاة بقول مطلق، و لازمه سقوط الصلاة عند عدم التمکّن من ذلک القید، و ذلک مثل مطلق الطهور، بناء علی أنّه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تقیّد الصلاة به تقیّدا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طبع التقیید یقتضی القیدیة و الانتفاء عند الانتفاء، و لا یحکم بسقوط القیدیة فی حال من الأحوال إلّا بدلیل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طبع التقیید لا یکفی فی ذلک أعنی الحکم بالانتفاء عند الانتفاء، بل لا بدّ من إثبات اطلاق التقیید و سرایته إلی ذلک الحال، و حینئذ لو لم یکن فی البین ذلک الاطلاق و بقینا نحن و مجرّد ثبوت التقیید علی نحو الاهمال، لم یمکن أن نحکم بالانتفاء عند انتفائه، بل لا بدّ من الرجوع إلی الأصول العملیة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موکول إلی محلّه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أنّه لو کان لدلیل تقیید الصلاة بمثل الطهور مثلا اطلاق یشمل ما</w:t>
      </w:r>
    </w:p>
    <w:p>
      <w:pPr>
        <w:pStyle w:val="BookText"/>
        <w:rPr/>
      </w:pPr>
      <w:r>
        <w:rPr>
          <w:rFonts w:ascii="IRNazanin" w:hAnsi="IRNazanin" w:eastAsia="IRNazanin"/>
          <w:color w:val="111111"/>
          <w:sz w:val="28"/>
          <w:sz w:val="28"/>
          <w:szCs w:val="28"/>
          <w:rtl w:val="true"/>
          <w:lang w:bidi="fa-IR"/>
        </w:rPr>
        <w:t>إذا لم یوجد الطهور و وجد غیره ممّا یحتمل کونه قائما مقامه کالاستغفار مثلا علی نحو الطولیة أو علی نحو العرضیة، و کان اطلاق دلیل تقیید الصلاة بالطهور شاملا لما إذا فعل المکلّف الاستغفار، سواء کان مع تمکّنه من الطهور بأن یکون الاستغفار بدلا عرضیا أو مع عدم تمکّنه منه بحیث یکون بدلا طولیا، لم یکن لنا بدّ من الحکم فی ذلک الحال بعدم تحقّق المقیّد الذی هو صحّة الصلاة، و بأنّ انتفاء ذلک القید الذی هو الطهور یوجب انتفاء المقیّد الذی هو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بعین هذا الاطلاق نتمسّک فیما نحن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ثبت بقوله مثلا إذا خسف القمر فصلّ صلاة الآیات أنّ وجوب صلاة الآیات مقیّد بما إذا انخسف القمر، و مقتضی ذلک تضییق دائرة ذلک الوجوب، و لکن نشکّ بأنّ ذلک التقیید و تضییق الدائرة هل هو شامل لما إذا بلغ القمر اللیلة الرابعة، بحیث إنّه فی اللیلة الرابعة من الشهر یکون تقیّد وجوب صلاة الآیة بالانخساف باقیا علی حاله، و مقتضاه أنّه فی هذا الحال أعنی اللیلة الرابعة لا تجب صلاة الآیة، لانتفاء قیدها المفروض کونه قیدا فیه حتّی فی هذه اللیلة، أو أنّ تقیّده بالانخساف لا یشمل هذه اللیلة، فیمکن أن یتحقّق الوجوب المذکور فی هذه اللیلة، لاحتمال کونها قائمة مقام الانخساف فی ترتّب الوجوب المذکور علیها، فلا یکون للقضیة الشرطیة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إنّا تمکّنا باطلاق دلیل التقیید فی القضیة الشرطیة من إثبات القیدیة المطلقة کان لازمه 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عبارة أخری عن الانحصار و أنّ اللیلة الرابعة لا تقوم مقام الانخساف فی القیدیة المزبورة، فتأمّل جیدا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المقام لفظ یدلّ علی التقیید کی یکون اطلاقه حجّة علی کون ذلک التقیید مطلقا، إذ لیس فی البین إلّا جعل الحکم علی تقدیر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الجعل هو تکوّن للتقیید، حیث إنّا لا نقول بجعل التقیید و لا بجعل السببیة، و أنّ المجعول هو الحکم علی ذلک التقدیر، و عن ذلک الجعل ینشأ التقیید و السببیة، فهما منتزعان من ذلک الجعل، فیکونان فی هذه الجهة تابعین لما هو منشأ انتزاعهما و هو ذلک الجعل، و عدم العطف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الجعل هو المنشأ فی انتزاع القیدیة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أنّک قد عرفت أنّ طبع التقیید المنتزع من ذلک الجعل کاف فی التوقّف و الانتفاء عند الانتفاء، من دون حاجة إلی إثبات الاطلاق، فتأمّل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ربما یتمسّک لدلالة القضیة الشرطیة علی الانحصار الذی لازمه المفهوم الذی هو الانتفاء عند انتفاء الشرط، بأنّ الظاهر من التعلیق علی هذا الشرط الخاصّ هو أنّ لخصوصیته دخلا فی الحکم المذکور فی ناحیة الجزاء، فلو کان فی البین شرط آخر یقوم مقام الشرط المذکور فی القضیة لکان الشرط هو القدر الجامع بینهما، فیکون حینئذ ذکر الخصوصیة لغوا، و هو خلاف الظاهر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فإنّ هذه الطریقة لا تفیدنا إلّا أنّ هذه الخصوصیة لها دخل فی الحکم، فی قبال احتمال کون المدخلیة للقدر الجامع، و من الواضح أنّ ذلک بمجرّده لا یوجب انتفاء کلّی الحکم عند انتفاء الشرط المذکور الذی هو المطلوب فی المفهوم، و إنّما أقصی ما فیه أنّه یوجب انتفاء الحکم الموجود فی هذه القضیة المعلّق علی خصوصیة ذلک الشرط، و هذا المقدار لا یکفینا فی الحکم بالمفهوم، فإنّ هذا المقدار من نفی الحکم یشترک فیه جمیع القضایا، حتّی القضایا الحملیة التی نعبّر عنها باللقب، فإنّ من الضرورة هو انتفاء شخص الحکم عند انتفاء موضوعه، و إنّما عمدة الکلام فی المفهوم هو کون انتفاء الشرط موجبا لانتفاء</w:t>
      </w:r>
    </w:p>
    <w:p>
      <w:pPr>
        <w:pStyle w:val="BookText"/>
        <w:rPr/>
      </w:pPr>
      <w:r>
        <w:rPr>
          <w:rFonts w:ascii="Amiri" w:hAnsi="Amiri" w:eastAsia="Amiri" w:cs="Amiri"/>
          <w:color w:val="111111"/>
          <w:sz w:val="28"/>
          <w:sz w:val="28"/>
          <w:szCs w:val="28"/>
          <w:rtl w:val="true"/>
          <w:lang w:bidi="ar-SA"/>
        </w:rPr>
        <w:t>کلّی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حینئذ فعلینا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أن ثبت أنّ للخصوصیة دخلا فی شخص ذلک الحکم الموجود فی الجزاء، أن نتکلّم فی أنّها هل هی منحصرة علی وجه یکون انتفاؤها موجبا لانتفاء کلّی الحکم، أو أنّه یمکن أن یخلفها شرط آخر مباین لهذا الشرط، و یکون ذلک الشرط موجبا لحدوث فرد آخر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لو ادّعینا المفهوم بالمعنی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انتفاء سنخ الحکم و کلّی الوجوب مثلا عند انتفاء الشرط المذکور 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أوّلا أن نثبت أنّ المعلّق علی ذلک الشرط هو کلّی الوجوب، و بعد إثبات أنّ کلّی الوجوب معلّق علی ذلک الشرط و مقیّد به، هل ذلک علی نحو الانحصار فیکون لازمه هو انتفاء الحکم الکلّی عند انتفاء ذلک الشرط، أو أنّه لیس علی نحو الانحصار و لازمه امکان ثبوت فرد من ذلک الحکم الکلّی علی تقدیر شرط آخر غیر 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أنّ الانحصار وحده لا ینفع فی إثبات ذلک المفهوم، إذ لو کان المعلّق علی الشرط المنحصر هو شخص الحکم لا کلّیه فأقصی ما یفیده الانحصار هو انتفاء ذلک الحکم الشخصی عند انتفاء ذلک الشرط الخاصّ، فی قبال احتمال کون الشرط فی ذلک الحکم الخاص هو القدر الجامع بین هذا الشرط و بین ما یخلفه، أو فی قبال احتمال قیام شخص آخر مباین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مبنی علی أنّ الشرط علّة و لا یسوغ اجتماع علّتین متباینتین علی معلول واحد، و الثانی مبنی علی إنکار علّیة الشرط أو إنکار امتناع تباین العلل مع وحدة المعلول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یتلخّص من مجموع ما حرّرناه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للقضیة الشرطیة یتوقّف علی ثبوت الانحصار فی الشرط، و علی کون الحکم المعلّق هو سنخ</w:t>
      </w:r>
      <w:bookmarkStart w:id="259" w:name="pg19667_765369"/>
    </w:p>
    <w:p>
      <w:pPr>
        <w:pStyle w:val="BookText"/>
        <w:rPr/>
      </w:pPr>
      <w:bookmarkEnd w:id="259"/>
      <w:r>
        <w:rPr>
          <w:rFonts w:ascii="IRNazanin" w:hAnsi="IRNazanin" w:eastAsia="IRNazanin"/>
          <w:color w:val="111111"/>
          <w:sz w:val="28"/>
          <w:sz w:val="28"/>
          <w:szCs w:val="28"/>
          <w:rtl w:val="true"/>
          <w:lang w:bidi="fa-IR"/>
        </w:rPr>
        <w:t>الحکم لا شخصه، إذ لو کان الشرط منحصرا و لکن لم یکن المشروط هو طبیعة الحکم بل کان شخصه، لم یکن انتفاء الشرط المنحصر موجبا لانتفاء کلّی الحکم، و إنّما أقصی ما فیه أنّه یوجب انتفاء الشخص، و لیس ذلک من المفهوم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الأمر بالعکس بأن کان المعلّق هو السنخ، و لکن کان الشرط غیر منحصر، لم یکن انتفاؤه موجبا لانتفاء السنخ</w:t>
      </w:r>
      <w:r>
        <w:rPr>
          <w:rFonts w:eastAsia="IRNazanin" w:cs="IRNazanin"/>
          <w:color w:val="111111"/>
          <w:sz w:val="28"/>
          <w:szCs w:val="28"/>
          <w:rtl w:val="true"/>
          <w:lang w:bidi="fa-IR"/>
        </w:rPr>
        <w:t>.</w:t>
      </w:r>
    </w:p>
    <w:p>
      <w:pPr>
        <w:pStyle w:val="Heading5"/>
        <w:numPr>
          <w:ilvl w:val="4"/>
          <w:numId w:val="1"/>
        </w:numPr>
        <w:rPr/>
      </w:pPr>
      <w:bookmarkStart w:id="260" w:name="__RefHeading___Toc3538625_2314609296"/>
      <w:bookmarkStart w:id="261" w:name="_Toc90"/>
      <w:bookmarkEnd w:id="260"/>
      <w:r>
        <w:rPr>
          <w:rtl w:val="true"/>
        </w:rPr>
        <w:t>[</w:t>
      </w:r>
      <w:r>
        <w:rPr>
          <w:rtl w:val="true"/>
        </w:rPr>
        <w:t>خلاصة ما ذکره المحقّق العراقی قدّس سرّه فی المقام</w:t>
      </w:r>
      <w:bookmarkEnd w:id="261"/>
    </w:p>
    <w:p>
      <w:pPr>
        <w:pStyle w:val="BookText"/>
        <w:rPr/>
      </w:pPr>
      <w:r>
        <w:rPr>
          <w:rFonts w:ascii="IRNazanin" w:hAnsi="IRNazanin" w:eastAsia="IRNazanin"/>
          <w:color w:val="111111"/>
          <w:sz w:val="28"/>
          <w:sz w:val="28"/>
          <w:szCs w:val="28"/>
          <w:rtl w:val="true"/>
          <w:lang w:bidi="fa-IR"/>
        </w:rPr>
        <w:t>و لشیخنا الأستاذ المحقّق الآغا ضیاء الدین العراقی قدّس سرّه فی هذا المقام تحقیق مفصّل کما حرّرته عنه فی الدرس، و حرّره هو قدّس سرّه فی مقالته المطبوعة</w:t>
      </w:r>
      <w:r>
        <w:rPr>
          <w:rStyle w:val="FootnoteAnchor"/>
          <w:rtl w:val="true"/>
        </w:rPr>
        <w:footnoteReference w:id="628"/>
      </w:r>
      <w:r>
        <w:rPr>
          <w:rFonts w:ascii="IRNazanin" w:hAnsi="IRNazanin" w:eastAsia="IRNazanin"/>
          <w:color w:val="111111"/>
          <w:sz w:val="28"/>
          <w:sz w:val="28"/>
          <w:szCs w:val="28"/>
          <w:rtl w:val="true"/>
          <w:lang w:bidi="fa-IR"/>
        </w:rPr>
        <w:t>یتلخّص فی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انحصار الشرط أمر مفروغ منه حتّی عند القائلین بعدم المفهوم و لأجل ذلک نراهم یحکمون بالتعارض بین مثل أکرم زیدا إن جاءک و أکرم زیدا بقول مطلق، و یحملون الثانی علی الأوّل بشرط استفادة وحدة الحکم، فإنّ قولهم إنّه لو استفید منه وحدة الحکم یحصل التعارض مع أنّهم لا یقولون بالمفهوم کاشف عن أنّهم لا یفهمون من مثل ذلک کون المعلّق السنخ، فقالوا بعدم المفهوم أعنی انتفاء سنخ الحکم عند انتفاء الشرط، و حینئذ یکون التعارض مستندا إلی أنّ الشرط منحصر، و أن شخص ذلک الحکم الواحد ینتفی عند انتفاء الشرط، کما هو مفاد القضیة الأولی، فیکون مفاده منافیا لثبوته مع عدم الشرط، کما هو مقتضی اطلاق القضیة الثانیة</w:t>
      </w:r>
      <w:r>
        <w:rPr>
          <w:rStyle w:val="FootnoteAnchor"/>
          <w:rtl w:val="true"/>
        </w:rPr>
        <w:footnoteReference w:id="629"/>
      </w:r>
      <w:r>
        <w:rPr>
          <w:rFonts w:ascii="IRNazanin" w:hAnsi="IRNazanin" w:eastAsia="IRNazanin"/>
          <w:color w:val="111111"/>
          <w:sz w:val="28"/>
          <w:sz w:val="28"/>
          <w:szCs w:val="28"/>
          <w:rtl w:val="true"/>
          <w:lang w:bidi="fa-IR"/>
        </w:rPr>
        <w:t>، فیقع التعارض بینهما، و علاج هذا التعارض الجمع الدلالی بحمل المطلق علی المقیّد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الانحصار فی الشرط یحصل بظهور الجملة فی أنّ</w:t>
      </w:r>
    </w:p>
    <w:p>
      <w:pPr>
        <w:pStyle w:val="BookText"/>
        <w:rPr/>
      </w:pPr>
      <w:r>
        <w:rPr>
          <w:rFonts w:ascii="IRNazanin" w:hAnsi="IRNazanin" w:eastAsia="IRNazanin"/>
          <w:color w:val="111111"/>
          <w:sz w:val="28"/>
          <w:sz w:val="28"/>
          <w:szCs w:val="28"/>
          <w:rtl w:val="true"/>
          <w:lang w:bidi="fa-IR"/>
        </w:rPr>
        <w:t>لخصوصیة ذلک الشرط مدخلیة فی الحکم، فی قبال احتمال کون الشرط و المؤثّر هو القدر الجامع، أمّا احتمال کون قیام غیره مقامه ممّا هو مباین له، فذلک ممّا یقطع بعدمه، لامتناع تعدّد العلّة مع وحدة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السنخ الذی هو العمدة و الأساس فی ثبوت مفهوم القضیة الشرطیة، هو کون المعلّق علی الشرط هو طبیعة الحکم بتمام وجوده، فإن انتفاء الشرط حینئذ یکون موجبا لانتفاء طبیعة ذلک الحکم، بخلاف ما لو کان المشروط هو الطبیعة المهملة الصالحة للانطباق علی خصوص المعلّق علی ذلک الشرط، فإنّ انتفاء الشرط لا یدلّ إلّا علی انتفائه، لا علی انتفاء الطبیعة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إثبات أنّ المعلّق هو السنخ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عنایة زائدة علی أصل إفادة التعلیق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تحریراتی عنه أنّه ربما کان لنبرة الصوت مدخلیة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فلامکان أن یکون حکمهم بالتعارض فی ذلک من جهة کون سعة الحکم الواحد منافیة لضیقه، کما أفاده فی الکفایة</w:t>
      </w:r>
      <w:r>
        <w:rPr>
          <w:rStyle w:val="FootnoteAnchor"/>
          <w:rtl w:val="true"/>
        </w:rPr>
        <w:footnoteReference w:id="630"/>
      </w:r>
      <w:r>
        <w:rPr>
          <w:rFonts w:ascii="IRNazanin" w:hAnsi="IRNazanin" w:eastAsia="IRNazanin"/>
          <w:color w:val="111111"/>
          <w:sz w:val="28"/>
          <w:sz w:val="28"/>
          <w:szCs w:val="28"/>
          <w:rtl w:val="true"/>
          <w:lang w:bidi="fa-IR"/>
        </w:rPr>
        <w:t>فی مبحث مفهوم الوصف من التنافی بین مثل ائتنی بإنسان و ائتنی بحیوان مع وحدة التکلیف، إذ من الواضح أنّه لیس فی البین شرط أو علّة کی یدّعی أنّ منشأ التنافی هو الانحصار و انتفاء شخص الحکم عند الانتفاء</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لو سلّمنا کون الشرط علّة فی الحکم، و لو باعتبار کونه علّة فی حدوث المصلحة الموجبة لجعل الحکم علی طبقها، و أنّ العلّة لا یجوز تعدّدها، و أنّه فی صورة تعدّد العلل لا بدّ من ارجاعها إلی قدر جامع، إلّا أنّه ربما کان ذلک القدر الجامع بعیدا عن الأذهان العرفیة علی وجه لا یطّلع علیه العرف،</w:t>
      </w:r>
    </w:p>
    <w:p>
      <w:pPr>
        <w:pStyle w:val="BookText"/>
        <w:rPr/>
      </w:pPr>
      <w:r>
        <w:rPr>
          <w:rFonts w:ascii="IRNazanin" w:hAnsi="IRNazanin" w:eastAsia="IRNazanin"/>
          <w:color w:val="111111"/>
          <w:sz w:val="28"/>
          <w:sz w:val="28"/>
          <w:szCs w:val="28"/>
          <w:rtl w:val="true"/>
          <w:lang w:bidi="fa-IR"/>
        </w:rPr>
        <w:t>ففی مثل ذلک لا یمکن طرد احتمال عدم الانحصار بظهور الجملة فی مدخلیة الخصوصیة، لأنّ ذلک إنّما یمکن فیما لو کان التعلیق علی القدر الجامع ممکنا، فإنّه حینئذ یقال لو کان الشرط هو القدر الجامع لکان علی المتکلّم أن یذکره و یجعل الجزاء معلّقا علیه لا علی فرده الخاصّ، أمّا فی صورة عدم إمکان ذکر القدر الجامع لفرض قصور الأذهان العرفیة عن فهمه، فاحتمال التعدّد فی مثل ذلک لا یمکن طرده باستظهار مدخلیة الخصوصیة فی قبال القدر الجامع، بل لا بدّ فی الاستناد فی طرد ذلک الاحتمال من الاستناد إلی الاطلاق و عدم العطف علی الشرط بأو و نحو ذلک ممّا تقدّم، و لا ینفع فیه ظهور الشرط فی مدخلیة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أنّه فی صورة کون الجامع قریبا نحتاج فی إثبات الانحصار إلی الاستناد إلی عدم العطف بلفظ أو، فإنّ أقصی ما فی البین هو أنّا قد طردنا احتمال کون الشرط هو ذلک القدر الجامع العرفی القریب بأنّ الظاهر أنّ للخصوصیة الشخصیة مدخلیة، و لکن إثبات الخصوصیة لزید مثلا إنّما تنفی أن یکون الأثر مترتّبا علی کلّی الإنسان الذی هو قدر جامع بین زید و عمرو، و هذا لا ینفی أن یکون لخصوصیة عمرو مدخلیة کما لخصوصیة زید مدخلیة علی البدل، و حینئذ نکون محتاجین إلی طرد ذلک الاحتمال بعدم ذکر العطف بأو، إذ لا جامع عرفی بین الخصوصیتین، و إن کان هناک جامع عرفی بین الفردین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تعلیق نفس الحکم الذی یوجد علی ذلک التقدیر لا معنی له، لاستحالة أخذ الموضوع فی نفس الحکم عند جعل الحکم علی موضوعه، إذ لا بدّ فی مقام الجعل من لحاظ الحکم منحازا عن موضوعه، و لحاظ موضوعه منحازا عنه، و فی هذه المرتبة من اللحاظ یجعل الحکم علی ذلک</w:t>
      </w:r>
    </w:p>
    <w:p>
      <w:pPr>
        <w:pStyle w:val="BookText"/>
        <w:rPr/>
      </w:pPr>
      <w:r>
        <w:rPr>
          <w:rFonts w:ascii="IRNazanin" w:hAnsi="IRNazanin" w:eastAsia="IRNazanin"/>
          <w:color w:val="111111"/>
          <w:sz w:val="28"/>
          <w:sz w:val="28"/>
          <w:szCs w:val="28"/>
          <w:rtl w:val="true"/>
          <w:lang w:bidi="fa-IR"/>
        </w:rPr>
        <w:t>الموضوع أو علی ذلک الشرط، و حینئذ یکون الحکم المجعول هو طبیعة الوجوب بما له من الحقیقة، و هذا المقدار کاف فی حکمنا بأنّ الحکم المعلّق علی الشرط هو طبیعة الوجوب بما له من الحقیقة، فیکون ذلک الشرط دخیلا فی طبیعة الوجوب المذکور، فإذا أثبتنا انحصار الشرط کان لازمه انتفاء طبیعة الوجوب عند انتفاء ذلک الشرط، من دون توقّف علی ثبوت اطلاق فی ناحیة الحکم المجعول، بحیث یکون الجاعل فی حال جعله الحکم قد نظر إلی طبیعة الوجوب و علّقها بتمام ما لها من الوجود علی الشرط المزبور، بل قد یقال باستحالة ذلک الاطلاق فی مرحلة الجعل کما یستحیل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قدّس سرّه قد قصد التصدّی لدفع هذا الإشکال فی مقالته المطبوعة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لا محیص فی مقام تعلیق شخص الوجوب مثلا أن یراد من الشخص ما هو المحدود بحدود خاصّة ملازم مع ما علّق علیه الحدّ لا الناشئ من قبله، فی قبال سنخه الملازم لتجریده عن هذه الخصوصیة الملازم لأخذ اطلاق فی الحکم من هذه الجهة زائدا عمّا هو مدلول خطابه من الطبیعة المهملة الخ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هذا تکلّف فی تسجیل الإشکال، الموجب للتوقّف فی أخذ المفهوم بلا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داع یدعو الآمر أن ینظر إلی الحکم مقیّدا بجهة ملازمة مع تحدیده بحدوده الخاصّة کی یکون الاطلاق المدّعی بازاء هذا التقیید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المتحصّل من مجموع ما أفاده قدّس سرّه فیما حرّرته عنه و فیما حرّره هو فی مقالته هو أنّ انحصار الشرط أمر مفروغ عنه حتّی عند المنکرین للمفهوم، و أنّ منشأ النزاع فی المفهوم هو کون المعلّق علی الشرط هو سنخ الحکم، بحیث یکون المتکلّم ناظرا إلی طبیعة الوجوب و أنّه بتمامه معلّق علی</w:t>
      </w:r>
    </w:p>
    <w:p>
      <w:pPr>
        <w:pStyle w:val="BookText"/>
        <w:rPr/>
      </w:pPr>
      <w:r>
        <w:rPr>
          <w:rFonts w:ascii="IRNazanin" w:hAnsi="IRNazanin" w:eastAsia="IRNazanin"/>
          <w:color w:val="111111"/>
          <w:sz w:val="28"/>
          <w:sz w:val="28"/>
          <w:szCs w:val="28"/>
          <w:rtl w:val="true"/>
          <w:lang w:bidi="fa-IR"/>
        </w:rPr>
        <w:t>الشرط، و هذه جهة زائدة علی ما تفیده الدلالة اللفظیة من جعل طبیعة الوجوب المهملة معلّقة علی الشرط، فکأنّه قدّس سرّه یری أنّه لا بدّ فی المفهوم من کون المتکلّم بصدد حصر الوجوب و قصره علی الشرط، و لأجل ذلک قال فیما حرّرته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لنبرة الصوت مدخلیة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کون المتکلّم بصدد حصر الوجوب الکلّی و أنّه مقصور علی مورد الشرط أمر آخر، غیر ما هو محطّ البحث فی استفادة المفهوم، فإنّه لو ثبت کون المتکلّم بصدد حصر طبیعة الوجوب و أنّه بتمام طبیعته معلّق علی الشرط، یکون دلالة ذلک علی المفهوم من قبیل دلالة الحصر، فکأنّه یقول لا وجوب إلّا فی مورد الشرط، و حینئذ یخرج عن الکلام فی مفهوم الشرط و یدخل فی الکلام فی مفهوم الحصر، بحیث یکون الکلام صادرا فی مقام الردّ علی من تخیّل الوجوب فی غیر مورد الحصر أو فی مقام دفع توهّمه، لیکون من قبیل قصر الافراد، و هو خارج عن عالم مفهوم الشرط، بل یکون راجعا إلی مفهوم الحصر، فکأنّ المتکلّم بواسطة تلک القرینة المقامیة یقول إنّه لا وجوب إلّا فی مورد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جهة الانحصار بالشرط لو کان محصّلها هو کون الکلام صادرا فی مقام الردّ علی من تخیّل أنّ الشرط الفلانی أیضا یترتّب علیه الحکم، أو فی مقام توهّم ذلک لکان خارجا عن مفهوم الشرط بل کان راجعا إلی مفهوم الحصر، فکأنّ المتکلّم بواسطة تلک القرینة المقامیة یقول إنّه لا شرط و لا قید لذلک الوجوب إلّا هذا الشرط، و لیس ذلک من مفهوم الشرط فی شی‌ء، بل هو حینئذ من قبیل قصر الافراد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بوجوب الکفّارة الوارد علی تقدیر تعمّد الافطار لا یمکن أخذه مقیّدا بذلک تقییدا لحاظیا، کما أنّه لا یمکن أن یکون</w:t>
      </w:r>
    </w:p>
    <w:p>
      <w:pPr>
        <w:pStyle w:val="BookText"/>
        <w:rPr/>
      </w:pPr>
      <w:r>
        <w:rPr>
          <w:rFonts w:ascii="IRNazanin" w:hAnsi="IRNazanin" w:eastAsia="IRNazanin"/>
          <w:color w:val="111111"/>
          <w:sz w:val="28"/>
          <w:sz w:val="28"/>
          <w:szCs w:val="28"/>
          <w:rtl w:val="true"/>
          <w:lang w:bidi="fa-IR"/>
        </w:rPr>
        <w:t>مطلقا و شاملا لذلک الوجوب الوارد علی الافطار و علی غیره، بحیث یکون له اطلاق لحاظی فی ذلک، و حینئذ لا بدّ من أخذ الوجوب المذکور مهملا من هذه الناحیة، فلا یکون انتفاء ذلک الشرط موجبا إلّا لانتفاء الوجوب بما له من الطبیعة المهملة، و ذلک غیر نافع فی باب المفهوم، و حینئذ فلا بدّ من قرینة خارجیة تدلّ علی أنّ المتکلّم فی مقام حصر الوجوب بذلک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هو موقع التأمّل من ذلک هو أنّ المعلّق لیس هو الطبیعة المطلقة إطلاقا لحاظیا، و لا المقیّدة بذلک الشرط، بل و لا المهملة، بل إنّ المعلّق هو صرف طبیعة الوجوب، و ذلک کاف فی إثبات المفهوم </w:t>
      </w:r>
      <w:r>
        <w:rPr>
          <w:rStyle w:val="FootnoteAnchor"/>
          <w:rtl w:val="true"/>
        </w:rPr>
        <w:footnoteReference w:id="632"/>
      </w:r>
      <w:r>
        <w:rPr>
          <w:rFonts w:ascii="IRNazanin" w:hAnsi="IRNazanin" w:eastAsia="IRNazanin"/>
          <w:color w:val="111111"/>
          <w:sz w:val="28"/>
          <w:sz w:val="28"/>
          <w:szCs w:val="28"/>
          <w:rtl w:val="true"/>
          <w:lang w:bidi="fa-IR"/>
        </w:rPr>
        <w:t>بعد إثبات الانحصار فی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المتکلّم فی مقام حصر طبیعة الوجوب فی المعلّق علی الشرط فهو و إن أفاد المفهوم، إلّا أنّه من سنخ مفهوم الحصر، و کلامنا إنّما هو فی مفهوم الشرط، فإنّ الکلام فیه ممحّض إلی أنّ تعلیق الوجوب علی الشرط و تقییده به هل یدلّ ذلک بمجرّده لا بواسطة تلک القرینة المقامیة علی أنّ هذا الشرط قید فی ذلک الوجوب بقول مطلق، حتّی لو وجد غیره ممّا یحتمل کونه قیدا أو أنّه یخلفه، أو أنّه لا دلالة له علی ذلک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تعلیق الوجوب علی الشرط الفلانی هل یقتضی انحصار الشرط علی وجه یکون انتفاؤه موجبا لانتفائه، بحیث یکون عدم الانحصار هو المحتاج إلی البیان الزائد علی ما سلکه شیخنا قدّس سرّه </w:t>
      </w:r>
      <w:r>
        <w:rPr>
          <w:rStyle w:val="FootnoteAnchor"/>
          <w:rtl w:val="true"/>
        </w:rPr>
        <w:footnoteReference w:id="633"/>
      </w:r>
      <w:r>
        <w:rPr>
          <w:rFonts w:ascii="IRNazanin" w:hAnsi="IRNazanin" w:eastAsia="IRNazanin"/>
          <w:color w:val="111111"/>
          <w:sz w:val="28"/>
          <w:sz w:val="28"/>
          <w:szCs w:val="28"/>
          <w:rtl w:val="true"/>
          <w:lang w:bidi="fa-IR"/>
        </w:rPr>
        <w:t>، فیکون إطلاق التقیید قاضیا بالانحصار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هذه الجهات أجنبیة عن دعوی القرینة علی کون المتکلّم فی مقام بیان حصر کلّی الوجوب علی الشرط المذکور، أو فی مقام حصر کلّی الشرط فی 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الذی تلخّص لک من هذا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المعلّق علی الشرط هو طبیعة الوجوب لا الوجوب الخاصّ أمر ینبغی أن یکون مفروغا منه، و أنّ الکلام إنّما هو فی انحصار الشرط و عدمه، علی خلاف ما أفاده قدّس سرّه من کون الانحصار أمرا مفروغا منه، و أنّ الکلام إنّما هو فی کون المعلّق هو السنخ أو الشخص و لو بالمعنی الذی فسّره لارادة الشخص، أعنی إرادة ما یلازم التشخّص المذکور، و حینئذ لا داعی إلی ما أفاده من کون المعلّق هو الطبیعة المهملة، بل الظاهر أنّ المعلّق هو ذات طبیعة الوجوب، و یکون إطلاقها إطلاقا ذاتیا لا إطلاقا لحاظیا، و الاطلاق الذاتی کاف فی انحصار کلّی الوجوب بمورد الشرط المذکور،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 معنی حرفیا مستفادا من مثل هیئة الجمع المعرّف و نحوها و غیر قابل لأن یکون معلّقا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العموم یستفاد من حرف مثل لام الاستغراق و نحوها فهو و إن کان بنفسه لا یمکن أن یکون هو المعلّق علی الشرط، إلّا أنّه بالنحو الذی تصوّرنا التعلیق فیه فیما لو کان الوجوب مستفادا من صیغة افعل نتصوّره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النکرة فی سیاق النفی فهی علی الظاهر ملحقة بالحروف، لأنّ الدالّ علی العموم إنّما هو نفس أداة النفی، غایته أنّ المنفی هو النکرة، فهی من الأدلّة اللفظیة علی العموم، و لا وجه علی الظاهر لاخراجها من عالم الألفاظ، و إن أطلق علی مثل ذلک العموم المستفاد من السیاق، فتأمّل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لفظ کلّ و جمیع و نحوهما من ألفاظ العموم و إن کانت بمصطلح اللغة أسماء، إلّا أنّها من حیث کونها موجدة معانیها فیما تضاف إلیه من</w:t>
      </w:r>
      <w:bookmarkStart w:id="262" w:name="pg19667_765376"/>
    </w:p>
    <w:p>
      <w:pPr>
        <w:pStyle w:val="BookText"/>
        <w:rPr/>
      </w:pPr>
      <w:bookmarkEnd w:id="262"/>
      <w:r>
        <w:rPr>
          <w:rFonts w:ascii="IRNazanin" w:hAnsi="IRNazanin" w:eastAsia="IRNazanin"/>
          <w:color w:val="111111"/>
          <w:sz w:val="28"/>
          <w:sz w:val="28"/>
          <w:szCs w:val="28"/>
          <w:rtl w:val="true"/>
          <w:lang w:bidi="fa-IR"/>
        </w:rPr>
        <w:t>الأسماء، ملحقة بالحروف من ناحیة عدم حکایة المعنی الاستقلالی، فهی من هذه الجهة ملحقة بالحروف فی عدم الاستقلال باللحاظ و عدم قابلیتها للتقیید ابتداء، بل یکون القید لاحقا لمدخولها علی حدّ قیود الحروف و الهیئات، فتأمّل</w:t>
      </w:r>
      <w:r>
        <w:rPr>
          <w:rFonts w:eastAsia="IRNazanin" w:cs="IRNazanin"/>
          <w:color w:val="111111"/>
          <w:sz w:val="28"/>
          <w:szCs w:val="28"/>
          <w:rtl w:val="true"/>
          <w:lang w:bidi="fa-IR"/>
        </w:rPr>
        <w:t>.</w:t>
      </w:r>
    </w:p>
    <w:p>
      <w:pPr>
        <w:pStyle w:val="Heading5"/>
        <w:numPr>
          <w:ilvl w:val="4"/>
          <w:numId w:val="1"/>
        </w:numPr>
        <w:rPr/>
      </w:pPr>
      <w:bookmarkStart w:id="263" w:name="__RefHeading___Toc3538627_2314609296"/>
      <w:bookmarkStart w:id="264" w:name="_Toc91"/>
      <w:bookmarkEnd w:id="263"/>
      <w:r>
        <w:rPr>
          <w:rtl w:val="true"/>
        </w:rPr>
        <w:t>[</w:t>
      </w:r>
      <w:r>
        <w:rPr>
          <w:rtl w:val="true"/>
        </w:rPr>
        <w:t>فی جزئیة المفهوم و کلّیته مع کون الحکم فی التالی موجبة أو سالبة کلّیة و مناقشات مع السیّد الخوئی قدّس سرّه فی المقام</w:t>
      </w:r>
      <w:bookmarkEnd w:id="26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بأنّ المفهوم إنّما هو رفع الحکم المذکور فی التالی، و حیث إنّ نقیض السالبة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 علیه فی الحاشیة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القول هو الصحیح، لأنّ المستفاد من القضیة الشرطیة إنّما هو تعلیق مدلول التالی بمدلول المقدّم، و بما أنّ مدلول التالی فی محلّ البحث لیس إلّا 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 الحکم المجعول علی الطبیعة الساریة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المنتفی عند انتفاء الشرط المذکور هو ذلک الحکم أیضا الخ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المعلّق فی القضایا الشرطیة لیس هو نفس الجعل و إنّما هو الحکم المجعول، و حینئذ لو کان الحکم مجعولا علی الطبیعة الساریة فی تمام الأفراد، فتارة یکون المنظور إلیه فی التعلیق هو سریان ذلک الحکم إلی تمام الافراد، و بعبارة أخری یکون المعلّق علی الشرط هو کلّیة ذلک، لیکون محصّله أنّ کلّیة ذلک الحکم و سریانه إلی کلّ واحد من أفراد الطبیعة هی المعلّقة علی الشرط، فلا یکون المنتفی حینئذ بانتفاء ذلک الشرط إلّا نفس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بعید عن مساق القضایا الأحکامیة التی یکون الحکم فیها فی ناحیة الجزاء کلّیا، خصوصا فیما لم تکن الکلّیة مستفادة من لفظ کلّ، بل کانت مستفادة من اللام الاستغراقیة أو من وقوع النکرة فی سیاق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قد تحقّق عندک أنّه لا یکون المنظور فی التعلیق هو نفس الکلّیة، بل کان المنظور إلیه هو الأحکام الساریة فی افراد الطبیعة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العموم الموجود فی ناحیة الجزاء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هلّ شهر رمضان فاکرم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مجموعیا بحیث إنّه لم یکن لنا إلّا حکم واحد وارد علی الجمیع، علی وجه یکون نسبة کلّ واحد من تلک الافراد إلی نفس المجموع کنسبة الجزء إلی الکل، لم یکن انتفاء الشرط موجبا إلّا لانتفاء ذلک الحکم الوارد علی ذلک المجموع، و هذا لا ینافیه ثبوت حکم آخر من وجوب الاکرام لبعض الافراد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أخذ العموم الموجود فی ناحیة الجزاء استغراقیا منحلا إلی أحکام متعدّدة حسب تعدّد الأفراد، فحیث إنّ الکلّیة و الشمولیة لیست هی مرکز التعلیق کما عرفت، فلا جرم یکون مرکز ذلک التعلیق هو نفس ذلک الحکم المنبسط علی تلک الأفراد الذی هو عبارة عن أحکام متعدّدة، فیکون مرکز ذلک التعلیق هو نفس تلک الأحکام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أنّها مجعولة بجعل واحد لا ینافی کون کلّ واحد من آحاد تلک الأحکام معلّقا علی ذلک الشرط، و ذلک لما عرفت من أنّ نفس الجعل لیس هو مرکز التعلیق</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محصّل لقوله فی هذه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المجعول فی التالی و إن کان بحسب مقام اللب و نفس الأمر ینحل إلی أحکام متعدّدة حسب تعدّد أفراد موضوعه، إلّا أنّه بحسب مقام الجعل أمر واحد و مستفاد من دلیل واحد، و من الواضح أنّ تعدّد الحکم فی غیر مقام الاثبات لا تأثیر له فی کیفیة استفادة المفهوم من الکلام فی مقام الاثبات و الدلالة،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عرفت من أنّ وحدة الجعل لا تنافی تعدّد المجعول، و أنّ مرکز التعلیق إنّما هو المجعول لا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هذا التعدّد إنّما هو فی مقام الاثبات، بمعنی أنّا إنّما استفدنا</w:t>
      </w:r>
    </w:p>
    <w:p>
      <w:pPr>
        <w:pStyle w:val="BookText"/>
        <w:rPr/>
      </w:pPr>
      <w:r>
        <w:rPr>
          <w:rFonts w:ascii="IRNazanin" w:hAnsi="IRNazanin" w:eastAsia="IRNazanin"/>
          <w:color w:val="111111"/>
          <w:sz w:val="28"/>
          <w:sz w:val="28"/>
          <w:szCs w:val="28"/>
          <w:rtl w:val="true"/>
          <w:lang w:bidi="fa-IR"/>
        </w:rPr>
        <w:t>الشمولیة و الاستغراق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تعدّد الحکم، فی قبال المجموعیة التی هی عبارة عن وحدة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الاثبات و الدلالة، و لم یکن هذا التعدّد الناشئ عن الاستغراق و الشمول فی غیر مقام الاثبات کی یقال إنّه لا تأثیر له فی کیفیة استفادة المفهوم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لعمری من الغرائب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إنّا لو سلّمنا أنّ المعلّق فی أمثال هذه القضایا هو العموم لا الآحاد، إلّا أنّا فی خصوص أخبار الکر نقول إنّ المعلّق هو الآحاد، لکونها واردة فی موارد خاصّة من بول الدواب و ولوغ الکلاب و اغتسال الجنب، مثل قوله علیه السّلام فی صحیحة ابن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فیه ماء مجتمع تبول فیه الدواب و تلغ فیه الکلاب و یغتسل فیه الجنب،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فمثل هذه الصحیحة شاهد علی أنّ النظر فی ذلک إلی الآحاد لا إلی عمومیة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الأمثلة العرفیة مثل إذا لبس زید لامة حربه لم یخف أحدا، أو إذا غصب الأمیر لم یحترم أحدا، و نحو ذلک فلا شاهد فیه علی ما نحن فیه، إذ لیس المقصود من أحد هو کلّ أحد حتّی الطفل الصغیر، بل المراد هو من یکون من أقرانه ممّن یمکن الخوف منه أو ممّن یستحقّ الاحترام، و حینئذ یکون المقام مسوقا لبیان أنّه إذا لبس لامة حربه لا یبالی بمن ینبغی المبالاة منه، فلا بدّ أن یکون مفهومه أنّه إن کان أعزل یبالی بمن ینبغی المبالاة منه، فیکون خارجا عمّا نحن فیه، لوجود القرینة السیاقیة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لو نزّلناه علی العموم الاستغراقی و کان مفاده أنّه لا یبالی بکلّ واحد من أقرانه، فلا مانع من أن یکون مفهومه أنّه یبالی عند ما یکون أعزل بکلّ واحد من أقرانه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ما حرّرناه تعرف أنّه لم یکن فیما ذکرناه من کون المفهوم</w:t>
      </w:r>
    </w:p>
    <w:p>
      <w:pPr>
        <w:pStyle w:val="BookText"/>
        <w:rPr/>
      </w:pPr>
      <w:r>
        <w:rPr>
          <w:rFonts w:ascii="IRNazanin" w:hAnsi="IRNazanin" w:eastAsia="IRNazanin"/>
          <w:color w:val="111111"/>
          <w:sz w:val="28"/>
          <w:sz w:val="28"/>
          <w:szCs w:val="28"/>
          <w:rtl w:val="true"/>
          <w:lang w:bidi="fa-IR"/>
        </w:rPr>
        <w:t>موجبة کلّیة خروج عن القواعد المنطقیة، لأنّ رفع الشی‌ء و إن کان هو عین نقیضه إلّا أنّ الذی نرفعه بالمفهوم لیس هو السالبة الکلّیة التی فی طرف المنطوق، بحیث یکون المرفوع هو کلیتها، لما عرفت من أنّ الذی نرفعه بالمفهوم إنّما هو الحکم المجعول علی الشرط، و قد عرفت أنّ المعلّق علی الشرط فیما نحن فیه لیس هو کلّیة السلب، و إنّما المعلّق علی الشرط هو آحاد السلوب، و حینئذ فلا یکون المرفوع بارتفاع ذلک الشرط إلّا نفس تلک الأحکام الجزئیة التی کانت معلّقة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المعلّق علی الشرط هو الشمولیة لکان المرتفع بارتفاع الشرط هو الشمولیة، و رفع شمولیة السلب یحصل بالایجاب الجزئی کما أنّ رفع عمومیة الایجاب المعبّر عنه برفع الایجاب الکلّی یحصل بالسلب الجزئی، لکن المعلّق علی الشرط هو آحاد السلوب، فیکون المرتفع بارتفاع الشرط هو آحاد تلک السلوب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ارتفاع آحاد السلوب إنّما یحصل بموجبات جزئیة شخصیة فی قبال تلک السوالب الجزئیة الشخصیة، فلا یکون نقیض السالبة الشخصیة إلّا موجبة شخصیة، و حینئذ یکون ما حرّرناه موافقا للقواعد المنطقیة لا مخالفا لها کما ربما یظهر ممّا حرّر عن شیخنا قدّس سرّه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أشکل به علی شیخنا قدّس سرّه فی مسألة المتنجّس ففیه أنّ غرض شیخنا قدّس سرّه هو أنّا بعد أن قلنا بأنّ المتنجّس کالنجاسة ینجّس کلّ شی‌ء لاقاه، یکون ذلک کافیا فی دخوله تحت ذلک الإجماع الذی هو عبارة عن عدم القول بالفصل، فإنّه بعد أن ثبت فی المنطوق أنّ الماء البالغ کرّا لا ینجّسه شی‌ء ممّا هو منجّس یکون المتنجّس بعد ثبوت کونه منجّسا داخلا فی ذلک العموم المنطوقی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أن التزمنا بأنّ المفهوم هو عبارة عن أنّه إذا لم یبلغ کرّا ینجّسه شی‌ء من تلک</w:t>
      </w:r>
    </w:p>
    <w:p>
      <w:pPr>
        <w:pStyle w:val="BookText"/>
        <w:rPr/>
      </w:pPr>
      <w:r>
        <w:rPr>
          <w:rFonts w:ascii="IRNazanin" w:hAnsi="IRNazanin" w:eastAsia="IRNazanin"/>
          <w:color w:val="111111"/>
          <w:sz w:val="28"/>
          <w:sz w:val="28"/>
          <w:szCs w:val="28"/>
          <w:rtl w:val="true"/>
          <w:lang w:bidi="fa-IR"/>
        </w:rPr>
        <w:t>المنجّسات، فلنفرض أنّ ذلک الشی‌ء هو البول، فإذا ثبت بذلک المفهوم أنّ البول ینجّس الماء القلیل کان علینا أن نسحب هذا الحکم إلی کلّ ما ثبت أنّه منجّس حتّی المتنجّس، و إن لم یکن عدم القول بالفصل متحقّقا بالنسبة إلی نفس المتنجّس بخصوصه، و ذلک لأنّ عدم القول بالفصل بالنسبة إلی کلّ ما ینجّس کاف فی ذلک الحکم بعد أن ثبت لدینا أنّ المتنجّس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فبدّل عدم القول بالفصل بفرض قیام الإجماع علی أنّ کلّ منجّس یکون منجّسا للماء القلیل، فکون المتنجّس منجّسا و إن لم یکن داخلا فی ذلک الإجماع ابتداء، إلّا أنّه بعد أن أقمنا الدلیل علی أنّه منجّس یکون داخلا فی مورد الإجماع علی أنّ کلّ منجّس فهو ینجّس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فقایس ذلک بما هو من النجاسات محلّ الکلام مثل عرق الجنب من الحرام، فلا ریب فی أنّک تقول إنّا بعد أن حقّقنا الصغری فیه و أنّه نجس یکون داخلا فی الإجماع المفروض علی کون النجس منجّسا للماء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دخوله بعدم القول بالفصل، بل لو فرضنا أنّ لنا شیئا لیس بنجس لکنّه منجّس لکان داخلا فی عموم المنطوق، و کان الحکم ساریا إلیه من الموجبة الجزئیة فی ناحیة المفهوم بواسطة عدم القول بالفصل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فی المقام إشکالا آخر، و هو أنّ المفهوم القائل إذا لم یبلغ الماء قدر کرّ ینجّسه شی‌ء لا یکون إلّا مهملا، فلا یکون حجّة فی شی‌ء من أعیان النجاسة کی یثبت الحکم فیه و نسرّیه إلی البقیة بحکم 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هذا الشی‌ء و إن لم یکن له تعیّن فی مقام الاثبات، إلّا أنّ له تعیّنا فی الواقع، فنقول إنّ ذلک الشی‌ء الواقعی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هو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ثبت أنّه ینجّس الماء القلیل یسحب الحکم منه إلی غیره من النجاسات بعدم</w:t>
      </w:r>
      <w:bookmarkStart w:id="265" w:name="pg19667_765381"/>
    </w:p>
    <w:p>
      <w:pPr>
        <w:pStyle w:val="BookText"/>
        <w:rPr/>
      </w:pPr>
      <w:bookmarkEnd w:id="265"/>
      <w:r>
        <w:rPr>
          <w:rFonts w:ascii="IRNazanin" w:hAnsi="IRNazanin" w:eastAsia="IRNazanin"/>
          <w:color w:val="111111"/>
          <w:sz w:val="28"/>
          <w:sz w:val="28"/>
          <w:szCs w:val="28"/>
          <w:rtl w:val="true"/>
          <w:lang w:bidi="fa-IR"/>
        </w:rPr>
        <w:t>القول بالفصل، فتأمّل، فإنّ الظاهر أنّ الشی‌ء فی هذا المقام لا تعیّن له فی الواقع، بل هو من قبیل من أسلم علی خمس فی لزوم مفارقة واحدة غیر معیّنة لا فی مقام الاثبات و لا فی مقام الثبوت، فیکون مخیّرا فی مفارقة أیّهنّ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التخییر فی المقام لا معنی له</w:t>
      </w:r>
      <w:r>
        <w:rPr>
          <w:rFonts w:eastAsia="IRNazanin" w:cs="IRNazanin"/>
          <w:color w:val="111111"/>
          <w:sz w:val="28"/>
          <w:szCs w:val="28"/>
          <w:rtl w:val="true"/>
          <w:lang w:bidi="fa-IR"/>
        </w:rPr>
        <w:t>.</w:t>
      </w:r>
    </w:p>
    <w:p>
      <w:pPr>
        <w:pStyle w:val="Heading5"/>
        <w:numPr>
          <w:ilvl w:val="4"/>
          <w:numId w:val="1"/>
        </w:numPr>
        <w:rPr/>
      </w:pPr>
      <w:bookmarkStart w:id="266" w:name="__RefHeading___Toc3538629_2314609296"/>
      <w:bookmarkStart w:id="267" w:name="_Toc92"/>
      <w:bookmarkEnd w:id="266"/>
      <w:r>
        <w:rPr>
          <w:rtl w:val="true"/>
        </w:rPr>
        <w:t>[</w:t>
      </w:r>
      <w:r>
        <w:rPr>
          <w:rtl w:val="true"/>
        </w:rPr>
        <w:t>ما یمکن أن یستند إلیه فی کون المتنجّس منجّسا</w:t>
      </w:r>
      <w:r>
        <w:rPr>
          <w:rtl w:val="true"/>
        </w:rPr>
        <w:t>]</w:t>
      </w:r>
      <w:bookmarkEnd w:id="267"/>
    </w:p>
    <w:p>
      <w:pPr>
        <w:pStyle w:val="BookText"/>
        <w:rPr/>
      </w:pPr>
      <w:r>
        <w:rPr>
          <w:rFonts w:ascii="IRNazanin" w:hAnsi="IRNazanin" w:eastAsia="IRNazanin"/>
          <w:color w:val="111111"/>
          <w:sz w:val="28"/>
          <w:sz w:val="28"/>
          <w:szCs w:val="28"/>
          <w:rtl w:val="true"/>
          <w:lang w:bidi="fa-IR"/>
        </w:rPr>
        <w:t xml:space="preserve">و ینبغی أن یعلم أنّ ما یمکن أن یستند إلیه فی کون المتنجّس منجّسا هو روایات واردة فی خصوص الماء القلیل،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اهرقهما و تیمّم</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و مثل صحیح شهاب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الجنب یسهو فیغمس یده فی الاناء قبل أن یغسلها، أنّه لا بأس إذا لم یکن أصاب یده شی‌ء</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 xml:space="preserve">و ما عن أبی بصیر 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الجنب یحمل الرکوة أو التور فیدخل إصبعه فیه،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یده قذرة فاهرقه، و إن کان لم یصبها قذر فلیغتسل منه، هذا ممّا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640"/>
      </w:r>
      <w:r>
        <w:rPr>
          <w:rStyle w:val="FootnoteAnchor"/>
          <w:rtl w:val="true"/>
        </w:rPr>
        <w:footnoteReference w:id="641"/>
      </w:r>
      <w:r>
        <w:rPr>
          <w:rFonts w:ascii="Amiri" w:hAnsi="Amiri" w:eastAsia="Amiri" w:cs="Amiri"/>
          <w:color w:val="111111"/>
          <w:sz w:val="28"/>
          <w:sz w:val="28"/>
          <w:szCs w:val="28"/>
          <w:rtl w:val="true"/>
          <w:lang w:bidi="ar-SA"/>
        </w:rPr>
        <w:t>و نحوهما حسنة زرارة</w:t>
      </w:r>
      <w:r>
        <w:rPr>
          <w:rStyle w:val="FootnoteAnchor"/>
          <w:rtl w:val="true"/>
        </w:rPr>
        <w:footnoteReference w:id="642"/>
      </w:r>
      <w:r>
        <w:rPr>
          <w:rFonts w:ascii="Amiri" w:hAnsi="Amiri" w:eastAsia="Amiri" w:cs="Amiri"/>
          <w:color w:val="111111"/>
          <w:sz w:val="28"/>
          <w:sz w:val="28"/>
          <w:szCs w:val="28"/>
          <w:rtl w:val="true"/>
          <w:lang w:bidi="ar-SA"/>
        </w:rPr>
        <w:t>و موثّقة سماعة</w:t>
      </w:r>
      <w:r>
        <w:rPr>
          <w:rStyle w:val="FootnoteAnchor"/>
          <w:rtl w:val="true"/>
        </w:rPr>
        <w:footnoteReference w:id="643"/>
      </w:r>
      <w:r>
        <w:rPr>
          <w:rFonts w:ascii="IRNazanin" w:hAnsi="IRNazanin" w:eastAsia="IRNazanin"/>
          <w:color w:val="111111"/>
          <w:sz w:val="28"/>
          <w:sz w:val="28"/>
          <w:szCs w:val="28"/>
          <w:rtl w:val="true"/>
          <w:lang w:bidi="fa-IR"/>
        </w:rPr>
        <w:t>و خبر علی بن جعفر</w:t>
      </w:r>
      <w:r>
        <w:rPr>
          <w:rStyle w:val="FootnoteAnchor"/>
          <w:rtl w:val="true"/>
        </w:rPr>
        <w:footnoteReference w:id="644"/>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و راجع وسائل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الماء المضاف 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نظره قدّس سرّه إلی ما رواه علی بن جعفر علیه السّلام و استدلّ به أیضا فی الجواهر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صحیح السند و هو مروی فی وسائل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الماء المضاف 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الرجل</w:t>
      </w:r>
    </w:p>
    <w:p>
      <w:pPr>
        <w:pStyle w:val="BookText"/>
        <w:rPr/>
      </w:pPr>
      <w:r>
        <w:rPr>
          <w:rFonts w:ascii="IRNazanin" w:hAnsi="IRNazanin" w:eastAsia="IRNazanin"/>
          <w:color w:val="111111"/>
          <w:sz w:val="28"/>
          <w:sz w:val="28"/>
          <w:szCs w:val="28"/>
          <w:rtl w:val="true"/>
          <w:lang w:bidi="fa-IR"/>
        </w:rPr>
        <w:t>یدخل یده فی الاناء و هی قذرة،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یکفئ الاناء</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هذه الأخبار لو تمّت کانت مغنیة عن عموم المفهوم، لدلالتها علی أنّ الماء القلیل یتنجّس بملاقاته المتنجّس، فتکون مغنیة عن عموم المفهوم و عن التمسّک بعدم القول بالفصل علی تقدیر کون المفهوم موجبة جزئیة، و حینئذ یتمّ ما أفاده شیخنا ممّا حرّره عنه فی هذا الکتاب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تنجیس المتنجّس بدلیل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هذا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کاف فی انفعال الماء القلیل بملاقاته، من دون احتیاج إلی إثباته بمفهوم الروایة، و إن لم یثبت ذلک فهو لیس بداخل فی عموم المنطوق حتّی یثبت نجاسة القلیل بملاقاته بالمفهوم علی تقدیر کون المفهوم موجبة کلّیة، انتهی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یکن دلیل تنجیس المتنجّس إلّا مثبتا لکونه منجّسا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فرضه المحشی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محتاجین إلی عموم المفهوم لکلّ منجّس، أو إلی عدم القول بالفصل الذی منعه المحشی فی خصوص المتنجّس، و نحن قد ناقشناه فی هذا المنع و قلنا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عدم عموم المفهوم، و قلنا بأنّ ما دلّ علی تنجیس المتنجّس مقصور علی تنجیسه فی الجملة من دون إثبات تنجیسه الماء القلیل، لأمکننا إثبات کونه منجّسا للماء القلیل بعدم القول بالفصل،</w:t>
      </w:r>
    </w:p>
    <w:p>
      <w:pPr>
        <w:pStyle w:val="BookText"/>
        <w:rPr/>
      </w:pPr>
      <w:r>
        <w:rPr>
          <w:rFonts w:ascii="IRNazanin" w:hAnsi="IRNazanin" w:eastAsia="IRNazanin"/>
          <w:color w:val="111111"/>
          <w:sz w:val="28"/>
          <w:sz w:val="28"/>
          <w:szCs w:val="28"/>
          <w:rtl w:val="true"/>
          <w:lang w:bidi="fa-IR"/>
        </w:rPr>
        <w:t>بعد فرض کون المفهوم مثبتا لکون الماء القلیل یتنجّس بشی‌ء من المنجّسات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قلناه مأخوذ ممّا حرّرناه عن شیخنا قدّس سرّه، و هذا نصّ 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انفعاله بملاقاة المتنجّس فهو أجنبی بالمرّة عن کون المفهوم فی هذه القضیة الشرطیة هو الموجبة الجزئیة أو الکلّیة، بل هو مبنی علی مطلب آخر، و هو أنّ المتنجّس هل یکون ملحقا بالنجاسة فی کونه منجّسا لما یلاقیه أم لا، و بعد إثبات ذلک بالدلیل الدالّ علیه یکون کأحد أنواع النجاسات، یجری علیه فیما نحن فیه ما یجری علیها ممّا یترتّب علی کون المفهوم موجبة کلّیة أو کونه موجبة جزئیة، و أنّه لو سلّم کونه موجبة جزئیة نتمّم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الایجاب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القول بالفصل،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و إن وجّهنا هذا التتمیم فی المتنجّس بما تقدّم ذکره، إلّا أنّ ظنّی أنّ شیخنا قدّس سرّه لا یرید ذلک، بل إنّ الذی یریده هو ما عرفت من أنّه فی خصوص تنجیس المتنجّس للماء القلیل یکفینا الأدلّة الخاصّة التی تقدّم </w:t>
      </w:r>
      <w:r>
        <w:rPr>
          <w:rStyle w:val="FootnoteAnchor"/>
          <w:rtl w:val="true"/>
        </w:rPr>
        <w:footnoteReference w:id="648"/>
      </w:r>
      <w:r>
        <w:rPr>
          <w:rFonts w:ascii="IRNazanin" w:hAnsi="IRNazanin" w:eastAsia="IRNazanin"/>
          <w:color w:val="111111"/>
          <w:sz w:val="28"/>
          <w:sz w:val="28"/>
          <w:szCs w:val="28"/>
          <w:rtl w:val="true"/>
          <w:lang w:bidi="fa-IR"/>
        </w:rPr>
        <w:t>ذکرها کما نقله عنه فی هذا الکتاب، فلا داعی إلی الالتزام بکون تلک الأدلّة غیر دالّة إلّا علی التنجیس فی الجملة، لکی نکون فی حاجة إلی عموم المفهوم أو إلی عدم القول بالفصل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المعنی الذی حرّره عنه فی هذا الکتاب یوافقه علیه ما حرّره عنه المرحوم الشیخ موسی رحمه اللّه فإنّه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تنجّس ماء القلیل بالمتنجّس له دلیل آخر، و قلنا به أو لم نقل لا دخل له بالإشکال فی المفهوم، لأنّه وارد فی تنجّس ماء القلیل بالنجاسات لا بالمتنجّسات، و فی النجاسات لم یقل أحد بالتفصیل، لأنّه لو تنجّس بأحدها فیتنجّس بالجمیع، انتهی</w:t>
      </w:r>
      <w:r>
        <w:rPr>
          <w:rFonts w:eastAsia="IRNazanin" w:cs="IRNazanin"/>
          <w:color w:val="111111"/>
          <w:sz w:val="28"/>
          <w:szCs w:val="28"/>
          <w:rtl w:val="true"/>
          <w:lang w:bidi="fa-IR"/>
        </w:rPr>
        <w:t>.</w:t>
      </w:r>
      <w:bookmarkStart w:id="268" w:name="pg19667_765384"/>
    </w:p>
    <w:p>
      <w:pPr>
        <w:pStyle w:val="Heading2"/>
        <w:numPr>
          <w:ilvl w:val="1"/>
          <w:numId w:val="1"/>
        </w:numPr>
        <w:rPr/>
      </w:pPr>
      <w:bookmarkStart w:id="269" w:name="__RefHeading___Toc3538631_2314609296"/>
      <w:bookmarkStart w:id="270" w:name="_Toc93"/>
      <w:bookmarkEnd w:id="268"/>
      <w:bookmarkEnd w:id="269"/>
      <w:r>
        <w:rPr>
          <w:rtl w:val="true"/>
        </w:rPr>
        <w:t>فهرس الموضوعات</w:t>
      </w:r>
      <w:bookmarkEnd w:id="270"/>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مبحث النواهی</w:t>
      </w:r>
    </w:p>
    <w:p>
      <w:pPr>
        <w:pStyle w:val="BookText"/>
        <w:rPr/>
      </w:pPr>
      <w:r>
        <w:rPr>
          <w:rFonts w:ascii="IRNazanin" w:hAnsi="IRNazanin" w:eastAsia="IRNazanin"/>
          <w:color w:val="111111"/>
          <w:sz w:val="28"/>
          <w:sz w:val="28"/>
          <w:szCs w:val="28"/>
          <w:rtl w:val="true"/>
          <w:lang w:bidi="fa-IR"/>
        </w:rPr>
        <w:t xml:space="preserve">الفرق بین الأمر و النهی من حیث المعنی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أقسام النهی من حیث الانحلالیة و المجموعیة و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توجیه حمل النذر علی المجموعیة دون الانحلال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اجتماع الأمر و النهی</w:t>
      </w:r>
    </w:p>
    <w:p>
      <w:pPr>
        <w:pStyle w:val="BookText"/>
        <w:rPr/>
      </w:pPr>
      <w:r>
        <w:rPr>
          <w:rFonts w:ascii="IRNazanin" w:hAnsi="IRNazanin" w:eastAsia="IRNazanin"/>
          <w:color w:val="111111"/>
          <w:sz w:val="28"/>
          <w:sz w:val="28"/>
          <w:szCs w:val="28"/>
          <w:rtl w:val="true"/>
          <w:lang w:bidi="fa-IR"/>
        </w:rPr>
        <w:t xml:space="preserve">الإشکال فی عنوان البحث و تغییره بما یناسب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ملاک کون البحث کلامیا أو فقهیا أو أصولیا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المناقشة فی تقسیم الموجودات إلی عینیة و اعتباریة و کلّ منهما إلی متأصّلة و انتزاعیة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تحقیق رشیق حول ملاک النسب الأربع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أقسام التساوی الستّة و البحث عن جهة الصدق فیها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التعریض بصاحب الکفایة فی النقض بصفات اللّه علی تعدّد المعنون بتعدّد العنوان </w:t>
      </w:r>
      <w:r>
        <w:rPr>
          <w:rFonts w:eastAsia="IRNazanin" w:cs="IRNazanin"/>
          <w:color w:val="111111"/>
          <w:sz w:val="28"/>
          <w:szCs w:val="28"/>
          <w:lang w:bidi="fa-IR"/>
        </w:rPr>
        <w:t>16</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تصوّر النسب الأربع بین جوهرین أو عرضین أو جوهر و عرض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اختلاف مبادی المشتقّات من حیث أخذها بشرط لا و لا بشرط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التأمّل فی ملاک الترکیب الانضمامی و الاتّحادی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التأمّل فی التفرقة بین مبادی المشتقّات و بین المادّة و الصورة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الکلام فیما یدّعی من الترکّبات العقلیة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إمکان القول بقیام العرض بعرض آخر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مناقشات مع السیّد الخوئی قدّس سرّه فی ترکّب الصلاة مع الغصب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نقل ما حرّره المصنّف عن المحقّق النائینی قدّس سرّهما فی المقام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هل یخرج عن محلّ النزاع ما إذا کانت النسبة بین العنوانین عموما و خصوصا مطلقا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خروج اجتماع مثل الشرب و الغصب عن محلّ الکلام و مناقشة السیّد الخوئی قدّس سرّه فی المقام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هل الوضوء أو الغسل بالمغصوب داخل فی النزاع؟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توضیح إلحاق ما هو متمّم المقولة بما هو من قبیل المقولة المستقلّة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خروج النهی المتعلّق بالعنوان الثانوی و الأمر بالعنوان الأوّلی عن محلّ النزاع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اجتماع الأمر و النهی فی الأسباب و المسبّبات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تحقیق الحال فی العبادات المکروهة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توضیح ما ذهب إلیه المحقّق الثانی قدّس سرّه من صحّة الأمر بالطبیعة الجامعة بین الأفراد المقدورة و غیرها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الکلام فی الاضطرار إلی الحرام لا بسوء الاختیار و أنحاء اعتبار القیود العدمیة فی الصلاة </w:t>
      </w:r>
      <w:r>
        <w:rPr>
          <w:rFonts w:eastAsia="IRNazanin" w:cs="IRNazanin"/>
          <w:color w:val="111111"/>
          <w:sz w:val="28"/>
          <w:szCs w:val="28"/>
          <w:lang w:bidi="fa-IR"/>
        </w:rPr>
        <w:t>80</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مانعیة لبس الحریر فی الصلاة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صور الاضطرار إلی لبس الحریر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المناقشة مع السیّد الخوئی قدّس سرّه فی التزامه بالجواز من الجهة الثانیة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توجیه ما ذهب إلیه المحقّق النائینی قدّس سرّه من استحالة التقرّب بالمجمع لاتّحاد المأمور به و المنهی عنه فی مقام الایجاد و التأثیر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تأمّل المحقّق الحائری قدّس سرّه فی بطلان الصلاة فی اللباس المغصوب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المناقشة فی التمثیل لمورد عدم المندوحة دائما فی مسألة الاجتماع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عود لمسألة الاضطرار لا بسوء الاختیار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الکلام حول موارد صدق التصرّف الزائد فی الغصب للمضطرّ إلیه و عدم صدقه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الأقوال فی حکم الخروج من الدار المغصوبة لمن توسّطها بسوء اختیاره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الإشکال فیما ذکر فی الفصول قدّس سرّه من کون الخروج واجبا فعلا و منهیا عنه بالنهی السابق الساقط بالاضطرار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کلام مبسوط حول حقیقة مختار الآخوند قدّس سرّه فی حکم الخروج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التعلیق علی ما ذکره النائینی قدّس سرّه من عدم دخول المقام فی قاعدة الامتناع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تتمّة أو توضیح فی صحّة النهی عن الخروج علی نحو الاطلاق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التعلیق علی ما ذهب إلیه الماتن قدّس سرّه من دخول المقام فی قاعدة ردّ المال إلی صاحبه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تحقیق رشیق فی عدم دلیل علی وجوب ردّ مال الغیر سوی ما دلّ علی حرمة الغصب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مناقشات المصنّف مع السیّد الخوئی قدّس سرّهما فی المقام </w:t>
      </w:r>
      <w:r>
        <w:rPr>
          <w:rFonts w:eastAsia="IRNazanin" w:cs="IRNazanin"/>
          <w:color w:val="111111"/>
          <w:sz w:val="28"/>
          <w:szCs w:val="28"/>
          <w:lang w:bidi="fa-IR"/>
        </w:rPr>
        <w:t>157</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تعالیق علی کلمات صاحب الکفایة قدّس سرّه فی المقام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التعلیق علی ما ذهب إلیه الماتن قدّس سرّه من عدم حرمة الخروج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حکم الصلاة حال الخروج من الغصب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دلالة النهی علی الفساد</w:t>
      </w:r>
    </w:p>
    <w:p>
      <w:pPr>
        <w:pStyle w:val="BookText"/>
        <w:rPr/>
      </w:pPr>
      <w:r>
        <w:rPr>
          <w:rFonts w:ascii="IRNazanin" w:hAnsi="IRNazanin" w:eastAsia="IRNazanin"/>
          <w:color w:val="111111"/>
          <w:sz w:val="28"/>
          <w:sz w:val="28"/>
          <w:szCs w:val="28"/>
          <w:rtl w:val="true"/>
          <w:lang w:bidi="fa-IR"/>
        </w:rPr>
        <w:t xml:space="preserve">الکلام فی شمول النهی فی المقام للنهی التنزیهی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الکلام فی شمول النهی للنهی الغیری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مراحل فساد العبادة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معنی العبادة فی المقام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معنی المعاملة فی المقام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بیان نوع التقابل بین الصحّة و الفساد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الکلام فیما یقابل الصحّة من الفساد و العیب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مناقشة مع السیّد الخوئی قدّس سرّه فی اتّصاف المعاملات بالصحّة و الفساد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تعالیق علی کلمات لصاحب الکفایة قدّس سرّه فی معنی الصحّة و الفساد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هل الصحّة و الفساد مجعولان أو غیر مجعولین؟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عموم النزاع لما إذا لم یکن دلیل علی صحّة المنهی عنه لو لا النهی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مقتضی الأصل العملی عند الشکّ فی صحّة العبادة و المعاملة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شبهة عدم استناد فساد العبادة إلی النهی و الجواب عنها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شبهة عدم وجود عبادة منهی عنها لذاتها و الجواب عنها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الاستدلال علی اقتضاء النهی عن عبادة فسادها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الاستدلال علی اقتضاء النهی عن جزء العبادة فسادها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الاستدلال علی اقتضاء النهی عن وصف العبادة أو شرطها فسادها </w:t>
      </w:r>
      <w:r>
        <w:rPr>
          <w:rFonts w:eastAsia="IRNazanin" w:cs="IRNazanin"/>
          <w:color w:val="111111"/>
          <w:sz w:val="28"/>
          <w:szCs w:val="28"/>
          <w:lang w:bidi="fa-IR"/>
        </w:rPr>
        <w:t>297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مانعیة شی‌ء عن صحّة العبادة و بحث مفصّل حول مانعیة لبس الحریر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الکلام فی اقتضاء النهی عن معاملة فسادها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الکلام فی أخذ الأجرة علی الواجب أو الحرام و حکم المعاملة أو العبادة المأمور بضدّها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المناقشة فی تفسیر السبب بإیجاد المعاملة و المسبّب باسم المصدر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مناقشات مع السیّد الخوئی قدّس سرّه فیما ذهب إلیه من أنّ المعاملات تتضمّن اعتبارا نفسیا و مبرزا خارجیا و أنّ النهی عنهما لا یقتضی الفساد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عود إلی مسألة أخذ الأجرة علی الواجب أو الحرام و حکم المعاملة المأمور بضدّها أو بترکها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مناقشات مع السیّد الخوئی قدّس سرّه فی مسألة نکاح العبد بدون إذن سیّده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ذکر الروایات الواردة فی نکاح العبد بدون إذن سیّده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هل تجری أصالة عدم المشروعیة عند الشکّ فی مشروعیة العبادة؟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بحث حول أصل عدم الحجّیة و نقل کلام الآخوند و الشیخ قدّس سرّهما فی المقام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مقدّمات أثبت بها الماتن فساد العبادة التشریعیة التی تبیّن مشروعیتها فی الواقع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الجواب عن محذور لزوم التسلسل من القول بمولویة أوامر الاطاعة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إشارة إلی بعض البراهین التی أقاموها علی عدم معقولیة عدم التناهی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ذکر أمور استطرد بها الماتن فی نهایة بحث اقتضاء النهی التشریعی للفساد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مبحث المفاهیم</w:t>
      </w:r>
    </w:p>
    <w:p>
      <w:pPr>
        <w:pStyle w:val="BookText"/>
        <w:rPr/>
      </w:pPr>
      <w:r>
        <w:rPr>
          <w:rFonts w:ascii="IRNazanin" w:hAnsi="IRNazanin" w:eastAsia="IRNazanin"/>
          <w:color w:val="111111"/>
          <w:sz w:val="28"/>
          <w:sz w:val="28"/>
          <w:szCs w:val="28"/>
          <w:rtl w:val="true"/>
          <w:lang w:bidi="fa-IR"/>
        </w:rPr>
        <w:t xml:space="preserve">التأمّل فی کون المفهوم مشترکا لفظیا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دخول الدلالة التضمّنیة فی الدلالة الالتزامیة </w:t>
      </w:r>
      <w:r>
        <w:rPr>
          <w:rFonts w:eastAsia="IRNazanin" w:cs="IRNazanin"/>
          <w:color w:val="111111"/>
          <w:sz w:val="28"/>
          <w:szCs w:val="28"/>
          <w:lang w:bidi="fa-IR"/>
        </w:rPr>
        <w:t>376</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المفهوم و بین الدلالة الالتزامیة باصطلاح المنطقیین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الفرق بین اللزوم البیّن بالمعنی الأعمّ و الأخصّ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إشکال ربما یذکر علی کون مدرک الدلالة الالتزامیة هو اللزوم الذهنی البیّن بالمعنی الأخصّ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نقل کلام العراقی قدّس سرّه فی أقسام الملازمة و مراتبها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الکلام فی مفهوم الشرط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تحقیق رشیق حول ما یتوقّف علیه ثبوت المفهوم من علّیة الشرط و انحصارها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خلاصة ما ذکره المحقّق العراقی قدّس سرّه فی المقام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فی جزئیة المفهوم و کلّیته مع کون الحکم فی التالی موجبة أو سالبة کلّیة و مناقشات مع السیّد الخوئی قدّس سرّه فی المقام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ما یمکن أن یستند إلیه فی کون المتنجّس منجّسا </w:t>
      </w:r>
      <w:r>
        <w:rPr>
          <w:rFonts w:eastAsia="IRNazanin" w:cs="IRNazanin"/>
          <w:color w:val="111111"/>
          <w:sz w:val="28"/>
          <w:szCs w:val="28"/>
          <w:lang w:bidi="fa-IR"/>
        </w:rPr>
        <w:t>428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الثالث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المتقدّم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ورد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ذکره قدّس سرّه فی رسالة الصلاة فی المشکوک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الثالث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حاشیة المصنّف قدّس سرّه علی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الثامن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النذر غیر المؤقّت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المصدر فی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قدّس سرّه بذلک تحریراته المخطوطة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فیما مضی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المتقدّمة فی المجلّد الثانی من هذا الکتاب، الصفحة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التالیة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جناب السیّد جمال الدین سلّمه اللّه تعالی منه قدّس سرّه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حاشیة المصنّف قدّس سرّه فی المجلّد الأوّل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 سرّه یشیر إلی ما یأتی فی هذه الحاشیة، أو ما یأتی فی الصفحة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الحواشی الآتیة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مخالف للنسخة القدیمة غیر المحشاة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راجع أیضا حواشی المصنّف قدّس سرّه فی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الثالث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التنبیه المذکور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المحشاة بحواشی الآخوند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من شرائط الوضوء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الضدّین و إرادة ضدّه الآخر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یجری فیه الکسر و الانکسار، و مقتضاه هو التعارض بین الدلیلین، إلّا أنّه لمّا قام الإجماع مثلا علی صحّة کلّ واحد من تلک المستحبّات لو أتی به المکلّف کان ذلک کاشفا عن الاستحباب التخییری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جری ذلک فی الواجبات إن قام الدلیل علی صحّة کلّ واحد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الحاشیة المتقدّمة فی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الظاهر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النهی بلازمه، أو تعلّق الطلب بترک لازمه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سبعین ضعفا أو تسعین 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أیضا فی صدر الحدیث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لم یتمّ الالتزام بما أفاده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أشار بذلک إلی ما روی فی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ما فی هذه العبارات من التشویش و سهو القلم، و قد آثرنا إیرادها هنا کما هی فی الأصل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و البیع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المنوب عنه، و الصحیح ما أثبتناه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التعرّض لکلام المحقّق الکلباسی قدّس سرّه، فراجع المجلّد الأوّل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قدّس سرّه قد أبطل هذا القول فیما بعد فراجع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الثالث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أخری للمصنّف قدّس سرّه علی هذا المتن و لکن بصیاغته الموجودة فی النسخة القدیمة من الأجود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اللفظ، نعم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تدع الصلاة علی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ذلک فی الحاشیة قبل الأخیرة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الثالث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الحال فی لباس الحریر بناء علی أنّ مرجع النهی عن الصلاة فیه إلی بیان المانعیة العقلیة، و أنّه لا یمکن التقرّب بالصلاة المشتملة علی لبس الحریر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الحال فی الصلاة مع لبس الذهب، بل و کذلک الحال فی الصلاة مع التزیّن بالذهب، بناء علی أنّ نفس الصلاة مع لبس الذهب أو مع التزیّن به و إن لم یکن لبسا لیست بمحرّمة نفسیا، و أنّه لو کان فی البین نهی لا یکون إلّا إرشادا إلی مانعیة ذلک عقلا من حصول التقرّب بتلک الصلاة، فراجع ما حرّره المرحوم الحاج آقا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مصباح الفقیه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الحاج الشیخ عبد الکریم الیزدی 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مسألة لبس الحریر فی الصلاة و لبس الذهب، بل و التزیّن به و إن لم یکن یصدق علیه اللبس، و أنّ جمیع ذلک مبطل للصلاة و إن لم تکن الصلاة فی ذلک محرّمة شرعا، بل و لا کان النهی عنها فی ذلک من قبیل الارشاد إلی المانعیة الشرعیة نظیر النهی عن الصلاة فیما لا یؤکل لحمه منه قدّس سرّه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حاشیة المصنّف قدّس سرّه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الثالث من هذا الکتاب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قدّس سرّه هنا عبارة و ترک وراءها فراغا، و إلیک نصّ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یتأمّل فی أنّ السجود الذی هو وضع الجبهة علی الأرض فیما لو کانت الأرض التی تکون جبهة المصلّی مماسة لها، کما لو کانت التربة الحسینیة مثلا مغصوبة و صلّی و سجد علیها، هل یکون من قبیل الاجتماع أو یکون من قبیل النهی عن العبادة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الحاشیة المذکورة فی المجلّد الثالث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تقدّم فی تحریراته المخطوطة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راجع أیضا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الآتیة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للمصنّف قدّس سرّه علی هذا المتن و لکن بصیاغته الموجودة فی النسخة الحدیثة من الأجود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دلیل حرمة الصلاة فیه أنّ الحرمة مقصورة علی ما إذا کان لبسه حراما، أو یقال إنّ دلیل جواز لبسه للحرب أو الضرورة مثلا یلزمه تجویز الصلاة فیه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هو الذی یظهر من المرحوم الحاج آقا رضا فی صلاته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لکن ظاهر الروایات لاحظ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کونها تفید الحرمة أنّها عرضیة، لأنّها جمعت فی الحرمة بین لبسه و الصلاة فیه، فتأمّل منه قدّس سرّه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لسقوط تلک النواهی بالاضطرار حتّی المسوق للمانعیة الصرفة، و حینئذ یشکل الحکم بأنّه یصلّی صلاة المختار، لوقوع التزاحم بین وجوب الصلاة و حرمة الغصب و هو من حقوق الناس، اللهمّ إلّا أن یقال إنّ مراده من الاضطرار إلی الصلاة فیه هو أن یجبر علی أصل الصلاة و علی إیقاعها فیه، ففی مثل هذه الصورة یسقط حرمة الغصب کالصورة التی حرّرها أوّلا، و حینئذ فلا یکون فی البین خصوصیة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مراده من ذلک هو ما لو أجبر علی الصلاة تامّة الأجزاء، بحیث إنّه یکون مجبورا علی تلک الحرکات التی هی حسب الفرض زیادة فی الغصب، و کأنّه لأجل ذلک لم یعلّق علیه شیخنا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اللفظ، نعم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تدع الصلاة علی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تحریراته رحمه اللّه مخطوطة، لم تطبع بعد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حاشیة المصنّف قدّس سرّه المفصّلة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للآملی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بیان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التقریب و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قد تقدّمت العبارة فی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التتمیم المذکور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العبارة و العبارة الآتیة أعنی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منه قدّس سرّه، و باقی العبارات هی عبارات شیخه قدّس سرّه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ورقة مرفقة بالمتن ذکر فیها قدّس سرّه ما یلی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المتقدّمة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السابقة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القادمة،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قد تقدّم ما یرتبط بذلک فی المجلّد الثانی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ذلک فی الحاشیة اللاحقة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ذلک فی الحاشیة اللاحقة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حاشیة المصنّف قدّس سرّه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الثالث من هذا الکتاب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الغصب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فی المصدر 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تؤدّیه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الغصب کلّه مردود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فی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العاملی قدّس سرّه فی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شرح مختصر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التقریب و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السادس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ینبغی بل یلزم مراجعة هذه الحاشیة المشار إلیها، فإنّها فیما ذکرناه من معنی الحاشیة التی نقلناها أوضح، فإنّه صرّح فیها بأنّه لا دلیل فی البین إلّا علی حرمة الغصب، و أنّه لا دلیل علی وجوب الخروج لیجب اعماله کاعمال النهی عن الغصب لیکون الخروج مأمورا به و منهیا عنه، فراجع الحاشیة و تأمّل منه قدّس سرّه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الجمل موجودة فی عبارة المرحوم الشیخ محمّد علی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تقدّم نقله عن أجود التقریرات 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هنا مراجعة ما أفاده شیخنا قدّس سرّه فی بحث المقدّمات المفوّتة و ما علّقناه علیه منه قدّس سرّه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فرض أنّ الداخل بسوء اختیاره قد اضطرّ إلی مقدار التصرّف الخروجی، فلم لا یصحّ کونه مأمورا به بنحو الترتّب، بأن یقال إن ارتکبت الدخول و اضطررت إلی ذلک المقدار فاجعله خروجا، فیکون الاتیان بالخروج عصیانا للنهی السابق و اطاعة للأمر اللاحق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الحاشیتین المتقدّمتین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اللفظ، نعم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تدع الصلاة علی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حاشیته المفصّلة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أن یجعل وقوعه فی الغصب علی کلّ حال توجیها لصحّة الترتّب، بأن یخاطب بأنک بعد وقوعک فی الغصب علی کلّ حال فاشتغل فی ذلک الحال بفعل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لکنّک قد عرفت أنّ الترتّب لا یتأتّی فی مثل ذلک إمّا لما أفاده شیخنا قدّس سرّه من لزوم تحصیل الحاصل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إمّا لما عرفت من أنّ المبغوضیة الفعلیة مانعة عن التقرّب، فلا یمکن أن یتوجّه إلیه الأمر العبادی فی ذلک الحال منه قدّس سرّه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للمصنّف قدّس سرّه تحقیق مفصّل فی ذلک تقدّم فی الصفحة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الحاشیة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قد تقدّم نقل عبارته قدّس سرّه فی المجلّد الثالث من هذا الکتاب فراجع الحاشیة المذکورة هناک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یرتبط بالمطلب، و راجع أیضا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للمصنّف قدّس سرّه حاشیة توضیحیة علی ذلک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لاحظ أیضا ما سیأتی فی المجلّد الخامس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الأمر، و الظاهر أنّه من سهو القلم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الحاشیتین المذکورتین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هذا الکتاب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تعلیقة للشیخ علی القوچانی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قد مرّ تعلیق المصنّف قدّس سرّه علیه فی الحاشیة السابقة المذکورة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ذکره المصنّف قدّس سرّه فی حاشیته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الثالث من هذا الکتاب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المقدّمة السادسة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تعلیقة القوچانی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فاعبدوه مخلصین له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إحیاء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ینقله بعد قلیل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الشهید رحمه اللّه فی 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و نقل العبارة فی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فی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قد تقدّمت حاشیة للمصنّف قدّس سرّه علی ذلک فی المجلّد الأوّل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السابقة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راجع أیضا حواشی المصنّف قدّس سرّه فی المجلّد الأوّل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الحاشیتین المذکورتین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هذا الکتاب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قدّس سرّه تحریراته المخطوطة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التاسع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الحاشیة و الحاشیة اللاحقة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الثانی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ذلک کلّه فی الحاشیة السابقة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ذلک کلّه فی الحاشیة السابقة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ذلک کلّه فی الحاشیة السابقة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فی هذه السهولة هو أنّه لا یتأتّی فی هذه الصحّة الظاهریة ما تأتی فی صورة الاجزاء الواقعی، من أنّه کیف یمکن الحکم واقعا بأنّ هذا مجز عن الواقع مع أنّ الواقع باق بحاله لم یتغیّر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الإشکال لا یتأتّی فی الصحّة الظاهریة التی یکون أثرها الاجزاء الظاهری، الراجع إلی أنّ هذا هو الواقع ظاهرا، من دون فرق فی ذلک بین أن نجعل مرکز هذا التعبّد الظاهری هو الصحّة نفسها، أو هو أثرها الذی هو اسقاط الأمر الواقعی ظاهرا، فتأمّل منه قدّس سرّه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المقدّمة الرابعة، 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حاشیة المصنّف قدّس سرّه علی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الثامن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السابقة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تعلیقة الشیخ علی القوچانی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نسخة الکفایة المحشاة بحاشیة الشیخ القوچانی رحمه اللّه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مصدره فی 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نقل صدره بالمضمون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فی طهران قدیما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قد وردت هذه العبارة فی الطبعة المحشاة بحاشیة المرحوم القوچانی قدّس سرّه کما 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و ذکرت أیضا فی هامش الطبعة الحدیثة المحشاة بحاشیة المرحوم المشکینی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حواشیه قدّس سرّه علی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التاسع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الثالثة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صحّتها، و الصحیح ما أثبتناه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الحاشیة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ستأتی حاشیة المصنّف قدّس سرّه علی ذلک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المرحوم حجّة الإسلام السیّد جمال الدین قدّس سرّه منه قدّس سرّه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هنا مراجعة ما ذکره قدّس سرّه فی اندکاک الأمرین فی الوضوء فی 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ففیما نحن فیه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 و ستأتی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أخری علی هذه العبارة، و لکن بصیاغتها المذکورة فی الطبعة المحشاة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حاشیة للمصنّف قدّس سرّه علی هذه العبارة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سهو القلم،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سهو القلم،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أن یکون المراد هو أنّ کلّ ما یوقع فی شرب الخمر یکون حراما و لو کان ذلک الشرب الذی وقع فیه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الحال فی حرمة کلّ ما یوقع فی الغصب فإنّها شاملة لما إذا کان الغصب الذی وقع فیه واجبا، لکونه مصداق التخلّص</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ذلک مفصّلا فی الحاشیة المذکورة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قد صرّح بذلک فی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ثانیا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الثالث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سیأتی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إسماعیل بن سعد الأحوص عن الرضا علیه السّلام المروی صدره فی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اللفظ فی الروایات الناهیة عن الصلاة فی الحریر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ورقة مرفقة بالأصل ارتأینا إدراجها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لکن لا یخفی أنّ إخراج الصلاة مع الحریر یوجب قهرا تقیّد العام بما عداها، کما حقّق فی محلّه فی باب العموم، و إذا کان مرکب الأمر بالصلاة هو الصلاة المقیّدة بعدم الحریر کان ذلک عبارة أخری عن المانعیة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إخراج الصلاة مع الحریر لا یوجب تقیّد الصلاة بعدم الحریر، بل إنّما یوجب تقیّدها بعدم الصلاة مع الحریر، بمعنی أنّ الباقی تحت العام هو کلّ صلاة غیر الصلاة مع الحریر، فیکون القید هو عدم الصلاة مع الحریر، لا نفس عدم الحریر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ذلک لا یخرج عن تقیّد الصلاة المطلوبة، و أنّ المطلوب هو خصوص الصلاة مع عدم الحریر و أنّ الصلاة مع الحریر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المطلب محتاج إلی مزید تأمّل، فتأمّل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یرتبط بالمطلب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مسألة الصلاة بلباس الحریر، و مثل التقدّم علی قبر المعصوم و نحو ذلک، إن کان لجهل بالحکم بطلت صلاته، لعدم جریان حدیث لا تعاد فی موارد الجهل بالحکم، أمّا موارد الجهل بالموضوع فالظاهر الصحّة لحدیث 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و إن قلنا إنّ خروج بعض الأفراد أو الأنواع عن العموم یوجب تقیّد الباقی بعدم ذلک الخارج، مثلا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عالما أو أکرم کلّ عالم، ثمّ قال لا تکرم العالم الفاسق، فإنّ هذا الأخیر یوجب تقیّد الباقی بعدم العالم الفاسق، إلّا أنّ ذلک التقیید لیس براجع إلی المانعیة، فإنّ مرجع المانعیة إلی مطلوبیة عدم المانع طلبا ضمنیا، و هذا إنّما یتصوّر فی الجهة الزائدة علی أصل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کان المضاف إلیه العدم هو نوع خاصّ من ذلک العام مثل العالم الفاسق، فلا یکون إخراجه موجبا للمانعیة الشرعیة أصلا، فتأمّل منه قدّس سرّه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للمصنّف قدّس سرّه حواشی علی الفائدة الاستطرادیة المذکورة هناک تبدأ من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هذا الکتاب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اللفظ، نعم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تدع الصلاة علی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الظاهر أنّ الصحیح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بسمه تعالی لا یخفی أنّه قد تقدّم الکلام علی کثیر من هذه الجهات فی مسألة الاضطرار لا بسوء الاختیار من تنبیهات مسألة الاجتماع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الحواشی علی هذا المطلب 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الصفحة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وردت العبارة فی الأصل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قدّس سرّه یشیر بذلک إلی ما ذکره صاحب الکفایة قدّس سرّه فی التنبیه الثانی من تنبیهات مسألة اجتماع الأمر و النهی، فراجع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المزارعة و المساقاة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و البیع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المکاسب و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راجع 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وردت فی الطبعة القدیمة غیر المحشاة، و قد أبدلت فی الطبعة الحدیثة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الأمر أنّ النهی عنه یقتضی حجر المکلّف عنه المستلزم لعدم إمضاء الشارع له الخ،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یقصد بها النسخة المحشاة بحاشیة المحقّق النائینی قدّس سرّه طبعة دار المسیرة، راجع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راجع 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الشهید الأوّل قدّس سرّه فی 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 سرّه یرید بذلک ما ذکره الشیخ قدّس سرّه فی ذیل أدلّة صحّة بیع الفضولی من المسألة الأولی، راجع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راجع ما ذکره المصنّف قدّس سرّه فی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الإماء و العبید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لکن فی المصادر الحدیثیة المشار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بن عتیبة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 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العقد فاسد، و الظاهر أنّ الوطء بالقیاس إلیها شبهة، فهی إنّما تستحقّ مهر أمثالها دون الزائد علی ذلک و لو کان ما سمّاه أقلّ من مهر أمثالها لم یکن لها إلّا ما سمّاه، و لا تستحقّ الزائد، لاقدامها علی ما هو أقلّ من مهر أمثالها، فهی حینئذ تستحقّ أقل الأمرین من المسمّی و مهر أمثالها، و لا یبعد دلالة الروایة علی ذلک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 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 الإماء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 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 الإماء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فی الحاشیة علی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حاشیة المصنّف قدّس سرّه علی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السابع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اختلاف الرتبة مجدیا فی رفع التناقض لم یکن معنی محصل للقول بأنّ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علمت بوجوب الشی‌ء فقد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لأنّ المخاطب یراه تناقضا، هذا کلّه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نفس الاطاعة متوقّفة علی وجود الأمر، و إذا کان حسنها متوقّفا علی تعلّق الأمر بها جاء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وردت فی النسخة القدیمة غیر المحشاة، و أبدلت فی الطبعة الحدیثة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انتهی العلم إلی غیره فی حجّیته لدار أو تسلسل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التعرّض لکلام المحقّق الکلباسی قدّس سرّه، فراجع المجلّد الأوّل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قدّس سرّه قد أبطل هذا القول فیما بعد، فراجع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الخامس فی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تأتی حواشی المصنّف قدّس سرّه علیه فی المجلّد التاسع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هذه الحاشیة، فراجع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أنّه لو تمّ هذا التسلسل و قلنا بمحالیته لکان من أقوی الأدلّة علی بطلان الملازمة بین الأحکام العقلیة و الأحکام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یمکن الجواب عنه بخروج خصوص الاطاعة من قاعدة الملازمة، فإنّ الملازمة لو کانت عقلیة لم یعقل التخصیص فیها، لأنّه تفکیک بین المتلازمین بلا جهة فی البین، سوی أنّه لو جرت الملازمة لکان اللازم هو التسلسل، فتأمّل منه قدّس سرّه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فی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راجع أیضا ما تقدّم ذکره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الحاصل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له قدّس سرّه حاشیة علی ذلک و حاشیة أخری مفصّلة علی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ستأتی الحاشیتان فی المجلّد السادس من هذا الکتاب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لقائل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ذلک لیس من قبیل الملازمة، بل إنّ أحدهما عین الآخر، و ما ذلک إلّا من قبیل تغییر العبارة نحو أنت و ابن أخت خالتک منه قدّس سرّه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تهذیب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تهذیب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المتقدّم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الملزوم، و الصحیح ما أثبتناه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تهذیب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تهذیب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هذا من إضافة المصدر إلی المفعول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العبارة المتقدّمة أوّل الحاشیة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الفائدة المذکورة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الثانی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راجع أیضا الصفحة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المرحوم الشیخ موسی فیما حرّره عنه قدّس سرّه فی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لو ثبت ظهور القضیة الشرطیة وضعا أو اطلاقا لترتّب الجزاء علی الشرط وجودا و عدما، فکون الشرط معلولا لا علّة للجزاء أو کونهما متلازمین فی الوجود لا یضرّ الظهور، لأنّه علی فرض الظهور کان الشرط معلولا أو ملازما ینتفی بانتفائه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کان معلولا فواضح، لأنّ مع عدمه لا یمکن وجود العلّة و لو کان المعلول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یستند انتفاء الجزاء بانتفاء الشرط، و لکن الاستناد لیس مدّعی القائل بالمفهوم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لو کان ملازما فمع الظهور یدّعی التلازم وجودا و عدما، کما أنّ قول المنطقیین إنّ رفع المقدم لا ینتج رفع التالی لا یصادم الظهور اللفظی، لأنّ کلامهم ناظر إلی مقام البرهان، و البرهان العقلی یصادمه الاحتمال، و هو کون اللازم لازما أعمّ لا ینتفی بانتفاء أحد ملزوماته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و الصحیح ما أثبتناه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الوجوب، و الصحیح ما أثبتناه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نظره الشریف قدّس سرّه إلی ما روی فی کتاب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استدلّ به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وصفه بالخبر و هو مرویّ فی قرب الاسناد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image" Target="media/image2.jpeg"/><Relationship Id="rId442" Type="http://schemas.openxmlformats.org/officeDocument/2006/relationships/image" Target="media/image2.jpeg"/><Relationship Id="rId443" Type="http://schemas.openxmlformats.org/officeDocument/2006/relationships/footer" Target="footer436.xml"/><Relationship Id="rId444" Type="http://schemas.openxmlformats.org/officeDocument/2006/relationships/footnotes" Target="footnotes.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106699</Words>
  <Characters>438805</Characters>
  <CharactersWithSpaces>543560</CharactersWithSpaces>
  <Paragraphs>1945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2026-08-26T01:44:54Z</dcterms:created>
  <dc:creator>ghaemiyeh.com</dc:creator>
  <dc:description/>
  <dc:language>en-US</dc:language>
  <cp:lastModifiedBy/>
  <dcterms:modified xsi:type="dcterms:W3CDTF">2026-08-26T05:15:18Z</dcterms:modified>
  <cp:revision>1</cp:revision>
  <dc:subject/>
  <dc:title>اصول الفقه جلد 4</dc:title>
</cp:coreProperties>
</file>

<file path=docProps/custom.xml><?xml version="1.0" encoding="utf-8"?>
<Properties xmlns="http://schemas.openxmlformats.org/officeDocument/2006/custom-properties" xmlns:vt="http://schemas.openxmlformats.org/officeDocument/2006/docPropsVTypes"/>
</file>