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العداله بضمیمه قاعده مایضمن و حمل فعل المسلم علی الصحه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8220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48222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48224_2314609296">
            <w:r>
              <w:rPr>
                <w:webHidden/>
                <w:rStyle w:val="IndexLink"/>
                <w:rtl w:val="true"/>
              </w:rPr>
              <w:t>[</w:t>
            </w:r>
            <w:r>
              <w:rPr>
                <w:rStyle w:val="IndexLink"/>
                <w:rtl w:val="true"/>
              </w:rPr>
              <w:t>مقدمة التحقيق</w:t>
            </w:r>
            <w:r>
              <w:rPr>
                <w:rStyle w:val="IndexLink"/>
                <w:rtl w:val="true"/>
              </w:rPr>
              <w:t>]</w:t>
              <w:tab/>
            </w:r>
            <w:r>
              <w:rPr>
                <w:rStyle w:val="IndexLink"/>
              </w:rPr>
              <w:t>6</w:t>
            </w:r>
          </w:hyperlink>
        </w:p>
        <w:p>
          <w:pPr>
            <w:pStyle w:val="Contents3"/>
            <w:tabs>
              <w:tab w:val="clear" w:pos="8459"/>
              <w:tab w:val="right" w:pos="9026" w:leader="dot"/>
            </w:tabs>
            <w:rPr/>
          </w:pPr>
          <w:hyperlink w:anchor="__RefHeading___Toc1948226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948228_2314609296">
            <w:r>
              <w:rPr>
                <w:webHidden/>
                <w:rStyle w:val="IndexLink"/>
                <w:rtl w:val="true"/>
              </w:rPr>
              <w:t>نبذة من حياة المؤلف قدّس سرّه</w:t>
            </w:r>
            <w:r>
              <w:rPr>
                <w:rStyle w:val="IndexLink"/>
                <w:rtl w:val="true"/>
              </w:rPr>
              <w:t>:</w:t>
              <w:tab/>
            </w:r>
            <w:r>
              <w:rPr>
                <w:rStyle w:val="IndexLink"/>
              </w:rPr>
              <w:t>6</w:t>
            </w:r>
          </w:hyperlink>
        </w:p>
        <w:p>
          <w:pPr>
            <w:pStyle w:val="Contents4"/>
            <w:tabs>
              <w:tab w:val="clear" w:pos="8176"/>
              <w:tab w:val="right" w:pos="9026" w:leader="dot"/>
            </w:tabs>
            <w:rPr/>
          </w:pPr>
          <w:hyperlink w:anchor="__RefHeading___Toc1948230_2314609296">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1948232_2314609296">
            <w:r>
              <w:rPr>
                <w:webHidden/>
                <w:rStyle w:val="IndexLink"/>
                <w:rtl w:val="true"/>
              </w:rPr>
              <w:t>مولده و موطنه و هجرته</w:t>
            </w:r>
            <w:r>
              <w:rPr>
                <w:rStyle w:val="IndexLink"/>
                <w:rtl w:val="true"/>
              </w:rPr>
              <w:t>:</w:t>
              <w:tab/>
            </w:r>
            <w:r>
              <w:rPr>
                <w:rStyle w:val="IndexLink"/>
              </w:rPr>
              <w:t>6</w:t>
            </w:r>
          </w:hyperlink>
        </w:p>
        <w:p>
          <w:pPr>
            <w:pStyle w:val="Contents4"/>
            <w:tabs>
              <w:tab w:val="clear" w:pos="8176"/>
              <w:tab w:val="right" w:pos="9026" w:leader="dot"/>
            </w:tabs>
            <w:rPr/>
          </w:pPr>
          <w:hyperlink w:anchor="__RefHeading___Toc1948234_2314609296">
            <w:r>
              <w:rPr>
                <w:webHidden/>
                <w:rStyle w:val="IndexLink"/>
                <w:rtl w:val="true"/>
              </w:rPr>
              <w:t>مكانته العلميّة و زهده و أخلاقه و مرجعيته</w:t>
            </w:r>
            <w:r>
              <w:rPr>
                <w:rStyle w:val="IndexLink"/>
                <w:rtl w:val="true"/>
              </w:rPr>
              <w:t>:</w:t>
              <w:tab/>
            </w:r>
            <w:r>
              <w:rPr>
                <w:rStyle w:val="IndexLink"/>
              </w:rPr>
              <w:t>8</w:t>
            </w:r>
          </w:hyperlink>
        </w:p>
        <w:p>
          <w:pPr>
            <w:pStyle w:val="Contents4"/>
            <w:tabs>
              <w:tab w:val="clear" w:pos="8176"/>
              <w:tab w:val="right" w:pos="9026" w:leader="dot"/>
            </w:tabs>
            <w:rPr/>
          </w:pPr>
          <w:hyperlink w:anchor="__RefHeading___Toc1948236_2314609296">
            <w:r>
              <w:rPr>
                <w:webHidden/>
                <w:rStyle w:val="IndexLink"/>
                <w:rtl w:val="true"/>
              </w:rPr>
              <w:t>مشايخه</w:t>
            </w:r>
            <w:r>
              <w:rPr>
                <w:rStyle w:val="IndexLink"/>
                <w:rtl w:val="true"/>
              </w:rPr>
              <w:t>:</w:t>
              <w:tab/>
            </w:r>
            <w:r>
              <w:rPr>
                <w:rStyle w:val="IndexLink"/>
              </w:rPr>
              <w:t>8</w:t>
            </w:r>
          </w:hyperlink>
        </w:p>
        <w:p>
          <w:pPr>
            <w:pStyle w:val="Contents4"/>
            <w:tabs>
              <w:tab w:val="clear" w:pos="8176"/>
              <w:tab w:val="right" w:pos="9026" w:leader="dot"/>
            </w:tabs>
            <w:rPr/>
          </w:pPr>
          <w:hyperlink w:anchor="__RefHeading___Toc1948238_2314609296">
            <w:r>
              <w:rPr>
                <w:webHidden/>
                <w:rStyle w:val="IndexLink"/>
                <w:rtl w:val="true"/>
              </w:rPr>
              <w:t>تلامذته</w:t>
            </w:r>
            <w:r>
              <w:rPr>
                <w:rStyle w:val="IndexLink"/>
                <w:rtl w:val="true"/>
              </w:rPr>
              <w:t>:</w:t>
              <w:tab/>
            </w:r>
            <w:r>
              <w:rPr>
                <w:rStyle w:val="IndexLink"/>
              </w:rPr>
              <w:t>9</w:t>
            </w:r>
          </w:hyperlink>
        </w:p>
        <w:p>
          <w:pPr>
            <w:pStyle w:val="Contents4"/>
            <w:tabs>
              <w:tab w:val="clear" w:pos="8176"/>
              <w:tab w:val="right" w:pos="9026" w:leader="dot"/>
            </w:tabs>
            <w:rPr/>
          </w:pPr>
          <w:hyperlink w:anchor="__RefHeading___Toc1948240_2314609296">
            <w:r>
              <w:rPr>
                <w:webHidden/>
                <w:rStyle w:val="IndexLink"/>
                <w:rtl w:val="true"/>
              </w:rPr>
              <w:t>آثاره العلمية</w:t>
            </w:r>
            <w:r>
              <w:rPr>
                <w:rStyle w:val="IndexLink"/>
                <w:rtl w:val="true"/>
              </w:rPr>
              <w:t>:</w:t>
              <w:tab/>
            </w:r>
            <w:r>
              <w:rPr>
                <w:rStyle w:val="IndexLink"/>
              </w:rPr>
              <w:t>10</w:t>
            </w:r>
          </w:hyperlink>
        </w:p>
        <w:p>
          <w:pPr>
            <w:pStyle w:val="Contents4"/>
            <w:tabs>
              <w:tab w:val="clear" w:pos="8176"/>
              <w:tab w:val="right" w:pos="9026" w:leader="dot"/>
            </w:tabs>
            <w:rPr/>
          </w:pPr>
          <w:hyperlink w:anchor="__RefHeading___Toc1948242_2314609296">
            <w:r>
              <w:rPr>
                <w:webHidden/>
                <w:rStyle w:val="IndexLink"/>
                <w:rtl w:val="true"/>
              </w:rPr>
              <w:t>أولاده</w:t>
            </w:r>
            <w:r>
              <w:rPr>
                <w:rStyle w:val="IndexLink"/>
                <w:rtl w:val="true"/>
              </w:rPr>
              <w:t>:</w:t>
              <w:tab/>
            </w:r>
            <w:r>
              <w:rPr>
                <w:rStyle w:val="IndexLink"/>
              </w:rPr>
              <w:t>13</w:t>
            </w:r>
          </w:hyperlink>
        </w:p>
        <w:p>
          <w:pPr>
            <w:pStyle w:val="Contents4"/>
            <w:tabs>
              <w:tab w:val="clear" w:pos="8176"/>
              <w:tab w:val="right" w:pos="9026" w:leader="dot"/>
            </w:tabs>
            <w:rPr/>
          </w:pPr>
          <w:hyperlink w:anchor="__RefHeading___Toc1948244_2314609296">
            <w:r>
              <w:rPr>
                <w:webHidden/>
                <w:rStyle w:val="IndexLink"/>
                <w:rtl w:val="true"/>
              </w:rPr>
              <w:t>وفاته</w:t>
            </w:r>
            <w:r>
              <w:rPr>
                <w:rStyle w:val="IndexLink"/>
                <w:rtl w:val="true"/>
              </w:rPr>
              <w:t>:</w:t>
              <w:tab/>
            </w:r>
            <w:r>
              <w:rPr>
                <w:rStyle w:val="IndexLink"/>
              </w:rPr>
              <w:t>15</w:t>
            </w:r>
          </w:hyperlink>
        </w:p>
        <w:p>
          <w:pPr>
            <w:pStyle w:val="Contents4"/>
            <w:tabs>
              <w:tab w:val="clear" w:pos="8176"/>
              <w:tab w:val="right" w:pos="9026" w:leader="dot"/>
            </w:tabs>
            <w:rPr/>
          </w:pPr>
          <w:hyperlink w:anchor="__RefHeading___Toc1948246_2314609296">
            <w:r>
              <w:rPr>
                <w:webHidden/>
                <w:rStyle w:val="IndexLink"/>
                <w:rtl w:val="true"/>
              </w:rPr>
              <w:t>الثناء عليه</w:t>
            </w:r>
            <w:r>
              <w:rPr>
                <w:rStyle w:val="IndexLink"/>
                <w:rtl w:val="true"/>
              </w:rPr>
              <w:t>:</w:t>
              <w:tab/>
            </w:r>
            <w:r>
              <w:rPr>
                <w:rStyle w:val="IndexLink"/>
              </w:rPr>
              <w:t>16</w:t>
            </w:r>
          </w:hyperlink>
        </w:p>
        <w:p>
          <w:pPr>
            <w:pStyle w:val="Contents2"/>
            <w:tabs>
              <w:tab w:val="clear" w:pos="8743"/>
              <w:tab w:val="right" w:pos="9026" w:leader="dot"/>
            </w:tabs>
            <w:rPr/>
          </w:pPr>
          <w:hyperlink w:anchor="__RefHeading___Toc1948248_2314609296">
            <w:r>
              <w:rPr>
                <w:webHidden/>
                <w:rStyle w:val="IndexLink"/>
                <w:rtl w:val="true"/>
              </w:rPr>
              <w:t>المقام الأوّل في بيان معنى العدالة لغة و شرعا</w:t>
            </w:r>
            <w:r>
              <w:rPr>
                <w:rStyle w:val="IndexLink"/>
                <w:rtl w:val="true"/>
              </w:rPr>
              <w:tab/>
            </w:r>
            <w:r>
              <w:rPr>
                <w:rStyle w:val="IndexLink"/>
              </w:rPr>
              <w:t>18</w:t>
            </w:r>
          </w:hyperlink>
        </w:p>
        <w:p>
          <w:pPr>
            <w:pStyle w:val="Contents3"/>
            <w:tabs>
              <w:tab w:val="clear" w:pos="8459"/>
              <w:tab w:val="right" w:pos="9026" w:leader="dot"/>
            </w:tabs>
            <w:rPr/>
          </w:pPr>
          <w:hyperlink w:anchor="__RefHeading___Toc1948250_231460929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948252_2314609296">
            <w:r>
              <w:rPr>
                <w:webHidden/>
                <w:rStyle w:val="IndexLink"/>
                <w:rtl w:val="true"/>
              </w:rPr>
              <w:t>و كيف كان فاختلف الأصحاب في معناها الشرعي على أقوال</w:t>
            </w:r>
            <w:r>
              <w:rPr>
                <w:rStyle w:val="IndexLink"/>
                <w:rtl w:val="true"/>
              </w:rPr>
              <w:t>:</w:t>
              <w:tab/>
            </w:r>
            <w:r>
              <w:rPr>
                <w:rStyle w:val="IndexLink"/>
              </w:rPr>
              <w:t>21</w:t>
            </w:r>
          </w:hyperlink>
        </w:p>
        <w:p>
          <w:pPr>
            <w:pStyle w:val="Contents4"/>
            <w:tabs>
              <w:tab w:val="clear" w:pos="8176"/>
              <w:tab w:val="right" w:pos="9026" w:leader="dot"/>
            </w:tabs>
            <w:rPr/>
          </w:pPr>
          <w:hyperlink w:anchor="__RefHeading___Toc1948254_2314609296">
            <w:r>
              <w:rPr>
                <w:webHidden/>
                <w:rStyle w:val="IndexLink"/>
                <w:rtl w:val="true"/>
              </w:rPr>
              <w:t>أحدها</w:t>
            </w:r>
            <w:r>
              <w:rPr>
                <w:rStyle w:val="IndexLink"/>
                <w:rtl w:val="true"/>
              </w:rPr>
              <w:t xml:space="preserve">: </w:t>
            </w:r>
            <w:r>
              <w:rPr>
                <w:rStyle w:val="IndexLink"/>
                <w:rtl w:val="true"/>
              </w:rPr>
              <w:t>ما هو المشهور بينهم من أنّها كيفيّة نفسانيّة ملازمة للتقوى فقط</w:t>
            </w:r>
            <w:r>
              <w:rPr>
                <w:rStyle w:val="IndexLink"/>
                <w:rtl w:val="true"/>
              </w:rPr>
              <w:tab/>
            </w:r>
            <w:r>
              <w:rPr>
                <w:rStyle w:val="IndexLink"/>
              </w:rPr>
              <w:t>21</w:t>
            </w:r>
          </w:hyperlink>
        </w:p>
        <w:p>
          <w:pPr>
            <w:pStyle w:val="Contents4"/>
            <w:tabs>
              <w:tab w:val="clear" w:pos="8176"/>
              <w:tab w:val="right" w:pos="9026" w:leader="dot"/>
            </w:tabs>
            <w:rPr/>
          </w:pPr>
          <w:hyperlink w:anchor="__RefHeading___Toc1948256_2314609296">
            <w:r>
              <w:rPr>
                <w:webHidden/>
                <w:rStyle w:val="IndexLink"/>
                <w:rtl w:val="true"/>
              </w:rPr>
              <w:t>و ثانيها</w:t>
            </w:r>
            <w:r>
              <w:rPr>
                <w:rStyle w:val="IndexLink"/>
                <w:rtl w:val="true"/>
              </w:rPr>
              <w:t xml:space="preserve">: </w:t>
            </w:r>
            <w:r>
              <w:rPr>
                <w:rStyle w:val="IndexLink"/>
                <w:rtl w:val="true"/>
              </w:rPr>
              <w:t>أنّها الإسلام</w:t>
            </w:r>
            <w:r>
              <w:rPr>
                <w:rStyle w:val="IndexLink"/>
                <w:rtl w:val="true"/>
              </w:rPr>
              <w:tab/>
            </w:r>
            <w:r>
              <w:rPr>
                <w:rStyle w:val="IndexLink"/>
              </w:rPr>
              <w:t>25</w:t>
            </w:r>
          </w:hyperlink>
        </w:p>
        <w:p>
          <w:pPr>
            <w:pStyle w:val="Contents5"/>
            <w:tabs>
              <w:tab w:val="clear" w:pos="7892"/>
              <w:tab w:val="right" w:pos="9026" w:leader="dot"/>
            </w:tabs>
            <w:rPr/>
          </w:pPr>
          <w:hyperlink w:anchor="__RefHeading___Toc1948258_2314609296">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948260_2314609296">
            <w:r>
              <w:rPr>
                <w:webHidden/>
                <w:rStyle w:val="IndexLink"/>
                <w:rtl w:val="true"/>
              </w:rPr>
              <w:t>و الذي يدلّ على أنّهم يريدون ذلك أمور</w:t>
            </w:r>
            <w:r>
              <w:rPr>
                <w:rStyle w:val="IndexLink"/>
                <w:rtl w:val="true"/>
              </w:rPr>
              <w:t>:</w:t>
              <w:tab/>
            </w:r>
            <w:r>
              <w:rPr>
                <w:rStyle w:val="IndexLink"/>
              </w:rPr>
              <w:t>26</w:t>
            </w:r>
          </w:hyperlink>
        </w:p>
        <w:p>
          <w:pPr>
            <w:pStyle w:val="Contents6"/>
            <w:tabs>
              <w:tab w:val="clear" w:pos="7609"/>
              <w:tab w:val="right" w:pos="9026" w:leader="dot"/>
            </w:tabs>
            <w:rPr/>
          </w:pPr>
          <w:hyperlink w:anchor="__RefHeading___Toc1948262_2314609296">
            <w:r>
              <w:rPr>
                <w:webHidden/>
                <w:rStyle w:val="IndexLink"/>
                <w:rtl w:val="true"/>
              </w:rPr>
              <w:t>الأوّل</w:t>
            </w:r>
            <w:r>
              <w:rPr>
                <w:rStyle w:val="IndexLink"/>
                <w:rtl w:val="true"/>
              </w:rPr>
              <w:t xml:space="preserve">: </w:t>
            </w:r>
            <w:r>
              <w:rPr>
                <w:rStyle w:val="IndexLink"/>
                <w:rtl w:val="true"/>
              </w:rPr>
              <w:t>ما في عبائرهم المتقدمة من قول ابن الجنيد</w:t>
            </w:r>
            <w:r>
              <w:rPr>
                <w:rStyle w:val="IndexLink"/>
                <w:rtl w:val="true"/>
              </w:rPr>
              <w:t>:</w:t>
              <w:tab/>
            </w:r>
            <w:r>
              <w:rPr>
                <w:rStyle w:val="IndexLink"/>
              </w:rPr>
              <w:t>26</w:t>
            </w:r>
          </w:hyperlink>
        </w:p>
        <w:p>
          <w:pPr>
            <w:pStyle w:val="Contents6"/>
            <w:tabs>
              <w:tab w:val="clear" w:pos="7609"/>
              <w:tab w:val="right" w:pos="9026" w:leader="dot"/>
            </w:tabs>
            <w:rPr/>
          </w:pPr>
          <w:hyperlink w:anchor="__RefHeading___Toc1948264_2314609296">
            <w:r>
              <w:rPr>
                <w:webHidden/>
                <w:rStyle w:val="IndexLink"/>
                <w:rtl w:val="true"/>
              </w:rPr>
              <w:t>الثاني</w:t>
            </w:r>
            <w:r>
              <w:rPr>
                <w:rStyle w:val="IndexLink"/>
                <w:rtl w:val="true"/>
              </w:rPr>
              <w:t xml:space="preserve">: </w:t>
            </w:r>
            <w:r>
              <w:rPr>
                <w:rStyle w:val="IndexLink"/>
                <w:rtl w:val="true"/>
              </w:rPr>
              <w:t xml:space="preserve">ما عن ابن الجنيد </w:t>
            </w:r>
            <w:r>
              <w:rPr>
                <w:rStyle w:val="IndexLink"/>
                <w:rtl w:val="true"/>
              </w:rPr>
              <w:t>«</w:t>
            </w:r>
            <w:r>
              <w:rPr>
                <w:rStyle w:val="IndexLink"/>
              </w:rPr>
              <w:t>1</w:t>
            </w:r>
            <w:r>
              <w:rPr>
                <w:rStyle w:val="IndexLink"/>
                <w:rtl w:val="true"/>
              </w:rPr>
              <w:t xml:space="preserve">» </w:t>
            </w:r>
            <w:r>
              <w:rPr>
                <w:rStyle w:val="IndexLink"/>
                <w:rtl w:val="true"/>
              </w:rPr>
              <w:t>من الاستدلال على الأصل الذي ادعاه</w:t>
            </w:r>
            <w:r>
              <w:rPr>
                <w:rStyle w:val="IndexLink"/>
                <w:rtl w:val="true"/>
              </w:rPr>
              <w:tab/>
            </w:r>
            <w:r>
              <w:rPr>
                <w:rStyle w:val="IndexLink"/>
              </w:rPr>
              <w:t>26</w:t>
            </w:r>
          </w:hyperlink>
        </w:p>
        <w:p>
          <w:pPr>
            <w:pStyle w:val="Contents6"/>
            <w:tabs>
              <w:tab w:val="clear" w:pos="7609"/>
              <w:tab w:val="right" w:pos="9026" w:leader="dot"/>
            </w:tabs>
            <w:rPr/>
          </w:pPr>
          <w:hyperlink w:anchor="__RefHeading___Toc1948266_2314609296">
            <w:r>
              <w:rPr>
                <w:webHidden/>
                <w:rStyle w:val="IndexLink"/>
                <w:rtl w:val="true"/>
              </w:rPr>
              <w:t>الثالث</w:t>
            </w:r>
            <w:r>
              <w:rPr>
                <w:rStyle w:val="IndexLink"/>
                <w:rtl w:val="true"/>
              </w:rPr>
              <w:t xml:space="preserve">: </w:t>
            </w:r>
            <w:r>
              <w:rPr>
                <w:rStyle w:val="IndexLink"/>
                <w:rtl w:val="true"/>
              </w:rPr>
              <w:t>عبارة الشيخ في الخلاف عند الاستدلال على ما ادعاه</w:t>
            </w:r>
            <w:r>
              <w:rPr>
                <w:rStyle w:val="IndexLink"/>
                <w:rtl w:val="true"/>
              </w:rPr>
              <w:tab/>
            </w:r>
            <w:r>
              <w:rPr>
                <w:rStyle w:val="IndexLink"/>
              </w:rPr>
              <w:t>26</w:t>
            </w:r>
          </w:hyperlink>
        </w:p>
        <w:p>
          <w:pPr>
            <w:pStyle w:val="Contents4"/>
            <w:tabs>
              <w:tab w:val="clear" w:pos="8176"/>
              <w:tab w:val="right" w:pos="9026" w:leader="dot"/>
            </w:tabs>
            <w:rPr/>
          </w:pPr>
          <w:hyperlink w:anchor="__RefHeading___Toc1948268_2314609296">
            <w:r>
              <w:rPr>
                <w:webHidden/>
                <w:rStyle w:val="IndexLink"/>
                <w:rtl w:val="true"/>
              </w:rPr>
              <w:t>و ثالثها</w:t>
            </w:r>
            <w:r>
              <w:rPr>
                <w:rStyle w:val="IndexLink"/>
                <w:rtl w:val="true"/>
              </w:rPr>
              <w:t xml:space="preserve">: </w:t>
            </w:r>
            <w:r>
              <w:rPr>
                <w:rStyle w:val="IndexLink"/>
                <w:rtl w:val="true"/>
              </w:rPr>
              <w:t>أنّها حسن الظاهر</w:t>
            </w:r>
            <w:r>
              <w:rPr>
                <w:rStyle w:val="IndexLink"/>
                <w:rtl w:val="true"/>
              </w:rPr>
              <w:tab/>
            </w:r>
            <w:r>
              <w:rPr>
                <w:rStyle w:val="IndexLink"/>
              </w:rPr>
              <w:t>29</w:t>
            </w:r>
          </w:hyperlink>
        </w:p>
        <w:p>
          <w:pPr>
            <w:pStyle w:val="Contents2"/>
            <w:tabs>
              <w:tab w:val="clear" w:pos="8743"/>
              <w:tab w:val="right" w:pos="9026" w:leader="dot"/>
            </w:tabs>
            <w:rPr/>
          </w:pPr>
          <w:hyperlink w:anchor="__RefHeading___Toc1948270_2314609296">
            <w:r>
              <w:rPr>
                <w:webHidden/>
                <w:rStyle w:val="IndexLink"/>
                <w:rtl w:val="true"/>
              </w:rPr>
              <w:t>المقام الثاني فيما يعتبر و ما لا يعتبر شرعا في معنى العدالة</w:t>
            </w:r>
            <w:r>
              <w:rPr>
                <w:rStyle w:val="IndexLink"/>
                <w:rtl w:val="true"/>
              </w:rPr>
              <w:tab/>
            </w:r>
            <w:r>
              <w:rPr>
                <w:rStyle w:val="IndexLink"/>
              </w:rPr>
              <w:t>34</w:t>
            </w:r>
          </w:hyperlink>
        </w:p>
        <w:p>
          <w:pPr>
            <w:pStyle w:val="Contents3"/>
            <w:tabs>
              <w:tab w:val="clear" w:pos="8459"/>
              <w:tab w:val="right" w:pos="9026" w:leader="dot"/>
            </w:tabs>
            <w:rPr/>
          </w:pPr>
          <w:hyperlink w:anchor="__RefHeading___Toc1948272_231460929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948274_2314609296">
            <w:r>
              <w:rPr>
                <w:webHidden/>
                <w:rStyle w:val="IndexLink"/>
                <w:rtl w:val="true"/>
              </w:rPr>
              <w:t>المرحلة الاولى</w:t>
            </w:r>
            <w:r>
              <w:rPr>
                <w:rStyle w:val="IndexLink"/>
                <w:rtl w:val="true"/>
              </w:rPr>
              <w:t>:</w:t>
              <w:tab/>
            </w:r>
            <w:r>
              <w:rPr>
                <w:rStyle w:val="IndexLink"/>
              </w:rPr>
              <w:t>34</w:t>
            </w:r>
          </w:hyperlink>
        </w:p>
        <w:p>
          <w:pPr>
            <w:pStyle w:val="Contents3"/>
            <w:tabs>
              <w:tab w:val="clear" w:pos="8459"/>
              <w:tab w:val="right" w:pos="9026" w:leader="dot"/>
            </w:tabs>
            <w:rPr/>
          </w:pPr>
          <w:hyperlink w:anchor="__RefHeading___Toc1948276_2314609296">
            <w:r>
              <w:rPr>
                <w:webHidden/>
                <w:rStyle w:val="IndexLink"/>
                <w:rtl w:val="true"/>
              </w:rPr>
              <w:t>المرحلة الثانية</w:t>
            </w:r>
            <w:r>
              <w:rPr>
                <w:rStyle w:val="IndexLink"/>
                <w:rtl w:val="true"/>
              </w:rPr>
              <w:t xml:space="preserve">: </w:t>
            </w:r>
            <w:r>
              <w:rPr>
                <w:rStyle w:val="IndexLink"/>
                <w:rtl w:val="true"/>
              </w:rPr>
              <w:t>في أنّه هل يعتبر فيها مع اجتناب الكبائر اجتناب الصغائر</w:t>
            </w:r>
            <w:r>
              <w:rPr>
                <w:rStyle w:val="IndexLink"/>
                <w:rtl w:val="true"/>
              </w:rPr>
              <w:tab/>
            </w:r>
            <w:r>
              <w:rPr>
                <w:rStyle w:val="IndexLink"/>
              </w:rPr>
              <w:t>38</w:t>
            </w:r>
          </w:hyperlink>
        </w:p>
        <w:p>
          <w:pPr>
            <w:pStyle w:val="Contents3"/>
            <w:tabs>
              <w:tab w:val="clear" w:pos="8459"/>
              <w:tab w:val="right" w:pos="9026" w:leader="dot"/>
            </w:tabs>
            <w:rPr/>
          </w:pPr>
          <w:hyperlink w:anchor="__RefHeading___Toc1948278_2314609296">
            <w:r>
              <w:rPr>
                <w:webHidden/>
                <w:rStyle w:val="IndexLink"/>
                <w:rtl w:val="true"/>
              </w:rPr>
              <w:t>المرحلة الثالثة</w:t>
            </w:r>
            <w:r>
              <w:rPr>
                <w:rStyle w:val="IndexLink"/>
                <w:rtl w:val="true"/>
              </w:rPr>
              <w:t>:</w:t>
              <w:tab/>
            </w:r>
            <w:r>
              <w:rPr>
                <w:rStyle w:val="IndexLink"/>
              </w:rPr>
              <w:t>46</w:t>
            </w:r>
          </w:hyperlink>
        </w:p>
        <w:p>
          <w:pPr>
            <w:pStyle w:val="Contents4"/>
            <w:tabs>
              <w:tab w:val="clear" w:pos="8176"/>
              <w:tab w:val="right" w:pos="9026" w:leader="dot"/>
            </w:tabs>
            <w:rPr/>
          </w:pPr>
          <w:hyperlink w:anchor="__RefHeading___Toc1948280_2314609296">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948282_2314609296">
            <w:r>
              <w:rPr>
                <w:webHidden/>
                <w:rStyle w:val="IndexLink"/>
                <w:rtl w:val="true"/>
              </w:rPr>
              <w:t>في بيان معنى الإصرار</w:t>
            </w:r>
            <w:r>
              <w:rPr>
                <w:rStyle w:val="IndexLink"/>
                <w:rtl w:val="true"/>
              </w:rPr>
              <w:t>:</w:t>
              <w:tab/>
            </w:r>
            <w:r>
              <w:rPr>
                <w:rStyle w:val="IndexLink"/>
              </w:rPr>
              <w:t>50</w:t>
            </w:r>
          </w:hyperlink>
        </w:p>
        <w:p>
          <w:pPr>
            <w:pStyle w:val="Contents3"/>
            <w:tabs>
              <w:tab w:val="clear" w:pos="8459"/>
              <w:tab w:val="right" w:pos="9026" w:leader="dot"/>
            </w:tabs>
            <w:rPr/>
          </w:pPr>
          <w:hyperlink w:anchor="__RefHeading___Toc1948284_2314609296">
            <w:r>
              <w:rPr>
                <w:webHidden/>
                <w:rStyle w:val="IndexLink"/>
                <w:rtl w:val="true"/>
              </w:rPr>
              <w:t>المرحلة الرابعة</w:t>
            </w:r>
            <w:r>
              <w:rPr>
                <w:rStyle w:val="IndexLink"/>
                <w:rtl w:val="true"/>
              </w:rPr>
              <w:t xml:space="preserve">: </w:t>
            </w:r>
            <w:r>
              <w:rPr>
                <w:rStyle w:val="IndexLink"/>
                <w:rtl w:val="true"/>
              </w:rPr>
              <w:t>في المروءة</w:t>
            </w:r>
            <w:r>
              <w:rPr>
                <w:rStyle w:val="IndexLink"/>
                <w:rtl w:val="true"/>
              </w:rPr>
              <w:tab/>
            </w:r>
            <w:r>
              <w:rPr>
                <w:rStyle w:val="IndexLink"/>
              </w:rPr>
              <w:t>60</w:t>
            </w:r>
          </w:hyperlink>
        </w:p>
        <w:p>
          <w:pPr>
            <w:pStyle w:val="Contents3"/>
            <w:tabs>
              <w:tab w:val="clear" w:pos="8459"/>
              <w:tab w:val="right" w:pos="9026" w:leader="dot"/>
            </w:tabs>
            <w:rPr/>
          </w:pPr>
          <w:hyperlink w:anchor="__RefHeading___Toc1948286_2314609296">
            <w:r>
              <w:rPr>
                <w:webHidden/>
                <w:rStyle w:val="IndexLink"/>
                <w:rtl w:val="true"/>
              </w:rPr>
              <w:t>المرحلة الخامسة</w:t>
            </w:r>
            <w:r>
              <w:rPr>
                <w:rStyle w:val="IndexLink"/>
                <w:rtl w:val="true"/>
              </w:rPr>
              <w:t xml:space="preserve">: </w:t>
            </w:r>
            <w:r>
              <w:rPr>
                <w:rStyle w:val="IndexLink"/>
                <w:rtl w:val="true"/>
              </w:rPr>
              <w:t>ينبغي القطع بأنّ العدالة لا يعتبر فيها الإتيان بالمندوبات</w:t>
            </w:r>
            <w:r>
              <w:rPr>
                <w:rStyle w:val="IndexLink"/>
                <w:rtl w:val="true"/>
              </w:rPr>
              <w:tab/>
            </w:r>
            <w:r>
              <w:rPr>
                <w:rStyle w:val="IndexLink"/>
              </w:rPr>
              <w:t>70</w:t>
            </w:r>
          </w:hyperlink>
        </w:p>
        <w:p>
          <w:pPr>
            <w:pStyle w:val="Contents3"/>
            <w:tabs>
              <w:tab w:val="clear" w:pos="8459"/>
              <w:tab w:val="right" w:pos="9026" w:leader="dot"/>
            </w:tabs>
            <w:rPr/>
          </w:pPr>
          <w:hyperlink w:anchor="__RefHeading___Toc1948288_2314609296">
            <w:r>
              <w:rPr>
                <w:webHidden/>
                <w:rStyle w:val="IndexLink"/>
                <w:rtl w:val="true"/>
              </w:rPr>
              <w:t>المرحلة السادسة</w:t>
            </w:r>
            <w:r>
              <w:rPr>
                <w:rStyle w:val="IndexLink"/>
                <w:rtl w:val="true"/>
              </w:rPr>
              <w:t xml:space="preserve">: </w:t>
            </w:r>
            <w:r>
              <w:rPr>
                <w:rStyle w:val="IndexLink"/>
                <w:rtl w:val="true"/>
              </w:rPr>
              <w:t>في اعتبار الملكة في مفهوم العدالة و عدمه</w:t>
            </w:r>
            <w:r>
              <w:rPr>
                <w:rStyle w:val="IndexLink"/>
                <w:rtl w:val="true"/>
              </w:rPr>
              <w:tab/>
            </w:r>
            <w:r>
              <w:rPr>
                <w:rStyle w:val="IndexLink"/>
              </w:rPr>
              <w:t>71</w:t>
            </w:r>
          </w:hyperlink>
        </w:p>
        <w:p>
          <w:pPr>
            <w:pStyle w:val="Contents2"/>
            <w:tabs>
              <w:tab w:val="clear" w:pos="8743"/>
              <w:tab w:val="right" w:pos="9026" w:leader="dot"/>
            </w:tabs>
            <w:rPr/>
          </w:pPr>
          <w:hyperlink w:anchor="__RefHeading___Toc1948290_2314609296">
            <w:r>
              <w:rPr>
                <w:webHidden/>
                <w:rStyle w:val="IndexLink"/>
                <w:rtl w:val="true"/>
              </w:rPr>
              <w:t>المقام الثالث في طرق العدالة من الأصل و غيره</w:t>
            </w:r>
            <w:r>
              <w:rPr>
                <w:rStyle w:val="IndexLink"/>
                <w:rtl w:val="true"/>
              </w:rPr>
              <w:tab/>
            </w:r>
            <w:r>
              <w:rPr>
                <w:rStyle w:val="IndexLink"/>
              </w:rPr>
              <w:t>96</w:t>
            </w:r>
          </w:hyperlink>
        </w:p>
        <w:p>
          <w:pPr>
            <w:pStyle w:val="Contents3"/>
            <w:tabs>
              <w:tab w:val="clear" w:pos="8459"/>
              <w:tab w:val="right" w:pos="9026" w:leader="dot"/>
            </w:tabs>
            <w:rPr/>
          </w:pPr>
          <w:hyperlink w:anchor="__RefHeading___Toc1948292_2314609296">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948294_2314609296">
            <w:r>
              <w:rPr>
                <w:webHidden/>
                <w:rStyle w:val="IndexLink"/>
                <w:rtl w:val="true"/>
              </w:rPr>
              <w:t>و هل مطلق الظنّ بالعدالة من أيّ سبب حصل كاف في ثبوتها</w:t>
            </w:r>
            <w:r>
              <w:rPr>
                <w:rStyle w:val="IndexLink"/>
                <w:rtl w:val="true"/>
              </w:rPr>
              <w:tab/>
            </w:r>
            <w:r>
              <w:rPr>
                <w:rStyle w:val="IndexLink"/>
              </w:rPr>
              <w:t>111</w:t>
            </w:r>
          </w:hyperlink>
        </w:p>
        <w:p>
          <w:pPr>
            <w:pStyle w:val="Contents3"/>
            <w:tabs>
              <w:tab w:val="clear" w:pos="8459"/>
              <w:tab w:val="right" w:pos="9026" w:leader="dot"/>
            </w:tabs>
            <w:rPr/>
          </w:pPr>
          <w:hyperlink w:anchor="__RefHeading___Toc1948296_2314609296">
            <w:r>
              <w:rPr>
                <w:webHidden/>
                <w:rStyle w:val="IndexLink"/>
                <w:rtl w:val="true"/>
              </w:rPr>
              <w:t>الكلام مع من حصر الطرق المثبتة للعدالة في المعاشرة و الشياع و الشهادة</w:t>
            </w:r>
            <w:r>
              <w:rPr>
                <w:rStyle w:val="IndexLink"/>
                <w:rtl w:val="true"/>
              </w:rPr>
              <w:tab/>
            </w:r>
            <w:r>
              <w:rPr>
                <w:rStyle w:val="IndexLink"/>
              </w:rPr>
              <w:t>116</w:t>
            </w:r>
          </w:hyperlink>
        </w:p>
        <w:p>
          <w:pPr>
            <w:pStyle w:val="Contents4"/>
            <w:tabs>
              <w:tab w:val="clear" w:pos="8176"/>
              <w:tab w:val="right" w:pos="9026" w:leader="dot"/>
            </w:tabs>
            <w:rPr/>
          </w:pPr>
          <w:hyperlink w:anchor="__RefHeading___Toc1948298_231460929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948300_2314609296">
            <w:r>
              <w:rPr>
                <w:webHidden/>
                <w:rStyle w:val="IndexLink"/>
                <w:rtl w:val="true"/>
              </w:rPr>
              <w:t>أمّا المعاشرة</w:t>
            </w:r>
            <w:r>
              <w:rPr>
                <w:rStyle w:val="IndexLink"/>
                <w:rtl w:val="true"/>
              </w:rPr>
              <w:t>:</w:t>
              <w:tab/>
            </w:r>
            <w:r>
              <w:rPr>
                <w:rStyle w:val="IndexLink"/>
              </w:rPr>
              <w:t>118</w:t>
            </w:r>
          </w:hyperlink>
        </w:p>
        <w:p>
          <w:pPr>
            <w:pStyle w:val="Contents4"/>
            <w:tabs>
              <w:tab w:val="clear" w:pos="8176"/>
              <w:tab w:val="right" w:pos="9026" w:leader="dot"/>
            </w:tabs>
            <w:rPr/>
          </w:pPr>
          <w:hyperlink w:anchor="__RefHeading___Toc1948302_2314609296">
            <w:r>
              <w:rPr>
                <w:webHidden/>
                <w:rStyle w:val="IndexLink"/>
                <w:rtl w:val="true"/>
              </w:rPr>
              <w:t>و أمّا الشياع</w:t>
            </w:r>
            <w:r>
              <w:rPr>
                <w:rStyle w:val="IndexLink"/>
                <w:rtl w:val="true"/>
              </w:rPr>
              <w:t>:</w:t>
              <w:tab/>
            </w:r>
            <w:r>
              <w:rPr>
                <w:rStyle w:val="IndexLink"/>
              </w:rPr>
              <w:t>118</w:t>
            </w:r>
          </w:hyperlink>
        </w:p>
        <w:p>
          <w:pPr>
            <w:pStyle w:val="Contents4"/>
            <w:tabs>
              <w:tab w:val="clear" w:pos="8176"/>
              <w:tab w:val="right" w:pos="9026" w:leader="dot"/>
            </w:tabs>
            <w:rPr/>
          </w:pPr>
          <w:hyperlink w:anchor="__RefHeading___Toc1948304_2314609296">
            <w:r>
              <w:rPr>
                <w:webHidden/>
                <w:rStyle w:val="IndexLink"/>
                <w:rtl w:val="true"/>
              </w:rPr>
              <w:t>و أمّا شهادة العدلين</w:t>
            </w:r>
            <w:r>
              <w:rPr>
                <w:rStyle w:val="IndexLink"/>
                <w:rtl w:val="true"/>
              </w:rPr>
              <w:t>:</w:t>
              <w:tab/>
            </w:r>
            <w:r>
              <w:rPr>
                <w:rStyle w:val="IndexLink"/>
              </w:rPr>
              <w:t>123</w:t>
            </w:r>
          </w:hyperlink>
        </w:p>
        <w:p>
          <w:pPr>
            <w:pStyle w:val="Contents3"/>
            <w:tabs>
              <w:tab w:val="clear" w:pos="8459"/>
              <w:tab w:val="right" w:pos="9026" w:leader="dot"/>
            </w:tabs>
            <w:rPr/>
          </w:pPr>
          <w:hyperlink w:anchor="__RefHeading___Toc1948306_2314609296">
            <w:r>
              <w:rPr>
                <w:webHidden/>
                <w:rStyle w:val="IndexLink"/>
                <w:rtl w:val="true"/>
              </w:rPr>
              <w:t>بقي الكلام في أمور</w:t>
            </w:r>
            <w:r>
              <w:rPr>
                <w:rStyle w:val="IndexLink"/>
                <w:rtl w:val="true"/>
              </w:rPr>
              <w:t>:</w:t>
              <w:tab/>
            </w:r>
            <w:r>
              <w:rPr>
                <w:rStyle w:val="IndexLink"/>
              </w:rPr>
              <w:t>128</w:t>
            </w:r>
          </w:hyperlink>
        </w:p>
        <w:p>
          <w:pPr>
            <w:pStyle w:val="Contents4"/>
            <w:tabs>
              <w:tab w:val="clear" w:pos="8176"/>
              <w:tab w:val="right" w:pos="9026" w:leader="dot"/>
            </w:tabs>
            <w:rPr/>
          </w:pPr>
          <w:hyperlink w:anchor="__RefHeading___Toc1948308_2314609296">
            <w:r>
              <w:rPr>
                <w:webHidden/>
                <w:rStyle w:val="IndexLink"/>
                <w:rtl w:val="true"/>
              </w:rPr>
              <w:t>الأوّل</w:t>
            </w:r>
            <w:r>
              <w:rPr>
                <w:rStyle w:val="IndexLink"/>
                <w:rtl w:val="true"/>
              </w:rPr>
              <w:t xml:space="preserve">: </w:t>
            </w:r>
            <w:r>
              <w:rPr>
                <w:rStyle w:val="IndexLink"/>
                <w:rtl w:val="true"/>
              </w:rPr>
              <w:t>أنّها هل تثبت بالشهادة الفعلية</w:t>
            </w:r>
            <w:r>
              <w:rPr>
                <w:rStyle w:val="IndexLink"/>
                <w:rtl w:val="true"/>
              </w:rPr>
              <w:tab/>
            </w:r>
            <w:r>
              <w:rPr>
                <w:rStyle w:val="IndexLink"/>
              </w:rPr>
              <w:t>128</w:t>
            </w:r>
          </w:hyperlink>
        </w:p>
        <w:p>
          <w:pPr>
            <w:pStyle w:val="Contents4"/>
            <w:tabs>
              <w:tab w:val="clear" w:pos="8176"/>
              <w:tab w:val="right" w:pos="9026" w:leader="dot"/>
            </w:tabs>
            <w:rPr/>
          </w:pPr>
          <w:hyperlink w:anchor="__RefHeading___Toc1948310_2314609296">
            <w:r>
              <w:rPr>
                <w:webHidden/>
                <w:rStyle w:val="IndexLink"/>
                <w:rtl w:val="true"/>
              </w:rPr>
              <w:t>[</w:t>
            </w:r>
            <w:r>
              <w:rPr>
                <w:rStyle w:val="IndexLink"/>
                <w:rtl w:val="true"/>
              </w:rPr>
              <w:t>الثاني</w:t>
            </w:r>
            <w:r>
              <w:rPr>
                <w:rStyle w:val="IndexLink"/>
                <w:rtl w:val="true"/>
              </w:rPr>
              <w:t xml:space="preserve">: </w:t>
            </w:r>
            <w:r>
              <w:rPr>
                <w:rStyle w:val="IndexLink"/>
                <w:rtl w:val="true"/>
              </w:rPr>
              <w:t>هل الشهادة القوليّة معتبرة مطلقا</w:t>
            </w:r>
            <w:r>
              <w:rPr>
                <w:rStyle w:val="IndexLink"/>
                <w:rtl w:val="true"/>
              </w:rPr>
              <w:t>]</w:t>
              <w:tab/>
            </w:r>
            <w:r>
              <w:rPr>
                <w:rStyle w:val="IndexLink"/>
              </w:rPr>
              <w:t>132</w:t>
            </w:r>
          </w:hyperlink>
        </w:p>
        <w:p>
          <w:pPr>
            <w:pStyle w:val="Contents4"/>
            <w:tabs>
              <w:tab w:val="clear" w:pos="8176"/>
              <w:tab w:val="right" w:pos="9026" w:leader="dot"/>
            </w:tabs>
            <w:rPr/>
          </w:pPr>
          <w:hyperlink w:anchor="__RefHeading___Toc1948312_2314609296">
            <w:r>
              <w:rPr>
                <w:webHidden/>
                <w:rStyle w:val="IndexLink"/>
                <w:rtl w:val="true"/>
              </w:rPr>
              <w:t xml:space="preserve">الثالث </w:t>
            </w:r>
            <w:r>
              <w:rPr>
                <w:rStyle w:val="IndexLink"/>
                <w:rtl w:val="true"/>
              </w:rPr>
              <w:t>[</w:t>
            </w:r>
            <w:r>
              <w:rPr>
                <w:rStyle w:val="IndexLink"/>
                <w:rtl w:val="true"/>
              </w:rPr>
              <w:t>جواز الشهادة بالعدالة</w:t>
            </w:r>
            <w:r>
              <w:rPr>
                <w:rStyle w:val="IndexLink"/>
                <w:rtl w:val="true"/>
              </w:rPr>
              <w:t>]</w:t>
              <w:tab/>
            </w:r>
            <w:r>
              <w:rPr>
                <w:rStyle w:val="IndexLink"/>
              </w:rPr>
              <w:t>133</w:t>
            </w:r>
          </w:hyperlink>
        </w:p>
        <w:p>
          <w:pPr>
            <w:pStyle w:val="Contents3"/>
            <w:tabs>
              <w:tab w:val="clear" w:pos="8459"/>
              <w:tab w:val="right" w:pos="9026" w:leader="dot"/>
            </w:tabs>
            <w:rPr/>
          </w:pPr>
          <w:hyperlink w:anchor="__RefHeading___Toc1948314_2314609296">
            <w:r>
              <w:rPr>
                <w:webHidden/>
                <w:rStyle w:val="IndexLink"/>
                <w:rtl w:val="true"/>
              </w:rPr>
              <w:t xml:space="preserve">خاتمة </w:t>
            </w:r>
            <w:r>
              <w:rPr>
                <w:rStyle w:val="IndexLink"/>
                <w:rtl w:val="true"/>
              </w:rPr>
              <w:t>[</w:t>
            </w:r>
            <w:r>
              <w:rPr>
                <w:rStyle w:val="IndexLink"/>
                <w:rtl w:val="true"/>
              </w:rPr>
              <w:t>في انحصار طريق ثبوت الفسق في المشاهدة و البيّنة</w:t>
            </w:r>
            <w:r>
              <w:rPr>
                <w:rStyle w:val="IndexLink"/>
                <w:rtl w:val="true"/>
              </w:rPr>
              <w:t>.]</w:t>
              <w:tab/>
            </w:r>
            <w:r>
              <w:rPr>
                <w:rStyle w:val="IndexLink"/>
              </w:rPr>
              <w:t>138</w:t>
            </w:r>
          </w:hyperlink>
        </w:p>
        <w:p>
          <w:pPr>
            <w:pStyle w:val="Contents3"/>
            <w:tabs>
              <w:tab w:val="clear" w:pos="8459"/>
              <w:tab w:val="right" w:pos="9026" w:leader="dot"/>
            </w:tabs>
            <w:rPr/>
          </w:pPr>
          <w:hyperlink w:anchor="__RefHeading___Toc1948316_2314609296">
            <w:r>
              <w:rPr>
                <w:webHidden/>
                <w:rStyle w:val="IndexLink"/>
                <w:rtl w:val="true"/>
              </w:rPr>
              <w:t>و بقي الكلام في التوبة الرافعة للفسق بعد حصوله، و في الفرق بين الكبيرة و الصغيرة</w:t>
            </w:r>
            <w:r>
              <w:rPr>
                <w:rStyle w:val="IndexLink"/>
                <w:rtl w:val="true"/>
              </w:rPr>
              <w:tab/>
            </w:r>
            <w:r>
              <w:rPr>
                <w:rStyle w:val="IndexLink"/>
              </w:rPr>
              <w:t>138</w:t>
            </w:r>
          </w:hyperlink>
        </w:p>
        <w:p>
          <w:pPr>
            <w:pStyle w:val="Contents4"/>
            <w:tabs>
              <w:tab w:val="clear" w:pos="8176"/>
              <w:tab w:val="right" w:pos="9026" w:leader="dot"/>
            </w:tabs>
            <w:rPr/>
          </w:pPr>
          <w:hyperlink w:anchor="__RefHeading___Toc1948318_2314609296">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948320_2314609296">
            <w:r>
              <w:rPr>
                <w:webHidden/>
                <w:rStyle w:val="IndexLink"/>
                <w:rtl w:val="true"/>
              </w:rPr>
              <w:t>الفصل الأوّل في التوبة</w:t>
            </w:r>
            <w:r>
              <w:rPr>
                <w:rStyle w:val="IndexLink"/>
                <w:rtl w:val="true"/>
              </w:rPr>
              <w:tab/>
            </w:r>
            <w:r>
              <w:rPr>
                <w:rStyle w:val="IndexLink"/>
              </w:rPr>
              <w:t>139</w:t>
            </w:r>
          </w:hyperlink>
        </w:p>
        <w:p>
          <w:pPr>
            <w:pStyle w:val="Contents5"/>
            <w:tabs>
              <w:tab w:val="clear" w:pos="7892"/>
              <w:tab w:val="right" w:pos="9026" w:leader="dot"/>
            </w:tabs>
            <w:rPr/>
          </w:pPr>
          <w:hyperlink w:anchor="__RefHeading___Toc1948322_231460929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948324_2314609296">
            <w:r>
              <w:rPr>
                <w:webHidden/>
                <w:rStyle w:val="IndexLink"/>
                <w:rtl w:val="true"/>
              </w:rPr>
              <w:t>أمّا المرحلة الاولى</w:t>
            </w:r>
            <w:r>
              <w:rPr>
                <w:rStyle w:val="IndexLink"/>
                <w:rtl w:val="true"/>
              </w:rPr>
              <w:t xml:space="preserve">: </w:t>
            </w:r>
            <w:r>
              <w:rPr>
                <w:rStyle w:val="IndexLink"/>
                <w:rtl w:val="true"/>
              </w:rPr>
              <w:t>فحقيقة التوبة</w:t>
            </w:r>
            <w:r>
              <w:rPr>
                <w:rStyle w:val="IndexLink"/>
                <w:rtl w:val="true"/>
              </w:rPr>
              <w:tab/>
            </w:r>
            <w:r>
              <w:rPr>
                <w:rStyle w:val="IndexLink"/>
              </w:rPr>
              <w:t>139</w:t>
            </w:r>
          </w:hyperlink>
        </w:p>
        <w:p>
          <w:pPr>
            <w:pStyle w:val="Contents5"/>
            <w:tabs>
              <w:tab w:val="clear" w:pos="7892"/>
              <w:tab w:val="right" w:pos="9026" w:leader="dot"/>
            </w:tabs>
            <w:rPr/>
          </w:pPr>
          <w:hyperlink w:anchor="__RefHeading___Toc1948326_2314609296">
            <w:r>
              <w:rPr>
                <w:webHidden/>
                <w:rStyle w:val="IndexLink"/>
                <w:rtl w:val="true"/>
              </w:rPr>
              <w:t>و أمّا المرحلة الثانية</w:t>
            </w:r>
            <w:r>
              <w:rPr>
                <w:rStyle w:val="IndexLink"/>
                <w:rtl w:val="true"/>
              </w:rPr>
              <w:t xml:space="preserve">: </w:t>
            </w:r>
            <w:r>
              <w:rPr>
                <w:rStyle w:val="IndexLink"/>
                <w:rtl w:val="true"/>
              </w:rPr>
              <w:t>فحكم التوبة</w:t>
            </w:r>
            <w:r>
              <w:rPr>
                <w:rStyle w:val="IndexLink"/>
                <w:rtl w:val="true"/>
              </w:rPr>
              <w:tab/>
            </w:r>
            <w:r>
              <w:rPr>
                <w:rStyle w:val="IndexLink"/>
              </w:rPr>
              <w:t>147</w:t>
            </w:r>
          </w:hyperlink>
        </w:p>
        <w:p>
          <w:pPr>
            <w:pStyle w:val="Contents5"/>
            <w:tabs>
              <w:tab w:val="clear" w:pos="7892"/>
              <w:tab w:val="right" w:pos="9026" w:leader="dot"/>
            </w:tabs>
            <w:rPr/>
          </w:pPr>
          <w:hyperlink w:anchor="__RefHeading___Toc1948328_2314609296">
            <w:r>
              <w:rPr>
                <w:webHidden/>
                <w:rStyle w:val="IndexLink"/>
                <w:rtl w:val="true"/>
              </w:rPr>
              <w:t xml:space="preserve">المرحلة الثالثة </w:t>
            </w:r>
            <w:r>
              <w:rPr>
                <w:rStyle w:val="IndexLink"/>
                <w:rtl w:val="true"/>
              </w:rPr>
              <w:t>[</w:t>
            </w:r>
            <w:r>
              <w:rPr>
                <w:rStyle w:val="IndexLink"/>
                <w:rtl w:val="true"/>
              </w:rPr>
              <w:t>عمومية أدلة وجوب فورية التوبة بالنسبة إلى الصغائر و الكبائر</w:t>
            </w:r>
            <w:r>
              <w:rPr>
                <w:rStyle w:val="IndexLink"/>
                <w:rtl w:val="true"/>
              </w:rPr>
              <w:t>]</w:t>
              <w:tab/>
            </w:r>
            <w:r>
              <w:rPr>
                <w:rStyle w:val="IndexLink"/>
              </w:rPr>
              <w:t>155</w:t>
            </w:r>
          </w:hyperlink>
        </w:p>
        <w:p>
          <w:pPr>
            <w:pStyle w:val="Contents5"/>
            <w:tabs>
              <w:tab w:val="clear" w:pos="7892"/>
              <w:tab w:val="right" w:pos="9026" w:leader="dot"/>
            </w:tabs>
            <w:rPr/>
          </w:pPr>
          <w:hyperlink w:anchor="__RefHeading___Toc1948330_2314609296">
            <w:r>
              <w:rPr>
                <w:webHidden/>
                <w:rStyle w:val="IndexLink"/>
                <w:rtl w:val="true"/>
              </w:rPr>
              <w:t xml:space="preserve">المرحلة الرابعة </w:t>
            </w:r>
            <w:r>
              <w:rPr>
                <w:rStyle w:val="IndexLink"/>
                <w:rtl w:val="true"/>
              </w:rPr>
              <w:t>[</w:t>
            </w:r>
            <w:r>
              <w:rPr>
                <w:rStyle w:val="IndexLink"/>
                <w:rtl w:val="true"/>
              </w:rPr>
              <w:t>هل تعود العدالة بمجرد التوبة</w:t>
            </w:r>
            <w:r>
              <w:rPr>
                <w:rStyle w:val="IndexLink"/>
                <w:rtl w:val="true"/>
              </w:rPr>
              <w:t>]</w:t>
              <w:tab/>
            </w:r>
            <w:r>
              <w:rPr>
                <w:rStyle w:val="IndexLink"/>
              </w:rPr>
              <w:t>158</w:t>
            </w:r>
          </w:hyperlink>
        </w:p>
        <w:p>
          <w:pPr>
            <w:pStyle w:val="Contents4"/>
            <w:tabs>
              <w:tab w:val="clear" w:pos="8176"/>
              <w:tab w:val="right" w:pos="9026" w:leader="dot"/>
            </w:tabs>
            <w:rPr/>
          </w:pPr>
          <w:hyperlink w:anchor="__RefHeading___Toc1948332_2314609296">
            <w:r>
              <w:rPr>
                <w:webHidden/>
                <w:rStyle w:val="IndexLink"/>
                <w:rtl w:val="true"/>
              </w:rPr>
              <w:t>الفصل الثاني في بيان الفرق بين الكبيرة و الصغيرة</w:t>
            </w:r>
            <w:r>
              <w:rPr>
                <w:rStyle w:val="IndexLink"/>
                <w:rtl w:val="true"/>
              </w:rPr>
              <w:tab/>
            </w:r>
            <w:r>
              <w:rPr>
                <w:rStyle w:val="IndexLink"/>
              </w:rPr>
              <w:t>161</w:t>
            </w:r>
          </w:hyperlink>
        </w:p>
        <w:p>
          <w:pPr>
            <w:pStyle w:val="Contents5"/>
            <w:tabs>
              <w:tab w:val="clear" w:pos="7892"/>
              <w:tab w:val="right" w:pos="9026" w:leader="dot"/>
            </w:tabs>
            <w:rPr/>
          </w:pPr>
          <w:hyperlink w:anchor="__RefHeading___Toc1948334_2314609296">
            <w:r>
              <w:rPr>
                <w:webHidden/>
                <w:rStyle w:val="IndexLink"/>
                <w:rtl w:val="true"/>
              </w:rPr>
              <w:t>[</w:t>
            </w:r>
            <w:r>
              <w:rPr>
                <w:rStyle w:val="IndexLink"/>
                <w:rtl w:val="true"/>
              </w:rPr>
              <w:t>أقسام الذنوب إلى الكبيرة و الصغيرة</w:t>
            </w:r>
            <w:r>
              <w:rPr>
                <w:rStyle w:val="IndexLink"/>
                <w:rtl w:val="true"/>
              </w:rPr>
              <w:t>]</w:t>
              <w:tab/>
            </w:r>
            <w:r>
              <w:rPr>
                <w:rStyle w:val="IndexLink"/>
              </w:rPr>
              <w:t>161</w:t>
            </w:r>
          </w:hyperlink>
        </w:p>
        <w:p>
          <w:pPr>
            <w:pStyle w:val="Contents5"/>
            <w:tabs>
              <w:tab w:val="clear" w:pos="7892"/>
              <w:tab w:val="right" w:pos="9026" w:leader="dot"/>
            </w:tabs>
            <w:rPr/>
          </w:pPr>
          <w:hyperlink w:anchor="__RefHeading___Toc1948336_2314609296">
            <w:r>
              <w:rPr>
                <w:webHidden/>
                <w:rStyle w:val="IndexLink"/>
                <w:rtl w:val="true"/>
              </w:rPr>
              <w:t>[</w:t>
            </w:r>
            <w:r>
              <w:rPr>
                <w:rStyle w:val="IndexLink"/>
                <w:rtl w:val="true"/>
              </w:rPr>
              <w:t>ضابط الفرق بين الكبيرة و الصغيرة</w:t>
            </w:r>
            <w:r>
              <w:rPr>
                <w:rStyle w:val="IndexLink"/>
                <w:rtl w:val="true"/>
              </w:rPr>
              <w:t>]</w:t>
              <w:tab/>
            </w:r>
            <w:r>
              <w:rPr>
                <w:rStyle w:val="IndexLink"/>
              </w:rPr>
              <w:t>166</w:t>
            </w:r>
          </w:hyperlink>
        </w:p>
        <w:p>
          <w:pPr>
            <w:pStyle w:val="Contents5"/>
            <w:tabs>
              <w:tab w:val="clear" w:pos="7892"/>
              <w:tab w:val="right" w:pos="9026" w:leader="dot"/>
            </w:tabs>
            <w:rPr/>
          </w:pPr>
          <w:hyperlink w:anchor="__RefHeading___Toc1948338_2314609296">
            <w:r>
              <w:rPr>
                <w:webHidden/>
                <w:rStyle w:val="IndexLink"/>
                <w:rtl w:val="true"/>
              </w:rPr>
              <w:t>تعداد الكبائر</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9_263608"/>
      <w:bookmarkStart w:id="1" w:name="pg19659_263608"/>
      <w:bookmarkEnd w:id="1"/>
    </w:p>
    <w:p>
      <w:pPr>
        <w:pStyle w:val="Heading2"/>
        <w:numPr>
          <w:ilvl w:val="1"/>
          <w:numId w:val="1"/>
        </w:numPr>
        <w:rPr/>
      </w:pPr>
      <w:bookmarkStart w:id="2" w:name="pg19659_263608"/>
      <w:bookmarkStart w:id="3" w:name="__RefHeading___Toc194822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علی‌بن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العداله، بضمیمه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المسلم علی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الموسوی القزوینی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النشر الاسلامی، التابعه لجماعه المدرسین بقم المشرفه</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العداله، بضمیمه قاعده ما یضمن بصحیحه یضمن بفاسده، و قاعده وجوب حمل فعل المسلم علی 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العداله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قاعده ما یضمن بصحیحه یضمن بفاسده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اصاله و جواب حمل فعل المسلم علی الصحه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العداله، بضمیمه قاعده ما یضمن بصحیحه یضمن بفاسده، و قاعده وجوب حمل فعل المسلم علی 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ما یضمن بصحیحه یضمن بفاسده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حمل فعل المسلم علی الصحه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قاعده ما یضمن بصحیحه یضمن بفاسده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اصاله وجوب حمل فعل المسلم علی الصحه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ما یضمن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8222_2314609296"/>
      <w:bookmarkStart w:id="6" w:name="_Toc2"/>
      <w:bookmarkEnd w:id="5"/>
      <w:r>
        <w:rPr>
          <w:rtl w:val="true"/>
        </w:rPr>
        <w:t>اشارة</w:t>
      </w:r>
      <w:bookmarkStart w:id="7" w:name="pg19659_263610"/>
      <w:bookmarkEnd w:id="6"/>
    </w:p>
    <w:p>
      <w:pPr>
        <w:pStyle w:val="Heading2"/>
        <w:numPr>
          <w:ilvl w:val="1"/>
          <w:numId w:val="1"/>
        </w:numPr>
        <w:rPr/>
      </w:pPr>
      <w:bookmarkStart w:id="8" w:name="__RefHeading___Toc1948224_2314609296"/>
      <w:bookmarkStart w:id="9" w:name="_Toc3"/>
      <w:bookmarkEnd w:id="7"/>
      <w:bookmarkEnd w:id="8"/>
      <w:r>
        <w:rPr>
          <w:rtl w:val="true"/>
        </w:rPr>
        <w:t>[</w:t>
      </w:r>
      <w:r>
        <w:rPr>
          <w:rtl w:val="true"/>
        </w:rPr>
        <w:t>مقدمة التحقيق</w:t>
      </w:r>
      <w:r>
        <w:rPr>
          <w:rtl w:val="true"/>
        </w:rPr>
        <w:t>]</w:t>
      </w:r>
      <w:bookmarkEnd w:id="9"/>
    </w:p>
    <w:p>
      <w:pPr>
        <w:pStyle w:val="Heading3"/>
        <w:numPr>
          <w:ilvl w:val="2"/>
          <w:numId w:val="1"/>
        </w:numPr>
        <w:rPr/>
      </w:pPr>
      <w:bookmarkStart w:id="10" w:name="__RefHeading___Toc1948226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صلّى اللّه عليه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948228_2314609296"/>
      <w:bookmarkStart w:id="13" w:name="_Toc5"/>
      <w:bookmarkEnd w:id="12"/>
      <w:r>
        <w:rPr>
          <w:rtl w:val="true"/>
        </w:rPr>
        <w:t>نبذة من حياة المؤلف قدّس سرّه</w:t>
      </w:r>
      <w:r>
        <w:rPr>
          <w:rtl w:val="true"/>
        </w:rPr>
        <w:t>:</w:t>
      </w:r>
      <w:bookmarkEnd w:id="13"/>
    </w:p>
    <w:p>
      <w:pPr>
        <w:pStyle w:val="Heading4"/>
        <w:numPr>
          <w:ilvl w:val="3"/>
          <w:numId w:val="1"/>
        </w:numPr>
        <w:rPr/>
      </w:pPr>
      <w:bookmarkStart w:id="14" w:name="__RefHeading___Toc1948230_2314609296"/>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 هو العالم الجليل و الأستاذ النبيل، قدوة المحقّقين، الأورع الأتقى، سيّد الفقهاء و المجتهدين، جامع العلوم العقليّة و النقليّة، حاوي الفضائل العلمية و العمليّة، السيد على الموسوي القزويني ابن السيد إسماعيل الموسوي الخوئيني</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948232_2314609296"/>
      <w:bookmarkStart w:id="17" w:name="_Toc7"/>
      <w:bookmarkEnd w:id="16"/>
      <w:r>
        <w:rPr>
          <w:rtl w:val="true"/>
        </w:rPr>
        <w:t>مولده و موطنه و هجرته</w:t>
      </w:r>
      <w:r>
        <w:rPr>
          <w:rtl w:val="true"/>
        </w:rPr>
        <w:t>:</w:t>
      </w:r>
      <w:bookmarkEnd w:id="17"/>
    </w:p>
    <w:p>
      <w:pPr>
        <w:pStyle w:val="BookText"/>
        <w:rPr/>
      </w:pPr>
      <w:r>
        <w:rPr>
          <w:rFonts w:ascii="Amiri" w:hAnsi="Amiri" w:eastAsia="Amiri" w:cs="Amiri"/>
          <w:color w:val="111111"/>
          <w:sz w:val="28"/>
          <w:sz w:val="28"/>
          <w:szCs w:val="28"/>
          <w:rtl w:val="true"/>
          <w:lang w:bidi="ar-SA"/>
        </w:rPr>
        <w:t xml:space="preserve">ولد قدّس سرّه 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قزوين </w:t>
      </w:r>
      <w:r>
        <w:rPr>
          <w:rStyle w:val="FootnoteAnchor"/>
          <w:rtl w:val="true"/>
        </w:rPr>
        <w:footnoteReference w:id="2"/>
      </w:r>
      <w:r>
        <w:rPr>
          <w:rFonts w:ascii="Amiri" w:hAnsi="Amiri" w:eastAsia="Amiri" w:cs="Amiri"/>
          <w:color w:val="111111"/>
          <w:sz w:val="28"/>
          <w:sz w:val="28"/>
          <w:szCs w:val="28"/>
          <w:rtl w:val="true"/>
          <w:lang w:bidi="ar-SA"/>
        </w:rPr>
        <w:t xml:space="preserve">في أسره كريمة من والد صالح و والدة صالحة تقيّة التي كانت من بيت رفيع السيد إبراهيم الموسوي القزويني صاحب ضوابط الأصول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قد صرّح نفسه قدّس سرّه بذلك أيضا في المجلد الثاني من تعليقته على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يعتبر كون الأمر مستفادا من القول أو أعمّ منه و ممّا يستفاد من الفعل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بل قولان، اختار أوّلهما العلّامة في التهذيب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إلى ثانيهما جمع من متأخري الاعلام، منهم ابن عمّنا السيّد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السيّد في ضوابطه بأن المتبادر عند الإطلاق و ان كان هو الأوّل و لكنّه إطلاقي لعدم صحّة السلب عن طلب الأخرس بالإشارة أو الكتابة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المظنون أنّ مسقط رأس والده كان في قرية خوئين من قرى زنجان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استفدناه من سنة بلوغه الّذي أرّخه في وصيته المكتوبة، حيث قال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از قيمت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زمان تكليف من كه ربيع المولود سنة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هزار و دويست و پنجاه و دو باشد، الى يوم وفات، استيجار صوم و صلاة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أبوه و هو لم يبلغ الحلم، و تربّى في حضانة خاله العالم الفقيه، الحاجّ السيّد رضي الدين القزويني في مدينة قزوين، معزّزا و مكرّما و مشتغلا بدراسة مقدمات العلوم و تكميل مباني الفقاهة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حائر الحسين عليه السّلام و ورد فيها في شهر شعبان المعظّم سنة مائتين و اثنين و ستّين بعد الألف من الهجرة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عاصمة العلم و التقى البلدة المباركة العلوية، لائذا بمنبع العلم و الفضيلة، مولى الموحدين أمير المؤمنين عليه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سجّل سيّدنا المترجم له قدّس سرّه، بدء قدومه بكربلاء المشرفة، في ظهر حاشية السيّد الشريف، على رسالة الوضعية العضدية بقوله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 بالاستحقاق، كيف أقول هذا ملكي و أنا مملوك ربّي، بل هو من عواري الدّهر عندي، استعرتها بالمبايعة الشرعية، تحت قبّة سيّدي الحسين عليه و على أولاده المعصومين ألف تحية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شهر رمضان المبارك من شهور سنة مائتين و اثنين و ستين بعد الألف من الهجرة النبوية، على هاجرها ألف تحية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الشهر المزبور الثاني من السنة الاولى من ورودي في هذا الأرض الأقدس، و انّي أقل الخليقة بل ليس موجودا في الحقيقة، عبده العاصي علي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خاتمه الشريف</w:t>
      </w:r>
      <w:r>
        <w:rPr>
          <w:rFonts w:eastAsia="Amiri" w:cs="Amiri" w:ascii="Amiri" w:hAnsi="Amiri"/>
          <w:color w:val="111111"/>
          <w:sz w:val="28"/>
          <w:szCs w:val="28"/>
          <w:rtl w:val="true"/>
          <w:lang w:bidi="ar-SA"/>
        </w:rPr>
        <w:t>»</w:t>
      </w:r>
      <w:bookmarkStart w:id="18" w:name="pg19659_263612"/>
    </w:p>
    <w:p>
      <w:pPr>
        <w:pStyle w:val="Heading4"/>
        <w:numPr>
          <w:ilvl w:val="3"/>
          <w:numId w:val="1"/>
        </w:numPr>
        <w:rPr/>
      </w:pPr>
      <w:bookmarkStart w:id="19" w:name="__RefHeading___Toc1948234_2314609296"/>
      <w:bookmarkStart w:id="20" w:name="_Toc8"/>
      <w:bookmarkEnd w:id="18"/>
      <w:bookmarkEnd w:id="19"/>
      <w:r>
        <w:rPr>
          <w:rtl w:val="true"/>
        </w:rPr>
        <w:t>مكانته العلميّة و زهده و أخلاقه و مرجعيته</w:t>
      </w:r>
      <w:r>
        <w:rPr>
          <w:rtl w:val="true"/>
        </w:rPr>
        <w:t>:</w:t>
      </w:r>
      <w:bookmarkEnd w:id="20"/>
    </w:p>
    <w:p>
      <w:pPr>
        <w:pStyle w:val="BookText"/>
        <w:rPr/>
      </w:pPr>
      <w:r>
        <w:rPr>
          <w:rFonts w:ascii="Amiri" w:hAnsi="Amiri" w:eastAsia="Amiri" w:cs="Amiri"/>
          <w:color w:val="111111"/>
          <w:sz w:val="28"/>
          <w:sz w:val="28"/>
          <w:szCs w:val="28"/>
          <w:rtl w:val="true"/>
          <w:lang w:bidi="ar-SA"/>
        </w:rPr>
        <w:t>امّا منزلته العلمية فغير خفيّ على الأعاظم و الأكابر الذين أمعنوا النظر في تحقيقاته الرشيقة و بعض مؤلفاته القيّمة المطبوعة، و هذا يجعلنا في غنى و كفاية عن بيان موقفه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نبغ سيّدنا قدّس سرّه في جملة من الفحول و الأعاظم و قلّده كثير من الخواص و غيرهم، و هو كما استكملت قوته النظريّة، استحكمت في أعماق نفسه ملكات التقوى و الورع، و قد نقل من عجائب أحواله أمور لا يناسب ذكرها مقام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رجع إلى قزوين بعد أن صار من أعاظم المجتهدين و استفاد كلّ ما يمكن استفادته من الرؤساء و الأساتذة العظام، و لكن لم يظهر لنا حتى الآن سنة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فيها مرجعا للخواص و العوام، و كان يراجع إليه من أقطار البلاد و مع ذلك ما فتر يوما عن الاشتغال بالتدريس و التأليف حتّى برز منه مؤلّفات كثيرة يأتي أساميها إنشاء اللّه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948236_2314609296"/>
      <w:bookmarkStart w:id="22" w:name="_Toc9"/>
      <w:bookmarkEnd w:id="21"/>
      <w:r>
        <w:rPr>
          <w:rtl w:val="true"/>
        </w:rPr>
        <w:t>مشايخه</w:t>
      </w:r>
      <w:r>
        <w:rPr>
          <w:rtl w:val="true"/>
        </w:rPr>
        <w:t>:</w:t>
      </w:r>
      <w:bookmarkEnd w:id="22"/>
    </w:p>
    <w:p>
      <w:pPr>
        <w:pStyle w:val="BookText"/>
        <w:rPr/>
      </w:pPr>
      <w:r>
        <w:rPr>
          <w:rFonts w:ascii="Amiri" w:hAnsi="Amiri" w:eastAsia="Amiri" w:cs="Amiri"/>
          <w:color w:val="111111"/>
          <w:sz w:val="28"/>
          <w:sz w:val="28"/>
          <w:szCs w:val="28"/>
          <w:rtl w:val="true"/>
          <w:lang w:bidi="ar-SA"/>
        </w:rPr>
        <w:t>كان سيدنا قدّس سرّه قد ترعرع في إحضان أساتذة عظام، و تلمذ عند أساطين العلم و كبار المدرسين في عصره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العلّامة العالم الفقيه الحاج سيّد رضي الدين القزويني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العلماء الاعلام و المراجع في التدريس و نشر الاحكام، و كان زاهدا مرتاضا و هو خال السيّد على القزويني، صاحب حاشية القوانين، و قد قرء عليه</w:t>
      </w:r>
      <w:bookmarkStart w:id="23" w:name="pg19659_263613"/>
    </w:p>
    <w:p>
      <w:pPr>
        <w:pStyle w:val="BookText"/>
        <w:rPr/>
      </w:pPr>
      <w:bookmarkEnd w:id="23"/>
      <w:r>
        <w:rPr>
          <w:rFonts w:ascii="Amiri" w:hAnsi="Amiri" w:eastAsia="Amiri" w:cs="Amiri"/>
          <w:color w:val="111111"/>
          <w:sz w:val="28"/>
          <w:sz w:val="28"/>
          <w:szCs w:val="28"/>
          <w:rtl w:val="true"/>
          <w:lang w:bidi="ar-SA"/>
        </w:rPr>
        <w:t>ابن أخته المذكور في الأوائل قليلا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المشايخ أستاذ الفقهاء و المجتهدين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كما أشار إليه في موارد مختلفة من كتاب الطهارة من كتابه الكبير في الفقه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عبّر عنه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في 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قوله قدّس سرّه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مسح الرأس بمقدار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المياه من ينابيعه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بعد ما نقل مقالة الشهيد قدّس سرّه في المسالك 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المندوب مقدار ثلاث أصابع 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تبعه على ذلك شيخنا في الجواهر،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المستحب مقدار عرض ثلاث أصابع لأنّه المتبادر من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المحقّقين و فخر المجتهدين، وحيد عصره و فريد دهره، الشيخ مرتضى الأنصاري قدّس سرّه و هذا يبدو من مختلف مجالات تعليقته على المعالم، إذ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في المجلّد الخامس من تعليقته على معالم الأصول عند ختام البحث عن حجيّة ظواهر الكتاب عن فرائد الشيخ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ينبغي ختم المسألة بذكر أمور،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شيخنا قدّس سرّه من أنّه ربّما يتوهّم أن الخلاف في اعتبار ظواهر الكتاب قليل الجدوى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بتلمّذه عنده في المجلّد الخامس من التعليقة، في مقام الاستدلال بالإجماع، على حرمة العمل بالظن،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عن المحقّق البهبهاني قدّس سرّه بداهة عدم جواز العمل بالظن عند العوام، فضلا عن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الضرورة ربّما يكون أقوى من نقل الإجماع، كما نبّه عليه شيخنا الأستاذ، عند تلمّذنا عنده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948238_2314609296"/>
      <w:bookmarkStart w:id="25" w:name="_Toc10"/>
      <w:bookmarkEnd w:id="24"/>
      <w:r>
        <w:rPr>
          <w:rtl w:val="true"/>
        </w:rPr>
        <w:t>تلامذته</w:t>
      </w:r>
      <w:r>
        <w:rPr>
          <w:rtl w:val="true"/>
        </w:rPr>
        <w:t>:</w:t>
      </w:r>
      <w:bookmarkEnd w:id="25"/>
    </w:p>
    <w:p>
      <w:pPr>
        <w:pStyle w:val="BookText"/>
        <w:rPr/>
      </w:pPr>
      <w:r>
        <w:rPr>
          <w:rFonts w:ascii="Amiri" w:hAnsi="Amiri" w:eastAsia="Amiri" w:cs="Amiri"/>
          <w:color w:val="111111"/>
          <w:sz w:val="28"/>
          <w:sz w:val="28"/>
          <w:szCs w:val="28"/>
          <w:rtl w:val="true"/>
          <w:lang w:bidi="ar-SA"/>
        </w:rPr>
        <w:t>قد استفاد منه رحمه اللّه، كثير من العلماء و المحققين، و جدير بالذكر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الهمام، فخر المحقّقين، الحاج الشيخ جواد بن المولى محرّم علي</w:t>
      </w:r>
      <w:bookmarkStart w:id="26" w:name="pg19659_263614"/>
    </w:p>
    <w:p>
      <w:pPr>
        <w:pStyle w:val="BookText"/>
        <w:rPr/>
      </w:pPr>
      <w:bookmarkEnd w:id="26"/>
      <w:r>
        <w:rPr>
          <w:rFonts w:ascii="Amiri" w:hAnsi="Amiri" w:eastAsia="Amiri" w:cs="Amiri"/>
          <w:color w:val="111111"/>
          <w:sz w:val="28"/>
          <w:sz w:val="28"/>
          <w:szCs w:val="28"/>
          <w:rtl w:val="true"/>
          <w:lang w:bidi="ar-SA"/>
        </w:rPr>
        <w:t xml:space="preserve">الطارمي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القوانين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الحكيم، الحاج مولى محمّد، المدعو بالهيدجي، ابن الحاج معصوم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و الفقيه الأصولي، الشيخ عبد اللّه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و الفاضل الجليل، السيد حسين الاشكوري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الشيخ شعبان الگيلاني النجفي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من الفقهاء الاعلام و مراجع التقليد في عصره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الزاهد، السيّد حسين الزرآبادي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و المصنف الجليل، السيّد أسد اللّه الاشكوري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السيّد مهدي بن حسن ابن السيّد أحمد القزويني النجفي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 ممّن لم نعثر على أساميهم و لعلّ هناك كثيرين قد أهملت أسماؤهم، و لا يضبط أحوالهم في كتب التراجم، فلم نقف عليها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948240_2314609296"/>
      <w:bookmarkStart w:id="28" w:name="_Toc11"/>
      <w:bookmarkEnd w:id="27"/>
      <w:r>
        <w:rPr>
          <w:rtl w:val="true"/>
        </w:rPr>
        <w:t>آثاره العلمية</w:t>
      </w:r>
      <w:r>
        <w:rPr>
          <w:rtl w:val="true"/>
        </w:rPr>
        <w:t>:</w:t>
      </w:r>
      <w:bookmarkEnd w:id="28"/>
    </w:p>
    <w:p>
      <w:pPr>
        <w:pStyle w:val="BookText"/>
        <w:rPr/>
      </w:pPr>
      <w:r>
        <w:rPr>
          <w:rFonts w:ascii="Amiri" w:hAnsi="Amiri" w:eastAsia="Amiri" w:cs="Amiri"/>
          <w:color w:val="111111"/>
          <w:sz w:val="28"/>
          <w:sz w:val="28"/>
          <w:szCs w:val="28"/>
          <w:rtl w:val="true"/>
          <w:lang w:bidi="ar-SA"/>
        </w:rPr>
        <w:t>قد برز منه قدّس سرّه، تأليفات كثيرة، نذكر أسامي بعضها التي ظفرنا بها، و كلّها موجودة بخطه الشريف في مكتبتنا بقزوين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طهران،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معالم الأصول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مجلّدات ستة، مشتملة على مباحث الألفاظ و الأدلّة العقلية، و قد ألّفه على أحسن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منها من مباحث الألفاظ هو الجزء الثاني من أوّل الأوامر إلى مبحث المطلق و المقيّد، لكنّه قد سقط و فقد منه أوراق من مباحث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يشتمل الجزء الثالث من التعليقة على مباحث المطلق و المقيّد، و المنطوق و المفهوم، و العام و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الجزء الرابع منها، على مباحث القطع و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الجزء الخامس منها، على مباحث البراءة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السادس منها، متضمّن لمبحث الاجتهاد و التقليد و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قد فقد الجزء الأوّل من التعليقة، و أنا مع كثرة الاهتمام بجمع التعليقة في طي سنوات، لم يساعدني التوفيق الى الآن بجمع مباحث الألفاظ بتمامه، و أسأل اللّه تعالى أن يوفقني لهذا المهمّ عن قريب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جدير بالذكر أنّ نسخة منها موجودة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الرضوية، بالمشهد المقدّس على ثاويها ألف تحية و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حقيقة المفرد المحلّى باللّام، بخطّه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أقسام الواجب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تداخل الأسباب و 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الاحكام في معرفة الحلال و الحرام </w:t>
      </w:r>
      <w:r>
        <w:rPr>
          <w:rStyle w:val="FootnoteAnchor"/>
          <w:rtl w:val="true"/>
        </w:rPr>
        <w:footnoteReference w:id="14"/>
      </w:r>
      <w:r>
        <w:rPr>
          <w:rFonts w:ascii="IRNazanin" w:hAnsi="IRNazanin" w:eastAsia="IRNazanin"/>
          <w:color w:val="111111"/>
          <w:sz w:val="28"/>
          <w:sz w:val="28"/>
          <w:szCs w:val="28"/>
          <w:rtl w:val="true"/>
          <w:lang w:bidi="fa-IR"/>
        </w:rPr>
        <w:t>المشتمل على خمس مجلّدات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المجلّد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الطهارات الثلاث و توابعها الى غسل الجنابة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أحال إليه في مبحث اجتماع الأمر و النهي من حاشيته على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الإسلام، من أوّل كتاب التجارة إلى الأجرة على الأذان و من أوّل الفصل الثاني في عقد البيع الى بيع السمك في الإجام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كتاب الصيد و الذباحة من أوّله إلى مسألة المبانة من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كتاب الصوم من أوّله إلى مسألة إيصال الغبار و الدخان الى الحلق و يلحق به البحث عن شرائط المتعاقدين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من أوّله الى آخره و يشتمل على البحث عن جملة من المشتركات بين المسلمين كالمساجد و المدارس و الربط و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نفي الضرر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أحال إليها في مبحث البراءة من حاشيته على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الولاية، و لقد أشار إليها في تعليقته على القوانين في مبحث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العدالة، و قد فرغ من تأليفها في شهر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قاعدة حمل فعل المسلم على الصحّة، قد فرغ منها في احدى و عشرين من شهر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الأصل في المعاملات الصحّة أو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في الاجتهاد و التقليد و الطهارة و الصلاة و الزكاة و الخمس و الرضاع و الصوم 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فارسية في أنواع التكسب و البيع و الخيارات 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و شرح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الحرام في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بعد ارتحال المؤلف قدّس سرّه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سؤال و جواب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أجوبة الاستفتاءات عن</w:t>
      </w:r>
      <w:bookmarkStart w:id="29" w:name="pg19659_263617"/>
    </w:p>
    <w:p>
      <w:pPr>
        <w:pStyle w:val="BookText"/>
        <w:rPr/>
      </w:pPr>
      <w:bookmarkEnd w:id="29"/>
      <w:r>
        <w:rPr>
          <w:rFonts w:ascii="Amiri" w:hAnsi="Amiri" w:eastAsia="Amiri" w:cs="Amiri"/>
          <w:color w:val="111111"/>
          <w:sz w:val="28"/>
          <w:sz w:val="28"/>
          <w:szCs w:val="28"/>
          <w:rtl w:val="true"/>
          <w:lang w:bidi="ar-SA"/>
        </w:rPr>
        <w:t>المسائل الفقهية و غيرها و فيها بيان لمعاني بعض الروايات الغامضة و المسائل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كتاب الرضاع للشيخ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الرضاع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مفتتح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چون أقلّ عباد اللّه، سابق بر اين رساله رضاعيّه منسوب به شيخ استاد طاب ثراه را ملاحظة كرده و بر بعض مواضع آن حاشيه نوشته بودم و مقلدين را اذن در رجوع به آن و عمل كردن بر مسائل آن داده بودم و مسائل آن نيز در ميان مردم كثير الحاجه و عام البلوى است، خواستم آنرا هم جزء اين رساله قرار داده باشم، حواشى آن را داخل در متن نموده مجموع را جزء اين رساله قرار دادم كه مردم در مسائل رضاع نيز كه محتاج به آنها ميشوند معطّل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تفسير البيضاوي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948242_2314609296"/>
      <w:bookmarkStart w:id="31" w:name="_Toc12"/>
      <w:bookmarkEnd w:id="30"/>
      <w:r>
        <w:rPr>
          <w:rtl w:val="true"/>
        </w:rPr>
        <w:t>أولاده</w:t>
      </w:r>
      <w:r>
        <w:rPr>
          <w:rtl w:val="true"/>
        </w:rPr>
        <w:t>:</w:t>
      </w:r>
      <w:bookmarkEnd w:id="31"/>
    </w:p>
    <w:p>
      <w:pPr>
        <w:pStyle w:val="BookText"/>
        <w:rPr/>
      </w:pPr>
      <w:r>
        <w:rPr>
          <w:rFonts w:ascii="IRNazanin" w:hAnsi="IRNazanin" w:eastAsia="IRNazanin"/>
          <w:color w:val="111111"/>
          <w:sz w:val="28"/>
          <w:sz w:val="28"/>
          <w:szCs w:val="28"/>
          <w:rtl w:val="true"/>
          <w:lang w:bidi="fa-IR"/>
        </w:rPr>
        <w:t>و قد أنجب قدّس سرّه ابنا و أربع بنات، و امّا ابنه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الفقيه الأصولي، السيّد محمّد باقر الموسوي رحمه اللّه الّذي كان من أجلّاء عصره، و مشاهير دهره،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الغري و قرأ المقدمات و السطوح على لفيف من الأفاضل، و حضر في الفقه و الأصول على الميرزا حبيب اللّه الرشتي و الشيخ محمّد حسن بن عبد اللّه المامقاني، و كانت عمدة تلمّذه و تخرّجه على الميرزا الرشتي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اجازات من أعلام عصره كالفاضل الشربياني و السيد المجدّد الميرزا محمّد حسن الشيرازي و غيرهما من الاعلام و رؤساء المذهب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منه تأليفات كثيرة، نذكر أسامي بعضها على سبيل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فرائد الأصول، للشيخ الأنصاري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الوصول في شرح معالم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الأصول في شرح قوانين الأصول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الرضيّة في شرح 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شيخه الميرزا حبيب اللّه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 و الرهن و الزكاة تقريرات شيخه الميرزا حبيب اللّه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مطالب عالية و فوائد غالية من الفقه و الأصول و الفلسفة و العرفان و تفسير لبعض الروايات المشكلة و الأحاديث الغريبة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بعض الرسائل الثمينة في الكلام و الفلسفة و العرفان في ثلاث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رسالة إزاحة الشكوك في أحكام اللباس المشكوك، لميرزا محمد حسن الآشتياني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المبسوطة على بشرى الوصول إلى أسرار علم الأصول للشيخ محمد حسن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قدّس سرّه يوم الأربعين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دفن في جوار مولانا الحسين عليه السّلام بكربلاء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السيد محمّد باقر بن السيد على القزويني، مؤلف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عالم فاضل، كان في قزوين قائما مقام والده العلّامة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الجماعة في مسجده بقزوين و التدريس هناك، زار العتبات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قال في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 حسين القزويني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السيّد حسين بن السيد على القزويني صاحب حاشية القوانين المشهورة عالم جليل و فاضل بارع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والده من اعلام العلماء و مشاهيرهم في عصره، و ولده المترجم له من الأجلّاء أيضا هاجر الى النجف الأشرف بعد تكميل المقدمات في بلاده، فحضر</w:t>
      </w:r>
      <w:bookmarkStart w:id="32" w:name="pg19659_263619"/>
    </w:p>
    <w:p>
      <w:pPr>
        <w:pStyle w:val="BookText"/>
        <w:rPr/>
      </w:pPr>
      <w:bookmarkEnd w:id="32"/>
      <w:r>
        <w:rPr>
          <w:rFonts w:ascii="Amiri" w:hAnsi="Amiri" w:eastAsia="Amiri" w:cs="Amiri"/>
          <w:color w:val="111111"/>
          <w:sz w:val="28"/>
          <w:sz w:val="28"/>
          <w:szCs w:val="28"/>
          <w:rtl w:val="true"/>
          <w:lang w:bidi="ar-SA"/>
        </w:rPr>
        <w:t>على الميرزا حبيب اللّه الرشتي و غيره من المدرسين المبرزين يومذاك، حتّى حاز قسطا وافرا من الفقه و الأصول و غيرهما، فعاد الى قزوين للقيام بالتكاليف الشرعية، فصار من الرؤساء و المراجع في سائر الأمور إلى أن توفي بها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 ما أحطناك آنفا بما في كلامه الأخير من الزلل، لأنّ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بن السيد على القزويني، سهو من قلمه الشريف، إذ لم نعرف له من الذكور غير السيد محمّد باقر، و أهل البيت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هو ما أورده في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سهو أيضا لأنّه قدّس سرّه توفي بكربلاء و دفن فيها لا بقزوين، كما 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خادمه الذي كان ملازما له في سفره الأخير إلى العتبات العاليات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قد مرّ منّا سابقا و منه أيضا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العالم الورع الميرزا حسين بن المولى آغا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كما نبّه عليه العلّامة الطهراني في الكرام البررة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العالم الفقيه السيد أبو القاسم الحسيني القزويني و هي أمّ العالم الأورع و الفقيه الزاهد، السيد محمّد الحسيني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جزمۀ‌اى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السيد زين العابدين التنكابني، و هي أمّ العالم الفقيه، السيد أبو الحسن التنكابني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العالم الجليل السيد خليل ابن السيد رفيع القزويني، و هي أمّ الحكيم المتأله و الفقيه المتضلّع، السيّد أبو الحسن الرفيعي القزويني قدّس سرّه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948244_2314609296"/>
      <w:bookmarkStart w:id="34" w:name="_Toc13"/>
      <w:bookmarkEnd w:id="33"/>
      <w:r>
        <w:rPr>
          <w:rtl w:val="true"/>
        </w:rPr>
        <w:t>وفاته</w:t>
      </w:r>
      <w:r>
        <w:rPr>
          <w:rtl w:val="true"/>
        </w:rPr>
        <w:t>:</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جرى عليه قضاء اللّه، و لبّى نداء ربّه في يوم الثلاثاء أربع مضين من شهر محرم الحرام سنة مائتين و ثمان و تسعين بعد الألف من الهجرة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ساعتين من النهار في بلدة قزوين، و حمل جثمانه الشريف إلى حائر</w:t>
      </w:r>
      <w:bookmarkStart w:id="35" w:name="pg19659_263620"/>
    </w:p>
    <w:p>
      <w:pPr>
        <w:pStyle w:val="BookText"/>
        <w:rPr/>
      </w:pPr>
      <w:bookmarkEnd w:id="35"/>
      <w:r>
        <w:rPr>
          <w:rFonts w:ascii="Amiri" w:hAnsi="Amiri" w:eastAsia="Amiri" w:cs="Amiri"/>
          <w:color w:val="111111"/>
          <w:sz w:val="28"/>
          <w:sz w:val="28"/>
          <w:szCs w:val="28"/>
          <w:rtl w:val="true"/>
          <w:lang w:bidi="ar-SA"/>
        </w:rPr>
        <w:t>الحسين عليه السّلام و دفن في بقعة فيها مرقد السيّد إبراهيم القزويني صاحب ضوابط الأصول و خالية الحاجّ السيد تقي و الحاج السيد رضي الدين القزويني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 و أرّخ وفاته أحد الشعراء فقال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پيغمبريه </w:t>
      </w:r>
      <w:r>
        <w:rPr>
          <w:rStyle w:val="FootnoteAnchor"/>
          <w:rtl w:val="true"/>
        </w:rPr>
        <w:footnoteReference w:id="15"/>
      </w:r>
      <w:r>
        <w:rPr>
          <w:rFonts w:ascii="IRNazanin" w:hAnsi="IRNazanin" w:eastAsia="IRNazanin"/>
          <w:color w:val="111111"/>
          <w:sz w:val="28"/>
          <w:sz w:val="28"/>
          <w:szCs w:val="28"/>
          <w:rtl w:val="true"/>
          <w:lang w:bidi="fa-IR"/>
        </w:rPr>
        <w:t>آسمان گفت چنين يا ليتني كنت ترابا</w:t>
      </w:r>
    </w:p>
    <w:p>
      <w:pPr>
        <w:pStyle w:val="BookText"/>
        <w:rPr/>
      </w:pPr>
      <w:r>
        <w:rPr>
          <w:rFonts w:ascii="IRNazanin" w:hAnsi="IRNazanin" w:eastAsia="IRNazanin"/>
          <w:color w:val="111111"/>
          <w:sz w:val="28"/>
          <w:sz w:val="28"/>
          <w:szCs w:val="28"/>
          <w:rtl w:val="true"/>
          <w:lang w:bidi="fa-IR"/>
        </w:rPr>
        <w:t>پى تاريخ ديدم بر مزارى بود سيد على رضوان مئابا</w:t>
      </w:r>
    </w:p>
    <w:p>
      <w:pPr>
        <w:pStyle w:val="Heading4"/>
        <w:numPr>
          <w:ilvl w:val="3"/>
          <w:numId w:val="1"/>
        </w:numPr>
        <w:rPr/>
      </w:pPr>
      <w:bookmarkStart w:id="36" w:name="__RefHeading___Toc1948246_2314609296"/>
      <w:bookmarkStart w:id="37" w:name="_Toc14"/>
      <w:bookmarkEnd w:id="36"/>
      <w:r>
        <w:rPr>
          <w:rtl w:val="true"/>
        </w:rPr>
        <w:t>الثناء عليه</w:t>
      </w:r>
      <w:r>
        <w:rPr>
          <w:rtl w:val="true"/>
        </w:rPr>
        <w:t>:</w:t>
      </w:r>
      <w:bookmarkEnd w:id="37"/>
    </w:p>
    <w:p>
      <w:pPr>
        <w:pStyle w:val="BookText"/>
        <w:rPr/>
      </w:pPr>
      <w:r>
        <w:rPr>
          <w:rFonts w:ascii="Amiri" w:hAnsi="Amiri" w:eastAsia="Amiri" w:cs="Amiri"/>
          <w:color w:val="111111"/>
          <w:sz w:val="28"/>
          <w:sz w:val="28"/>
          <w:szCs w:val="28"/>
          <w:rtl w:val="true"/>
          <w:lang w:bidi="ar-SA"/>
        </w:rPr>
        <w:t>و في هذا المجال لا بأس بالإشارة إلى كلمات بعض أصحاب الفهارس و التراجم، في شأن سيدنا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الحاشية على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السيد علي بن السيد إسماعيل الموسوي القزويني، ابن أخت السيد الرضي القزويني فرغ منها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المجلّد الأوّل بخط يده ظاهرا و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موجود في المكتبة التسترية و تمامها بخطه في قزوين كان عند ولده السيد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المآثر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علي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أعاظم مجتهدين و أجلّه حفظۀ شريعت و دين بود و در علم فقه مقام تحقيق او را از معاصرين احدى انكار نداشت ولى در اصول مسلّم‌تر مينمود، غالب اوقات قوانين محقق قمّى را عنوان افادت قرار ميداد و بآن كتاب كريم اعتقادى عظيم داشت و هم بر قوانين حاشيه نگاشته كه بطبع رسيده و نيز بر معالم الأصول تعليقۀ مبسوطى پرداخته است، بزهد و تقوى و قدس او كمتر كسى ديده شده و آن علامه عهد و زاهد عصر، همشيره زاده حاج سيد رضى الدين مجتهد قزوينى است رضوان اللّه عليهما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عنونه الميرزا محمّد علي المدرّس الخياباني في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اسماعيل موسوى عالمى است فاضل، عابد، زاهد، فقيه، اصولى، محدّث، رجالى، مفسّر معقولى منقولى از فحول علماى اواخر قرن سيزدهم هجرت كه اغلب اوقات قوانين الأصول ميرزاى قمى را تدريس ميكرده و از 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قوانين مذكور كه بسيار مرغوب و بين العلماء محلّ توجه و مطلوب و از تبحّر و رشاقت بيان مؤلف خود حاكى است و در تهران 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 در سال هزار و دويست و نود و هشت هجرت وفات 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يجب علينا أن نشكر، سماحة العلّامة الحجّة آية اللّه السيّد موسى الشبيري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أولى هذه الرسالة عنايته الخاصة و أمر بالتسرع إلى إخراجها، و لو لا عنايته الخاصة و اهتمامه الأكيد لكان هذا الأثر العلمي مطمورا في زوايا الخمول و النسيان، يعلوه التراب، كآلاف من تراثنا الذي لا نعرف عنه إلّا الأقل من القليل، نسأل اللّه تعالى طول عمره الشريف و علوّ 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في ترجمة سيدنا الجدّ قدس اللّه نفسه الزكية، و آخر دعوانا ان الحمد للّه ربّ العالمين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حفيد المؤلف السيّد جواد الموسوي العلوي</w:t>
      </w:r>
      <w:bookmarkStart w:id="38" w:name="pg19659_263624"/>
    </w:p>
    <w:p>
      <w:pPr>
        <w:pStyle w:val="BookText"/>
        <w:rPr/>
      </w:pPr>
      <w:bookmarkEnd w:id="38"/>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رسالة في العدالة و هي من الموضوعات الشرعيّة التي تعمّ بها البلوى و يحتاج إليها في موارد كثيرة، كإمام الجماعة، و المفتي، و القاضي، و الحاكم في ولايته على الغيّب و المجانين و الأيتام، و القيّم الشرعي على هؤلاء، و الشاهد، و الراوي، و من يعتبر حضوره في مجلس الطلاق، و النائب في الحجّ، و غيره من العبادات، و الوصيّ، و مستحقّ الزكاة، على القول باشتراط العدالة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التكلّم في تحقيق معناها، و الطرق المثبتة لها، و قوادحها، فتمام الكلام فيها يقع في مقامات</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948248_2314609296"/>
      <w:bookmarkStart w:id="40" w:name="_Toc15"/>
      <w:bookmarkEnd w:id="39"/>
      <w:r>
        <w:rPr>
          <w:rtl w:val="true"/>
        </w:rPr>
        <w:t>المقام الأوّل في بيان معنى العدالة لغة و شرعا</w:t>
      </w:r>
      <w:bookmarkEnd w:id="40"/>
    </w:p>
    <w:p>
      <w:pPr>
        <w:pStyle w:val="Heading3"/>
        <w:numPr>
          <w:ilvl w:val="2"/>
          <w:numId w:val="1"/>
        </w:numPr>
        <w:rPr/>
      </w:pPr>
      <w:bookmarkStart w:id="41" w:name="__RefHeading___Toc1948250_2314609296"/>
      <w:bookmarkStart w:id="42" w:name="_Toc16"/>
      <w:bookmarkEnd w:id="41"/>
      <w:r>
        <w:rPr>
          <w:rtl w:val="true"/>
        </w:rPr>
        <w:t>اشارة</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العرف الكاشف عن اللغة يطلق على وصف يعبّر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إليه ينظر ما في كلام جماعة من الفقهاء، كالمحقّق الكركي في جامع المقاصد </w:t>
      </w:r>
      <w:r>
        <w:rPr>
          <w:rStyle w:val="FootnoteAnchor"/>
          <w:rtl w:val="true"/>
        </w:rPr>
        <w:footnoteReference w:id="16"/>
      </w:r>
      <w:r>
        <w:rPr>
          <w:rFonts w:ascii="Amiri" w:hAnsi="Amiri" w:eastAsia="Amiri" w:cs="Amiri"/>
          <w:color w:val="111111"/>
          <w:sz w:val="28"/>
          <w:sz w:val="28"/>
          <w:szCs w:val="28"/>
          <w:rtl w:val="true"/>
          <w:lang w:bidi="ar-SA"/>
        </w:rPr>
        <w:t xml:space="preserve">و المحقّق الأردبيلي في مجمع الفائدة </w:t>
      </w:r>
      <w:r>
        <w:rPr>
          <w:rStyle w:val="FootnoteAnchor"/>
          <w:rtl w:val="true"/>
        </w:rPr>
        <w:footnoteReference w:id="17"/>
      </w:r>
      <w:r>
        <w:rPr>
          <w:rFonts w:ascii="Amiri" w:hAnsi="Amiri" w:eastAsia="Amiri" w:cs="Amiri"/>
          <w:color w:val="111111"/>
          <w:sz w:val="28"/>
          <w:sz w:val="28"/>
          <w:szCs w:val="28"/>
          <w:rtl w:val="true"/>
          <w:lang w:bidi="ar-SA"/>
        </w:rPr>
        <w:t>و غيرهما من تفسيرها لغة بالاستقامة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إطلاقها على هذا المعنى قولهم في وصف الطريق و قبلة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عدل، أي لا انحراف فيه إلى يمين و لا إلى يسار، و نحوه لحوقه على النخلة و الشجر و العصا و الخشبة،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عدل، أي لا اعوجاج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أيضا على وصف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إليه ينظر ما في كلام جماعة آخرين، كالشيخ و الحلّي في المبسوط </w:t>
      </w:r>
      <w:r>
        <w:rPr>
          <w:rStyle w:val="FootnoteAnchor"/>
          <w:rtl w:val="true"/>
        </w:rPr>
        <w:footnoteReference w:id="18"/>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
      </w:r>
      <w:r>
        <w:rPr>
          <w:rFonts w:ascii="Amiri" w:hAnsi="Amiri" w:eastAsia="Amiri" w:cs="Amiri"/>
          <w:color w:val="111111"/>
          <w:sz w:val="28"/>
          <w:sz w:val="28"/>
          <w:szCs w:val="28"/>
          <w:rtl w:val="true"/>
          <w:lang w:bidi="ar-SA"/>
        </w:rPr>
        <w:t>و غيرهما في غيرهما من تفسيرها بالاستواء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إطلاقها عليه قولهم عند تقدير الشي‌ء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عدل أي مساو للعيار و لا يميل إلى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 أئمّة اللغة في كتبهم و لا سيّما صاحب القاموس معاني أخر كالمثل، و النظير، و الفدية، و الجزاء، و القيمة، و الفريضة، و غيرها، و الظاهر أنّها إطلاقات مجازيّة ترد في الاستعمال لمناسبة هذين المعنيين، و حقيقته منحصرة فيهما بشهادة التبادر، و غيره من أمارات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فيهما على الاشتراك أو على التواطؤ؟</w:t>
      </w:r>
    </w:p>
    <w:p>
      <w:pPr>
        <w:pStyle w:val="BookText"/>
        <w:rPr/>
      </w:pPr>
      <w:r>
        <w:rPr>
          <w:rFonts w:ascii="Amiri" w:hAnsi="Amiri" w:eastAsia="Amiri" w:cs="Amiri"/>
          <w:color w:val="111111"/>
          <w:sz w:val="28"/>
          <w:sz w:val="28"/>
          <w:szCs w:val="28"/>
          <w:rtl w:val="true"/>
          <w:lang w:bidi="ar-SA"/>
        </w:rPr>
        <w:t>احتمل الأوّل بملاحظة كونهما مفهومين متغايرين يردان على موردين متغايرين، فالأوّل يلحق الشي‌ء باعتبار المقدار الخطّي كما في الطريق، و الثاني يلحق الشي‌ء باعتبار المقدار الوزني و شبهه، كما احتمل الثاني أيضا بملاحظة جهة جامعة بين هذين، و هي الحالة المتوسّطة في الشي‌ء باعتبار عدم انحراف و لا ميل، فلحوقه الطريق إنّما هو باعتبار توسّط حالته من حيث عدم انحراف فيه، كما أن لحوقه الشي‌ء الموزون و شبهه إنّما هو باعتبار توسط حالته من حيث عدم الميل إلى طرفي الزيادة و النقيصة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الأصل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دوران الأمر بين الاشتراك لفظا و الاشتراك معنى من جهة الغلبة و أصالة عدم تعدّد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الاحتمال الثاني، لو لا الإشكال من جهة عدم ثبوت استعمال هذا اللفظ في الجهة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هنا عدم ترتّب فائدة مهمّة على تحقيق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شاع إطلاق العدالة على الإنسان باعتبار هذا المعنى في لسان المتشرّعة و الشارع، و منه قوله عزّ من قال وَ أَشْهِدُوا ذَوَيْ عَدْلٍ مِنْكُمْ </w:t>
      </w:r>
      <w:r>
        <w:rPr>
          <w:rStyle w:val="FootnoteAnchor"/>
          <w:rtl w:val="true"/>
        </w:rPr>
        <w:footnoteReference w:id="20"/>
      </w:r>
      <w:r>
        <w:rPr>
          <w:rFonts w:ascii="Amiri" w:hAnsi="Amiri" w:eastAsia="Amiri" w:cs="Amiri"/>
          <w:color w:val="111111"/>
          <w:sz w:val="28"/>
          <w:sz w:val="28"/>
          <w:szCs w:val="28"/>
          <w:rtl w:val="true"/>
          <w:lang w:bidi="ar-SA"/>
        </w:rPr>
        <w:t>و المراد به فيه الحالة المتوسّطة و الطريقة المستقيمة في أفعاله و أحواله و أخلاقه، باعتبار عدم انحرافه عن الطاعة إلى المعصية، أو عن المحاسن إلى المساوي، و عن المحامد إلى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منها الطريقة المستوية بالقياس إلى حدود اللّه سبحانه التي هي بمنزلة العيار، و هي فرائضه و محارمه، باعتبار عدم تجاوزه إيّاها بالإخلال بالفرائض و ارتكاب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ظهر أنّ المعنى اللغوي للعدالة اللاحق للإنسان لا يغاير ما ستعرف من معناها الشرعي المعرّف بالملكة الباعثة على ملازمة التقوى و المروّة بالذّات، بل هو عينه، غاية الأمر أنّهما يتغايران بالاعتبار من حيث الاجمال و التفصيل، نظير تغاير الإنسان و الحيوان الناطق، و نسبته إلى الشرع كما في كلام غير واحد لعلّها لكون التعرّض لبيان تعريفه التفصيلي من أهل الشرع، لا لأنّ الشارع تصرّف في هذا اللفظ بنقل أو تجوّز ثمَّ شاع و اشتهر في زمانه في المعنى المجازي إلى حدّ الحقيقة، لأنّه مع مخالفته الأصل غير متصوّر مع اتحاد المعنى، غاية الأمر أنّه لاحظه كسائر الموضوعات العرفيّة اللغوية، و رتّب عليه أحكاما أشرنا إليها في مفتتح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كلّه سقط البحث عن كونه في المعنى الشرعي المختلف فيه حقيقة شرعيّة، أو حقيقة متشرّعيّة، أو حقيقة فقهائيّة، كما ضعف به القول بثبوت الحقيقة الشرعيّة فيه، كما جزم به شيخ الجواهر قدّس سرّه </w:t>
      </w:r>
      <w:r>
        <w:rPr>
          <w:rStyle w:val="FootnoteAnchor"/>
          <w:rtl w:val="true"/>
        </w:rPr>
        <w:footnoteReference w:id="21"/>
      </w:r>
      <w:r>
        <w:rPr>
          <w:rFonts w:ascii="Amiri" w:hAnsi="Amiri" w:eastAsia="Amiri" w:cs="Amiri"/>
          <w:color w:val="111111"/>
          <w:sz w:val="28"/>
          <w:sz w:val="28"/>
          <w:szCs w:val="28"/>
          <w:rtl w:val="true"/>
          <w:lang w:bidi="ar-SA"/>
        </w:rPr>
        <w:t xml:space="preserve">و نسبه في مفتاح الكرامة إلى صريح جماعة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يشكل الحال فيما ذكرناه من وجهين</w:t>
      </w:r>
      <w:r>
        <w:rPr>
          <w:rFonts w:eastAsia="Amiri" w:cs="Amiri" w:ascii="Amiri" w:hAnsi="Amiri"/>
          <w:color w:val="111111"/>
          <w:sz w:val="28"/>
          <w:szCs w:val="28"/>
          <w:rtl w:val="true"/>
          <w:lang w:bidi="ar-SA"/>
        </w:rPr>
        <w:t>:</w:t>
      </w:r>
      <w:bookmarkStart w:id="43" w:name="pg19659_263627"/>
    </w:p>
    <w:p>
      <w:pPr>
        <w:pStyle w:val="BookText"/>
        <w:rPr/>
      </w:pPr>
      <w:bookmarkEnd w:id="43"/>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المذكور على فرض تسليمه إنّما يتّجه على القول بالملكة في العدالة، و أمّا على القولين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ظهور الإسلام و عدم ظهور الفسق، أو أنّها حسن الظاهر و ظهور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لوضوح تغاير المعنى الشرعي حينئذ للمعنى اللغوي، إلّا أن يدفع ذلك بمنع كون الخلاف المذكور خلافا في معنى العدالة و إن كان هو المشهور في كلامهم، بل العدالة عند الكلّ عبارة عن الملكة المخصوصة، و الخلاف المشهور خلاف في الطريق الكاشف عنها، كما جزم به بعض مشايخنا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الاستقامة و الاستواء في معنى العدالة على ما ذكره الأصحاب في الحسّيين منهما، و ليس شي‌ء منهما في الإنسان حسيّا، فلا بدّ حينئذ من التزام النقل، و لا يكون إلّا شرعيّا، لكون المعنى المنقول إليه المغاير للمعنى اللغوي، ما من شأنه أن يؤخذ من الشارع، و قد أخذ منه أيضا، كما يرشد إليه الروايات الواردة لبيانه، و عليه فدعوى ثبوت الحقيقة الشرعيّة فيه لا تخلو عن قوّة، لكون تمام حقيقة المعنى الشرعي لا يستعلم إلّا من جهة الأخبار و لا يهتدي إليه أكثر المتشرّعة و لا سيّما العوام و النسوان إلّا من جهة تقليدهم لعلمائهم، و العلماء أيضا لم يعرفوه إلّا من جهة الأخبار، و ما هذا شأنه لا يكون حقيقة متشرّعية، و لا حقيقة فقهائيّة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948252_2314609296"/>
      <w:bookmarkStart w:id="45" w:name="_Toc17"/>
      <w:bookmarkEnd w:id="44"/>
      <w:r>
        <w:rPr>
          <w:rtl w:val="true"/>
        </w:rPr>
        <w:t>و كيف كان فاختلف الأصحاب في معناها الشرعي على أقوال</w:t>
      </w:r>
      <w:r>
        <w:rPr>
          <w:rtl w:val="true"/>
        </w:rPr>
        <w:t>:</w:t>
      </w:r>
      <w:bookmarkEnd w:id="45"/>
    </w:p>
    <w:p>
      <w:pPr>
        <w:pStyle w:val="Heading4"/>
        <w:numPr>
          <w:ilvl w:val="3"/>
          <w:numId w:val="1"/>
        </w:numPr>
        <w:rPr/>
      </w:pPr>
      <w:bookmarkStart w:id="46" w:name="__RefHeading___Toc1948254_2314609296"/>
      <w:bookmarkStart w:id="47" w:name="_Toc18"/>
      <w:bookmarkEnd w:id="46"/>
      <w:r>
        <w:rPr>
          <w:rtl w:val="true"/>
        </w:rPr>
        <w:t>أحدها</w:t>
      </w:r>
      <w:r>
        <w:rPr>
          <w:rtl w:val="true"/>
        </w:rPr>
        <w:t xml:space="preserve">: </w:t>
      </w:r>
      <w:r>
        <w:rPr>
          <w:rtl w:val="true"/>
        </w:rPr>
        <w:t>ما هو المشهور بينهم من أنّها كيفيّة نفسانيّة ملازمة للتقوى فقط</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هي مع المروّة على الخلاف الآتي في ذلك أيضا، و المراد بملازمة التقوى عدم ارتكاب الكبائر و عدم الإصرار على الصغائر، و لذا قد يعرّف بملكة نفسانيّة تبعث على ترك فعل الكبائر و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الكيفيّة و الملكة بالهيئة، و قد يعبّر بالحالة، و الكلّ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نجيب الدين العاملي أنّه نسبه إلى العلماء </w:t>
      </w:r>
      <w:r>
        <w:rPr>
          <w:rStyle w:val="FootnoteAnchor"/>
          <w:rtl w:val="true"/>
        </w:rPr>
        <w:footnoteReference w:id="24"/>
      </w:r>
      <w:r>
        <w:rPr>
          <w:rFonts w:ascii="Amiri" w:hAnsi="Amiri" w:eastAsia="Amiri" w:cs="Amiri"/>
          <w:color w:val="111111"/>
          <w:sz w:val="28"/>
          <w:sz w:val="28"/>
          <w:szCs w:val="28"/>
          <w:rtl w:val="true"/>
          <w:lang w:bidi="ar-SA"/>
        </w:rPr>
        <w:t xml:space="preserve">و عن كنز العرفان نسبته إلى الفقهاء </w:t>
      </w:r>
      <w:r>
        <w:rPr>
          <w:rStyle w:val="FootnoteAnchor"/>
          <w:rtl w:val="true"/>
        </w:rPr>
        <w:footnoteReference w:id="25"/>
      </w:r>
      <w:r>
        <w:rPr>
          <w:rFonts w:ascii="Amiri" w:hAnsi="Amiri" w:eastAsia="Amiri" w:cs="Amiri"/>
          <w:color w:val="111111"/>
          <w:sz w:val="28"/>
          <w:sz w:val="28"/>
          <w:szCs w:val="28"/>
          <w:rtl w:val="true"/>
          <w:lang w:bidi="ar-SA"/>
        </w:rPr>
        <w:t xml:space="preserve">و في كلام بعض أنّه المشهور بين المتأخّرين </w:t>
      </w:r>
      <w:r>
        <w:rPr>
          <w:rStyle w:val="FootnoteAnchor"/>
          <w:rtl w:val="true"/>
        </w:rPr>
        <w:footnoteReference w:id="26"/>
      </w:r>
      <w:r>
        <w:rPr>
          <w:rFonts w:ascii="Amiri" w:hAnsi="Amiri" w:eastAsia="Amiri" w:cs="Amiri"/>
          <w:color w:val="111111"/>
          <w:sz w:val="28"/>
          <w:sz w:val="28"/>
          <w:szCs w:val="28"/>
          <w:rtl w:val="true"/>
          <w:lang w:bidi="ar-SA"/>
        </w:rPr>
        <w:t>و عن 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بين الأصحاب </w:t>
      </w:r>
      <w:r>
        <w:rPr>
          <w:rStyle w:val="FootnoteAnchor"/>
          <w:rtl w:val="true"/>
        </w:rPr>
        <w:footnoteReference w:id="27"/>
      </w:r>
      <w:r>
        <w:rPr>
          <w:rFonts w:ascii="Amiri" w:hAnsi="Amiri" w:eastAsia="Amiri" w:cs="Amiri"/>
          <w:color w:val="111111"/>
          <w:sz w:val="28"/>
          <w:sz w:val="28"/>
          <w:szCs w:val="28"/>
          <w:rtl w:val="true"/>
          <w:lang w:bidi="ar-SA"/>
        </w:rPr>
        <w:t>و عن موضعين من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مشهور بين العامّة و الخاصّة في الأصول و الفروع </w:t>
      </w:r>
      <w:r>
        <w:rPr>
          <w:rStyle w:val="FootnoteAnchor"/>
          <w:rtl w:val="true"/>
        </w:rPr>
        <w:footnoteReference w:id="28"/>
      </w:r>
      <w:r>
        <w:rPr>
          <w:rFonts w:ascii="Amiri" w:hAnsi="Amiri" w:eastAsia="Amiri" w:cs="Amiri"/>
          <w:color w:val="111111"/>
          <w:sz w:val="28"/>
          <w:sz w:val="28"/>
          <w:szCs w:val="28"/>
          <w:rtl w:val="true"/>
          <w:lang w:bidi="ar-SA"/>
        </w:rPr>
        <w:t>و صدّقه عليه صاحب مفتاح الكرامة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كما ذكر، فإنّي وجدت جملة من كتب الجمهور كالمحصول و غيره و كتب الخاصّة كالمصنّف و من تأخّر عنه إلّا من قلّ، دون من تقدّم عليه، قد سطّر فيها هذا التعريف في الأصول و الفروع مع زيادة و نقصان يأتي التنبيه عليهما </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نفيه القول به ممّن تقدّم نظر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البعث في التعريف المذكور و ما بمعناه ظاهر في البعث الفعلي، فيفيد اعتبار كون ملكة الاجتناب مستلزمة للاجتناب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في إفادة هذا المعنى ما في تعريف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ملكة في النفس تمنعها من فعل الكبائر و الإصرار على الصغائر و منافيات المروّة </w:t>
      </w:r>
      <w:r>
        <w:rPr>
          <w:rStyle w:val="FootnoteAnchor"/>
          <w:rtl w:val="true"/>
        </w:rPr>
        <w:footnoteReference w:id="30"/>
      </w:r>
      <w:r>
        <w:rPr>
          <w:rFonts w:ascii="Amiri" w:hAnsi="Amiri" w:eastAsia="Amiri" w:cs="Amiri"/>
          <w:color w:val="111111"/>
          <w:sz w:val="28"/>
          <w:sz w:val="28"/>
          <w:szCs w:val="28"/>
          <w:rtl w:val="true"/>
          <w:lang w:bidi="ar-SA"/>
        </w:rPr>
        <w:t>لتبادر المنع الفعلي، و نحوه الردع فيما عبّر بالملكة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الجميع تعريف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الزكاة من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هيئة راسخة تبعث على ملازمة التقوى بحيث لا يقع منه الكبيرة و لا الإصرار على الصغيرة </w:t>
      </w:r>
      <w:r>
        <w:rPr>
          <w:rStyle w:val="FootnoteAnchor"/>
          <w:rtl w:val="true"/>
        </w:rPr>
        <w:footnoteReference w:id="31"/>
      </w:r>
      <w:r>
        <w:rPr>
          <w:rFonts w:ascii="Amiri" w:hAnsi="Amiri" w:eastAsia="Amiri" w:cs="Amiri"/>
          <w:color w:val="111111"/>
          <w:sz w:val="28"/>
          <w:sz w:val="28"/>
          <w:szCs w:val="28"/>
          <w:rtl w:val="true"/>
          <w:lang w:bidi="ar-SA"/>
        </w:rPr>
        <w:t>بناء على أنّ الحيثية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لا قيد توضيحي للملازمة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ملكة الاجتناب في كلام القائلين بالملكة لا تستلزم</w:t>
      </w:r>
    </w:p>
    <w:p>
      <w:pPr>
        <w:pStyle w:val="BookText"/>
        <w:rPr/>
      </w:pPr>
      <w:r>
        <w:rPr>
          <w:rFonts w:ascii="Amiri" w:hAnsi="Amiri" w:eastAsia="Amiri" w:cs="Amiri"/>
          <w:color w:val="111111"/>
          <w:sz w:val="28"/>
          <w:sz w:val="28"/>
          <w:szCs w:val="28"/>
          <w:rtl w:val="true"/>
          <w:lang w:bidi="ar-SA"/>
        </w:rPr>
        <w:t>الاجتناب، ليس بجيّد، و لكنّها ليست بحيث لم يتخلّف عنها البعث، بل ربّما يتخلّف لغلبة هوى النفس و تسويل الشيطان، نعم إنّما تكون عدالة حيث لم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الكبيرة لا يستلزم الملكة، و عليه ينزّل ما عن الحلّي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حدّ العدل في الدين هو الذي لا يخلّ بواجب و لا يرتكب قبيحا </w:t>
      </w:r>
      <w:r>
        <w:rPr>
          <w:rStyle w:val="FootnoteAnchor"/>
          <w:rtl w:val="true"/>
        </w:rPr>
        <w:footnoteReference w:id="32"/>
      </w:r>
      <w:r>
        <w:rPr>
          <w:rFonts w:ascii="Amiri" w:hAnsi="Amiri" w:eastAsia="Amiri" w:cs="Amiri"/>
          <w:color w:val="111111"/>
          <w:sz w:val="28"/>
          <w:sz w:val="28"/>
          <w:szCs w:val="28"/>
          <w:rtl w:val="true"/>
          <w:lang w:bidi="ar-SA"/>
        </w:rPr>
        <w:t>و ما عن المجلسي و 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الأشهر في معناها أن لا يكون مرتكبا للكبائر و لا مصرّا على الصغائر </w:t>
      </w:r>
      <w:r>
        <w:rPr>
          <w:rStyle w:val="FootnoteAnchor"/>
          <w:rtl w:val="true"/>
        </w:rPr>
        <w:footnoteReference w:id="33"/>
      </w:r>
      <w:r>
        <w:rPr>
          <w:rFonts w:ascii="Amiri" w:hAnsi="Amiri" w:eastAsia="Amiri" w:cs="Amiri"/>
          <w:color w:val="111111"/>
          <w:sz w:val="28"/>
          <w:sz w:val="28"/>
          <w:szCs w:val="28"/>
          <w:rtl w:val="true"/>
          <w:lang w:bidi="ar-SA"/>
        </w:rPr>
        <w:t>حتى أنّه عدّه بعض مشايخنا قولا برأسه مقابلا للقول بالملكة و القولين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هذا القول أنّها عبارة عن الاستقامة الفعليّة في أفعاله و تروكه من دون اعتبار لكون ذلك عن ملكة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الكبيرة بقول مطلق و إن كان لا يستلزم الملكة غير أنّ الاستمرار على تركها يستلزمها،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 بواجب و لا يرتكب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مرتكبا للكبائر و لا مصرّا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وقوعه في التعريف منسلخ عن الزمان، فيفيد الاستمرار، و لا ريب أنّ الاستمرار في عدم الإخلال بواجب و عدم ارتكاب القبيح أو الكبائر عدم الإصرار على الصغائر لا يكون إلّا عن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المذكورة في إفادة هذا المعنى نظير كلام والد الصدوق المحكي عن رسالته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تثق بدينه و ورعه، و ثانيهما من تتّقي سيفه و سوطه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المفيد المحكي عن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العدل من كان معروفا بالدين و الورع و الكفّ عن محارم اللّه </w:t>
      </w:r>
      <w:r>
        <w:rPr>
          <w:rStyle w:val="FootnoteAnchor"/>
          <w:rtl w:val="true"/>
        </w:rPr>
        <w:footnoteReference w:id="36"/>
      </w:r>
      <w:r>
        <w:rPr>
          <w:rFonts w:ascii="Amiri" w:hAnsi="Amiri" w:eastAsia="Amiri" w:cs="Amiri"/>
          <w:color w:val="111111"/>
          <w:sz w:val="28"/>
          <w:sz w:val="28"/>
          <w:szCs w:val="28"/>
          <w:rtl w:val="true"/>
          <w:lang w:bidi="ar-SA"/>
        </w:rPr>
        <w:t>بناء على أنّ الورع و الكفّ المقابل لمطلق الترك لا يكونان إلّا عن ملكة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منع هذه الإفادة فيما حكي عن موضع من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العدالة في الدين الاجتناب عن الكبائر و عن الإصرار على الصغائر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حكي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العدالة شرط في قبول الشهادة، و يثبت حكمها بالبلوغ و كمال العقل و الإيمان و اجتناب القبائح أجمع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منع منافاتها لما تقدّم أيضا، بأنّه لم يقصد من نحو هذه العبائر عدم مدخليّة الملكة في العدالة، بل إنّما قصد بها إفادة أنّ العدالة عبارة عن اجتناب القبائح و عدم الإصرار على الصغائر الناشئ عن الملكة، لا عن الملكة الموجبة لاجتناب القبائح و عدم الإصرار على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هو اللازم من حيث لزومه من الملكة، لا الملزوم و هو الملكة المستلزمة للاجتناب و عدم الإصرار، كما هو ظاهر ما عرفته من الحلّي و والد الصدوق و المفيد و المجلسي و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ما يفيد هذا المعنى عبارة الشيخ في النهاية، حيث عبّر عن العدالة بما يقرب من مضمون صحيحة ابن أبي يعفور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يجوز قبول شهادته للمسلمين و عليهم هو أن يكون ظاهره ظاهر الإيمان، ثمَّ يعرف بالستر و الصلاح و العفاف و الكفاف عن البطن و الفرج و اليد و اللسان، و يعرف باجتناب الكبائر التي أوعد اللّه تعالى عليها النّار، من شرب الخمر و الزنا و الربا و عقوق الوالدين و الفرار من الزحف و غير ذلك، الساتر لجميع عيوبه، و يكون متعاهدا للصلوات الخمس، مواظبا عليهنّ، حافظا لمواقيتهنّ، متوفّرا على حضور جماعة المسلمين، غير متخلّف عنهم إلّا لمرض أو علّة أو عذر </w:t>
      </w:r>
      <w:r>
        <w:rPr>
          <w:rStyle w:val="FootnoteAnchor"/>
          <w:rtl w:val="true"/>
        </w:rPr>
        <w:footnoteReference w:id="39"/>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يظهر منه كونها عبارة عن الملزوم من حيث استلزامه، و هو الملكة الموجبة للاجتناب، ممّن يعبّر في تعريفها بالملكة و مرادفاتها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النصوص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يساعد على</w:t>
      </w:r>
      <w:bookmarkStart w:id="48" w:name="pg19659_263631"/>
    </w:p>
    <w:p>
      <w:pPr>
        <w:pStyle w:val="BookText"/>
        <w:rPr/>
      </w:pPr>
      <w:bookmarkEnd w:id="48"/>
      <w:r>
        <w:rPr>
          <w:rFonts w:ascii="Amiri" w:hAnsi="Amiri" w:eastAsia="Amiri" w:cs="Amiri"/>
          <w:color w:val="111111"/>
          <w:sz w:val="28"/>
          <w:sz w:val="28"/>
          <w:szCs w:val="28"/>
          <w:rtl w:val="true"/>
          <w:lang w:bidi="ar-SA"/>
        </w:rPr>
        <w:t>الثاني، و لكن الاعتبارين ممّا لم يترتّب على الفرق بينهما ثمرة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بيّناه وقوع خلاف من هذه الجهة بين أصحاب القول بالملكة، و مرجع هذا الخلاف إلى كون الملكة جنسا في مفهوم العدالة أو فصلا فيه، و الفرق بينهما اعتباري، مع اشتراكهما في إفادة مدخلية كلّ من الملكة و الاجتناب و عدم الإصرار، اللازمين منها في العدالة المعتبرة في الشريعة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948256_2314609296"/>
      <w:bookmarkStart w:id="50" w:name="_Toc19"/>
      <w:bookmarkEnd w:id="49"/>
      <w:r>
        <w:rPr>
          <w:rtl w:val="true"/>
        </w:rPr>
        <w:t>و ثانيها</w:t>
      </w:r>
      <w:r>
        <w:rPr>
          <w:rtl w:val="true"/>
        </w:rPr>
        <w:t xml:space="preserve">: </w:t>
      </w:r>
      <w:r>
        <w:rPr>
          <w:rtl w:val="true"/>
        </w:rPr>
        <w:t>أنّها الإسلام</w:t>
      </w:r>
      <w:bookmarkEnd w:id="50"/>
    </w:p>
    <w:p>
      <w:pPr>
        <w:pStyle w:val="Heading5"/>
        <w:numPr>
          <w:ilvl w:val="4"/>
          <w:numId w:val="1"/>
        </w:numPr>
        <w:rPr/>
      </w:pPr>
      <w:bookmarkStart w:id="51" w:name="__RefHeading___Toc1948258_2314609296"/>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بمعنى الإيمان و عدم ظهور الفسق، نسب القول به إلى جماعة من القدماء، كابن الجنيد و المفيد في كتاب الإشراف و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المسلمين على العدالة إلى أن يظهر منه ما يزيلها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قبول الشهادة ظاهر الإسلام مع عدم ظهور ما يقدح في العدالة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شاهدان يعرف إسلامهما و لا يعرف فيهما قدح حكم بشهادتهما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 أخبارهم </w:t>
      </w:r>
      <w:r>
        <w:rPr>
          <w:rStyle w:val="FootnoteAnchor"/>
          <w:rtl w:val="true"/>
        </w:rPr>
        <w:footnoteReference w:id="42"/>
      </w:r>
      <w:r>
        <w:rPr>
          <w:rFonts w:ascii="Amiri" w:hAnsi="Amiri" w:eastAsia="Amiri" w:cs="Amiri"/>
          <w:color w:val="111111"/>
          <w:sz w:val="28"/>
          <w:sz w:val="28"/>
          <w:szCs w:val="28"/>
          <w:rtl w:val="true"/>
          <w:lang w:bidi="ar-SA"/>
        </w:rPr>
        <w:t xml:space="preserve">و نسب ذلك إلى ظاهره أيضا في الاستبصار </w:t>
      </w:r>
      <w:r>
        <w:rPr>
          <w:rStyle w:val="FootnoteAnchor"/>
          <w:rtl w:val="true"/>
        </w:rPr>
        <w:footnoteReference w:id="43"/>
      </w:r>
      <w:r>
        <w:rPr>
          <w:rFonts w:ascii="Amiri" w:hAnsi="Amiri" w:eastAsia="Amiri" w:cs="Amiri"/>
          <w:color w:val="111111"/>
          <w:sz w:val="28"/>
          <w:sz w:val="28"/>
          <w:szCs w:val="28"/>
          <w:rtl w:val="true"/>
          <w:lang w:bidi="ar-SA"/>
        </w:rPr>
        <w:t>في كتاب الشهادات، و يظهر اختياره من الصدوق في الهداية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كلّهم عدول تقبل شهادتهم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 ذلك قولا في معنى العدالة مقابلا للقول بكونها الملكة الرادعة عن ارتكاب الكبائر و الإصرار على الصغائر، نظر بل منع واضح، لأنّ ظاهر هؤلاء ادعاء كون الأصل في المسلم ما لم يظهر منه ما يوجب الفسق هو العدالة، و مرجعه إلى أنّ الإسلام أمارة على العدالة إلى أن يظهر منه ما يقدح فيها من موجبات</w:t>
      </w:r>
      <w:bookmarkStart w:id="53" w:name="pg19659_263632"/>
    </w:p>
    <w:p>
      <w:pPr>
        <w:pStyle w:val="BookText"/>
        <w:rPr/>
      </w:pPr>
      <w:bookmarkEnd w:id="53"/>
      <w:r>
        <w:rPr>
          <w:rFonts w:ascii="Amiri" w:hAnsi="Amiri" w:eastAsia="Amiri" w:cs="Amiri"/>
          <w:color w:val="111111"/>
          <w:sz w:val="28"/>
          <w:sz w:val="28"/>
          <w:szCs w:val="28"/>
          <w:rtl w:val="true"/>
          <w:lang w:bidi="ar-SA"/>
        </w:rPr>
        <w:t>الفسق، نظير أصالة الصحّة في فعل المسلم، فكما أنّ الصحّة و الفساد وصفان متقابلان يطرأ ان لفعل المسلم، و الأصل في محلّ الاشتباه هو الصحّة إلى أن يعلم الفساد، و مرجعه إلى أنّ الصحّة في الفعل الصادر من المسلم تحرّز بإسلامه مع عدم ظهور ما يقتضي فساده، فصار الإسلام مع القيد العدميّ أمارة على صحّة فعله لا أنّه نفس الصحّة، فكذلك العدالة و الفسق وصفان متقابلان يطرأ ان نفس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محلّ الاشتباه و هو مجهول الحال هو العدالة إلى أن يعلم الفسق، و مرجعه إلى أنّ العدالة فيه تحرّز بإسلامه مع عدم ظهور ما يوجب فسقه، فصار الإسلام مع القيد العدميّ المذكور أمارة على عدالته، لا أنّه بنفسه هو العدالة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948260_2314609296"/>
      <w:bookmarkStart w:id="55" w:name="_Toc21"/>
      <w:bookmarkEnd w:id="54"/>
      <w:r>
        <w:rPr>
          <w:rtl w:val="true"/>
        </w:rPr>
        <w:t>و الذي يدلّ على أنّهم يريدون ذلك أمور</w:t>
      </w:r>
      <w:r>
        <w:rPr>
          <w:rtl w:val="true"/>
        </w:rPr>
        <w:t>:</w:t>
      </w:r>
      <w:bookmarkEnd w:id="55"/>
    </w:p>
    <w:p>
      <w:pPr>
        <w:pStyle w:val="Heading6"/>
        <w:numPr>
          <w:ilvl w:val="5"/>
          <w:numId w:val="1"/>
        </w:numPr>
        <w:rPr/>
      </w:pPr>
      <w:bookmarkStart w:id="56" w:name="__RefHeading___Toc1948262_2314609296"/>
      <w:bookmarkStart w:id="57" w:name="_Toc22"/>
      <w:bookmarkEnd w:id="56"/>
      <w:r>
        <w:rPr>
          <w:rtl w:val="true"/>
        </w:rPr>
        <w:t>الأوّل</w:t>
      </w:r>
      <w:r>
        <w:rPr>
          <w:rtl w:val="true"/>
        </w:rPr>
        <w:t xml:space="preserve">: </w:t>
      </w:r>
      <w:r>
        <w:rPr>
          <w:rtl w:val="true"/>
        </w:rPr>
        <w:t>ما في عبائرهم المتقدمة من قول ابن الجنيد</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المسلمين على العدالة إلى أن يظهر منه ما 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ظهور ما يقدح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إسلامهما و لا يعرف فيهما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بهذه القيود العدميّة يعطي كون الإسلام شيئا و العدالة شيئا آخر، و المزيل إنّما يزيل العدالة، و القادح يقدح فيها مع بقاء الإسلام، فلو كان هو نفس العدالة لزم أن يكون المزيل لها مزيلا له و القادح فيها قادحا فيه، و هو في وضوح الفساد بحيث لا يظنّ بأحد القول به، فتأمّل</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948264_2314609296"/>
      <w:bookmarkStart w:id="59" w:name="_Toc23"/>
      <w:bookmarkEnd w:id="58"/>
      <w:r>
        <w:rPr>
          <w:rtl w:val="true"/>
        </w:rPr>
        <w:t>الثاني</w:t>
      </w:r>
      <w:r>
        <w:rPr>
          <w:rtl w:val="true"/>
        </w:rPr>
        <w:t xml:space="preserve">: </w:t>
      </w:r>
      <w:r>
        <w:rPr>
          <w:rtl w:val="true"/>
        </w:rPr>
        <w:t xml:space="preserve">ما عن ابن الجنيد </w:t>
      </w:r>
      <w:r>
        <w:rPr>
          <w:rtl w:val="true"/>
        </w:rPr>
        <w:t>«</w:t>
      </w:r>
      <w:r>
        <w:rPr/>
        <w:t>1</w:t>
      </w:r>
      <w:r>
        <w:rPr>
          <w:rtl w:val="true"/>
        </w:rPr>
        <w:t xml:space="preserve">» </w:t>
      </w:r>
      <w:r>
        <w:rPr>
          <w:rtl w:val="true"/>
        </w:rPr>
        <w:t>من الاستدلال على الأصل الذي ادعاه</w:t>
      </w:r>
      <w:bookmarkEnd w:id="59"/>
    </w:p>
    <w:p>
      <w:pPr>
        <w:pStyle w:val="BookText"/>
        <w:rPr/>
      </w:pPr>
      <w:r>
        <w:rPr>
          <w:rFonts w:ascii="Amiri" w:hAnsi="Amiri" w:eastAsia="Amiri" w:cs="Amiri"/>
          <w:color w:val="111111"/>
          <w:sz w:val="28"/>
          <w:sz w:val="28"/>
          <w:szCs w:val="28"/>
          <w:rtl w:val="true"/>
          <w:lang w:bidi="ar-SA"/>
        </w:rPr>
        <w:t>، من أنّ إسلام المسلم يقتضي عدم الإخلال بواجب و لا الإقدام على محرّم إلى أن يصرفه صارف، فإنّه كالصريح في أنّ العدالة وصف يلحق المسلم باعتبار عدم الإخلال بالواجبات و عدم ارتكاب المحرّمات، لا أنها نفس الإسلام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948266_2314609296"/>
      <w:bookmarkStart w:id="61" w:name="_Toc24"/>
      <w:bookmarkEnd w:id="60"/>
      <w:r>
        <w:rPr>
          <w:rtl w:val="true"/>
        </w:rPr>
        <w:t>الثالث</w:t>
      </w:r>
      <w:r>
        <w:rPr>
          <w:rtl w:val="true"/>
        </w:rPr>
        <w:t xml:space="preserve">: </w:t>
      </w:r>
      <w:r>
        <w:rPr>
          <w:rtl w:val="true"/>
        </w:rPr>
        <w:t>عبارة الشيخ في الخلاف عند الاستدلال على ما ادعاه</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بعد ما استدلّ بإجماع الفرقة و أخبارهم، زاد عليه علاوة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الأصل في الإسلام</w:t>
      </w:r>
    </w:p>
    <w:p>
      <w:pPr>
        <w:pStyle w:val="BookText"/>
        <w:rPr/>
      </w:pPr>
      <w:r>
        <w:rPr>
          <w:rFonts w:ascii="Amiri" w:hAnsi="Amiri" w:eastAsia="Amiri" w:cs="Amiri"/>
          <w:color w:val="111111"/>
          <w:sz w:val="28"/>
          <w:sz w:val="28"/>
          <w:szCs w:val="28"/>
          <w:rtl w:val="true"/>
          <w:lang w:bidi="ar-SA"/>
        </w:rPr>
        <w:t xml:space="preserve">العدالة و الفسق طار عليه يحتاج إلى دليل، و أيضا نحن نعلم أنّه ما كان البحث في أيّام النبي صلّى اللّه عليه و آله و سلّم و لا أيّام الصحابة و التابعين، و إنّما هو شي‌ء أحدثه شريك بن عبد اللّه القاضي، فلو كان شرطا لما أجمع أهل الأمصار على تركه </w:t>
      </w:r>
      <w:r>
        <w:rPr>
          <w:rStyle w:val="FootnoteAnchor"/>
          <w:rtl w:val="true"/>
        </w:rPr>
        <w:footnoteReference w:id="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أوّل هذين الوجهين صريح في كون العدالة أصلا في المسلم، لا أنّ الإسلام نفس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يعطي كون أصالة العدالة في المسلم أصلا فائدته سقوط البحث و الفحص عن عدالته، كما أنّ أصالة الصحّة في فعله أصل فائدته سقوط البحث و الفحص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ممّا ذكر في إفادة ذلك عبارته المحكيّة عن الاستبصار، فإنّه بعد ما روى خبر عبد اللّه بن أبي يعفور و ذكر بعده مرسلة يونس المخالفة له المصرّحة بعدم وجوب المسألة عن باطن الشاهد، تصدّى لعلاج التّعارض بينها و بينه،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ينافي الخبر الأوّل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الحاكم التفتيش عن بواطن الناس، و إنّما يجوز له أن يقبل شهادتهم إذا كانوا على ظاهر الإسلام و الأمانة، و أن لا يعرفهم بما يقدح فيهم و يوجب تفسيقهم، فمن تكلّف التفتيش عن أحوالهم يحتاج إلى أن يعلم أنّ جميع الصفات المذكورة في الخبر الأوّل منتفية عنهم، لأنّ جميعها يوجب القدح في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بالصفات المذكورة في الخبر الأوّل الإخبار عن كونها قادحة في الشهادة و إن لم يلزم التفتيش عنها و المسألة و البحث عن حصولها و انتفائها، و تكون الفائدة في ذكرها أنّه ينبغي قبول شهادة من كان ظاهره الإسلام و لا يعرف منه شي‌ء من هذه الأشياء، فإنّه متى عرف فيه أحدها قدح ذلك في شهادته </w:t>
      </w:r>
      <w:r>
        <w:rPr>
          <w:rStyle w:val="FootnoteAnchor"/>
          <w:rtl w:val="true"/>
        </w:rPr>
        <w:footnoteReference w:id="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آية أنّ مراد هؤلاء من كفاية ظهور الإسلام و عدم ظهور الفسق في العدالة، كفايته في مقابلة الفحص و التفتيش و السؤال عن وجود صفة العدالة</w:t>
      </w:r>
    </w:p>
    <w:p>
      <w:pPr>
        <w:pStyle w:val="BookText"/>
        <w:rPr/>
      </w:pPr>
      <w:r>
        <w:rPr>
          <w:rFonts w:ascii="Amiri" w:hAnsi="Amiri" w:eastAsia="Amiri" w:cs="Amiri"/>
          <w:color w:val="111111"/>
          <w:sz w:val="28"/>
          <w:sz w:val="28"/>
          <w:szCs w:val="28"/>
          <w:rtl w:val="true"/>
          <w:lang w:bidi="ar-SA"/>
        </w:rPr>
        <w:t>أو ضدّها، لا في مقابلة أصل العدالة على أن يكون هو العدالة لا غير، و لذا ترى أنّ الشهيد الثاني في المسالك و غيره أورد الخلاف بين القدماء و المتأخّرين في العدالة بعنوان وجوب البحث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عرف إسلامهم و لم يعرف أمرا آخر غيره من جرح و لا تعديل فهذا ممّا اختلف فيه الأصحاب، فالمشهور بينهم خصوصا المتأخّرين منهم أنّه يجب البحث عن عدالتهم، و لا يكفي الاعتماد على ظاهر الإسلام </w:t>
      </w:r>
      <w:r>
        <w:rPr>
          <w:rStyle w:val="FootnoteAnchor"/>
          <w:rtl w:val="true"/>
        </w:rPr>
        <w:footnoteReference w:id="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مقابل هذا القول قول القدماء بكفاية الاعتماد على ظاهر الإسلام في الحكم بعدالة الشهود و ترتيب الآثار عليها، و عدم وجوب البحث عن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اعتبار الإسلام بالقياس إلى العدالة عندهم وجه الطريقيّة لا وجه العينيّة، فلا خلاف لهم في أنّ العدالة في المسلم صفة أخرى زائدة على إسلامه، كيف و أنّ القدماء بعضهم لسان بعض، و قد عرفت سابقا عبارة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ابن البرّاج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تثبت في الإنسان بشروط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كمال العقل، و الحصول على ظاهر الإيمان، و الستر و العفاف، و اجتناب القبائح، و نفي التهمة و المظنّة، و الحسد و العداوة </w:t>
      </w:r>
      <w:r>
        <w:rPr>
          <w:rStyle w:val="FootnoteAnchor"/>
          <w:rtl w:val="true"/>
        </w:rPr>
        <w:footnoteReference w:id="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التقي أبي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يثبت حكمها بالبلوغ، و كمال العقل و الإيمان، و اجتناب القبائح أجمع </w:t>
      </w:r>
      <w:r>
        <w:rPr>
          <w:rStyle w:val="FootnoteAnchor"/>
          <w:rtl w:val="true"/>
        </w:rPr>
        <w:footnoteReference w:id="49"/>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كلّه فما في المبسوط في تعريف العدل في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في اللغة أن يكون الإنسان متعادل الأحول متساويا، و في الشريعة من كان عدلا في دينه عدلا في مروّته عدلا في أحكامه، فالعدل في الدين أن يكون مسلما لا يعرف منه شي‌ء من أسباب الفسوق، و في المروّة أن يكون مجتنبا للأمور التي</w:t>
      </w:r>
      <w:bookmarkStart w:id="62" w:name="pg19659_263635"/>
    </w:p>
    <w:p>
      <w:pPr>
        <w:pStyle w:val="BookText"/>
        <w:rPr/>
      </w:pPr>
      <w:bookmarkEnd w:id="62"/>
      <w:r>
        <w:rPr>
          <w:rFonts w:ascii="Amiri" w:hAnsi="Amiri" w:eastAsia="Amiri" w:cs="Amiri"/>
          <w:color w:val="111111"/>
          <w:sz w:val="28"/>
          <w:sz w:val="28"/>
          <w:szCs w:val="28"/>
          <w:rtl w:val="true"/>
          <w:lang w:bidi="ar-SA"/>
        </w:rPr>
        <w:t>تسقط المروّة مثل الأكل في الطرقات، و مدّ الرجل بين الناس، و لبس الثياب المصبغة و ثياب النساء و ما أشبه ذلك، و العدل في الأحكام أن يكون بالغا عاقلا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إلى آخر ما ذكره، لا بدّ من حمله على كونه تعريفا للإنسان العدل بما هو طريق إلى العدالة لا تعريفا لنفس العدالة و لذا عدل الحلّي في السرائر عن هذا التعبير،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العدل في الشريعة هو من كان عدلا في دينه عدلا في مروّته عدلا في أحكامه، فالعدل في الدين أن لا يخلّ بواجب و لا يرتكب قبيحا، ثمَّ جعل ما عرفته عن الشيخ قريبا من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 منه شي‌ء من أسباب الفسق و هذا قريب أيضا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948268_2314609296"/>
      <w:bookmarkStart w:id="64" w:name="_Toc25"/>
      <w:bookmarkEnd w:id="63"/>
      <w:r>
        <w:rPr>
          <w:rtl w:val="true"/>
        </w:rPr>
        <w:t>و ثالثها</w:t>
      </w:r>
      <w:r>
        <w:rPr>
          <w:rtl w:val="true"/>
        </w:rPr>
        <w:t xml:space="preserve">: </w:t>
      </w:r>
      <w:r>
        <w:rPr>
          <w:rtl w:val="true"/>
        </w:rPr>
        <w:t>أنّها حسن الظاهر</w:t>
      </w:r>
      <w:bookmarkEnd w:id="64"/>
    </w:p>
    <w:p>
      <w:pPr>
        <w:pStyle w:val="BookText"/>
        <w:rPr/>
      </w:pPr>
      <w:r>
        <w:rPr>
          <w:rFonts w:ascii="Amiri" w:hAnsi="Amiri" w:eastAsia="Amiri" w:cs="Amiri"/>
          <w:color w:val="111111"/>
          <w:sz w:val="28"/>
          <w:sz w:val="28"/>
          <w:szCs w:val="28"/>
          <w:rtl w:val="true"/>
          <w:lang w:bidi="ar-SA"/>
        </w:rPr>
        <w:t>، المعبّر عنه بظهور الصلاح، نسب ذلك إلى جماعة، بل أكثر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 ذلك أيضا قولا في معنى العدالة نظر، بل منع، بل هذا أيضا كسابقه يراد به جعل الأمارة المسقطة لوجوب البحث و المسألة عن العدالة، لا اعتباره نفس العدالة، كما جزم به بعض مشايخنا 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أنّهما ليسا قولين في العدالة و إنّما هما طريقان للعدالة، ذهب إلى كلّ منهما جماعة، و لذا ذكر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في الذكرى و الدروس و المحقّق في الجعفرية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القولين في عنوان ما به يعرف العدالة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أيضا كلام السبزواري في الكفاية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بين الأصحاب في اعتبار عدالة الشاهد، لكنّ الخلاف فيما يتعلّق بهذا المقام في أمور،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الأوّل و الثاني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بالعدالة هل يحتاج إلى التفتيش و الخبرة و البحث عن البواطن، أم يكفي الإسلام و حسن الظاهر ما لم يثبت خلافه؟ و الأقوى الثاني </w:t>
      </w:r>
      <w:r>
        <w:rPr>
          <w:rStyle w:val="FootnoteAnchor"/>
          <w:rtl w:val="true"/>
        </w:rPr>
        <w:footnoteReference w:id="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المتقدّم قدّس سرّه احتجّ لنفي كونهما قولين في العدالة، بأنّه لا يعقل</w:t>
      </w:r>
    </w:p>
    <w:p>
      <w:pPr>
        <w:pStyle w:val="BookText"/>
        <w:rPr/>
      </w:pPr>
      <w:r>
        <w:rPr>
          <w:rFonts w:ascii="Amiri" w:hAnsi="Amiri" w:eastAsia="Amiri" w:cs="Amiri"/>
          <w:color w:val="111111"/>
          <w:sz w:val="28"/>
          <w:sz w:val="28"/>
          <w:szCs w:val="28"/>
          <w:rtl w:val="true"/>
          <w:lang w:bidi="ar-SA"/>
        </w:rPr>
        <w:t>كون عدم ظهور الفسق أو حسن الظاهر نفس العدالة، لأنّ ذلك يقتضي كون العدالة من الأمور التي يكون وجودها الواقعي عين وجودها الذهني، و هذا لا يجامع كون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واقعيّا لا دخل للذهن فيه، و حينئذ فمن كان في علم اللّه مرتكبا للكبائر مع عدم ظهور ذلك لأحد يلزم أن يكون عادلا في الواقع فاسقا في الواقع، لأنّ المفروض أنّ وجودها الواقعي عين وجودها الذهني، و أمّا بطلان اللازم فغنيّ عن البيان، و لذا لو اطّلع على أنّ شخصا كان في الزمان السابق مع اتصافه بحسن الظاهر لكلّ أحد مصرّا على الكبائر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فاسقا و لم نطّلع،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عادلا فصار فاسقا عند اطّلاعنا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ينهض ردّا على القولين، على تقدير كونهما قولين في معنى العدالة، و لا ينهض شاهدا بكون مراد القائلين بهما اعتبار عدم ظهور الفسق أو حسن الظاهر طريقين إلى العدالة، و مع هذا فأمكن المناقشة فيه، بأنّ جعل مذهب ابن الجنيد و الشيخين عدم ظهور الفسق مبني على الأخذ بأحد محتملات كلام بعضهم، و هو كون العدالة عندهم مجرّد عدم ظهور الفسق لا ظهور الإسلام و لا المجموع منه و من 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من أكثر كلماتهم المصرّح به في كلام أكثر نقلة هذا القول، كون العدالة عندهم هو المجموع من الإسلام و عدم ظهور الفسق، بل هو صريح ما تقدّم من عبارة الشيخ في المبسوط،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الدين أن يكون مسلما لا يعرف منه شي‌ء من أسباب الفسوق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فيرد على الوجه المذكور منع نهوضه لردّ هذا القول، لعدم منافاته كون العدالة المفسّرة بذلك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واقعيّا لا دخل للذهن فيه، لإمكان توجيهه بأنّ العدالة عندهم وصف مركّب عن أمر وجوديّ و هو الإسلام بمعنى الإيمان، و أمر عدميّ و هو عدم ارتكاب الكبائر و الإصرار على الصغائر، بناء على أن ليس المراد من الظهور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الخفاء، بل أريد</w:t>
      </w:r>
    </w:p>
    <w:p>
      <w:pPr>
        <w:pStyle w:val="BookText"/>
        <w:rPr/>
      </w:pPr>
      <w:r>
        <w:rPr>
          <w:rFonts w:ascii="Amiri" w:hAnsi="Amiri" w:eastAsia="Amiri" w:cs="Amiri"/>
          <w:color w:val="111111"/>
          <w:sz w:val="28"/>
          <w:sz w:val="28"/>
          <w:szCs w:val="28"/>
          <w:rtl w:val="true"/>
          <w:lang w:bidi="ar-SA"/>
        </w:rPr>
        <w:t>به ما يرادف الوجود، على معنى خروج الفسق من القوّة إلى الفعل بارتكاب الكبائر أو الإصرار على الصغائر، و عليه فيكون العدالة و الفسق معا أمران واقعيّان لا دخل للذهن فيهما، فلا يلزم في شي‌ء من الموارد أن يكون الشخص عادلا واقعيّا فاسقا واقعيّا، بل هو على وجه الانفصال الحقيقي إمّا عادل واقعيّ أو فاسق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وجه على القول بكون العدالة حسن الظاهر على معنى ظهور الصلاح، بناء على عدم اعتبار مصادفته لاجتناب الكبائر و عدم الإصرار على الصغائر، و حينئذ يلزم أن يكون وجودها الواقعيّ عين وجودها الذهني، على معنى أن يكون للذهن و الاعتقاد مدخليّة في واقعيّته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إلى كون العدالة عبارة عن أمر ذهنيّ يدخل فيه الاعتقاد، و من حكمه أن يختلف باختلاف الأذهان و الاعتقادات، و يلزم من ذلك باعتبار قرينة المقابلة أن يكون الفسق أيضا أمرا ذهنيا يدخل فيه الاعتقاد، فيلزم كون شخص عادلا عند من ظهر صلاحه، فاسقا عند من ظهر فسقه، على معنى ارتكابه الكبائر أو إصراره على الصغائر و هو واضح الفساد، باعتبار أنّ العدالة و الفسق عندهم وصفان متضادّان، و من حكم المتضادّين أن لا يجامع أحدهما ضدّه، و لذا يقال فيمن كان في الواقع مرتكبا للكبائر أو مصرّا على الصغائر في الزمان السابق، مع اتّصافه بحسن الظاهر ثمّة عند كلّ أحد ثمَّ بان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فاسقا و لم نطّلع عليه،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عادلا و صار فاسقا عند اطّلاعنا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منع وروده على هذا القول و سابقة معا،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بعد إطباقهم على أنّ العدالة لا تتحقّق إلّا باجتناب الكبائر و عدم الإصرار على الصغائر و أنّ هذا القدر ممّا لا بدّ منه في معنى العدالة، اختلفوا في اعتبار أمر آخر معه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جماعة إلى أنّه يعتبر فيها مع ذلك وجود الملكة على معنى كون الاجتناب المذكور عن كيفيّة نفسانيّة راسخة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أنّه لا يعتبر فيها وجود الملكة و لكن يعتبر مع ما ذكر حسن الظاهر، فالعدالة حينئذ هو حسن الظاهر المصادف لاجتناب الكبائر و عدم الإصرار على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آخرون أنّه لا يعتبر فيها ملكة و لا حسن ظاهر، بل يكفي فيها مع ما ذكر الإسلام، فالعدالة حينئذ هو الإسلام مع عدم ظهور الفسق على معنى عدم خروجه من القوّة إلى الفعل، و هو عبارة أخرى لاجتناب الكبائر و عدم الإصرار على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أخصّ من الأخيرين، لأنّ وجود الملكة بعد الإسلام يستلزم حسن الظاهر، و حسن الظاهر لا يستلزم الملكة، و مجرّد الإسلام لا يستلزمهما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الثمرة بين الأوّل و الأخيرين في وجوب الفحص و التفتيش و المسألة للاطّلاع على الباطن، فإنّ الملكة لكونها صفة 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أمر وجودي معتبر في معنى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إحرازها من العلم بوجودها، و لا يمكن إحرازها بالأصل، و لا يحصل العلم إلّا بالصحبة المؤكّدة و المعاشرة التامة، و أمّا الاجتناب و عدم الإصرار فيمكن إحرازهما بالأصل على جميع الأقوال، لأنّ الأصل عدم ارتكاب المعصية كبيرة أو صغيرة فضلا عن 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الاحتمال في توجيه الخلاف و الجمع بين الأقوال على الوجه المذكور كلام السيد صدر الدين في شرحه للوافية، فإنّه في جملة كلام له عند المناقشة في القول بالملكة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يقول بالملكة يقول باشتراط حسن الظاهر و اجتناب الكبائر و الصغائر إلّا القليل ممّن يكتفي بالإسلام </w:t>
      </w:r>
      <w:r>
        <w:rPr>
          <w:rStyle w:val="FootnoteAnchor"/>
          <w:rtl w:val="true"/>
        </w:rPr>
        <w:footnoteReference w:id="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اشتراط حسن الظاهر، فلا ينفي ما ذكرناه من أنّ أهل القول بكفاية الإسلام أيضا يعتبرون اجتناب الكبائر و الصغائر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هذا كلّه كون العدالة على جميع الأقوال أمرا واقعيّا لا دخل للذهن و الاعتقاد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كلمات أهل القول بكفاية الإسلام مع عدم ظهور الفسق على ما بيّناه بين ظاهرة و صريحة في نفي اعتبار الفحص و التفتيش لإحراز العدالة من دون تعرّض لبيان أنّه يدخل فيها الملكة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 محتمل لكلّ من القولين باشتراط وجود الملكة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أهل القول بحسن الظاهر أيضا بين محتملة و ظاهرة، بل صريحة أيضا في نفي وجوب الفحص و التفتيش، بناء منهم على أنّ الشارع جعل حسن الظاهر طريقا لإحراز العدالة من دون تعرّض فيها لبيان اعتبار وجود الملكة في العدالة أيضا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نضائق اتّفاق من قال في العلماء بأنّ العدالة هو نفس حسن الظاهر، لكن كونه قولا ممّن يعتنى بشأنه من أصحابنا كالفاضلين و الشهيدين و أضرابهما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كلمات الأصحاب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ككلمات المتعرّضين منهم لنقل قولهم فيها و خلافهم و وفاقهم في معنى العدالة، أو في الطرق المثبتة لها الكاشفة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التشويش و الاضطراب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فالأنسب التكلّم تارة فيما يعتبر شرعا في معنى العدالة و ما لا يعتبر من الاجتناب عن الكبائر و الصغائر أو الإصرار عليها و منافيات المروّة و وجود الملكة و غير ذلك، و اخرى فيما يحرز به العدالة من الطرق و ما توهّم كونه طريقا من الأصل و الإسلام مع عدم ظهور الفسق و حسن الظاهر و غير ذلك</w:t>
      </w:r>
      <w:r>
        <w:rPr>
          <w:rFonts w:eastAsia="Amiri" w:cs="Amiri" w:ascii="Amiri" w:hAnsi="Amiri"/>
          <w:color w:val="111111"/>
          <w:sz w:val="28"/>
          <w:szCs w:val="28"/>
          <w:rtl w:val="true"/>
          <w:lang w:bidi="ar-SA"/>
        </w:rPr>
        <w:t>.</w:t>
      </w:r>
      <w:bookmarkStart w:id="65" w:name="pg19659_263640"/>
    </w:p>
    <w:p>
      <w:pPr>
        <w:pStyle w:val="Heading2"/>
        <w:numPr>
          <w:ilvl w:val="1"/>
          <w:numId w:val="1"/>
        </w:numPr>
        <w:rPr/>
      </w:pPr>
      <w:bookmarkStart w:id="66" w:name="__RefHeading___Toc1948270_2314609296"/>
      <w:bookmarkStart w:id="67" w:name="_Toc26"/>
      <w:bookmarkEnd w:id="65"/>
      <w:bookmarkEnd w:id="66"/>
      <w:r>
        <w:rPr>
          <w:rtl w:val="true"/>
        </w:rPr>
        <w:t>المقام الثاني فيما يعتبر و ما لا يعتبر شرعا في معنى العدالة</w:t>
      </w:r>
      <w:bookmarkEnd w:id="67"/>
    </w:p>
    <w:p>
      <w:pPr>
        <w:pStyle w:val="Heading3"/>
        <w:numPr>
          <w:ilvl w:val="2"/>
          <w:numId w:val="1"/>
        </w:numPr>
        <w:rPr/>
      </w:pPr>
      <w:bookmarkStart w:id="68" w:name="__RefHeading___Toc1948272_2314609296"/>
      <w:bookmarkStart w:id="69" w:name="_Toc27"/>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و فيه مراحل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948274_2314609296"/>
      <w:bookmarkStart w:id="71" w:name="_Toc28"/>
      <w:bookmarkEnd w:id="70"/>
      <w:r>
        <w:rPr>
          <w:rtl w:val="true"/>
        </w:rPr>
        <w:t>المرحلة الاولى</w:t>
      </w:r>
      <w:r>
        <w:rPr>
          <w:rtl w:val="true"/>
        </w:rPr>
        <w:t>:</w:t>
      </w:r>
      <w:bookmarkEnd w:id="71"/>
    </w:p>
    <w:p>
      <w:pPr>
        <w:pStyle w:val="BookText"/>
        <w:rPr/>
      </w:pPr>
      <w:r>
        <w:rPr>
          <w:rFonts w:ascii="Amiri" w:hAnsi="Amiri" w:eastAsia="Amiri" w:cs="Amiri"/>
          <w:color w:val="111111"/>
          <w:sz w:val="28"/>
          <w:sz w:val="28"/>
          <w:szCs w:val="28"/>
          <w:rtl w:val="true"/>
          <w:lang w:bidi="ar-SA"/>
        </w:rPr>
        <w:t>في أنّ الظاهر أنّه لا خلاف في اعتبار الاجتناب عن الكبائر بحسب الواقع في العدالة الشرعية، و عباراتهم المشعرة بانعقاد الإجماع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السيّد الشارح للوافية و قد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أيضا إجماعهم المحصّل و المنقول على كون ارتكاب الكبائر قادحا فيها، موجبا للفسق المضادّ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من جهة الأخبار صحيحة عبد اللّه ابن أبي يعفور المرويّة في الفقيه و التهذيب مع اختلاف يسير بين الكتابين في بعض ألفاظها، و هي على ما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التي أوعد اللّه عزّ و جلّ عليها النار، من شرب الخمر و الزنا و الربا و عقوق الوالدين و الفرار من الزحف، و غير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الدلالة على ذلك كلّه أن يكون ساترا لجميع عيوبه حتى يحرم على المسلمين</w:t>
      </w:r>
    </w:p>
    <w:p>
      <w:pPr>
        <w:pStyle w:val="BookText"/>
        <w:rPr/>
      </w:pPr>
      <w:r>
        <w:rPr>
          <w:rFonts w:ascii="Amiri" w:hAnsi="Amiri" w:eastAsia="Amiri" w:cs="Amiri"/>
          <w:color w:val="111111"/>
          <w:sz w:val="28"/>
          <w:sz w:val="28"/>
          <w:szCs w:val="28"/>
          <w:rtl w:val="true"/>
          <w:lang w:bidi="ar-SA"/>
        </w:rPr>
        <w:t>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و 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فانّ ذلك يجيز شهادته و عدالته بين المسلمين، و ذلك أنّ الصلاة ستر و كفّارة للذنوب، 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و لو لا ذلك لم يمكن أحد أن يشهد على آخر بصلاح، لأنّ من لا يصلّي لا صلاح له بين المسلمين، فإنّ رسول اللّه صلّى اللّه عليه و آله و سلّم همّ بأن يحرق قوما في منازلهم، لتركهم الحضور لجماعة المسلمين، و قد كان منهم من يصلّي في بيته فلم يقبل منه ذلك، و كيف يقبل شهادة أو عدالة بين المسلمين ممّن جرى الحكم من اللّه عزّ و جلّ و من رسوله صلّى اللّه عليه و آله و سلّم فيه بالحرق في جوف بيته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الدلالة من الرواية على ما نحن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 التي أوعد اللّه عزّ و جلّ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العدالة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تعرف عدالة الرجل؟ فإنّ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ما يطلب به معرّف ذلك الشي‌ء، و لا ينافيه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العدالة، لأنّ كلّ معرّف بالكسر ما يعرف به المعرّف بالفتح، و لا فرق في ذلك بين كون العدالة في اعتقاد السائل مبقاة في لسان الشارع على معناها اللغوي، و حيثما ورد في لسان الشارع و تابعيه على المعنى الشرعي فقد ورد على وجه الحقيقة من باب إطلاق الكلّي على الفرد،</w:t>
      </w:r>
    </w:p>
    <w:p>
      <w:pPr>
        <w:pStyle w:val="BookText"/>
        <w:rPr/>
      </w:pPr>
      <w:r>
        <w:rPr>
          <w:rFonts w:ascii="Amiri" w:hAnsi="Amiri" w:eastAsia="Amiri" w:cs="Amiri"/>
          <w:color w:val="111111"/>
          <w:sz w:val="28"/>
          <w:sz w:val="28"/>
          <w:szCs w:val="28"/>
          <w:rtl w:val="true"/>
          <w:lang w:bidi="ar-SA"/>
        </w:rPr>
        <w:t>بناء على أنّها لغة عبارة عن الاستقامة المطلقة على الجادّة المطلقة، و عدم الميل و الانحراف عنها، سواء كانت حسّية أو معنويّة، متعلّقة بالعادة أو بالشريعة، فالفرد من هذا المفهوم العامّ الذي أطلق عليه اللفظ هو الاستقامة على جادّة الشريعة، أو منقولة في الشرع إلى هذه الجادّة الخاصّة من باب النقل من العامّ إلى الخاصّ، أو من المباين إلى مثله، بناء على كونها لغة لاستقامة خاصّة و هي الاستقامة على الجادّة الحسّية كما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التقادير فقد طلب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تمام الحقيقة الاستقامة الشرعيّة التي أطلق عليها، أو نقل إليها لفظ العدالة، و قد ورد على طبقه الجواب مشتملا على مراتب ثلاث من التعريف الإجمالي، و تفصيلي غير مانع و لا جامع، و تفصيلي مانع و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يعرفوه متّصفا بالستر و العفاف، و الستر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و الحياء و العمل، و الظاهر إرادة الحياء هنا، و هو تغيّر و انكسار يعتري الإنسان ممّا يخاف أن يعاب به و يذمّ عليه، أو يعاقب و يعذّب عليه من فعل أو ترك دعاه هوى نفسه إلى الركوب عليه، و محصّله هنا الاستحياء من اللّه تعالى عند تهيّؤ أسباب معصيته تعالى بترك واجب أو فعل محرّم، الرادع له عن الإقدام عليها، و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الحياء من الإيمان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شعب الإيمان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علّل بأنّ المستحيي ينقطع بحيائه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تعيّن حمل الستر في الرواية عليه قوله عليه السّلام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الستر هنا عبارة عن الاستحياء من الناس في ركوب القبائح و المعاصي، و ينهض ذلك قرينة على ارادة الاستحياء من اللّه من الأوّل حذرا عن اتّحاد الدليل و المدلول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حمل على ارادة العفاف تمسّكا بما عن الصحاح من مجيئه لهذا</w:t>
      </w:r>
    </w:p>
    <w:p>
      <w:pPr>
        <w:pStyle w:val="BookText"/>
        <w:rPr/>
      </w:pPr>
      <w:r>
        <w:rPr>
          <w:rFonts w:ascii="Amiri" w:hAnsi="Amiri" w:eastAsia="Amiri" w:cs="Amiri"/>
          <w:color w:val="111111"/>
          <w:sz w:val="28"/>
          <w:sz w:val="28"/>
          <w:szCs w:val="28"/>
          <w:rtl w:val="true"/>
          <w:lang w:bidi="ar-SA"/>
        </w:rPr>
        <w:t>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ستير، أي عفيف، و منه جارية ستيرة، فالمراد به في الرواية إمّا ما يرادف العفاف أو ما يلازمه و هو الاستحياء من اللّه،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كفّ النفس عن محارمه تعالى خوفا و استحياء منه، فهذا تعريف إجمالي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هذه الجوارح عن المعاصي الصادرة منها، فإنّ ذلك عطف تفسير للأوّل، قصد به نوع بيان تفصيلي له، غير أنّه في مقام التعريف غير مانع و لا جامع، لأنّ المعاصي الصادرة من الجوارح الأربع مع عدم تناولها لسائر الكبائر المعتبر اجتنابها في العدالة فتخرج عن التعريف، تعمّ الكبائر و الصغائر الصادرة من هذه الجوارح، و ستعرف أنّ الاجتناب عن الصغيرة ما لم يلحقه الإصرار ليس معتبرا في العدالة بحسب الشرع، و أنّ ارتكابها من غير إصرار غير قادح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الكبائر باعتبار المادة و هي الكبيرة لا تعمّ الصغائر، فيخرج بها فعل الصغيرة، و باعتبار الهيئة و هي الجمع المحلّى تعمّ سائر الكبائر ممّا ذكر في المرتبة السابقة و 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فهي تتضمّن تخصيصا و تعميما بالاعتبارين، و به يحصل المنع و الجمع، و يتمّ تعريف العدالة باجتناب الكبائر مطّردا و 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المناقشة في الدلالة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بيانا لمعنى العدالة بل هو بيان لعلاماتها و أماراتها الكاشفة عنها، لمكان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تعرف عدالة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باعتبار أنّه سؤال عمّا يعرف به العدالة ليس سؤالا عن معناها، فهو يدلّ على معلوميّة أصل المعنى عند السائل، و إنّما سئل عمّا يعرف به حصول ذلك المعنى و تحقّقه في الرجل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في تقرير وجه الدلالة من أنّ المعرّف ما يعرف به المعرّف، فيصحّ كون العبارة المذكورة سؤالا عن المعرّف، غاية الأمر صحّة ورودها أيضا سؤالا عن الأمارة، و لكن يتعيّن حملها على طلب المعرّف بقرينة قوله عليه السّلام</w:t>
      </w:r>
      <w:bookmarkStart w:id="72" w:name="pg19659_263644"/>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ما ذكر كون ما ذكره عليه السّلام فيما بعد من باب الدليل على الدليل، و هو بعيد عن لفظ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كونه عين الدليل الأوّل، للزومه التكرار في ذكر الدليل على العدالة، مع أنّه لو حمل الستر و العفاف و كفّ الجوارح الأربع و اجتناب الكبائر على دليل العدالة لم يبق وراء هذه ما يكون معنى العدالة مدلولا عليه بذلك الدليل، عدا عدم ظهور الفسق أو حسن الظاهر مع الإسلام، و هذا كما ترى خروج عن ضابطة الدليل و المدلول، لوجوب كون الدليل أجلى و أعرف من المدلول، و هو ها هنا بمقتضى الفرض أخفى، مع أنّ الدليل لا مانع من كونه أعمّ، و كونه أخصّ ضائر في دليليته، و لا ريب أنّ كلّا من الأمرين أعمّ من الاتصاف بالصفات المذكورة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948276_2314609296"/>
      <w:bookmarkStart w:id="74" w:name="_Toc29"/>
      <w:bookmarkEnd w:id="73"/>
      <w:r>
        <w:rPr>
          <w:rtl w:val="true"/>
        </w:rPr>
        <w:t>المرحلة الثانية</w:t>
      </w:r>
      <w:r>
        <w:rPr>
          <w:rtl w:val="true"/>
        </w:rPr>
        <w:t xml:space="preserve">: </w:t>
      </w:r>
      <w:r>
        <w:rPr>
          <w:rtl w:val="true"/>
        </w:rPr>
        <w:t>في أنّه هل يعتبر فيها مع اجتناب الكبائر اجتناب الصغائر</w:t>
      </w:r>
      <w:bookmarkEnd w:id="74"/>
    </w:p>
    <w:p>
      <w:pPr>
        <w:pStyle w:val="BookText"/>
        <w:rPr/>
      </w:pPr>
      <w:r>
        <w:rPr>
          <w:rFonts w:ascii="Amiri" w:hAnsi="Amiri" w:eastAsia="Amiri" w:cs="Amiri"/>
          <w:color w:val="111111"/>
          <w:sz w:val="28"/>
          <w:sz w:val="28"/>
          <w:szCs w:val="28"/>
          <w:rtl w:val="true"/>
          <w:lang w:bidi="ar-SA"/>
        </w:rPr>
        <w:t>أيضا مطلقا، فارتكاب الصغيرة أيضا قادح فيها و لو مع عدم الإصرار أو لا؟ كما هو المشهور شهرة كادت تبلغ الإجماع، حيث يعتبرون الإصرار مع الصغيرة، بل لم نقف على مصرّح بالأوّل في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القول به من إطلاق عبائر جماعة من القدماء كالقاضي و أبي الصلاح و ابن إدريس و المفيد </w:t>
      </w:r>
      <w:r>
        <w:rPr>
          <w:rStyle w:val="FootnoteAnchor"/>
          <w:rtl w:val="true"/>
        </w:rPr>
        <w:footnoteReference w:id="59"/>
      </w:r>
      <w:r>
        <w:rPr>
          <w:rFonts w:ascii="Amiri" w:hAnsi="Amiri" w:eastAsia="Amiri" w:cs="Amiri"/>
          <w:color w:val="111111"/>
          <w:sz w:val="28"/>
          <w:sz w:val="28"/>
          <w:szCs w:val="28"/>
          <w:rtl w:val="true"/>
          <w:lang w:bidi="ar-SA"/>
        </w:rPr>
        <w:t>لتعبيرهم باجتناب القبائح و عدم ارتكاب القبيح و الورع عن محارم اللّه، المتناول بإطلاق هذه الألفاظ لكلّ ذنب كبيرة أو صغيرة، و قد سمعت عبارات من عدا المفيد، و أمّا هو فعبارته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من كان معروفا بالدين و 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لأجل ظهور هذه العبارات قد يجعل المسألة ذات قولين، و نسب القول الأوّل إلى هؤلاء المذكورين و إلى الشيخ الطبرسي في مجمع البيان </w:t>
      </w:r>
      <w:r>
        <w:rPr>
          <w:rStyle w:val="FootnoteAnchor"/>
          <w:rtl w:val="true"/>
        </w:rPr>
        <w:footnoteReference w:id="60"/>
      </w:r>
      <w:r>
        <w:rPr>
          <w:rFonts w:ascii="Amiri" w:hAnsi="Amiri" w:eastAsia="Amiri" w:cs="Amiri"/>
          <w:color w:val="111111"/>
          <w:sz w:val="28"/>
          <w:sz w:val="28"/>
          <w:szCs w:val="28"/>
          <w:rtl w:val="true"/>
          <w:lang w:bidi="ar-SA"/>
        </w:rPr>
        <w:t xml:space="preserve">و إلى الشيخ في العدّة </w:t>
      </w:r>
      <w:r>
        <w:rPr>
          <w:rStyle w:val="FootnoteAnchor"/>
          <w:rtl w:val="true"/>
        </w:rPr>
        <w:footnoteReference w:id="61"/>
      </w:r>
      <w:r>
        <w:rPr>
          <w:rFonts w:ascii="Amiri" w:hAnsi="Amiri" w:eastAsia="Amiri" w:cs="Amiri"/>
          <w:color w:val="111111"/>
          <w:sz w:val="28"/>
          <w:sz w:val="28"/>
          <w:szCs w:val="28"/>
          <w:rtl w:val="true"/>
          <w:lang w:bidi="ar-SA"/>
        </w:rPr>
        <w:t>حيث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من لم يذنب أو يذنب و يتوب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إذ ليس فيه إلّا الدلالة من حيث المفهوم على أنّ من يذنب و لا</w:t>
      </w:r>
    </w:p>
    <w:p>
      <w:pPr>
        <w:pStyle w:val="BookText"/>
        <w:rPr/>
      </w:pPr>
      <w:r>
        <w:rPr>
          <w:rFonts w:ascii="Amiri" w:hAnsi="Amiri" w:eastAsia="Amiri" w:cs="Amiri"/>
          <w:color w:val="111111"/>
          <w:sz w:val="28"/>
          <w:sz w:val="28"/>
          <w:szCs w:val="28"/>
          <w:rtl w:val="true"/>
          <w:lang w:bidi="ar-SA"/>
        </w:rPr>
        <w:t>يتوب ليس عدلا، و هذا ليس بصريح و لا ظاهر في اختيار القول المذكور، لجواز ابتنائه على القول بكون فعل الصغيرة مع عدم التوبة عنها إصرارا على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نظر آخر في نسبة القول المذكور إلى الجماعة، لجواز ابتنائه منهم على أمر موضوعيّ، و هو كون كلّ ذنب كبيرة و عدم انقسام الذنوب إليها و إلى الصغيرة كما نسب القول بذلك إليهم، و ستعرف التصريح به في كلام ابن إدريس و محكي الطبرسي فيؤول كلامهم حينئذ إلى قدح الكبيرة في العدالة، و هذا ينفي الخلاف في الكبرى، و النزاع في الصغرى أمر آخر لا دخل له فيما نحن فيه، إلّا أن يدّعى القول بعدم الفرق بينهما حكما من بعض القائلين بالفرق بينهما موضوعا، أو يخرج من الخلاف في الصغرى نزاع كبروي، بإسقاط عنواني الكبيرة و الصغيرة، و يعبّر عن عنوان المسألة بأنّه هل يقدح كلّ ذنب في العدالة و لو مع عدم الإصرار أو لا، بل يفرّق بين الذنوب بكون بعضها قادحا و هو المسمّى بالكبيرة و بعضها غير قادح و هو المسمّى بالصغيرة على المشهور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للأوّل منهما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المدّعى كونها قطعيّة بالقياس إلى فعل منافيات المروّة، فإنّه إذا كان قادحا في العدالة مع كونه مباحا، فلأن يكون فعل الصغيرة قادحا طريق الأولويّة لكونه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الاجتناب عمّا ينافي المروّة إذا اعتبر في معنى العدالة شرعا مع عدم كونه معصية، فلا بد و ان يعتبر الاجتناب عن الصغيرة فيها بطريق اولى لكونها معصية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آية النبإ </w:t>
      </w:r>
      <w:r>
        <w:rPr>
          <w:rStyle w:val="FootnoteAnchor"/>
          <w:rtl w:val="true"/>
        </w:rPr>
        <w:footnoteReference w:id="62"/>
      </w:r>
      <w:r>
        <w:rPr>
          <w:rFonts w:ascii="Amiri" w:hAnsi="Amiri" w:eastAsia="Amiri" w:cs="Amiri"/>
          <w:color w:val="111111"/>
          <w:sz w:val="28"/>
          <w:sz w:val="28"/>
          <w:szCs w:val="28"/>
          <w:rtl w:val="true"/>
          <w:lang w:bidi="ar-SA"/>
        </w:rPr>
        <w:t>القاضي بعدم قبول نبأ الفاسق الا بعد التبين لشرعا مع عدم كونه معصية، فلا بد و ان يعتبر الاجتناب عن الصغيرة فيها بطريق اولى لكونها معصية و لا ريب أنّ الشهادة نبأ، و فاعل الصغيرة فاسق، فإنّ الفاسق لغة و عرفا من خرج عن طاعة اللّه عزّ و جلّ، و كما أنّ فعل الكبيرة خروج عن طاعة اللّه فكذلك فعل الصغيرة، لتساويهما في مخالفة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وَ لٰا تَرْكَنُوا إِلَى الَّذِينَ ظَلَمُوا </w:t>
      </w:r>
      <w:r>
        <w:rPr>
          <w:rStyle w:val="FootnoteAnchor"/>
          <w:rtl w:val="true"/>
        </w:rPr>
        <w:footnoteReference w:id="63"/>
      </w:r>
      <w:r>
        <w:rPr>
          <w:rFonts w:ascii="Amiri" w:hAnsi="Amiri" w:eastAsia="Amiri" w:cs="Amiri"/>
          <w:color w:val="111111"/>
          <w:sz w:val="28"/>
          <w:sz w:val="28"/>
          <w:szCs w:val="28"/>
          <w:rtl w:val="true"/>
          <w:lang w:bidi="ar-SA"/>
        </w:rPr>
        <w:t>فإنّ الركون هو الميل القليل إلى الشي‌ء، و الظلم وضع الشي‌ء على غير مستحقّه، و فاعل الصغيرة ظالم لنفسه فلا يجوز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رواية ابن أبي يعفور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الصغيرة ليس متستّرا و لا ساترا لجميع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صالح بن علقمة الآتية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تره بعينك يرتكب ذنبا أو لم يشهد عليه الشاهدان فهو من أهل العدالة و الستر و شهادته مقبولة و إن كان في نفسه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النكرة في سياق النفي تفيد العموم، فتعمّ الصغائر و كلّ ذنب، أو أنّه بالمفهوم يدلّ على أنّ من تره بعينك يرتكب ذنبا فليس من أهل العدالة، و إطلاق الذنب يعمّ الصغيرة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ما ترى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المروّة معتبرة في العدالة أوّل المسألة، و على القول بالاعتبار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معتبرة في صحّة عدالة الشاهد، على معنى ترتّب الآثار الشرعية عليها لا في مفهوم العدالة، بل لا يبعد القول بكونها معتبرة في طريق العدالة، و هو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بطريقيّته من باب الظنّ الشخصي أو الظنّ النوعي أو من باب التعبّد، لأنّ العمدة من دليل اعتبارها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العيوب على ما يعمّ العيوب الشرعيّة و العيوب العرفيّة، و هذا على ما أشرنا إليه و ستعرف مفصّلا طريق للعدالة، و معنى اعتبارها في الطّريق أنّه بدونها لا يفيد الظنّ الشخصي بوجود الملكة الرادعة، و لا أنّه بحيث لو خلّي و طبعه يفيده، و لا أنّه ممّا يتعبّد به شرعا في</w:t>
      </w:r>
    </w:p>
    <w:p>
      <w:pPr>
        <w:pStyle w:val="BookText"/>
        <w:rPr/>
      </w:pPr>
      <w:r>
        <w:rPr>
          <w:rFonts w:ascii="Amiri" w:hAnsi="Amiri" w:eastAsia="Amiri" w:cs="Amiri"/>
          <w:color w:val="111111"/>
          <w:sz w:val="28"/>
          <w:sz w:val="28"/>
          <w:szCs w:val="28"/>
          <w:rtl w:val="true"/>
          <w:lang w:bidi="ar-SA"/>
        </w:rPr>
        <w:t>الحكم بوجودها و ترتيب آثارها على من جهل حاله من حيث وجودها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آية النبإ </w:t>
      </w:r>
      <w:r>
        <w:rPr>
          <w:rStyle w:val="FootnoteAnchor"/>
          <w:rtl w:val="true"/>
        </w:rPr>
        <w:footnoteReference w:id="64"/>
      </w:r>
      <w:r>
        <w:rPr>
          <w:rFonts w:ascii="Amiri" w:hAnsi="Amiri" w:eastAsia="Amiri" w:cs="Amiri"/>
          <w:color w:val="111111"/>
          <w:sz w:val="28"/>
          <w:sz w:val="28"/>
          <w:szCs w:val="28"/>
          <w:rtl w:val="true"/>
          <w:lang w:bidi="ar-SA"/>
        </w:rPr>
        <w:t>تفيد حكما للفاسق، و من المستحيل إحراز ذلك الموضوع بنفس تلك الآية، فلا فائدة في توسيط الاستدلال بها، بل العادل و الفاسق موضوعان متقابلان رتّب عليهما الشارع أحكاما متقابلة، فإذا شكّ في اعتبار قيد في مفهوم الأوّل شرعا أوجب ذلك وقوع الشكّ في اعتبار خلافه في مفهوم الثاني، فإذا استدل على دخول اجتناب الصغائر أيضا في مفهوم العدالة بما اشتهر من أنّ الفاسق من خرج عن طاعة اللّه لم يكن للآية دخل في ذلك الاستدلال أصلا، و مع هذا فيتطرّق المنع إلى كون الفاسق لمطلق من خرج عن طاعة اللّه و لو بارتكاب صغيرة،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كون العدالة بحسب الشرع هي الاستقامة على جادّة الشريعة و عدم الانحراف منها على وجه عام و هو مجانبة كلّ ذنب، لا على وجه خاصّ و هو مجانبة خصوص الكبائر، و الشكّ في كون العادل لأيّ المفهومين يسري إلى الشكّ في كون الفاسق لأيّ المفهومين، من الخروج عن طاعة اللّه على وجه عام أو الخروج عنها على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المتبادر من الظلم في قوله تعالى وَ لٰا تَرْكَنُوا إِلَى الَّذِينَ ظَلَمُوا </w:t>
      </w:r>
      <w:r>
        <w:rPr>
          <w:rStyle w:val="FootnoteAnchor"/>
          <w:rtl w:val="true"/>
        </w:rPr>
        <w:footnoteReference w:id="65"/>
      </w:r>
      <w:r>
        <w:rPr>
          <w:rFonts w:ascii="Amiri" w:hAnsi="Amiri" w:eastAsia="Amiri" w:cs="Amiri"/>
          <w:color w:val="111111"/>
          <w:sz w:val="28"/>
          <w:sz w:val="28"/>
          <w:szCs w:val="28"/>
          <w:rtl w:val="true"/>
          <w:lang w:bidi="ar-SA"/>
        </w:rPr>
        <w:t>هو الظلم على الغير، فالآية في شأن سلاطين الجور، و لذا روي عن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يأتي السلطان فيحبّ بقاءه إلى أن يدخل يده كيسه فيعطيه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سلّم كون المراد منه الظالم على نفسه فالمتبادر منه أهل الكفر و الشرك أو الخوض في الكبائر، فعن ابن عباس وَ لٰا تَرْكَنُوا إِلَى الَّذِينَ ظَلَمُوا أي لا تميلوا إلى المشركين في شي‌ء من دينكم </w:t>
      </w:r>
      <w:r>
        <w:rPr>
          <w:rStyle w:val="FootnoteAnchor"/>
          <w:rtl w:val="true"/>
        </w:rPr>
        <w:footnoteReference w:id="67"/>
      </w:r>
      <w:r>
        <w:rPr>
          <w:rFonts w:ascii="Amiri" w:hAnsi="Amiri" w:eastAsia="Amiri" w:cs="Amiri"/>
          <w:color w:val="111111"/>
          <w:sz w:val="28"/>
          <w:sz w:val="28"/>
          <w:szCs w:val="28"/>
          <w:rtl w:val="true"/>
          <w:lang w:bidi="ar-SA"/>
        </w:rPr>
        <w:t>، 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تداهنوا الظلمة </w:t>
      </w:r>
      <w:r>
        <w:rPr>
          <w:rStyle w:val="FootnoteAnchor"/>
          <w:rtl w:val="true"/>
        </w:rPr>
        <w:footnoteReference w:id="68"/>
      </w:r>
      <w:r>
        <w:rPr>
          <w:rFonts w:ascii="Amiri" w:hAnsi="Amiri" w:eastAsia="Amiri" w:cs="Amiri"/>
          <w:color w:val="111111"/>
          <w:sz w:val="28"/>
          <w:sz w:val="28"/>
          <w:szCs w:val="28"/>
          <w:rtl w:val="true"/>
          <w:lang w:bidi="ar-SA"/>
        </w:rPr>
        <w:t>، و المداهنة المساهلة و ترك المناصحة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حديث الباقر عليه السّلام حيث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تعالى إلى شعيب النبي أنّي معذّب من قومك مائة ألف، أربعين ألفا من</w:t>
      </w:r>
    </w:p>
    <w:p>
      <w:pPr>
        <w:pStyle w:val="BookText"/>
        <w:rPr/>
      </w:pPr>
      <w:r>
        <w:rPr>
          <w:rFonts w:ascii="Amiri" w:hAnsi="Amiri" w:eastAsia="Amiri" w:cs="Amiri"/>
          <w:color w:val="111111"/>
          <w:sz w:val="28"/>
          <w:sz w:val="28"/>
          <w:szCs w:val="28"/>
          <w:rtl w:val="true"/>
          <w:lang w:bidi="ar-SA"/>
        </w:rPr>
        <w:t>شرارهم، و 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الأشرار فما بال الأخيار، فأوحى اللّه إليه داهنوا أهل المعاصي و لم يغضبوا لغضبي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الركون إلى الظالمين المنهيّ عنه هو الدخول معهم في ظلمهم و إظهار الرضاء بفعلهم و إظهار موالاتهم، فأمّا الدخول عليهم و مخالطتهم و معاشرتهم فجائز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الستر و العفاف و كفّ الجوارح الأربع و إن كانا بإطلاقهما يعمّان جميع الذّنوب، غير أنّ وصف الكبيرة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ثالث المعرّفات بقرينة ما ستعرفه من انقسام الذنوب إلى الكبائر و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احترازيّ، فينهض ذلك لتقييدهما بالكبائر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 الاحتراز إن كان لمفهوم الوصف فهو غير حجّة، و إن كان لمفهوم الحدّ فيعارضه مفهوم الحدّ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تعريف العدالة باجتناب الكبائر يدلّ مفهوما على عدم اعتبار اجتناب الصغائر فيها مطلقا، سواء كانت ناشئة من الجوارح الأربع أو من غيرها، فتعريفها بكفّ الجوارح الأربع عن المعاصي الناشئة منها يدلّ مفهوما على عدم اعتبار المعاصي الأخر فيها، كبيرة كانت أو صغيرة، و مفهوم كلّ يعارض منطوق الآخر، فيتعارض التعريفان منطوقا و مفهوما في الصغائر الناشئة من الجوارح الأربع و في الكبائر الناشئة من غيرها، و لو لا اعتبار المفهومين لم يكن بين منطوقيهما تعارض كما هو واضح، فلا بدّ في علاج التعارض، إمّا من إلغاء المفهومين المستلزم للأخذ بعموم المنطوقين، أو من إعمال المفهومين المستلزم لتخصيص المنطوقين، أو من إعمال مفهوم كفّ الجوارح الأربع و إلغاء مفهوم اجتناب الكبائر المستلزمين لتخصيص منطوق الثاني و الأخذ بعموم منطوق الأوّل، أو من إعمال مفهوم الثاني و إلغاء مفهوم الأوّل المستلزمين لتخصيص منطوق الأوّل و الأخذ بعموم منطوق الثاني، و لعدم رجحان أحد هذه الوجوه على الآخر يسقط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مدخليّة اجتناب الصغائر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مضافا إلى أنّ ذلك يقضي أيضا بسقوط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 و 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مدخليّة اجتناب الصغائر في العدالة، بترجيح الوجه الأخير، لسلامته عن مخالفة الإجماع على عدم الفرق في الاعتبار، أو عدم الاعتبار بسيطا أو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قضيّة الوجه الأوّل كون العدالة عبارة عن اجتناب المعاصي الناشئة من الجوارح الأربع كبيرة و صغيرة و اجتناب الكبائر الناشئة من غيرها، و هو يخالف الإجماع على عدم الفرق في الصغائر بين ما ينشأ من الجوارح الأربع و ما ينشأ من غيرها، فكلّ من قال بعدم اعتبار ما ينشأ من غيرها في العدالة قال بعدم اعتبار ما ينشأ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الوجه الثاني كونها عبارة عن اجتناب الكبائر الناشئة من الجوارح الأربع خاصّة، و هو يخالف الإجماع البسيط في الاعتبار بين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الوجه الثالث كونها عبارة عن اجتناب المعاصي الناشئة من الجوارح الأربع خاصّة كبيرة و صغيرة، و هو يخالف الإجماع على عدم الفرق بين الكبائر في الاعتبار و الإجماع على عدم الفرق بين الصغائر في عدم الاعتبار، غير أنّ الإجماع الأوّل بسيط و الإجماع الثاني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الوجه الرابع كونها عبارة عن اجتناب الكبائر خاصّة، و لا مخالفة فيه لإجماع لا بسيطا و لا مركبا من حيث عدم الفرق بين الكبائر في الاعتبار، و لا بين الصغائر في عدم الاعتبار، فتعيّن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قيام مرجّح آخر للوجه الأخير و هو ظهور العطف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 هو يقضي بكون التعريف باجتناب الكبائر بيانا لتعريفها بكفّ الجوارح الأربع، و قضيّة بيانية ذلك تطرق التصرّف في المبيّن بتخصيص منطوقه و إلغاء مفهومه، فليتأمّل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على ذلك كلّه أن يكون ساترا</w:t>
      </w:r>
    </w:p>
    <w:p>
      <w:pPr>
        <w:pStyle w:val="BookText"/>
        <w:rPr/>
      </w:pPr>
      <w:r>
        <w:rPr>
          <w:rFonts w:ascii="Amiri" w:hAnsi="Amiri" w:eastAsia="Amiri" w:cs="Amiri"/>
          <w:color w:val="111111"/>
          <w:sz w:val="28"/>
          <w:sz w:val="28"/>
          <w:szCs w:val="28"/>
          <w:rtl w:val="true"/>
          <w:lang w:bidi="ar-SA"/>
        </w:rPr>
        <w:t>لجميع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دفعه بالتزام تخصيصه أيضا بالمفهوم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التعارض بينهما، لتعدّد موضوعيهما، لكون أحدهما متعرّضا لبيان نفس العدالة و الآخر متعرّضا لبيان دليلها، و إعمالهما معا يوجب التفكيك بين الدليل و المدلول، بكون الأوّل ما أخذ فيه كونه ساترا للصغائر أيضا و الثاني ما لم يؤخذ فيه اجتناب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هذا الإشكال أيضا بأنّ التفكيك المذكور ممّا لا ضير فيه، لأنّ اللازم من ذلك عدم قدح صدور الصغيرة من دون ظهور في العدالة الواقعيّة، و قدح ظهور صدورها في الطريق المجعول لها، على معنى عدم كشف كونه ساترا للكبائر فقط عن وجود صفة العدالة في الواقع، لا كشفه عن عدم وجودها في الواقع، أو على معنى أنّه مع عدم كونه ساترا للصغائر لا طريق يتعبّد به شرعا لإجراء أحكام العدالة، لأنّ الطريق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المجموع من ستر الكبائر و ستر الصغائر، و يظهر الثمرة فيما لو ظهر وجود صفة العدالة في الواقع بطريق آخر علميّ أو غير علميّ، فلا يلزم من عدم انعقاد الطريق المذكور سقوط اعتبار ذي الطريق إذا استكشف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إجماع مركّب بين الطريق و 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بعدم قدح صدور الصغيرة في العدالة في الواقع قال بعدم قدح ظهورها أيضا في طريقها، و كلّ من قال بقدح ظهورها في الطريق قال بقدح صدورها في العدالة في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تخصيص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ساترا لجميع عيوبه بستر الكبائر، فلا إشكال أيضا، إلّا أنّ حصول هذا الإجماع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وضوح حال سند الرواية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للتخصيص بما عرفت من مفهوم الحدّ في رواية ابن أبي يعفور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بجميع ما قرّرناه من أجوبة الوجوه المذكورة ظهر أنّ الأقوى ما هو المشهور</w:t>
      </w:r>
    </w:p>
    <w:p>
      <w:pPr>
        <w:pStyle w:val="BookText"/>
        <w:rPr/>
      </w:pPr>
      <w:r>
        <w:rPr>
          <w:rFonts w:ascii="Amiri" w:hAnsi="Amiri" w:eastAsia="Amiri" w:cs="Amiri"/>
          <w:color w:val="111111"/>
          <w:sz w:val="28"/>
          <w:sz w:val="28"/>
          <w:szCs w:val="28"/>
          <w:rtl w:val="true"/>
          <w:lang w:bidi="ar-SA"/>
        </w:rPr>
        <w:t>المنصور من عدم كون ترك الصغيرة من غير إصرار معتبرا في مفهوم العدالة و عدم كون فعلها قادحا فيها، و العمدة في دليله ما عرفت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ما عرفت من دلالته باعتبار المفهوم على نفي مدخليّة ما عدا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له بالأصل الاستصحابي الموضوعيّ و الحكميّ معا في العدل المجتنب للكبائر و الصغائر بأسرها، الجاري عليه أحكام العدالة بأجمعها إذا صدر منه صغيرة، فإنّه يوجب الشكّ في بقاء عدالته كما يوجب الشك في بقاء أحكامه المترتّبة عليها، فيستصحب كلّ منهما، و الأوّل استصحاب موضوعيّ و الثّاني استصحاب حكميّ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باستصحابي الفسق و أحكامه في عكس الفرض، و عدم تعرّض الاستصحاب للواقع موضوعا و حكما كسائر الأصول العلميّة التي لا تعرّض فيها للواقع لدخول الشكّ في موضوعاتها، و الكلام إنّما هو في تشخيص مفهوم العدالة حسبما هو عند الشارع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فساد الوضع و عدم كون الاستصحاب ها هنا في مجراه، لعدم شكّ في البقاء و الارتفاع من جهة الشكّ في المقتضي أو المانع، بل هو من الشكّ في صدق لفظ لإجماله المفهومي باعتبار تردّده في ظاهر النظر بين أمرين، يلازم أحدهما صدقه على وجه و الآخر عدم صدقه كذلك، و هذا ممّا لا يندرج في أدلّة الاستصحاب بوجه فلا يكون المقام من مجاريه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نفس العدالة، و أمّا بالنسبة إلى أحكامها فيفسد استصحابها بامتناعه فيما لم يكن موضوع المستصحب محرزا، فإنّ العدالة التي هي موضوع الأحكام المترتّبة عليها حال صدور الصغيرة غير محرزة، و إلّا لم يحتج إلى استصحاب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يتمسّك أيضا باختلال النظم، بلزوم انسداد باب الشهادات و الحكومات، من كون فعل الصغيرة قادحا في العدالة، و كون ترك كلّ ذنب معتبرا فيها، للعلم الضروري بأنّه لم يسلم أحد من الذنب الغالب فيه فعل الصغيرة</w:t>
      </w:r>
      <w:r>
        <w:rPr>
          <w:rFonts w:eastAsia="Amiri" w:cs="Amiri" w:ascii="Amiri" w:hAnsi="Amiri"/>
          <w:color w:val="111111"/>
          <w:sz w:val="28"/>
          <w:szCs w:val="28"/>
          <w:rtl w:val="true"/>
          <w:lang w:bidi="ar-SA"/>
        </w:rPr>
        <w:t>.</w:t>
      </w:r>
      <w:bookmarkStart w:id="75" w:name="pg19659_263652"/>
    </w:p>
    <w:p>
      <w:pPr>
        <w:pStyle w:val="BookText"/>
        <w:rPr/>
      </w:pPr>
      <w:bookmarkEnd w:id="75"/>
      <w:r>
        <w:rPr>
          <w:rFonts w:ascii="Amiri" w:hAnsi="Amiri" w:eastAsia="Amiri" w:cs="Amiri"/>
          <w:color w:val="111111"/>
          <w:sz w:val="28"/>
          <w:sz w:val="28"/>
          <w:szCs w:val="28"/>
          <w:rtl w:val="true"/>
          <w:lang w:bidi="ar-SA"/>
        </w:rPr>
        <w:t>و هذا أيضا ضعيف، و إن كان لا يخلو عن تأييد، لإمكان منع الملازمة بعد مشروعيّة التوبة أو إمكان الواسطة، باختيار تفصيل ارتضاه الشيخ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مجتنبا للكبائر مواقعا للصغائر فإنّه يعتبر الأغلب من حاله، فإن كان الأغلب من حاله مجانبة المعاصي و كان يواقع ذلك نادرا قبلت شهادته، و إن كان الأغلب مواقعة المعاصي و اجتنابه لذلك نادرا لم تقبل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اعتبرنا الأغلب في الصغائر، لأنّه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تقبل شهادة من واقع اليسير من الصغائر أدّى ذلك إلى أن لا تقبل شهادة أحد، لأنّه لا أحد ينفكّ من مواقعة بعض المعاصي، هكذا نقله في السرائر </w:t>
      </w:r>
      <w:r>
        <w:rPr>
          <w:rStyle w:val="FootnoteAnchor"/>
          <w:rtl w:val="true"/>
        </w:rPr>
        <w:footnoteReference w:id="71"/>
      </w:r>
      <w:r>
        <w:rPr>
          <w:rFonts w:ascii="Amiri" w:hAnsi="Amiri" w:eastAsia="Amiri" w:cs="Amiri"/>
          <w:color w:val="111111"/>
          <w:sz w:val="28"/>
          <w:sz w:val="28"/>
          <w:szCs w:val="28"/>
          <w:rtl w:val="true"/>
          <w:lang w:bidi="ar-SA"/>
        </w:rPr>
        <w:t>إلّا أنّ مرجعه في وجه إلى القول بقدح الإصرار على الصغيرة دون فعلها بلا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منع الملازمة هو توسيط التوبة، و لذا طعن في السرائر على الشيخ فيما نقل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لم يذهب إليه رحمه اللّه إلّا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ذهب إليه أحد من أصحابنا، لأنّه لا صغائر عندنا في المعاصي إلّا بالإضافة إلى غيرها، و ما خرّجه و استدلّ به من أنّه يؤدّي ذلك إلى أن لا يقبل شهادة أحد، لأنّه لا أحد ينفكّ من مواقعة بعض المعاصي فغير واضح، لأنّه قادر على التوبة من تلك الصغيرة، فإذا تاب قبلت شهادته، و ليست التوبة ممّا يتعذّر على إنسان دون إنسان </w:t>
      </w:r>
      <w:r>
        <w:rPr>
          <w:rStyle w:val="FootnoteAnchor"/>
          <w:rtl w:val="true"/>
        </w:rPr>
        <w:footnoteReference w:id="72"/>
      </w:r>
      <w:r>
        <w:rPr>
          <w:rFonts w:ascii="IRNazanin" w:hAnsi="IRNazanin" w:eastAsia="IRNazanin"/>
          <w:color w:val="111111"/>
          <w:sz w:val="28"/>
          <w:sz w:val="28"/>
          <w:szCs w:val="28"/>
          <w:rtl w:val="true"/>
          <w:lang w:bidi="fa-IR"/>
        </w:rPr>
        <w:t>انتهى ما أردنا نقله</w:t>
      </w:r>
      <w:r>
        <w:rPr>
          <w:rFonts w:eastAsia="IRNazanin" w:cs="IRNazanin"/>
          <w:color w:val="111111"/>
          <w:sz w:val="28"/>
          <w:szCs w:val="28"/>
          <w:rtl w:val="true"/>
          <w:lang w:bidi="fa-IR"/>
        </w:rPr>
        <w:t>.</w:t>
      </w:r>
    </w:p>
    <w:p>
      <w:pPr>
        <w:pStyle w:val="Heading3"/>
        <w:numPr>
          <w:ilvl w:val="2"/>
          <w:numId w:val="1"/>
        </w:numPr>
        <w:rPr/>
      </w:pPr>
      <w:bookmarkStart w:id="76" w:name="__RefHeading___Toc1948278_2314609296"/>
      <w:bookmarkStart w:id="77" w:name="_Toc30"/>
      <w:bookmarkEnd w:id="76"/>
      <w:r>
        <w:rPr>
          <w:rtl w:val="true"/>
        </w:rPr>
        <w:t>المرحلة الثالثة</w:t>
      </w:r>
      <w:r>
        <w:rPr>
          <w:rtl w:val="true"/>
        </w:rPr>
        <w:t>:</w:t>
      </w:r>
      <w:bookmarkEnd w:id="77"/>
    </w:p>
    <w:p>
      <w:pPr>
        <w:pStyle w:val="Heading4"/>
        <w:numPr>
          <w:ilvl w:val="3"/>
          <w:numId w:val="1"/>
        </w:numPr>
        <w:rPr/>
      </w:pPr>
      <w:bookmarkStart w:id="78" w:name="__RefHeading___Toc1948280_2314609296"/>
      <w:bookmarkStart w:id="79" w:name="_Toc31"/>
      <w:bookmarkEnd w:id="78"/>
      <w:r>
        <w:rPr>
          <w:rtl w:val="true"/>
        </w:rPr>
        <w:t>اشارة</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التتبّع في كلمات الأصحاب يعطي إجماعهم على كون الإصرار على الصغيرة قادحا في العدالة و كون تركه معتبرا في مفهومها، من غير فرق فيه بين القائلين بانقسام المعاصي إلى الكبائر و الصغائر، و أهل القول بانحصارها في الكبائر كما لا يخفى، و لا ينافيه خلوّ كلام بعضهم عن ذكر الإصرار و الاقتصار فيه على ذكر الكبائر، لجواز كونه بناء منه على اندراجه في الكبيرة كما احتمله صاحب مفتاح الكرامة في كلام العلّامة في نهاية الأصول و كلام صاحب المحصول، حيث لم يذكرا عند شرح العدالة الاجتناب عن الإصرار،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لعلّهما</w:t>
      </w:r>
    </w:p>
    <w:p>
      <w:pPr>
        <w:pStyle w:val="BookText"/>
        <w:rPr/>
      </w:pPr>
      <w:r>
        <w:rPr>
          <w:rFonts w:ascii="Amiri" w:hAnsi="Amiri" w:eastAsia="Amiri" w:cs="Amiri"/>
          <w:color w:val="111111"/>
          <w:sz w:val="28"/>
          <w:sz w:val="28"/>
          <w:szCs w:val="28"/>
          <w:rtl w:val="true"/>
          <w:lang w:bidi="ar-SA"/>
        </w:rPr>
        <w:t xml:space="preserve">أدرجاه في الكبائر </w:t>
      </w:r>
      <w:r>
        <w:rPr>
          <w:rStyle w:val="FootnoteAnchor"/>
          <w:rtl w:val="true"/>
        </w:rPr>
        <w:footnoteReference w:id="73"/>
      </w:r>
      <w:r>
        <w:rPr>
          <w:rFonts w:ascii="Amiri" w:hAnsi="Amiri" w:eastAsia="Amiri" w:cs="Amiri"/>
          <w:color w:val="111111"/>
          <w:sz w:val="28"/>
          <w:sz w:val="28"/>
          <w:szCs w:val="28"/>
          <w:rtl w:val="true"/>
          <w:lang w:bidi="ar-SA"/>
        </w:rPr>
        <w:t xml:space="preserve">و في تحرير العلّامة الإجماع على قدحه فيها </w:t>
      </w:r>
      <w:r>
        <w:rPr>
          <w:rStyle w:val="FootnoteAnchor"/>
          <w:rtl w:val="true"/>
        </w:rPr>
        <w:footnoteReference w:id="74"/>
      </w:r>
      <w:r>
        <w:rPr>
          <w:rFonts w:ascii="Amiri" w:hAnsi="Amiri" w:eastAsia="Amiri" w:cs="Amiri"/>
          <w:color w:val="111111"/>
          <w:sz w:val="28"/>
          <w:sz w:val="28"/>
          <w:szCs w:val="28"/>
          <w:rtl w:val="true"/>
          <w:lang w:bidi="ar-SA"/>
        </w:rPr>
        <w:t xml:space="preserve">و في الذخيرة نفي الخلاف فيه </w:t>
      </w:r>
      <w:r>
        <w:rPr>
          <w:rStyle w:val="FootnoteAnchor"/>
          <w:rtl w:val="true"/>
        </w:rPr>
        <w:footnoteReference w:id="75"/>
      </w:r>
      <w:r>
        <w:rPr>
          <w:rFonts w:ascii="Amiri" w:hAnsi="Amiri" w:eastAsia="Amiri" w:cs="Amiri"/>
          <w:color w:val="111111"/>
          <w:sz w:val="28"/>
          <w:sz w:val="28"/>
          <w:szCs w:val="28"/>
          <w:rtl w:val="true"/>
          <w:lang w:bidi="ar-SA"/>
        </w:rPr>
        <w:t xml:space="preserve">و يظهر الجزم بكونه إجماعيّا من صاحب مفتاح الكرامة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بنقل عبارة التحرير مراعاة لبعض الفوائد،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شرط في قبول الشهادة، فلا تقبل شهادة الفاسق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العدالة كيفيّة راسخة في النفس تبعث على ملازمة التقوى و المروّة، و يحصل بالامتناع عن الكبائر و عن الإصرار على الصغائر أو الإكثار منها، و المراد بالكبائر كلّما توعد اللّه تعالى عليه النار كالزنا و القتل و اللواط و غصب الأموال المعصومة و شرب الخمر و عقوق الوالدين و الربا و قذف المحصنات المؤمنات، و أمّا الصغائر فإن داوم عليها أو وقعت منه في أكثر الأحوال ردّت شهادته إجماعا، و لو وقعت منه ندرة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العدالة لعدم الانفكاك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ابن إدريس ذلك و التجأ في التخلّص عن الإلزام إلى التوبة التي يمكن فعلها لكلّ أحد في كلّ وقت </w:t>
      </w:r>
      <w:r>
        <w:rPr>
          <w:rStyle w:val="FootnoteAnchor"/>
          <w:rtl w:val="true"/>
        </w:rPr>
        <w:footnoteReference w:id="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بالتخلّص و الإلزام إلى ما سمعت من عبارة السرائر في دفع احتجاج الشيخ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إثبات الحكم المذكور و هو قدح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الإجماع محصّلا و منقولا المعتضد بالشهرة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أمّا إثباته من جهة الأخبار ففي غاية الإشكال، لخلوّها صراحة بل ظهورا عن ذكره و بيان اعتبار ترك الإصرار في العدالة، إلّا بتوسيط مقدّمة أخرى و هي إثبات كون الإصرار على الصغيرة كبيرة، فيندرج في كلّما دلّ على اعتبار اجتناب الكبائر فيها من الإجماع و النص، و منه ما مرّ في صحيحة ابن أبي يعفور من تعريفها باجتناب الكبائر، و لا ينافيه وصف الكبائر فيها بالتي أوعد اللّه عليها النار، لجواز كون الإصرار على الصغيرة أيضا</w:t>
      </w:r>
    </w:p>
    <w:p>
      <w:pPr>
        <w:pStyle w:val="BookText"/>
        <w:rPr/>
      </w:pPr>
      <w:r>
        <w:rPr>
          <w:rFonts w:ascii="Amiri" w:hAnsi="Amiri" w:eastAsia="Amiri" w:cs="Amiri"/>
          <w:color w:val="111111"/>
          <w:sz w:val="28"/>
          <w:sz w:val="28"/>
          <w:szCs w:val="28"/>
          <w:rtl w:val="true"/>
          <w:lang w:bidi="ar-SA"/>
        </w:rPr>
        <w:t xml:space="preserve">ممّا أوعد اللّه عليه النار و لو في السنّة بلسان الرسول و إن لم يبلغ ذلك إلينا، و الذي لم يوعد عليه النار و لم يترتّب عليه عذاب لكونه مكفّرا و لو باجتناب الكبائر، إنّما هو فعل الصغيرة من دون إصرار كما هو محتمل قوله تعالى إِنْ تَجْتَنِبُوا كَبٰائِرَ مٰا تُنْهَوْنَ عَنْهُ نُكَفِّرْ عَنْكُمْ سَيِّئٰاتِكُمْ وَ نُدْخِلْكُمْ مُدْخَلًا كَرِيماً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الشأن بعد هذا البناء في إثبات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الإصرار على الصغيرة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مشايخنا من نفى الإشكال في ذلك </w:t>
      </w:r>
      <w:r>
        <w:rPr>
          <w:rStyle w:val="FootnoteAnchor"/>
          <w:rtl w:val="true"/>
        </w:rPr>
        <w:footnoteReference w:id="79"/>
      </w:r>
      <w:r>
        <w:rPr>
          <w:rFonts w:ascii="Amiri" w:hAnsi="Amiri" w:eastAsia="Amiri" w:cs="Amiri"/>
          <w:color w:val="111111"/>
          <w:sz w:val="28"/>
          <w:sz w:val="28"/>
          <w:szCs w:val="28"/>
          <w:rtl w:val="true"/>
          <w:lang w:bidi="ar-SA"/>
        </w:rPr>
        <w:t>و منهم أيضا من حكى عن مفتاح الكرامة و تحرير العلّامة نقل الإجماع عليه و عن الذخيرة نفي الخلاف فيه و إن كان للتأمّل فيه بل منعه مجال واضح، لكون ما في كلامهم من نقل الإجماع و نفي الخلاف على ما عثرنا عليه و قد سمعته إنّما هو في مسألة قدح الإصرار في العدالة، و هي غير مسألة كون الإصرار من الكبائر، إلّا أن يدّعى الإجماع على أنّ قدح الإصرار فيها لا جهة له إلّا كونه كبيرة و هو غير واضح، و ربّما يومئ إلى خلافه ما في كلام الأكثر في تفسيراتهم العدالة من عطف الإصرار على الصغائر على الاجتناب عن الكبائر، فإنّه ينبئ بالمغايرة و إلّا لوجب الاقتصار على الاجتناب عن الكبائر فقط، و لكنّه ليس نصّا فيها لقوّة احتمال كونه من عطف الخاصّ على العامّ، لخفاء فرديته له، فذكر عقيبه منعا لانصراف العامّ و هو الكبائر إلى ما عداه، و كيف كان فقد يجعل المسألة خلافيّة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الكبائر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الشهيد في القواعد إلى المشهور </w:t>
      </w:r>
      <w:r>
        <w:rPr>
          <w:rStyle w:val="FootnoteAnchor"/>
          <w:rtl w:val="true"/>
        </w:rPr>
        <w:footnoteReference w:id="80"/>
      </w:r>
      <w:r>
        <w:rPr>
          <w:rFonts w:ascii="Amiri" w:hAnsi="Amiri" w:eastAsia="Amiri" w:cs="Amiri"/>
          <w:color w:val="111111"/>
          <w:sz w:val="28"/>
          <w:sz w:val="28"/>
          <w:szCs w:val="28"/>
          <w:rtl w:val="true"/>
          <w:lang w:bidi="ar-SA"/>
        </w:rPr>
        <w:t>و لم يحضرنا القواعد لنلاحظ عبارته تحقيقا لصدق النسبة و كذبها، إلّا أنّ الأقوى على تقدير الخلاف هو القول الأوّل أخذا بظاهر عدّة من الروايات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مرسلا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صغيرة مع الإصرار و لا كبيرة مع الاستغفار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في حسنة ابن أبي عمير الآتية و 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و لا صغيرة مع الإصرار </w:t>
      </w:r>
      <w:r>
        <w:rPr>
          <w:rStyle w:val="FootnoteAnchor"/>
          <w:rtl w:val="true"/>
        </w:rPr>
        <w:footnoteReference w:id="82"/>
      </w:r>
      <w:r>
        <w:rPr>
          <w:rFonts w:ascii="Amiri" w:hAnsi="Amiri" w:eastAsia="Amiri" w:cs="Amiri"/>
          <w:color w:val="111111"/>
          <w:sz w:val="28"/>
          <w:sz w:val="28"/>
          <w:szCs w:val="28"/>
          <w:rtl w:val="true"/>
          <w:lang w:bidi="ar-SA"/>
        </w:rPr>
        <w:t>و في رواية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صغيرة مع الإصرار و لا كبيرة مع الاستغفار </w:t>
      </w:r>
      <w:r>
        <w:rPr>
          <w:rStyle w:val="FootnoteAnchor"/>
          <w:rtl w:val="true"/>
        </w:rPr>
        <w:footnoteReference w:id="83"/>
      </w:r>
      <w:r>
        <w:rPr>
          <w:rFonts w:ascii="Amiri" w:hAnsi="Amiri" w:eastAsia="Amiri" w:cs="Amiri"/>
          <w:color w:val="111111"/>
          <w:sz w:val="28"/>
          <w:sz w:val="28"/>
          <w:szCs w:val="28"/>
          <w:rtl w:val="true"/>
          <w:lang w:bidi="ar-SA"/>
        </w:rPr>
        <w:t>و عن ابن بابويه بإسناد ضعيف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تصغّروا شيئا من الشر و إن صغر في أعينكم، و لا تكثروا شيئا من الخير و إن كثر في أعينكم، فإنّه لا كبيرة مع الاستغفار و لا صغيرة مع الإصرار </w:t>
      </w:r>
      <w:r>
        <w:rPr>
          <w:rStyle w:val="FootnoteAnchor"/>
          <w:rtl w:val="true"/>
        </w:rPr>
        <w:footnoteReference w:id="84"/>
      </w:r>
      <w:r>
        <w:rPr>
          <w:rFonts w:ascii="Amiri" w:hAnsi="Amiri" w:eastAsia="Amiri" w:cs="Amiri"/>
          <w:color w:val="111111"/>
          <w:sz w:val="28"/>
          <w:sz w:val="28"/>
          <w:szCs w:val="28"/>
          <w:rtl w:val="true"/>
          <w:lang w:bidi="ar-SA"/>
        </w:rPr>
        <w:t xml:space="preserve">بناء على رجوع النفي في الصغيرة إلى وصف الصغيريّة و إن كان في الكبيرة راجعا إلى الذات حكما فإنّها بعد الاستغفار الرافع لها الموجب للعفو عنها تصير كما لو لم توجد في الخارج، كما فهمه بعض مشايخنا في رسالته في العدالة </w:t>
      </w:r>
      <w:r>
        <w:rPr>
          <w:rStyle w:val="FootnoteAnchor"/>
          <w:rtl w:val="true"/>
        </w:rPr>
        <w:footnoteReference w:id="85"/>
      </w:r>
      <w:r>
        <w:rPr>
          <w:rFonts w:ascii="Amiri" w:hAnsi="Amiri" w:eastAsia="Amiri" w:cs="Amiri"/>
          <w:color w:val="111111"/>
          <w:sz w:val="28"/>
          <w:sz w:val="28"/>
          <w:szCs w:val="28"/>
          <w:rtl w:val="true"/>
          <w:lang w:bidi="ar-SA"/>
        </w:rPr>
        <w:t>، و يمكن رجوعه فيهما إلى الحكم، فيكون لنفي الصفة لا لنفي الذات، فإنّ من حكم الصغيرة أنها تكفّر باجتناب الكبائر، و من حكم الكبيرة أنّها يعاقب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الحكمان يرتفعان بالإصرار و الاستغفار، فإنّ الأوّل يعاقب عليه بالإصرار كالكبيرة بلا استغفار، و الثاني يعفى عنه بالاستغفار كالصغيرة بلا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يصعب في الأنظار فهم معنى الحديث الأخير حيث أنّه صلّى اللّه عليه و آله و سلّم نهى عن استصغار الذنب و استحقاره، ثمَّ علّله بأنّه لا كبيرة مع الاستغفار و لا صغيرة مع الإصرار، فإنّ هذه العلّة في ظاهر النظر و لا سيّما جزئها الأوّل لا ترتبط بالنهي المعلّل بها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توجيهه، بأنّ استصغار الذنب و لو كان صغيرا في النظر من لوازمه الغالبة أنّه يدعو صاحبه إلى الإصرار عليه ثمَّ بعد الإصرار إلى عدم الاستغفار عنه، و الأوّل يوجب صيرورته كبيرة، و الثاني يوجب العقاب عليه، فنهيه صلّى اللّه عليه و آله و سلّم حثّ على الامتناع عن الاستصغار، و هو يتأتّى تارة بمجانبة الإصرار و اخرى بملازمة</w:t>
      </w:r>
      <w:bookmarkStart w:id="80" w:name="pg19659_263656"/>
    </w:p>
    <w:p>
      <w:pPr>
        <w:pStyle w:val="BookText"/>
        <w:rPr/>
      </w:pPr>
      <w:bookmarkEnd w:id="80"/>
      <w:r>
        <w:rPr>
          <w:rFonts w:ascii="Amiri" w:hAnsi="Amiri" w:eastAsia="Amiri" w:cs="Amiri"/>
          <w:color w:val="111111"/>
          <w:sz w:val="28"/>
          <w:sz w:val="28"/>
          <w:szCs w:val="28"/>
          <w:rtl w:val="true"/>
          <w:lang w:bidi="ar-SA"/>
        </w:rPr>
        <w:t>الاستغفار على تقدير بعث النفس الأمّارة على الإصرار، و الحث المستفاد من النهي ينحلّ إلى طلب الأمرين و الإرشاد إليهما معا، تعليلا لأوّلهما بأنّه لا صغيرة مع الإصرار، و ثانيهما بأنّه لا كبيرة مع الاستغفار على طريقة اللّف و النشر المشوّش، مع كون الثاني علّة لترك الإصرار و الأوّل علّة لفعل الاستغفار، و لعلّ النكتة في تقديمه مع كون معلوله مؤخّرا في الرتبة كون التائب عن الكبيرة أفضل من فاعل الصغيرة بلا توبة و إن اشتركا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البحار عن تحف العقول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الإصرار على الذنب أمن من مكر اللّه، و لا يأمن من مكر اللّه إلّا القوم الخاسرون </w:t>
      </w:r>
      <w:r>
        <w:rPr>
          <w:rStyle w:val="FootnoteAnchor"/>
          <w:rtl w:val="true"/>
        </w:rPr>
        <w:footnoteReference w:id="86"/>
      </w:r>
      <w:r>
        <w:rPr>
          <w:rFonts w:ascii="Amiri" w:hAnsi="Amiri" w:eastAsia="Amiri" w:cs="Amiri"/>
          <w:color w:val="111111"/>
          <w:sz w:val="28"/>
          <w:sz w:val="28"/>
          <w:szCs w:val="28"/>
          <w:rtl w:val="true"/>
          <w:lang w:bidi="ar-SA"/>
        </w:rPr>
        <w:t>بضميمة ما ورد في غير واحد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الأمن من مكر اللّه كاليأس من روح اللّه من الكبائر </w:t>
      </w:r>
      <w:r>
        <w:rPr>
          <w:rStyle w:val="FootnoteAnchor"/>
          <w:rtl w:val="true"/>
        </w:rPr>
        <w:footnoteReference w:id="87"/>
      </w:r>
      <w:r>
        <w:rPr>
          <w:rFonts w:ascii="Amiri" w:hAnsi="Amiri" w:eastAsia="Amiri" w:cs="Amiri"/>
          <w:color w:val="111111"/>
          <w:sz w:val="28"/>
          <w:sz w:val="28"/>
          <w:szCs w:val="28"/>
          <w:rtl w:val="true"/>
          <w:lang w:bidi="ar-SA"/>
        </w:rPr>
        <w:t>كما ستسمع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رواية الفضل بن شاذان عن الرضا عليه السّلام </w:t>
      </w:r>
      <w:r>
        <w:rPr>
          <w:rStyle w:val="FootnoteAnchor"/>
          <w:rtl w:val="true"/>
        </w:rPr>
        <w:footnoteReference w:id="88"/>
      </w:r>
      <w:r>
        <w:rPr>
          <w:rFonts w:ascii="Amiri" w:hAnsi="Amiri" w:eastAsia="Amiri" w:cs="Amiri"/>
          <w:color w:val="111111"/>
          <w:sz w:val="28"/>
          <w:sz w:val="28"/>
          <w:szCs w:val="28"/>
          <w:rtl w:val="true"/>
          <w:lang w:bidi="ar-SA"/>
        </w:rPr>
        <w:t>الآتية المتكفّلة لتعداد الكبائر من عدّه الإصرار على الذنوب منها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948282_2314609296"/>
      <w:bookmarkStart w:id="82" w:name="_Toc32"/>
      <w:bookmarkEnd w:id="81"/>
      <w:r>
        <w:rPr>
          <w:rtl w:val="true"/>
        </w:rPr>
        <w:t>في بيان معنى الإصرار</w:t>
      </w:r>
      <w:r>
        <w:rPr>
          <w:rtl w:val="true"/>
        </w:rPr>
        <w:t>:</w:t>
      </w:r>
      <w:bookmarkEnd w:id="82"/>
    </w:p>
    <w:p>
      <w:pPr>
        <w:pStyle w:val="BookText"/>
        <w:rPr/>
      </w:pPr>
      <w:r>
        <w:rPr>
          <w:rFonts w:ascii="Amiri" w:hAnsi="Amiri" w:eastAsia="Amiri" w:cs="Amiri"/>
          <w:color w:val="111111"/>
          <w:sz w:val="28"/>
          <w:sz w:val="28"/>
          <w:szCs w:val="28"/>
          <w:rtl w:val="true"/>
          <w:lang w:bidi="ar-SA"/>
        </w:rPr>
        <w:t>ثمَّ ينبغي التعرّض لبيان معنى الإصرار و الظاهر إطباق أئمة اللغة على كونه بمعنى اللزوم و المداومة، فعن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أصررت على الشي‌ء أدمت و قمت، و 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على الشي‌ء يصرّ إصرارا إذا لزمه و داومه، و عن الفيروزآبادي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أصرّ على الأمر لزم، و عن ابن فارس في المجمل قريب من ذلك، و ذكر الهروي في الغريبين ما يقرب منه مع معنى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لَمْ يُصِرُّوا عَلىٰ مٰا فَعَلُوا الإصرار الإقامة،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المضي على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بقاؤه في العرف على معناه اللغوي، و عليه يحمل إطلاقاته الواردة في كلام الشارع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وَ أَصَرُّوا وَ اسْتَكْبَرُوا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لَمْ يُصِرُّوا عَلىٰ مٰا فَعَلُوا </w:t>
      </w:r>
      <w:r>
        <w:rPr>
          <w:rStyle w:val="FootnoteAnchor"/>
          <w:rtl w:val="true"/>
        </w:rPr>
        <w:footnoteReference w:id="90"/>
      </w:r>
      <w:r>
        <w:rPr>
          <w:rFonts w:ascii="Amiri" w:hAnsi="Amiri" w:eastAsia="Amiri" w:cs="Amiri"/>
          <w:color w:val="111111"/>
          <w:sz w:val="28"/>
          <w:sz w:val="28"/>
          <w:szCs w:val="28"/>
          <w:rtl w:val="true"/>
          <w:lang w:bidi="ar-SA"/>
        </w:rPr>
        <w:t xml:space="preserve">وَ كٰانُوا يُصِرُّونَ عَلَى الْحِنْثِ الْعَظِيمِ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فينبغي القطع بأنّه لو أذنب ثمَّ أتبعه بالتوبة و الاستغفار ثمَّ أوقعه ثانيا لم يكن مصرّا و إن فعل ذلك مرارا كما نصّ عليه جماعة، و هذا هو معنى الخبر 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فحوى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الاستغفار إذا كان رافعا للكبيرة فلأن يكون رافعا للصغيرة طريق الأولويّة، و يلزم من رفعها عدم صدق الإصرار معه و إن فعلها ثانيا، و كذا ما لو أذنب و أتبعه بقصد عدم العود و إن لم يكن على وجه التوبة و الاستغفار، و كذا ما لو أذنب و ذهل عن الاستغفار و قصد العود و عدمه و لم يعد، إذ لا يصدق الإصرار مع شي‌ء من ذلك عرفا و لا لغة، و إن كان قد يشكل ذلك بالنظر إلى إطلاق بعض الأخبار كإطلاق مفهوم ما تقدّم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من لم يستغفر، و منطوق قول أبي جعفر عليه السّلام في رواية جابر في قول اللّه تعالى وَ لَمْ يُصِرُّوا عَلىٰ مٰا فَعَلُوا وَ هُمْ يَعْلَمُونَ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الإصرار أن يذنب الذنب فلا يستغفر و لا يحدث نفسه بتوبة فذلك الإصرار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مقابلة الإصرار التوبة في حديث جنود العقل و الجهل </w:t>
      </w:r>
      <w:r>
        <w:rPr>
          <w:rStyle w:val="FootnoteAnchor"/>
          <w:rtl w:val="true"/>
        </w:rPr>
        <w:footnoteReference w:id="94"/>
      </w:r>
      <w:r>
        <w:rPr>
          <w:rFonts w:ascii="Amiri" w:hAnsi="Amiri" w:eastAsia="Amiri" w:cs="Amiri"/>
          <w:color w:val="111111"/>
          <w:sz w:val="28"/>
          <w:sz w:val="28"/>
          <w:szCs w:val="28"/>
          <w:rtl w:val="true"/>
          <w:lang w:bidi="ar-SA"/>
        </w:rPr>
        <w:t>حيث جعل التوبة من جنود العقل و الإصرار من 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حسنة ابن أبي عمير عن أبي الحسن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اللّه في النار إلّا أهل الكفر و الجحود و الضلال و الشرك، و من اجتنب الكبائر من المؤمنين لم يسأل عن الصغائر، قال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Style w:val="FootnoteAnchor"/>
          <w:rtl w:val="true"/>
        </w:rPr>
        <w:footnoteReference w:id="9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و سلّم فالشفاعة لمن تجب من المؤمنين </w:t>
      </w:r>
      <w:r>
        <w:rPr>
          <w:rStyle w:val="FootnoteAnchor"/>
          <w:rtl w:val="true"/>
        </w:rPr>
        <w:footnoteReference w:id="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و أمّا</w:t>
      </w:r>
    </w:p>
    <w:p>
      <w:pPr>
        <w:pStyle w:val="BookText"/>
        <w:rPr/>
      </w:pPr>
      <w:r>
        <w:rPr>
          <w:rFonts w:ascii="Amiri" w:hAnsi="Amiri" w:eastAsia="Amiri" w:cs="Amiri"/>
          <w:color w:val="111111"/>
          <w:sz w:val="28"/>
          <w:sz w:val="28"/>
          <w:szCs w:val="28"/>
          <w:rtl w:val="true"/>
          <w:lang w:bidi="ar-SA"/>
        </w:rPr>
        <w:t>المحسنون فما عليهم من سبيل،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و سلّم فكيف يكون الشفاعة لأهل الكبائر و اللّه تعالى يقول وَ لٰا يَشْفَعُونَ إِلّٰا لِمَنِ ارْتَضىٰ </w:t>
      </w:r>
      <w:r>
        <w:rPr>
          <w:rStyle w:val="FootnoteAnchor"/>
          <w:rtl w:val="true"/>
        </w:rPr>
        <w:footnoteReference w:id="97"/>
      </w:r>
      <w:r>
        <w:rPr>
          <w:rFonts w:ascii="Amiri" w:hAnsi="Amiri" w:eastAsia="Amiri" w:cs="Amiri"/>
          <w:color w:val="111111"/>
          <w:sz w:val="28"/>
          <w:sz w:val="28"/>
          <w:szCs w:val="28"/>
          <w:rtl w:val="true"/>
          <w:lang w:bidi="ar-SA"/>
        </w:rPr>
        <w:t>و من ارتكب الكبائر فليس بمرتضى؟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مؤمن يرتكب ذنبا إلّا ساءه ذلك و ندم عليه، و 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 ساءته سيّئته فهو مؤمن، فمن لم يندم على ذنب يرتكبه فليس بمؤمن فلم يجب له الشفاعة و كان ظالما، و اللّه تعالى يقول مٰا لِلظّٰالِمِينَ مِنْ حَمِيمٍ وَ لٰا شَفِيعٍ يُطٰاعُ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مؤمنا من لم يندم على ذنب يرتكبه،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أحد يرتكب كبيرة من المعاصي و هو يعلم أنّه سيعاقب عليها إلّا أنّه ندم على ما ارتكب، و متى ندم كان تائبا مستحقّا للشفاعة، و من لم يندم عليها كان مصرّا و المصرّ لا يغفر له لأنّه غير مؤمن لعقوبة ما ارتكب، و لو كان مؤمنا بالعقوبة لندم، و قد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و لا صغيرة مع الإصرار، و أمّا قوله وَ لٰا يَشْفَعُونَ إِلّٰا لِمَنِ ارْتَضىٰ اللّه دِينَه، و الدين الإقرار بالحسنات و السيّئات فمن ارتضى دينه ندم على ما ارتكبه من الذنوب لمعرفة معاقبته في القيامة </w:t>
      </w:r>
      <w:r>
        <w:rPr>
          <w:rStyle w:val="FootnoteAnchor"/>
          <w:rtl w:val="true"/>
        </w:rPr>
        <w:footnoteReference w:id="9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مورده و إن كان هو الكبائر إلّا أنّ ظاهره عدم الفرق بينها و بين الصغائر في تحقّق الإصرار بعدم الندم و التوبة، فالقول بعدم تحقّق الإصرار في الصورتين المذكورتين لانتفاء اللزوم و المداومة فيهما مشكل من جهة إطلاق هذه الأخبار، و لكنّ القول بهذا الإطلاق أشكل، لما عرفت من أنّ الظاهر بقاء الإصرار على معناه العرفي اللغوي و عدم تطرّق تصرّف فيه من الشارع، مع مخالفة الإطلاق المذكور المشهور بين الأصحاب شهرة عظيمة كادت تبلغ الإجماع، لأنّ القائلين منهم بانحصار الذنوب في الكبائر لا يعتبرون في قدح الصغيرة في العدالة إصرارا فضلا عن قولهم بتحقّق الإصرار بمجرّد عدم الاستغفار، و القائلين منهم بانقسامها</w:t>
      </w:r>
    </w:p>
    <w:p>
      <w:pPr>
        <w:pStyle w:val="BookText"/>
        <w:rPr/>
      </w:pPr>
      <w:r>
        <w:rPr>
          <w:rFonts w:ascii="Amiri" w:hAnsi="Amiri" w:eastAsia="Amiri" w:cs="Amiri"/>
          <w:color w:val="111111"/>
          <w:sz w:val="28"/>
          <w:sz w:val="28"/>
          <w:szCs w:val="28"/>
          <w:rtl w:val="true"/>
          <w:lang w:bidi="ar-SA"/>
        </w:rPr>
        <w:t>لم يقولوا بتحقّق الإصرار الموجب للفسق بصدور الصغيرة مع عدم تكفيره بالاستغفار، و لا مكفّر آخر إلّا شاذّ منهم،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التوبة مطلقا على الفور أنّ المعصية مع ترك التوبة بل تأخيرها أيضا لا تنفكّ عن الإصرار، بناء على تفسيره بمداومة جنس المعصية و لزومه، لأنّ ترك التوبة أو تأخيرها إخلال بواجب آخر فوري، فيكون معصية أخرى بعد المعصية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يزيّفه أنّ أوامر التوبة كأوامر الإطاعة إرشاديّة يقصد بها علاج مفسدة المعصية الواقعة و التخلّص من العقوبة المعدّة لها، فلا يترتّب على مخالفتها سوى بقاء تلك المفسدة، كما لا يترتّب على موافقتها سوى زوال تلك المفسدة، لا لأجل أنّهما من آثار المخالفة و الموافقة، بل لأجل أنّهما من خواصّ نفس المأمور به تركا و فعلا المترتّبة عليهما و لو مع عدم ورود هذه الأوامر، كما في أمر الطبيب للمريض بشرب الدواء استعلاجا لمرضه، فلا يترتّب على ترك التوبة حينئذ عقاب آخر زائد على العقاب المترتّب على المعصية السابقة، فلا يندرج في المعاصي المنقسمة إلى الكبيرة و الصغيرة ليتحقّق بصدوره الإصرار على الصغيرة الموجب للفسق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هذا القول أيضا بمنع وجوب التوبة عن المعاصي مطلقا، بل هو مختصّ بالكبائر، و أمّا الصغائر فهي مكفّرة عنه باجتناب الكبائر و بالأعمال الصالحة فلا حاجة لتكفيرها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ستر الإثم و تغطيته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بمنزلة ما لم يعمل، و الظاهر بناؤه في دعوى التكفير باجتناب الكبائر و بالأعمال الصالحة على قوله تعالى إِنْ تَجْتَنِبُوا كَبٰائِرَ مٰا تُنْهَوْنَ عَنْهُ نُكَفِّرْ عَنْكُمْ سَيِّئٰاتِكُمْ </w:t>
      </w:r>
      <w:r>
        <w:rPr>
          <w:rStyle w:val="FootnoteAnchor"/>
          <w:rtl w:val="true"/>
        </w:rPr>
        <w:footnoteReference w:id="100"/>
      </w:r>
      <w:r>
        <w:rPr>
          <w:rFonts w:ascii="Amiri" w:hAnsi="Amiri" w:eastAsia="Amiri" w:cs="Amiri"/>
          <w:color w:val="111111"/>
          <w:sz w:val="28"/>
          <w:sz w:val="28"/>
          <w:szCs w:val="28"/>
          <w:rtl w:val="true"/>
          <w:lang w:bidi="ar-SA"/>
        </w:rPr>
        <w:t xml:space="preserve">و إِنَّ الْحَسَنٰاتِ يُذْهِبْنَ السَّيِّئٰاتِ </w:t>
      </w:r>
      <w:r>
        <w:rPr>
          <w:rStyle w:val="FootnoteAnchor"/>
          <w:rtl w:val="true"/>
        </w:rPr>
        <w:footnoteReference w:id="101"/>
      </w:r>
      <w:r>
        <w:rPr>
          <w:rFonts w:ascii="Amiri" w:hAnsi="Amiri" w:eastAsia="Amiri" w:cs="Amiri"/>
          <w:color w:val="111111"/>
          <w:sz w:val="28"/>
          <w:sz w:val="28"/>
          <w:szCs w:val="28"/>
          <w:rtl w:val="true"/>
          <w:lang w:bidi="ar-SA"/>
        </w:rPr>
        <w:t>و ما بمعناهما من الآيات و الروايات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مشايخنا </w:t>
      </w:r>
      <w:r>
        <w:rPr>
          <w:rStyle w:val="FootnoteAnchor"/>
          <w:rtl w:val="true"/>
        </w:rPr>
        <w:footnoteReference w:id="102"/>
      </w:r>
      <w:r>
        <w:rPr>
          <w:rFonts w:ascii="Amiri" w:hAnsi="Amiri" w:eastAsia="Amiri" w:cs="Amiri"/>
          <w:color w:val="111111"/>
          <w:sz w:val="28"/>
          <w:sz w:val="28"/>
          <w:szCs w:val="28"/>
          <w:rtl w:val="true"/>
          <w:lang w:bidi="ar-SA"/>
        </w:rPr>
        <w:t>من تنظّر فيه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التوبة عامّة للكبائر و الصغائر كما سنذكرها، فتكون التوبة عن الصغيرة أيضا واجبة على الفور،</w:t>
      </w:r>
    </w:p>
    <w:p>
      <w:pPr>
        <w:pStyle w:val="BookText"/>
        <w:rPr/>
      </w:pPr>
      <w:r>
        <w:rPr>
          <w:rFonts w:ascii="Amiri" w:hAnsi="Amiri" w:eastAsia="Amiri" w:cs="Amiri"/>
          <w:color w:val="111111"/>
          <w:sz w:val="28"/>
          <w:sz w:val="28"/>
          <w:szCs w:val="28"/>
          <w:rtl w:val="true"/>
          <w:lang w:bidi="ar-SA"/>
        </w:rPr>
        <w:t>و لا ينافيه كونها مكفّرة باجتناب الكبائر إذا حصل خالصا لوجه اللّه الكريم و طلبا لمرضاته أو بالأعمال الصالحة، لأنّ ذلك من باب سقوط الوجوب بحصول المصلحة المقصودة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تكفير المعصية و سترها بحصول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عدم الوجوب رأسا، فاشتبه على الوهم سقوط وجوبها بعد توجّهه و استقراره بعدم وجوبها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عدم وجوب التوبة إمّا لعدم الدليل عليه و عدم المقتضي له و إن بقي الذنب غير مكفّر، و إمّا لأنّ غيرها قد يقوم مقامها في التكفير، و الأوّل مردود بعموم الأدلّة،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إطلاق المشهور من عدم كون الصغيرة مفضية إلى الكبيرة و إن لم يتب عنها و لم يعمل مكفّرا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وجوب التوبة ما لم يكفّر الذنب بمكفّر آخر غيرها، و لا يجوز أن يكون الوجوب تخييريّا بين التوبة و اجتناب الكبائر و الأعمال المكفّرة كما لا يخفى </w:t>
      </w:r>
      <w:r>
        <w:rPr>
          <w:rStyle w:val="FootnoteAnchor"/>
          <w:rtl w:val="true"/>
        </w:rPr>
        <w:footnoteReference w:id="1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الوجه في عدم جواز التخيير ظهور أدلّة التوبة في التعيين مع انتفاء حكم فردي الواجب التخييري، و هو سقوط كلّ منهما بفعل معادله عمّا بينهما، لعدم سقوط اجتناب الكبائر و لا الأعمال الصالحة بالتوبة عن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بيّناه في دفع القول المذكور ظهر عدم جواز كون الوجه فيما يقتضيه الأخبار المذكورة من كون ترك الندم و الاستغفار عن الذنب محقّقا لموضوع الإصرار، هو كونه إخلالا بالواجب الفوري و هو التوبة، و كذا لا يجوز كون الوجه فيه لزوم ترك الاستغفار و التوبة معصية أخرى، و هو استصغار المعصية الأولى المنهيّ عنه في الروايات المستفيضة المتقدّم بعضها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 لا تغفر،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لي لو لم يكن غير ذلك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أن يتوب إليه في الجرم</w:t>
      </w:r>
    </w:p>
    <w:p>
      <w:pPr>
        <w:pStyle w:val="BookText"/>
        <w:rPr/>
      </w:pPr>
      <w:r>
        <w:rPr>
          <w:rFonts w:ascii="Amiri" w:hAnsi="Amiri" w:eastAsia="Amiri" w:cs="Amiri"/>
          <w:color w:val="111111"/>
          <w:sz w:val="28"/>
          <w:sz w:val="28"/>
          <w:szCs w:val="28"/>
          <w:rtl w:val="true"/>
          <w:lang w:bidi="ar-SA"/>
        </w:rPr>
        <w:t xml:space="preserve">العظيم و يبغض العبد أن يستخفّ بالجرم اليسير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تستكثروا كثير الخير و لا تستقلّوا قليل الذنوب، فإنّ الذنوب تجتمع حتى تكون كثيرا، و خافوا اللّه في السوء حتى تعطوا من أنفسكم النصف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 هذا النهي أيضا كأوامر التوبة للإرشاد المحض، فلا يكون مخالفته معصية أخرى يترتّب عليها العقاب زائدا على ما يترتّب على أصل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كون الوجه فيه ما أومأ إليه ذيل حسنة ابن أبي عمير المتقدّمة من استلزام ترك الندم و التوبة للإخلال بالإيمان الواجب على كلّ مكلّف، و هو الإذعان و الإقرار بجميع ما جاء به النبي صلّى اللّه عليه و آله و سلّم الذي منه العقاب على المعصية، فيكون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يندم عليها كان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مصرّا لعدم إيمانه لعقوبة ما ارتكب من المعصية لا لمجرّد عدم ندمه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ضعيف، لأنّه إن تمَّ و اطّرد كان مخصوصا بالكبائر، و أمّا الصغائر فالغالب فيها كون عدم الندم على الذنب بعد وقوعه ناشئا عن استصغاره أو المسامحة فيه لصغره أو الغفلة عن الندم عليه أو غير ذلك ممّا لا ينافي الإيمان، لاستحقاق العقوبة عليه بحسبه لو لا مكفّر آخر، و الآية على ذلك أنّ المذنب كثيرا ما يتشاغل بالذنب و هو يرى نفسه في حاله مستحقّا للعقوبة متعرّضا لسخط الرب، و مع ذلك لا ينصرف عنه تسامحا أو رجاء للعفو أو مغلوبا عقله لهوى النفس أو غير ذلك، فرجع ذلك إلى دعوى خروج الصغائر عن حسنة ابن أبي عمير موردا و لفظا و بقيت مندرجة تحت الروايات الأخر، و لا يبعد حملها على الغير المستغفر الملتفت العازم على العود، فخرجت عنها الصورتان المتقدّمتان، فآل الأمر إلى القول بأنّ اتباع فعل الصغيرة بالعزم على العود إصرار عليها عرفا و لغة، لأنّه بعزمه العود إليها لزمها و داومها و إن لم يعد بالفعل، كما</w:t>
      </w:r>
    </w:p>
    <w:p>
      <w:pPr>
        <w:pStyle w:val="BookText"/>
        <w:rPr/>
      </w:pPr>
      <w:r>
        <w:rPr>
          <w:rFonts w:ascii="Amiri" w:hAnsi="Amiri" w:eastAsia="Amiri" w:cs="Amiri"/>
          <w:color w:val="111111"/>
          <w:sz w:val="28"/>
          <w:sz w:val="28"/>
          <w:szCs w:val="28"/>
          <w:rtl w:val="true"/>
          <w:lang w:bidi="ar-SA"/>
        </w:rPr>
        <w:t xml:space="preserve">استظهره بعض مشايخنا </w:t>
      </w:r>
      <w:r>
        <w:rPr>
          <w:rStyle w:val="FootnoteAnchor"/>
          <w:rtl w:val="true"/>
        </w:rPr>
        <w:footnoteReference w:id="107"/>
      </w:r>
      <w:r>
        <w:rPr>
          <w:rFonts w:ascii="Amiri" w:hAnsi="Amiri" w:eastAsia="Amiri" w:cs="Amiri"/>
          <w:color w:val="111111"/>
          <w:sz w:val="28"/>
          <w:sz w:val="28"/>
          <w:szCs w:val="28"/>
          <w:rtl w:val="true"/>
          <w:lang w:bidi="ar-SA"/>
        </w:rPr>
        <w:t>و لا يأباه كلام غيره، لكن ربّما أطلق عليه الإصرار الحكمي كما حكاه في الذخيرة ناسبا له إلى جماعة من المتأخّرين،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بعض علمائنا الأعلام الإصرار إلى فعليّ و حكميّ، فالفعليّ هو الدوام على نوع واحد من الصغائر بلا توبة، أو الإكثار من جنس الصغائر بلا توبة، و الحكميّ هو العزم على فعل تلك الصغيرة بعد الفراغ منها، و هذا ممّا ارتضاه جماعة من المتأخّرين و النص خال عن بيان ذلك </w:t>
      </w:r>
      <w:r>
        <w:rPr>
          <w:rStyle w:val="FootnoteAnchor"/>
          <w:rtl w:val="true"/>
        </w:rPr>
        <w:footnoteReference w:id="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يعمّم الإصرار الحكميّ بالقياس إلى كون المعزوم عليه من نوع المفعول أولا و غيره، كما نقله في المجمع،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بالإصرار على الصغيرة العزم على فعلها بعد الفراغ منها، سواء كان المعزوم عليه من جنس المفعول أم لا، هذا هو الإصرار الحكميّ، و أمّا المداومة على واحدة من الصغائر بلا توبة و الإكثار منها فيعرف بالإصرار الفعليّ 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التقسيم المذكور حقيقي، على معنى أنّ الإصرار بالمعنى الحقيقي ينقسم إليهما باعتبار أنّه قد يحقّقه الفعل و قد يحقّقه القصد، فالحكميّ ما كان محقّقه القصد، و مرجعه إلى انقسام الإصرار إلى الفعليّ و القصديّ، و هذا خلاف اصطلاحهم في الحكميّ، حيث يراد به ما خرج عن اسم الشي‌ء و دخل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لفظي على معنى انقسام القدر المشترك بين المعنى الحقيقي و المعنى المجازي إليهما، بناء على أنّ الإصرار حقيقة فيما يحقّقه الفعل، فقيد الفعليّ في أحد القسمين قيد توضيحيّ بالقياس إلى الإصرار الحقيقي، و أطلق مجازا على ما يحقّقه القصد لكونه بحيث يجري عليه حكم الإصرار الحقيقي، إمّا باعتبار أنّ الصغيرة مع قصد العود تصير كبيرة كما أنّها مع الإصرار تصير كبيرة، أو باعتبار أنّها مع قصد العود توجب من استحقاق العقوبة ما لا يزيله إلّا التوبة و الاستغفار كما أنّها مع الإصرار توجب ذلك، أو باعتبار أنّها مع هذا القصد تقدح في العدالة كما أنّها مع الإصرار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كان المراد من الإصرار على الصغائر في تعريف العدالة هو القدر المشترك المذكور من باب عموم المجاز احتمالان، أظهرهما الثاني بالنظر إلى العرف، فإنّ الظاهر المتبادر منه في العرف إنّما هو التكرار، و لذا فسّر لغة بالدّوام، و هو المتبادر من اللزوم أيضا، و هو لا يتحقّق بمجرّد قصد العود إلى الشي‌ء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أنّه بعزمه على العود لزمه و داومه مدفوع، بأنّه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لزمه و داومه و هذا آية عدم كون إطلاقه عليه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الفاعل للشي‌ء العازم على المعاودة إليه مقيم، إذ لا معنى للإقامة على الذنب إلّا ذلك إذ ليس المراد الملازمة الفعليّة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قصد العود إلى المعصية بعد الفراغ منها ما لم يتحقّق العود ليس من الإصرار على المعصية عرفا و لا لغة و إن قلنا بكون قصد المعصية معصية، لأنّه معصية معفوّ عنها كما حقّق في محلّه، و مثله ما لو قصد صغيرة من غير فعل لها و استمرّ على هذا القصد فإنّه أيضا ليس من الإصرار على الصغيرة حتى على القول بكونه معصية، و أمّا كونهما في حكم الإصرار باعتبار قدحهما في العدالة و دخول تركهما كترك الإصرار في مفهومها فغير واضح أيضا، لعدم وضوح دليل عليه من النص و الإجماع، و إن قلنا بكشفهما عن خبث الباطن و سوء السريرة اللذين هما من العيوب الباطنية إلّا إذا كانا بمثابة لم يجامعهما الملكة الباعثة على ملازمة التقوى، فيقدحان في العدالة حينئذ على القول بدخول الملكة المذكورة في مفهومها لا مطلقا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من الروايات القاضية بكون ترك الندم و الاستغفار من الإصرار المحمولة على صورة العزم على العود فليست صريحة و لا ظاهرة في كونه بمنزلة الإصرار في القدح في العدالة، و المسألة بعد محلّ إشكال ممّا في مفتاح الكرامة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الإصرار فالمشهور كما في مجمع البرهان أنّه يحصل بالمرّة</w:t>
      </w:r>
    </w:p>
    <w:p>
      <w:pPr>
        <w:pStyle w:val="BookText"/>
        <w:rPr/>
      </w:pPr>
      <w:r>
        <w:rPr>
          <w:rFonts w:ascii="Amiri" w:hAnsi="Amiri" w:eastAsia="Amiri" w:cs="Amiri"/>
          <w:color w:val="111111"/>
          <w:sz w:val="28"/>
          <w:sz w:val="28"/>
          <w:szCs w:val="28"/>
          <w:rtl w:val="true"/>
          <w:lang w:bidi="ar-SA"/>
        </w:rPr>
        <w:t xml:space="preserve">الواحدة مع العزم على العود و بتكرّر فعل الصغيرة في الغالب </w:t>
      </w:r>
      <w:r>
        <w:rPr>
          <w:rStyle w:val="FootnoteAnchor"/>
          <w:rtl w:val="true"/>
        </w:rPr>
        <w:footnoteReference w:id="110"/>
      </w:r>
      <w:r>
        <w:rPr>
          <w:rFonts w:ascii="Amiri" w:hAnsi="Amiri" w:eastAsia="Amiri" w:cs="Amiri"/>
          <w:color w:val="111111"/>
          <w:sz w:val="28"/>
          <w:sz w:val="28"/>
          <w:szCs w:val="28"/>
          <w:rtl w:val="true"/>
          <w:lang w:bidi="ar-SA"/>
        </w:rPr>
        <w:t>و من عدم مساعدة العرف بل اللغة عليه، لقضائهما بكونه عبارة عن فعل الصغيرة مرّة أخرى و كرّة بعد أولى، و لذا تأمّل فيه صاحب الذخيرة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العزم عليها بعد الفراغ ففي كونه قادحا تأمّل إن لم يكن وفاقيا </w:t>
      </w:r>
      <w:r>
        <w:rPr>
          <w:rStyle w:val="FootnoteAnchor"/>
          <w:rtl w:val="true"/>
        </w:rPr>
        <w:footnoteReference w:id="1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يعتبر في صدقه تعدّد الواقعة أو يكفي فيه تعدد آيات واقعة واحدة يسع كلّ آن واقعة مستقلة؟ وجهان، من ظهور التكرار في تعدّد المرّات، و من ظهور الدوام في اتّصال آنات ما يقع فيها من الفعل أو الترك على وجه يكون كلّ آن واقعة مستقلة، و يظهر الثمرة فيما لو نظر إلى أجنبية و ألحّ في النظر إلى مدّة طويلة، ففي كونه من الإصرار القادح في العدالة الوجهان المذكوران، و لا يبعد دعوى كون المعتبر فيه أحد الأمرين من تعدّد الواقعة و استمرار واقعة واحدة في آنات متعدّدة،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فيه كثرة المرّات في صورة تعدّد الواقعة أو لا، بل يكفي فيه المرّة الثانية؟ إشكال، من عدم اعتبار كثرة في التكرار، و من ظهور الدوام و اللزوم في كثرة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يلوح من عبارة الشيخ في المبسوط اعتبار الكثرة بل الغلبة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مجتنبا للكبائر مواقعا للصغائر فإنّه يعتبر الأغلب من حاله </w:t>
      </w:r>
      <w:r>
        <w:rPr>
          <w:rStyle w:val="FootnoteAnchor"/>
          <w:rtl w:val="true"/>
        </w:rPr>
        <w:footnoteReference w:id="112"/>
      </w:r>
      <w:r>
        <w:rPr>
          <w:rFonts w:ascii="Amiri" w:hAnsi="Amiri" w:eastAsia="Amiri" w:cs="Amiri"/>
          <w:color w:val="111111"/>
          <w:sz w:val="28"/>
          <w:sz w:val="28"/>
          <w:szCs w:val="28"/>
          <w:rtl w:val="true"/>
          <w:lang w:bidi="ar-SA"/>
        </w:rPr>
        <w:t>إلى آخر ما نقلناه سابقا من كلامه، بناء على كونه بيانا للإصرار و إن لم يصرّح بلفظة في العبارة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الأظهر هاهنا بالنظر إلى العرف عدم اعتبار الكثرة لصدق الإصرار و صحّة إطلاقه بمجرّد المرّة الثانية، و لو قلنا بأنّه إن يتكرّر المعصية تكرارا يشعر بقلّة مبالاته في الدين كان أضبط بالنظر إلى مفهوم العدالة، لأنّها إذا كانت عبارة عن الاستقامة في الدين فالقادح فيها ما أشعر بقلّة مبالاته بالدّين، و يختلف ذلك</w:t>
      </w:r>
    </w:p>
    <w:p>
      <w:pPr>
        <w:pStyle w:val="BookText"/>
        <w:rPr/>
      </w:pPr>
      <w:r>
        <w:rPr>
          <w:rFonts w:ascii="Amiri" w:hAnsi="Amiri" w:eastAsia="Amiri" w:cs="Amiri"/>
          <w:color w:val="111111"/>
          <w:sz w:val="28"/>
          <w:sz w:val="28"/>
          <w:szCs w:val="28"/>
          <w:rtl w:val="true"/>
          <w:lang w:bidi="ar-SA"/>
        </w:rPr>
        <w:t>بحسب الأشخاص و المقامات، إلّا أنّه بيان لضابط الإصرار على الصغيرة باعتبار وصف القادحيّة في العدالة، لا أنّه تفسير لمعنى عرفي أو لغويّ ينزّل عليه النص و معقد الإجماع ليتفرّع عليه وصف القادحيّة في الموارد المشتبهة، و المقصود بالبحث هو الثاني، و لعلّ مراد الأصحاب هو الأوّل و إن كان ربّما يأباه تعرّضهم لبيان معناه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 بيان لموضوع حكم شرعيّ استنبط من الأدلّة، لا أنّه بيان لأمر لغوي يحرز به موضوع الحكم الشرعي، و على هذا البيان يسقط تجشّم البحث عن شي‌ء آخر أيضا، و هو أنّه هل يعتبر في مفهوم الإصرار كون الواقعتين أو الوقائع من نوع واحد أو يكفي مشاركتهما في جنس الصغيرة أو المعصية؟ فإنّ فيه خلافا بين الأصحاب،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الإصرار على نوع واحد،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الإكثار و لو من أنواع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محكي الشهيدين في القواعد و الروضة و المقدّس الأردبيلي </w:t>
      </w:r>
      <w:r>
        <w:rPr>
          <w:rStyle w:val="FootnoteAnchor"/>
          <w:rtl w:val="true"/>
        </w:rPr>
        <w:footnoteReference w:id="113"/>
      </w:r>
      <w:r>
        <w:rPr>
          <w:rFonts w:ascii="Amiri" w:hAnsi="Amiri" w:eastAsia="Amiri" w:cs="Amiri"/>
          <w:color w:val="111111"/>
          <w:sz w:val="28"/>
          <w:sz w:val="28"/>
          <w:szCs w:val="28"/>
          <w:rtl w:val="true"/>
          <w:lang w:bidi="ar-SA"/>
        </w:rPr>
        <w:t>اختيار القول الثاني، لما عزى إليهم من تقسيم الإصرار إلى فعليّ و حكميّ، و تفسير الفعليّ بالدوام على نوع واحد من الصغائر بلا توبة أو الإكثار من جنسها بلا توبة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الفاضلين في التحرير و المختلف و الشرائع اختيار القول الأوّل، لما عرفت من عبارته في مفتتح بحث الإصرار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بالامتناع عن الكبائر و عن الإصرار على الصغائر أو الإكثار منها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زوالها بمواقعة الكبائر كالقتل و الزنا و اللواط و غصب الأموال المعصومة، و كذا بمواقعة الصغائر مع الإصرار و في الأغلب </w:t>
      </w:r>
      <w:r>
        <w:rPr>
          <w:rStyle w:val="FootnoteAnchor"/>
          <w:rtl w:val="true"/>
        </w:rPr>
        <w:footnoteReference w:id="115"/>
      </w:r>
      <w:r>
        <w:rPr>
          <w:rFonts w:ascii="IRNazanin" w:hAnsi="IRNazanin" w:eastAsia="IRNazanin"/>
          <w:color w:val="111111"/>
          <w:sz w:val="28"/>
          <w:sz w:val="28"/>
          <w:szCs w:val="28"/>
          <w:rtl w:val="true"/>
          <w:lang w:bidi="fa-IR"/>
        </w:rPr>
        <w:t xml:space="preserve">و نحوه عن المختلف </w:t>
      </w:r>
      <w:r>
        <w:rPr>
          <w:rStyle w:val="FootnoteAnchor"/>
          <w:rtl w:val="true"/>
        </w:rPr>
        <w:footnoteReference w:id="116"/>
      </w:r>
      <w:r>
        <w:rPr>
          <w:rFonts w:ascii="Amiri" w:hAnsi="Amiri" w:eastAsia="Amiri" w:cs="Amiri"/>
          <w:color w:val="111111"/>
          <w:sz w:val="28"/>
          <w:sz w:val="28"/>
          <w:szCs w:val="28"/>
          <w:rtl w:val="true"/>
          <w:lang w:bidi="ar-SA"/>
        </w:rPr>
        <w:t>بناء على ظهور العطف في المغايرة، فإنّ ضبط القادح بمواقعة الصغائر في أغلب الأحوال</w:t>
      </w:r>
      <w:bookmarkStart w:id="83" w:name="pg19659_263666"/>
    </w:p>
    <w:p>
      <w:pPr>
        <w:pStyle w:val="BookText"/>
        <w:rPr/>
      </w:pPr>
      <w:bookmarkEnd w:id="83"/>
      <w:r>
        <w:rPr>
          <w:rFonts w:ascii="Amiri" w:hAnsi="Amiri" w:eastAsia="Amiri" w:cs="Amiri"/>
          <w:color w:val="111111"/>
          <w:sz w:val="28"/>
          <w:sz w:val="28"/>
          <w:szCs w:val="28"/>
          <w:rtl w:val="true"/>
          <w:lang w:bidi="ar-SA"/>
        </w:rPr>
        <w:t>إنّما يناسب كون النظر إلى الأنواع المختلفة، و إلّا كان ضبطه أوّلا بمواقعتها مع الإصرار مغنيا عن الضبط بالأغلبية،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القول أقوى بملاحظة ظاهر الإصرار في متفاهم العرف، إلّا أنّه لا يجدي الإطناب في تحقيقه كثير فائدة، بعد وضوح كون الإكثار من جنس الصغيرة أيضا قادحا بالإجماع، مضافا إلى الضابط المذكور فإنّه أيضا كالإصرار ممّا يشعر بقلّة المبالاة بالدين و إن لم يكن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نفى الخلاف فيه صاحب الذخيرة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الإكثار من الذنوب و إن لم يكن من نوع واحد بحيث يكون ارتكابه للذنب أغلب من اجتنابه عنه، فالظاهر أنّه قادح في العدالة بلا خلاف في ذلك بينهم، نقل الإجماع عليه المصنّف في التحرير، فلا فائدة في تحقيق كونه داخلا في مفهوم الإصرار </w:t>
      </w:r>
      <w:r>
        <w:rPr>
          <w:rStyle w:val="FootnoteAnchor"/>
          <w:rtl w:val="true"/>
        </w:rPr>
        <w:footnoteReference w:id="1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اعتبار المروءة في العدالة و عدمها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948284_2314609296"/>
      <w:bookmarkStart w:id="85" w:name="_Toc33"/>
      <w:bookmarkEnd w:id="84"/>
      <w:r>
        <w:rPr>
          <w:rtl w:val="true"/>
        </w:rPr>
        <w:t>المرحلة الرابعة</w:t>
      </w:r>
      <w:r>
        <w:rPr>
          <w:rtl w:val="true"/>
        </w:rPr>
        <w:t xml:space="preserve">: </w:t>
      </w:r>
      <w:r>
        <w:rPr>
          <w:rtl w:val="true"/>
        </w:rPr>
        <w:t>في المروءة</w:t>
      </w:r>
      <w:bookmarkEnd w:id="85"/>
    </w:p>
    <w:p>
      <w:pPr>
        <w:pStyle w:val="BookText"/>
        <w:rPr/>
      </w:pPr>
      <w:r>
        <w:rPr>
          <w:rFonts w:ascii="Amiri" w:hAnsi="Amiri" w:eastAsia="Amiri" w:cs="Amiri"/>
          <w:color w:val="111111"/>
          <w:sz w:val="28"/>
          <w:sz w:val="28"/>
          <w:szCs w:val="28"/>
          <w:rtl w:val="true"/>
          <w:lang w:bidi="ar-SA"/>
        </w:rPr>
        <w:t xml:space="preserve">، و اعلم أنّ المشهور فيما بين الأصحاب و لا سيّما المتأخّرين كما في الذخيرة </w:t>
      </w:r>
      <w:r>
        <w:rPr>
          <w:rStyle w:val="FootnoteAnchor"/>
          <w:rtl w:val="true"/>
        </w:rPr>
        <w:footnoteReference w:id="118"/>
      </w:r>
      <w:r>
        <w:rPr>
          <w:rFonts w:ascii="Amiri" w:hAnsi="Amiri" w:eastAsia="Amiri" w:cs="Amiri"/>
          <w:color w:val="111111"/>
          <w:sz w:val="28"/>
          <w:sz w:val="28"/>
          <w:szCs w:val="28"/>
          <w:rtl w:val="true"/>
          <w:lang w:bidi="ar-SA"/>
        </w:rPr>
        <w:t xml:space="preserve">و غيرها اعتبار المروءة في عدالة الإمام و الشاهد، و عن بعضهم حكاية نقل الإجماع عليه، و عن مجمع البرهان احتمال الإجماع على اعتبارها في غير مستحقّ الزكاة و الخمس </w:t>
      </w:r>
      <w:r>
        <w:rPr>
          <w:rStyle w:val="FootnoteAnchor"/>
          <w:rtl w:val="true"/>
        </w:rPr>
        <w:footnoteReference w:id="119"/>
      </w:r>
      <w:r>
        <w:rPr>
          <w:rFonts w:ascii="Amiri" w:hAnsi="Amiri" w:eastAsia="Amiri" w:cs="Amiri"/>
          <w:color w:val="111111"/>
          <w:sz w:val="28"/>
          <w:sz w:val="28"/>
          <w:szCs w:val="28"/>
          <w:rtl w:val="true"/>
          <w:lang w:bidi="ar-SA"/>
        </w:rPr>
        <w:t xml:space="preserve">و من القدماء اعتبرها الشيخ في المبسوط </w:t>
      </w:r>
      <w:r>
        <w:rPr>
          <w:rStyle w:val="FootnoteAnchor"/>
          <w:rtl w:val="true"/>
        </w:rPr>
        <w:footnoteReference w:id="120"/>
      </w:r>
      <w:r>
        <w:rPr>
          <w:rFonts w:ascii="Amiri" w:hAnsi="Amiri" w:eastAsia="Amiri" w:cs="Amiri"/>
          <w:color w:val="111111"/>
          <w:sz w:val="28"/>
          <w:sz w:val="28"/>
          <w:szCs w:val="28"/>
          <w:rtl w:val="true"/>
          <w:lang w:bidi="ar-SA"/>
        </w:rPr>
        <w:t xml:space="preserve">و ابن إدريس في السرائر </w:t>
      </w:r>
      <w:r>
        <w:rPr>
          <w:rStyle w:val="FootnoteAnchor"/>
          <w:rtl w:val="true"/>
        </w:rPr>
        <w:footnoteReference w:id="121"/>
      </w:r>
      <w:r>
        <w:rPr>
          <w:rFonts w:ascii="Amiri" w:hAnsi="Amiri" w:eastAsia="Amiri" w:cs="Amiri"/>
          <w:color w:val="111111"/>
          <w:sz w:val="28"/>
          <w:sz w:val="28"/>
          <w:szCs w:val="28"/>
          <w:rtl w:val="true"/>
          <w:lang w:bidi="ar-SA"/>
        </w:rPr>
        <w:t>و ابن حمزة في الوسيلة و قد سمعت عبارة المبسوط و السرائر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عبارة الوسيلة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الحرّ تقبل شهادته إذا كان عدلا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المروّة و الحكم، فالعدالة في الدين الاجتناب عن الكبائر و عن الإصرار على الصغائر، و في المروّة الاجتناب عمّا يسقط المروءة من ترك صيانة النفس و فقد المبالاة، و في الحكم البلوغ و كمال العقل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من المتأخّرين كالمحقّق في الشرائع و العلّامة في الإرشاد و المختلف و ولده في موضع من الإيضاح و الشهيد في زكاة الدروس فلم يعتبروها </w:t>
      </w:r>
      <w:r>
        <w:rPr>
          <w:rStyle w:val="FootnoteAnchor"/>
          <w:rtl w:val="true"/>
        </w:rPr>
        <w:footnoteReference w:id="123"/>
      </w:r>
      <w:r>
        <w:rPr>
          <w:rFonts w:ascii="Amiri" w:hAnsi="Amiri" w:eastAsia="Amiri" w:cs="Amiri"/>
          <w:color w:val="111111"/>
          <w:sz w:val="28"/>
          <w:sz w:val="28"/>
          <w:szCs w:val="28"/>
          <w:rtl w:val="true"/>
          <w:lang w:bidi="ar-SA"/>
        </w:rPr>
        <w:t xml:space="preserve">و في الكفاية </w:t>
      </w:r>
      <w:r>
        <w:rPr>
          <w:rStyle w:val="FootnoteAnchor"/>
          <w:rtl w:val="true"/>
        </w:rPr>
        <w:footnoteReference w:id="124"/>
      </w:r>
      <w:r>
        <w:rPr>
          <w:rFonts w:ascii="Amiri" w:hAnsi="Amiri" w:eastAsia="Amiri" w:cs="Amiri"/>
          <w:color w:val="111111"/>
          <w:sz w:val="28"/>
          <w:sz w:val="28"/>
          <w:szCs w:val="28"/>
          <w:rtl w:val="true"/>
          <w:lang w:bidi="ar-SA"/>
        </w:rPr>
        <w:t xml:space="preserve">كما عن مجمع البرهان </w:t>
      </w:r>
      <w:r>
        <w:rPr>
          <w:rStyle w:val="FootnoteAnchor"/>
          <w:rtl w:val="true"/>
        </w:rPr>
        <w:footnoteReference w:id="125"/>
      </w:r>
      <w:r>
        <w:rPr>
          <w:rFonts w:ascii="Amiri" w:hAnsi="Amiri" w:eastAsia="Amiri" w:cs="Amiri"/>
          <w:color w:val="111111"/>
          <w:sz w:val="28"/>
          <w:sz w:val="28"/>
          <w:szCs w:val="28"/>
          <w:rtl w:val="true"/>
          <w:lang w:bidi="ar-SA"/>
        </w:rPr>
        <w:t>أنّه لم أعرف دليلا على اعتبارها بل عن شهادات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اعتبارها شرعا و لا لغة و لا عرفا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مشايخنا من نفى البعد عن كونه المشهور بين القدماء </w:t>
      </w:r>
      <w:r>
        <w:rPr>
          <w:rStyle w:val="FootnoteAnchor"/>
          <w:rtl w:val="true"/>
        </w:rPr>
        <w:footnoteReference w:id="127"/>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باعتبارها في الشاهد على أنّها كالعدالة و طهارة المولد و غيرهما شرط لقبول شهادته لا في مفهوم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في شهادات القواعد جعلها شطرا و شرطا لأنّه أخذها في تعريف العدالة،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في شرائط قبول الشهادة، و عدّ منها المروءة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اختيار هذا القول من القدماء من الكاتب،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الشاهد حرّا بالغا مؤمنا بصيرا معروف النسب مرضيا غير مشهور بكذب في شهادة و لا بارتكاب كبيرة و لا مقام على صغيرة، حسن التيقّظ عالما بمعاني الأقوال عارفا بأحكام الشهادة غير معروف بحيف على معامل، و لا تهاون بواجب من علم أو عمل، و لا معروف بمباشرة أهل الباطل و الدخول في جملتهم، و لا بالحرص على الدنيا، و لا بساقط المروءة، بريئا من أهواء أهل البدع التي توجب على المؤمن البراءة من أهلها، فهو من أهل العدالة المقبول شهادتهم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ما سمعت عن الشيخ و ابني إدريس و حمزة إلى اختيار هذا القول بقرينة أخذهم العدالة في الأحكام المفسّرة في كلامهم بالبلوغ و كمال العقل</w:t>
      </w:r>
    </w:p>
    <w:p>
      <w:pPr>
        <w:pStyle w:val="BookText"/>
        <w:rPr/>
      </w:pPr>
      <w:r>
        <w:rPr>
          <w:rFonts w:ascii="Amiri" w:hAnsi="Amiri" w:eastAsia="Amiri" w:cs="Amiri"/>
          <w:color w:val="111111"/>
          <w:sz w:val="28"/>
          <w:sz w:val="28"/>
          <w:szCs w:val="28"/>
          <w:rtl w:val="true"/>
          <w:lang w:bidi="ar-SA"/>
        </w:rPr>
        <w:t>في عدالة الشاهد، و هو بالمعنى المذكور ليس معتبرا في مفهوم العدالة إجماعا، بل من شروط قبول الشهادة، و يحتمل كون المروءة كذلك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ذكر في دليل هذا القول وجه اعتباري غير ناهض، و هو أنّ الوجه في عدم قبول شهادة من لا مروءة له، لأنّ طرح المروءة إمّا أن يكون لخبل </w:t>
      </w:r>
      <w:r>
        <w:rPr>
          <w:rStyle w:val="FootnoteAnchor"/>
          <w:rtl w:val="true"/>
        </w:rPr>
        <w:footnoteReference w:id="130"/>
      </w:r>
      <w:r>
        <w:rPr>
          <w:rFonts w:ascii="Amiri" w:hAnsi="Amiri" w:eastAsia="Amiri" w:cs="Amiri"/>
          <w:color w:val="111111"/>
          <w:sz w:val="28"/>
          <w:sz w:val="28"/>
          <w:szCs w:val="28"/>
          <w:rtl w:val="true"/>
          <w:lang w:bidi="ar-SA"/>
        </w:rPr>
        <w:t xml:space="preserve">و نقصان أو قلّة مبالاة و حياء، و على التقديرين يبطل الثقة و الاعتماد على قوله، أمّا الخبل فظاهر، و أمّا قليل الحياء فلأنّ من لا حياء له يصنع ما شاء كما ورد في الخبر، و الظاهر أنّ المراد ممّا ورد في الخبر ما ورد في الروايات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انتفاء الخبل و النقصان إنّما يعلم من دليل اعتبار كمال العقل، و هو شرط آخر لا دخل له في المروءة، و قلّة المبالاة في الأمور العادية، و عدم الاستحياء من الناس في ركوب ما يخالف العادة لا يستلزم قلّة المبالاة في الأمور الشرعيّة، و لا عدم الاستحياء من اللّه بركوب ما يخالف الشريعة، و خلاف المروءة إنّما ينشأ من الأوّل، و كون انتفائه معتبرا في الوثوق و الاعتماد على قول الشاهد أوّل المسألة، خصوصا مع ملاحظة كون بناء قبول الشهادة على التعبّد لا الظنّ و الاطمئنان، و الحياء و الإيمان الواردان في الخبر يراد بهما الحياء من اللّه و كمال الإيمان، فيكون موردهما الخائض في المعاصي بركوب المحرّمات و ترك الواجبات، فاعتبار الحياء بهذا المعنى يرجع إلى اعتبار العدالة بمعنى الحالة الملازمة للتقوى لا المروءة الزائدة عليها، و ليس للقول باعتبارها في معنى العدالة إلّا عدّة روايات غير واضحة الدلالات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الحياء عن وجهه فلا غيبة له </w:t>
      </w:r>
      <w:r>
        <w:rPr>
          <w:rStyle w:val="FootnoteAnchor"/>
          <w:rtl w:val="true"/>
        </w:rPr>
        <w:footnoteReference w:id="133"/>
      </w:r>
      <w:r>
        <w:rPr>
          <w:rFonts w:ascii="Amiri" w:hAnsi="Amiri" w:eastAsia="Amiri" w:cs="Amiri"/>
          <w:color w:val="111111"/>
          <w:sz w:val="28"/>
          <w:sz w:val="28"/>
          <w:szCs w:val="28"/>
          <w:rtl w:val="true"/>
          <w:lang w:bidi="ar-SA"/>
        </w:rPr>
        <w:t>دلّت الرواية على جواز غيبة من ألقى جلباب الحياء عن وجهه فلا يكون عادلا، لأنّ العادل ممّن لا يجوز غيبته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إلقاء جلباب الحياء كناية عن التجاهر بالفسق، لأنّه المجوّز للغيبة نصّا و فتوى لا غير، و كون مخالفة المروءة موجبة للفسق ليكون إعلانه تجاهرا به أوّل المسألة، بل موضع منع، لوضوح الفرق بين مخالفة التقوى و مخالفة المروءة في كون الأوّل موجبا للفسق و الثاني موجبا لزوال العدالة دون الفسق، و اللازم من ذلك كون فاقد المروءة إذا كانت له ملكة اجتناب الكبائر واسطة بين العادل و الفاسق لا أنّه فاسق، لأنّ الفسق خروج عن طاعة اللّه و ليس في مخالفة المروءة من حيث هي خروج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الكاظم عليه السّلام في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مروءة له و لا مروءة لمن لا عقل له </w:t>
      </w:r>
      <w:r>
        <w:rPr>
          <w:rStyle w:val="FootnoteAnchor"/>
          <w:rtl w:val="true"/>
        </w:rPr>
        <w:footnoteReference w:id="134"/>
      </w:r>
      <w:r>
        <w:rPr>
          <w:rFonts w:ascii="Amiri" w:hAnsi="Amiri" w:eastAsia="Amiri" w:cs="Amiri"/>
          <w:color w:val="111111"/>
          <w:sz w:val="28"/>
          <w:sz w:val="28"/>
          <w:szCs w:val="28"/>
          <w:rtl w:val="true"/>
          <w:lang w:bidi="ar-SA"/>
        </w:rPr>
        <w:t>دلّت الرواية على نفي الدين عمّن لا مروءة له، و لا يسوغ كونه لنفي الذات للإجماع على عدم كفر من لا مروءة له فيكون لنفي الصفة و هو الكمال، و انتفاء كمال الدين عند انتفاء المروءة يلازم انتفاء العدالة،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المروءة لتعلّقها بالأمور العاديّة بمجرّدها مع المحافظة على الأمور الدينيّة باجتناب الكبائر و الصغائر على وجه الإصرار لا توجب نقصانا في الدين، بل الموجب له إنّما هو الإخلال بالأمور الدينية من ترك واجب أو فعل محرّم، فلا بدّ من تصرّف إمّا في المروءة بحملها على إرادة الحالة الملازمة للتقوى، أو كمال الدين المنفي بكلمة، لا بحمله على ما لا ينافي انتفائه العدالة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يرجّح الوجه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مروّة لمن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ينبغي أن يراد بالعقل ما يقابل الجنون، لعدم تعلّق فائدة ببيان عدم المروءة للمجنون، بل هو من باب توضيح الواضحات حينئذ، فلا بدّ و أن يراد به ما ورد في الأخبار المعتبرة </w:t>
      </w:r>
      <w:r>
        <w:rPr>
          <w:rStyle w:val="FootnoteAnchor"/>
          <w:rtl w:val="true"/>
        </w:rPr>
        <w:footnoteReference w:id="135"/>
      </w:r>
      <w:r>
        <w:rPr>
          <w:rFonts w:ascii="Amiri" w:hAnsi="Amiri" w:eastAsia="Amiri" w:cs="Amiri"/>
          <w:color w:val="111111"/>
          <w:sz w:val="28"/>
          <w:sz w:val="28"/>
          <w:szCs w:val="28"/>
          <w:rtl w:val="true"/>
          <w:lang w:bidi="ar-SA"/>
        </w:rPr>
        <w:t>المستفيضة من تفسير العقل بما عبد به الرحمن و اكتسب به الجنان، و انتفاء العقل بهذا المعنى عبارة عن الإخلال بعبادة الرحمن و اكتساب الجنان، و هو عبارة عن انتفاء العدالة بمعنى الحالة الباعثة على ملازمة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يعفور </w:t>
      </w:r>
      <w:r>
        <w:rPr>
          <w:rStyle w:val="FootnoteAnchor"/>
          <w:rtl w:val="true"/>
        </w:rPr>
        <w:footnoteReference w:id="136"/>
      </w:r>
      <w:r>
        <w:rPr>
          <w:rFonts w:ascii="Amiri" w:hAnsi="Amiri" w:eastAsia="Amiri" w:cs="Amiri"/>
          <w:color w:val="111111"/>
          <w:sz w:val="28"/>
          <w:sz w:val="28"/>
          <w:szCs w:val="28"/>
          <w:rtl w:val="true"/>
          <w:lang w:bidi="ar-SA"/>
        </w:rPr>
        <w:t>و موضع الدلالة على ما توهّم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الستر باعتبار حذف المتعلّق يعمّ العيوب الشرعيّة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منافيات المروءة غالبا من مشتهيات الجوارح الأربع، فإطلاق كفّها عن مشتهياتها يتناول منافيات المروءة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ساترا لعيوبه، بناء على تعميم العيوب للعيوب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من المنع و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بيّناه سابقا من أنّ الستر هو الحياء من اللّه عزّ شأنه، لئلّا يتّحد المدلول مع دليله، المأخوذ فيه الاستحياء من الخلق، فيختصّ بالعيوب الشرعيّة، و المتبادر من العفاف أيضا هو الامتناع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يقال في توجيه هذه الفقرة لتتميم الدلالة، من أنّ المراد من الستر هو العفّة، استنادا إلى ما تقدّم عن صاحب الصحاح من نقل وروده عليه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ستير، أي عفيف، فيكون المراد به ما يقابل التبرّج الوارد في باب جنود العقل و الجهل من أصول الكافي </w:t>
      </w:r>
      <w:r>
        <w:rPr>
          <w:rStyle w:val="FootnoteAnchor"/>
          <w:rtl w:val="true"/>
        </w:rPr>
        <w:footnoteReference w:id="137"/>
      </w:r>
      <w:r>
        <w:rPr>
          <w:rFonts w:ascii="Amiri" w:hAnsi="Amiri" w:eastAsia="Amiri" w:cs="Amiri"/>
          <w:color w:val="111111"/>
          <w:sz w:val="28"/>
          <w:sz w:val="28"/>
          <w:szCs w:val="28"/>
          <w:rtl w:val="true"/>
          <w:lang w:bidi="ar-SA"/>
        </w:rPr>
        <w:t xml:space="preserve">المفسّر في كلام بعض محقّقي شرّاح أصول الكافي </w:t>
      </w:r>
      <w:r>
        <w:rPr>
          <w:rStyle w:val="FootnoteAnchor"/>
          <w:rtl w:val="true"/>
        </w:rPr>
        <w:footnoteReference w:id="138"/>
      </w:r>
      <w:r>
        <w:rPr>
          <w:rFonts w:ascii="Amiri" w:hAnsi="Amiri" w:eastAsia="Amiri" w:cs="Amiri"/>
          <w:color w:val="111111"/>
          <w:sz w:val="28"/>
          <w:sz w:val="28"/>
          <w:szCs w:val="28"/>
          <w:rtl w:val="true"/>
          <w:lang w:bidi="ar-SA"/>
        </w:rPr>
        <w:t>بالتظاهر بما يقبح و يستهجن في الشرع أو العرف، و لا ريب أنّ منافيات المروءة ممّا يستهجن في العرف، فهي منافية للستر و العفاف الراجعين إلى معنى واحد، و قد ذكر بعضهم في عدالة القوّة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يحصل من عدم تعديلها عدم المروءة، و ظاهره أنّ المروءة لازمة للعفاف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المنع إلى تفسير التبرّج بما ذكر، لعدم وضوح مدركه من اللغة</w:t>
      </w:r>
    </w:p>
    <w:p>
      <w:pPr>
        <w:pStyle w:val="BookText"/>
        <w:rPr/>
      </w:pPr>
      <w:r>
        <w:rPr>
          <w:rFonts w:ascii="Amiri" w:hAnsi="Amiri" w:eastAsia="Amiri" w:cs="Amiri"/>
          <w:color w:val="111111"/>
          <w:sz w:val="28"/>
          <w:sz w:val="28"/>
          <w:szCs w:val="28"/>
          <w:rtl w:val="true"/>
          <w:lang w:bidi="ar-SA"/>
        </w:rPr>
        <w:t>و العرف و الشرع، بل في كلام بعض أهل اللغة أنّه الزينة،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تَبَرَّجْنَ تَبَرُّجَ الْجٰاهِلِيَّةِ </w:t>
      </w:r>
      <w:r>
        <w:rPr>
          <w:rStyle w:val="FootnoteAnchor"/>
          <w:rtl w:val="true"/>
        </w:rPr>
        <w:footnoteReference w:id="139"/>
      </w:r>
      <w:r>
        <w:rPr>
          <w:rFonts w:ascii="Amiri" w:hAnsi="Amiri" w:eastAsia="Amiri" w:cs="Amiri"/>
          <w:color w:val="111111"/>
          <w:sz w:val="28"/>
          <w:sz w:val="28"/>
          <w:szCs w:val="28"/>
          <w:rtl w:val="true"/>
          <w:lang w:bidi="ar-SA"/>
        </w:rPr>
        <w:t>كانت المرأة في الجاهليّة القديمة تلبس الدرع من اللؤلؤ و تمشي وسط الطريق و تعرض نفسها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فكون المراد بالستر فيما نحن فيه هو العفّة المقابلة للتبرّج بهذا المعنى ممنوع، غاية الأمر كونه في حديث العقل و الجهل كذلك، و لا ملازمة، كيف و قد عرفت عن القاموس و غيره تفسير الستر بالحياء و الخوف و العمل لا بالعفّة؟</w:t>
      </w:r>
    </w:p>
    <w:p>
      <w:pPr>
        <w:pStyle w:val="BookText"/>
        <w:rPr/>
      </w:pPr>
      <w:r>
        <w:rPr>
          <w:rFonts w:ascii="Amiri" w:hAnsi="Amiri" w:eastAsia="Amiri" w:cs="Amiri"/>
          <w:color w:val="111111"/>
          <w:sz w:val="28"/>
          <w:sz w:val="28"/>
          <w:szCs w:val="28"/>
          <w:rtl w:val="true"/>
          <w:lang w:bidi="ar-SA"/>
        </w:rPr>
        <w:t>و أمّا التأييد بما ذكره بعض علماء الأخلاق من تسمية عدالة القوّة الشهوية عفّة، و جعل ما يحصل من عدم تعديلها عدم المروءة،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لشبهة الاصطلاح الخاصّ لا يعبأ به في استكشاف الأمور العرفيّة أو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 كفّ الجوارح الأربع كفّها عن العيوب الشرعية و هي المعاصي الناشئة منها، لا مطلق ما تشتهيها حتى ما كان من منافيات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العيوب أيضا في العيوب الشرعيّة و لو بقرينة ما سبق، لا ما يتناول العيوب العرفيّة، و لو سلّم فغايته كون سترها معتبرا في دليل العدالة لا في مفهومها، و لا ملازمة، فيلزم من ارتكاب منافيات المروءة الذي هو عبارة عن عدم ستر العيوب العرفيّة عدم تمامية الدليل، لانتفاء جزئه، لا انتفاء المدلول في الواقع كما أومأنا إلى ذلك سابقا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هذه الرواية أيضا غير تامّ الدلالة على كون المروءة مأخوذة بحسب الشرع في معنى العدالة، لتكون عبارة عن الاستقامة على جادّة الشرع و العادة بعدم الانحراف عن شي‌ء منهما، بل الظاهر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لوجوب كون التعريف مطّردا و منعكسا، و لا يصير مطّردا إلّا بانحصارها في الاجتناب عن الكبائر و عدم الإصرار على الصغائر، لا بشرط ترك منافي المروءة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أحدثه بعض متأخّري المتأخّرين </w:t>
      </w:r>
      <w:r>
        <w:rPr>
          <w:rStyle w:val="FootnoteAnchor"/>
          <w:rtl w:val="true"/>
        </w:rPr>
        <w:footnoteReference w:id="140"/>
      </w:r>
      <w:r>
        <w:rPr>
          <w:rFonts w:ascii="Amiri" w:hAnsi="Amiri" w:eastAsia="Amiri" w:cs="Amiri"/>
          <w:color w:val="111111"/>
          <w:sz w:val="28"/>
          <w:sz w:val="28"/>
          <w:szCs w:val="28"/>
          <w:rtl w:val="true"/>
          <w:lang w:bidi="ar-SA"/>
        </w:rPr>
        <w:t>من توهّم التفصيل، بأنّه لو كشف فعل منافي المروءة عن قلّة المبالاة في الدين بحيث لا يوثق معه بالتحرز عن الكبائر و الإصرار على الصغائر كانت المروّة معتبرة،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تفصيلا في كون المروءة معتبرة في معنى العدالة، بل هو إنكار لاعتبارها مطلقا حتى في الصورة الأولى، لوضوح الفرق بين كون وجود شي‌ء مأخوذا في مفهوم العدالة ليكون ماهيّة مركبة من جزءين أو أكثر، و بين كون عدمه علامة لعدم انعقادها، باعتبار انتفاء سائر أجزائها أو عدم الوثوق بوجود سائر الأجزاء، لعدم كون ذلك من اعتبار وجوده معها في شي‌ء،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لاعتبار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الحقيقة الشرعيّة في لفظ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القدر المتيقّن ممّا أخذ في المسمّى الشرعي، المفروض كونه مجملا، فوجب الأخذ به و الاقتصار عليه في ترتيب الأحكام و الآثار المعلّقة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مع أنّه ليس إثباتا لحقيقة المعنى الشرعي في الواقع، بل هو احتياط في العمل تحصيلا لليقين بإحراز موضوع الأحكام المعلّقة على العدالة، منع كون المرجع على تقدير الإجمال في المسمّى الشرعي هو الاحتياط على إطلاقه، بل قد يكون هو الأصل النافي لاعتبار ما زاد على اجتناب الكبائر و عدم الإصرار على الصغائر، و هو على تقدير التعويل عليه وارد على الاحتياط، مع وضوح المنع من دعوى الاجمال بعد ملاحظة ما بيّناه من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اعتبار المروءة، محافظة على اطّراد التعريف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استظهار عدم الاعتبار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أو لم يشهد عليه الشاهدان فهو من أهل العدالة و الستر، و شهادته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صالح بن علقمة </w:t>
      </w:r>
      <w:r>
        <w:rPr>
          <w:rStyle w:val="FootnoteAnchor"/>
          <w:rtl w:val="true"/>
        </w:rPr>
        <w:footnoteReference w:id="141"/>
      </w:r>
      <w:r>
        <w:rPr>
          <w:rFonts w:ascii="Amiri" w:hAnsi="Amiri" w:eastAsia="Amiri" w:cs="Amiri"/>
          <w:color w:val="111111"/>
          <w:sz w:val="28"/>
          <w:sz w:val="28"/>
          <w:szCs w:val="28"/>
          <w:rtl w:val="true"/>
          <w:lang w:bidi="ar-SA"/>
        </w:rPr>
        <w:t>لقضائه بكون المدار في العدالة ثبوتا و انتفاء</w:t>
      </w:r>
    </w:p>
    <w:p>
      <w:pPr>
        <w:pStyle w:val="BookText"/>
        <w:rPr/>
      </w:pPr>
      <w:r>
        <w:rPr>
          <w:rFonts w:ascii="Amiri" w:hAnsi="Amiri" w:eastAsia="Amiri" w:cs="Amiri"/>
          <w:color w:val="111111"/>
          <w:sz w:val="28"/>
          <w:sz w:val="28"/>
          <w:szCs w:val="28"/>
          <w:rtl w:val="true"/>
          <w:lang w:bidi="ar-SA"/>
        </w:rPr>
        <w:t>على ارتكاب الذنب و عدمه، و هذا كما ينفي اعتبارها شطرا في معنى العدالة كذلك ينفي اعتبارها شرطا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بالاعتبار ربّما يتكلّم في أنّ منافيات المروءة هل توجب الفسق بمجرّدها كالكبائر، أو بشرط الإصرار و الإكثار كالصغائر، أو يفصّل بين ما كان أشنع في نظر العرف كتقبيل الزوجة في المحاضر و ما دونه كالأكل في الأسواق، فعن بعض سادة المشايخ </w:t>
      </w:r>
      <w:r>
        <w:rPr>
          <w:rStyle w:val="FootnoteAnchor"/>
          <w:rtl w:val="true"/>
        </w:rPr>
        <w:footnoteReference w:id="142"/>
      </w:r>
      <w:r>
        <w:rPr>
          <w:rFonts w:ascii="Amiri" w:hAnsi="Amiri" w:eastAsia="Amiri" w:cs="Amiri"/>
          <w:color w:val="111111"/>
          <w:sz w:val="28"/>
          <w:sz w:val="28"/>
          <w:szCs w:val="28"/>
          <w:rtl w:val="true"/>
          <w:lang w:bidi="ar-SA"/>
        </w:rPr>
        <w:t>ذكر هذه الوجوه و اختيار أخيرها، مستشهدا بكلام جماعة قيّدوا الأكل في السوق بالغلبة 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يظهر منه اعتبار صيرورة ارتكابها خلقا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ارادة الخلق في منافيات المروءة القادحة في العدالة كما يشير إليه كلام ثاني الشهيدين، لا أنّ اتفاق وقوع النادر قادح، و ليس هو أعظم من الصغيرة </w:t>
      </w:r>
      <w:r>
        <w:rPr>
          <w:rStyle w:val="FootnoteAnchor"/>
          <w:rtl w:val="true"/>
        </w:rPr>
        <w:footnoteReference w:id="1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أراد بالخلق ما هو مصطلح علماء الأخلاق المعرّف بالهيئة الراسخة في النفس التي تصدر منها الأفعال بسهولة و يسر من غير حاجة إلى فكر و رويّة، فإن كانت الهيئة بحيث يصدر منها الأفعال الجميلة المحمودة عقلا أو شرعا أو عرفا سمّيت الهيئة خلقا حسنا، و إن كانت بحيث تصدر منها الأفعال القبيحة المذمومة عقلا أو شرعا أو عرفا سمّيت خلقا سيّئا، و إنّما اعتبر كونه هيئة لا فعلا إذ ربّ شخص خلقه السخاء مثلا و لا يبذل لفقد مال أو لمانع آخر، و ربّما يكون خلقه البخل و هو يبذل لباعث الشهرة أو رياء، و إنّما شرط الرسوخ لأنّ من يصدر عنه بذل المال على الندور لحاجة عارضة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السخاء ما لم يثبت ذلك في نفسه ثبوت رسوخ، و إنّما شرط السهولة و عدم الروية لأنّ من تكلّف بذل المال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السخاء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المروءة في مفهوم العدالة إن كان من حيث نفسها</w:t>
      </w:r>
    </w:p>
    <w:p>
      <w:pPr>
        <w:pStyle w:val="BookText"/>
        <w:rPr/>
      </w:pPr>
      <w:r>
        <w:rPr>
          <w:rFonts w:ascii="Amiri" w:hAnsi="Amiri" w:eastAsia="Amiri" w:cs="Amiri"/>
          <w:color w:val="111111"/>
          <w:sz w:val="28"/>
          <w:sz w:val="28"/>
          <w:szCs w:val="28"/>
          <w:rtl w:val="true"/>
          <w:lang w:bidi="ar-SA"/>
        </w:rPr>
        <w:t>فالمتّجه عدم اعتبار الإصرار في قدح ما ينافيها قضية لإطلاق الأكثر، و مقايسته بالصغيرة بدعوى أنّه ليس بأعظم من الصغيرة باطلة، لوضوح الفرق بأنّ قدح الإصرار على الصغيرة إنّما هو لرجوعه إلى الكبيرة لا من حيث هو، إلّا على 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حيث كشفه عن قلّة مبالاة في أمر الدين بحيث لم يوثق معه بالتحرّز عن الكبائر و الإصرار على الصغائر فالمتّجه هو اعتبار الإصرار في فعل ما ينافيها بل اعتبار الغلبة، على معنى كون الغالب من أحواله ارتكاب المنافيات و الإكثار فيها، لأنّ الكاشف عن قلّة المبالاة هو ذلك لا غير، بل قضيّة اطّراد إناطة القدح في العدالة بانكشاف قلّة المبالاة هو اعتبار صيرورة ارتكابها خلقا كما استظهره بعض مشايخنا </w:t>
      </w:r>
      <w:r>
        <w:rPr>
          <w:rStyle w:val="FootnoteAnchor"/>
          <w:rtl w:val="true"/>
        </w:rPr>
        <w:footnoteReference w:id="144"/>
      </w:r>
      <w:r>
        <w:rPr>
          <w:rFonts w:ascii="Amiri" w:hAnsi="Amiri" w:eastAsia="Amiri" w:cs="Amiri"/>
          <w:color w:val="111111"/>
          <w:sz w:val="28"/>
          <w:sz w:val="28"/>
          <w:szCs w:val="28"/>
          <w:rtl w:val="true"/>
          <w:lang w:bidi="ar-SA"/>
        </w:rPr>
        <w:t>، و يساعد عليه أيضا التمسك لاعتبار المروءة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ارتكاب منافيات المروءة إنّما يصير عيبا إذا صار خلقا لا لمجرّد صدوره فعلا على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العيب وصف نفساني فالكاشف عن وجوده تكرّر صدور ارتكابها على وجه الدوام أو الغلبة، و لعلّه سرّ ما سمعت نسبته إلى جماعة من تقييدهم الأكل في الأسواق بالغلبة و الدوام، و لو اعتبرنا في العدالة كونها ملكة تبعث على ملازمة التقوى و المروءة لزم منه اعتبار كون المروءة أيضا من قبيل الخلق، و عليه ينطبق معناها لغة على 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مأخوذة عن مرؤ ككرم، و قرب مروءة فهو مري‌ء أي ذو مروءة و إنسانيّة و تمرّأ تكلّفها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عزّى نحوه إلى الصحاح، و 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تشد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اصطلاحا بآداب نفسانيّة تحمل مراعاتها الإنسان على الوقوف عند محاسن الأخلاق و جميل العادات، و قد تحقّق بمجانبة ما يؤذن بخسّة النفس من المباحات، كالأكل في الأسواق حيث يمتهن فاعله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معناه 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المروّة تنزيه النفس عن الدناءة التي</w:t>
      </w:r>
    </w:p>
    <w:p>
      <w:pPr>
        <w:pStyle w:val="BookText"/>
        <w:rPr/>
      </w:pPr>
      <w:r>
        <w:rPr>
          <w:rFonts w:ascii="Amiri" w:hAnsi="Amiri" w:eastAsia="Amiri" w:cs="Amiri"/>
          <w:color w:val="111111"/>
          <w:sz w:val="28"/>
          <w:sz w:val="28"/>
          <w:szCs w:val="28"/>
          <w:rtl w:val="true"/>
          <w:lang w:bidi="ar-SA"/>
        </w:rPr>
        <w:t xml:space="preserve">لا تليق بأمثاله كالسخرية، و كشف العورة التي يتأكّد استحباب سترها في الصلاة، و الأكل في الأسواق غالبا، و لبس الفقيه لباس الجنديّ بحيث يسخر منه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معناها 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التخلّق بخلق أمثاله في زمانه و مكانه، فالأكل في السوق و الشرب فيها لغير سوقي إلّا إذا غلبه العطش و المشي مكشوف الرأس بين الناس و كثرة السخرية و الحكايات المضحكة و لبس الفقيه لباس الجنديّ و غيره ممّا لا يعتاد لمثله بحيث يسخر منه و بالعكس، و نحو ذلك يسقطها، و يختلف الأمر باختلاف الأحوال و الأشخاص و الأماكن، و لا يقدح فعل السنن و إن استهجنها العامّة و هجرها الناس كالكحل و الحناء و الحنك في بعض البلاد، و إنّما العبرة بغير الراجح شرعا </w:t>
      </w:r>
      <w:r>
        <w:rPr>
          <w:rStyle w:val="FootnoteAnchor"/>
          <w:rtl w:val="true"/>
        </w:rPr>
        <w:footnoteReference w:id="1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يقدح فعل السنن و إن استهجنها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فعل السنن الذي يعاب عليه عند العامّة عن قاعدة فعل منافيات المروءة خروجا موضوعيّا، بناء على أنّ العيوب العرفيّة التي يعتبر مجانبتها في العدالة، و ينبغي للمؤمن صيانة نفسه و عرضه عنها، بأن لا يفعل في شهود الناس ما يعاب عليه إنّما هي العيوب التي كانت عيوبا في نظر الشارع، فما لم يكن عيبا في نظر الشارع لم يقدح ارتكابه فيها و إن استعابه جهلة العامّة في بعض الأزمان أو في بعض الأماكن، و مرجعه إلى أنّه ليس بعيب واقعي، و مواظبة السنن ليست من العيوب في نظر الشارع و إن كانت يعاب عليها في بعض الأحيان عند جهلة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ارادة خروجها عن حكم منافيات المروءة، بناء على احتمال اتصال الاستثناء، بدعوى تحكيم أدلّة استحباب السنن على دليل المروءة، القاضي بأنّه لا يليق بذوي المروءات أن يرتكبوا الأمور الخسيسة بأنفسهم عند مشاهدة الناس و إن جاز لهم في الخلوات، و يختلف ذلك باختلاف الأزمنة و البلاد و الأشخاص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كلّ من التوجيهين بما روي عن الصادق عليه السّلام أنّه نظر إلى رجل من أهل المدينة قد اشترى لعياله شيئا و هو يحمله فلمّا رآه الرجل أستحيي منه،</w:t>
      </w:r>
      <w:bookmarkStart w:id="86" w:name="pg19659_263676"/>
    </w:p>
    <w:p>
      <w:pPr>
        <w:pStyle w:val="BookText"/>
        <w:rPr/>
      </w:pPr>
      <w:bookmarkEnd w:id="86"/>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لعيالك و حملته إليهم، أما و اللّٰه لو لا أهل المدينة لأحببت أن أشتري لعيالي الشي‌ء ثمَّ أحمله إليهم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عليه السّلام لو لا مخافة أن يعيبوني على ذلك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فيه من الفضل و المدح في روايات مستفيضة، و قد تركه الإمام عليه السّلام مخافة أن يعيبه أهل المدينة، و لذا كان جدّه أمير المؤمنين صلوات اللّه عليه يفعل مثله، و كان يشتغل شغل الحمّال و غيرهم من العمّال، و ليس ذلك إلّا لأجل أنّه كان في زمانه لا يعاب عليه بمثله، فجاز له أن يرتكبه، و كان منقبة له و تعظيما سنيا و خلقا كريما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948286_2314609296"/>
      <w:bookmarkStart w:id="88" w:name="_Toc34"/>
      <w:bookmarkEnd w:id="87"/>
      <w:r>
        <w:rPr>
          <w:rtl w:val="true"/>
        </w:rPr>
        <w:t>المرحلة الخامسة</w:t>
      </w:r>
      <w:r>
        <w:rPr>
          <w:rtl w:val="true"/>
        </w:rPr>
        <w:t xml:space="preserve">: </w:t>
      </w:r>
      <w:r>
        <w:rPr>
          <w:rtl w:val="true"/>
        </w:rPr>
        <w:t>ينبغي القطع بأنّ العدالة لا يعتبر فيها الإتيان بالمندوبات</w:t>
      </w:r>
      <w:bookmarkEnd w:id="88"/>
    </w:p>
    <w:p>
      <w:pPr>
        <w:pStyle w:val="BookText"/>
        <w:rPr/>
      </w:pPr>
      <w:r>
        <w:rPr>
          <w:rFonts w:ascii="Amiri" w:hAnsi="Amiri" w:eastAsia="Amiri" w:cs="Amiri"/>
          <w:color w:val="111111"/>
          <w:sz w:val="28"/>
          <w:sz w:val="28"/>
          <w:szCs w:val="28"/>
          <w:rtl w:val="true"/>
          <w:lang w:bidi="ar-SA"/>
        </w:rPr>
        <w:t>و لا الاجتناب عن المكروهات بعد اجتناب الكبائر و ترك الإصرار على الصغائر، فليس ترك الأولى كلّا أو بعضا و لا ارتكاب الثانية كلّا أم بعضا بقادح فيها، ضرورة انحصار القادح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الكبائر و الإصرار على الصغائر، و ليس ترك المندوبات من حيث هو و لا فعل المكروه كذلك معصية، فضلا عن كونه كبيرة أو صغيرة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أنّه لا يعتبر في العدالة الإتيان بالمندوبات إلّا أن يؤدّي الترك إلى التهاون كما في مصابيح الظلام،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عليه فهو من أعبد الناس، و نحو ذلك من الأخبار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على القول بحرمة ترك جميع المندوبات، و وجوب فعل شي‌ء منها في الجملة كما عن بعضهم، و على القول الآخر بأنّه لو اعتاد ترك صنف منها فكترك الجميع في كونه معصية، كما عن بعض آخر، ربّما اتجه القول بالقدح لو كان الترك و الاعتياد المذكوران كبيرتين أو على فرض الإصرار، الّا أنّ هذا القول بمكان من الضعف لشذوذه و عدم حجّة تشهد به، و بنائه على التهاون و عدم الاعتناء بشرع المندوبات غير تامّ لعدم اطّراده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كان ترك الجميع أو الاعتياد على ترك الصنف على وجه التهاون و عدم الاعتناء لزمه القدح في العدالة، لكن لا من حيث ترك المندوب الذي ليس</w:t>
      </w:r>
      <w:bookmarkStart w:id="89" w:name="pg19659_263677"/>
    </w:p>
    <w:p>
      <w:pPr>
        <w:pStyle w:val="BookText"/>
        <w:rPr/>
      </w:pPr>
      <w:bookmarkEnd w:id="89"/>
      <w:r>
        <w:rPr>
          <w:rFonts w:ascii="Amiri" w:hAnsi="Amiri" w:eastAsia="Amiri" w:cs="Amiri"/>
          <w:color w:val="111111"/>
          <w:sz w:val="28"/>
          <w:sz w:val="28"/>
          <w:szCs w:val="28"/>
          <w:rtl w:val="true"/>
          <w:lang w:bidi="ar-SA"/>
        </w:rPr>
        <w:t>بنفسه معصية، بل لما جامعه من التهاون الذي هو بنفسه من الكبائر بل من موجبات الكفر و الارتداد، لرجوعه إلى تكذيب النبي صلّى اللّه عليه و آله و سلّم فيما جاء به من شرع المندوبات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48288_2314609296"/>
      <w:bookmarkStart w:id="91" w:name="_Toc35"/>
      <w:bookmarkEnd w:id="90"/>
      <w:r>
        <w:rPr>
          <w:rtl w:val="true"/>
        </w:rPr>
        <w:t>المرحلة السادسة</w:t>
      </w:r>
      <w:r>
        <w:rPr>
          <w:rtl w:val="true"/>
        </w:rPr>
        <w:t xml:space="preserve">: </w:t>
      </w:r>
      <w:r>
        <w:rPr>
          <w:rtl w:val="true"/>
        </w:rPr>
        <w:t>في اعتبار الملكة في مفهوم العدالة و عدمه</w:t>
      </w:r>
      <w:bookmarkEnd w:id="91"/>
    </w:p>
    <w:p>
      <w:pPr>
        <w:pStyle w:val="BookText"/>
        <w:rPr/>
      </w:pPr>
      <w:r>
        <w:rPr>
          <w:rFonts w:ascii="Amiri" w:hAnsi="Amiri" w:eastAsia="Amiri" w:cs="Amiri"/>
          <w:color w:val="111111"/>
          <w:sz w:val="28"/>
          <w:sz w:val="28"/>
          <w:szCs w:val="28"/>
          <w:rtl w:val="true"/>
          <w:lang w:bidi="ar-SA"/>
        </w:rPr>
        <w:t>فأكثر المتأخّرين على الأوّل، حيث عرّفوها بملكة نفسانيّة تبعث على ملازمة التقوى، و قد عرفت سابقا أنّ كلام أكثر القدماء لا يأباه بل يرجع إليه،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الأصحاب كما عن مصابيح الظلام </w:t>
      </w:r>
      <w:r>
        <w:rPr>
          <w:rStyle w:val="FootnoteAnchor"/>
          <w:rtl w:val="true"/>
        </w:rPr>
        <w:footnoteReference w:id="149"/>
      </w:r>
      <w:r>
        <w:rPr>
          <w:rFonts w:ascii="IRNazanin" w:hAnsi="IRNazanin" w:eastAsia="IRNazanin"/>
          <w:color w:val="111111"/>
          <w:sz w:val="28"/>
          <w:sz w:val="28"/>
          <w:szCs w:val="28"/>
          <w:rtl w:val="true"/>
          <w:lang w:bidi="fa-IR"/>
        </w:rPr>
        <w:t>و عن موضع من مجمع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مشهور بين العامّة و الخاصّة في الأصول و الفروع </w:t>
      </w:r>
      <w:r>
        <w:rPr>
          <w:rStyle w:val="FootnoteAnchor"/>
          <w:rtl w:val="true"/>
        </w:rPr>
        <w:footnoteReference w:id="150"/>
      </w:r>
      <w:r>
        <w:rPr>
          <w:rFonts w:ascii="Amiri" w:hAnsi="Amiri" w:eastAsia="Amiri" w:cs="Amiri"/>
          <w:color w:val="111111"/>
          <w:sz w:val="28"/>
          <w:sz w:val="28"/>
          <w:szCs w:val="28"/>
          <w:rtl w:val="true"/>
          <w:lang w:bidi="ar-SA"/>
        </w:rPr>
        <w:t>و عنه في موضع آخر ما يؤذن بالإجماع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الأصول و الفروع من الموافق و المخالف بالملكة التي يقتدر بها على ترك الكبائر و الإصرار على الصغائر و المروءات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أظهر منه في الإيذان بدعوى الإجماع ما عن الفاضل المقداد في كنز العرفان </w:t>
      </w:r>
      <w:r>
        <w:rPr>
          <w:rStyle w:val="FootnoteAnchor"/>
          <w:rtl w:val="true"/>
        </w:rPr>
        <w:footnoteReference w:id="152"/>
      </w:r>
      <w:r>
        <w:rPr>
          <w:rFonts w:ascii="Amiri" w:hAnsi="Amiri" w:eastAsia="Amiri" w:cs="Amiri"/>
          <w:color w:val="111111"/>
          <w:sz w:val="28"/>
          <w:sz w:val="28"/>
          <w:szCs w:val="28"/>
          <w:rtl w:val="true"/>
          <w:lang w:bidi="ar-SA"/>
        </w:rPr>
        <w:t xml:space="preserve">من نسبته إلى الفقهاء، و في معناه ما عن الرسالة النجيبيّة للشيخ نجيب الدين العاملي من نسبته إلى العلماء </w:t>
      </w:r>
      <w:r>
        <w:rPr>
          <w:rStyle w:val="FootnoteAnchor"/>
          <w:rtl w:val="true"/>
        </w:rPr>
        <w:footnoteReference w:id="153"/>
      </w:r>
      <w:r>
        <w:rPr>
          <w:rFonts w:ascii="Amiri" w:hAnsi="Amiri" w:eastAsia="Amiri" w:cs="Amiri"/>
          <w:color w:val="111111"/>
          <w:sz w:val="28"/>
          <w:sz w:val="28"/>
          <w:szCs w:val="28"/>
          <w:rtl w:val="true"/>
          <w:lang w:bidi="ar-SA"/>
        </w:rPr>
        <w:t xml:space="preserve">و لأجل ذا كلّه ادّعى فيه السيد في الرياض الشهرة العظيمة، و في موضع آخر قبيل ذلك جعله المشهور القريب من الإجماع </w:t>
      </w:r>
      <w:r>
        <w:rPr>
          <w:rStyle w:val="FootnoteAnchor"/>
          <w:rtl w:val="true"/>
        </w:rPr>
        <w:footnoteReference w:id="154"/>
      </w:r>
      <w:r>
        <w:rPr>
          <w:rFonts w:ascii="Amiri" w:hAnsi="Amiri" w:eastAsia="Amiri" w:cs="Amiri"/>
          <w:color w:val="111111"/>
          <w:sz w:val="28"/>
          <w:sz w:val="28"/>
          <w:szCs w:val="28"/>
          <w:rtl w:val="true"/>
          <w:lang w:bidi="ar-SA"/>
        </w:rPr>
        <w:t xml:space="preserve">بل المجمع عليه كما يستفاد من كنز العرفان </w:t>
      </w:r>
      <w:r>
        <w:rPr>
          <w:rStyle w:val="FootnoteAnchor"/>
          <w:rtl w:val="true"/>
        </w:rPr>
        <w:footnoteReference w:id="155"/>
      </w:r>
      <w:r>
        <w:rPr>
          <w:rFonts w:ascii="Amiri" w:hAnsi="Amiri" w:eastAsia="Amiri" w:cs="Amiri"/>
          <w:color w:val="111111"/>
          <w:sz w:val="28"/>
          <w:sz w:val="28"/>
          <w:szCs w:val="28"/>
          <w:rtl w:val="true"/>
          <w:lang w:bidi="ar-SA"/>
        </w:rPr>
        <w:t>و في موضع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لم ينقلوا في تعريف العدالة بالملكة خلافا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بين هذا كلّه و ما ذكره صاحب الذخيرة من عدم عثوره على هذا التعريف في كلام غير المصنّف،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الأخبار له اثر و لا شاهد عليه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إلّا أن يكون مراده غير المصنّف ممّن تقدّم عليه لا مطلقا حتى من تأخّر</w:t>
      </w:r>
    </w:p>
    <w:p>
      <w:pPr>
        <w:pStyle w:val="BookText"/>
        <w:rPr/>
      </w:pPr>
      <w:r>
        <w:rPr>
          <w:rFonts w:ascii="Amiri" w:hAnsi="Amiri" w:eastAsia="Amiri" w:cs="Amiri"/>
          <w:color w:val="111111"/>
          <w:sz w:val="28"/>
          <w:sz w:val="28"/>
          <w:szCs w:val="28"/>
          <w:rtl w:val="true"/>
          <w:lang w:bidi="ar-SA"/>
        </w:rPr>
        <w:t>عنه، و قد عرفت أنّه أيضا على إطلاقه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هو صرف عنان النظر إلى مستند هذا القول و هو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المعتضد بالشهرة العظيمة، و ظهور الإجماع ممّن سمعت، و لعلّ الأصل يراد به هنا أصالة عدم تحقّق العدالة بالمعنى المعتبر شرعا فيمن اجتنب الكبائر و الإصرار على الصغائر من دون أن يحصل له ملكة نفسانيّة، و أصالة عدم ترتّب الأحكام المعلّقة عليها من جواز القدوة و قبول الشهادة و صحّة الطلاق و غيرها في فاقد الملكة المجتنب عمّا ذكر، و أصالة الاشتغال بالقياس إلى صلاة المأموم المستدعية ليقين البراءة الغير الحاصل، إلّا من الائتمام بذي الملكة الراسخة، و قد أشار إلى هذه الأصول كلّها في الرياض، حيث جعل القول بالملكة أوفق بالأصول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يرد على التمسك بها أنّ الأصل طريق للعمل عند جهالة الموضوع، فلا تعرّض فيه لبيانه على ما هو في الواقع، فلم يثبت به كون الملكة مأخوذة في معنى العدالة بحسب الواقع عند الشارع، و هو المطلوب بالبحث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اسم للمعنى الواقعيّ و هو الاستقامة و عدم الميل، لا ما ثبت شرعا أو ظهر عرفا، لأنّ ذلك خارج عن معنى اللفظ جزما و هي شرط، و لا بدّ من ثبوتها و العلم بها، لأنّ الشك في الشرط يقتضي الشكّ في المشروط، و لا يحصل العلم بها إلّا بالمعاشرة الباطنيّة المتكرّرة المطّلعة الموجبة للوثوق بالاستقامة و عدم الميل، و لا يحصل ذلك إلّا بوجدان الملكة و الهيئة الراسخة، و كذا الحال في لفظ الفاسق، فإنّ الأدلّة من الكتاب و الأخبار و الإجماع دلّت على عدم قبول شهادة الفاسق و عدم جواز إمامته، و الفسق اسم للخروج عن الطاعة في نفس الأمر و الواقع، فلا بدّ من عدمه بحسب نفس الأمر و الواقع على قياس ما قلناه في العدالة، و لا يحصل الوثوق بالعدم إلّا بالهيئة الراسخة، كما نشاهد بالعيان أنّ كلّ الناس لهم</w:t>
      </w:r>
    </w:p>
    <w:p>
      <w:pPr>
        <w:pStyle w:val="BookText"/>
        <w:rPr/>
      </w:pPr>
      <w:r>
        <w:rPr>
          <w:rFonts w:ascii="Amiri" w:hAnsi="Amiri" w:eastAsia="Amiri" w:cs="Amiri"/>
          <w:color w:val="111111"/>
          <w:sz w:val="28"/>
          <w:sz w:val="28"/>
          <w:szCs w:val="28"/>
          <w:rtl w:val="true"/>
          <w:lang w:bidi="ar-SA"/>
        </w:rPr>
        <w:t>ملكة في ترك بعض المعاصي كالزنا بالأمّ و البنت، و نجزم أنّ كثيرا من الناس له ملكة في ترك اللواط و الزنا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أنّهم يتفاوتون على تفاوت مراتبهم، فلا بدّ من الجزم، بالعدالة و عدم الفسق بالقياس إلى كلّ المعاصي، هكذا نقله في مفتاح الكرامة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تماميته يعطي اعتبار الملكة و الهيئة الراسخة على وجه الطريقيّة، فهي بمقتضى الدليل طريق إلى إحراز العدالة بمعنى الاستقامة و عدم الميل في الواقع، كما أنّ حسن الظاهر طريق إلى إحرازها، غاية الأمر أنّه طريق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طريق واقعيّ، و المقصود بالبحث المتنازع اعتبارها معها على وجه الموضوعيّة، على معنى دخولها فيها دخول جزء الشي‌ء فيه كما هو ظاهر الأكثر المنساق من تعريفاتهم إيّاها بالملكة، و يظهر فائدة الفرق فيما لو علم وجود صفة الاستقامة و عدم الميل بإخبار مخبر صادق أو طريق آخر علمي غير عاديّ، فعلى الموضوعيّة لم تكن عدالة و على الطريقيّة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يعفور التي هي الأصل من روايات الباب،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يعرف عدالة الرجل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إن كان يحتمل كونه طلبا لمعرّف مفهوم العدالة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الرسم، كذلك يحتمل كونه طلبا لمعرّف مصداق العدالة الذي هو أمارة التحقّق، و هذا إنّما يحسن بعد معرفة المفهوم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دعوى ظهور صوغ نحو هذه العبارة في ذلك كما يرشد إليه مراجعة النظائر،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القبلة؟ أو بم يعرف الزوال؟ أو بم يعرف الغروب؟ كان ظاهرا في متفاهم العرف في أنّ السائل إنّما طلب أمارة تكشف عن تحقّق القبلة أو الزوال أو الغروب في مواضع الحاجة إلى إحراز تحقّقها بعد معرفتها بحسب مفاهيمها، و هي كون قبلة البعيد جهة الكعبة، و الزوال ميل الشمس عن وسط السماء، و الغروب هو غيبوبة الشمس في الأفق، و لذا يصحّ الجواب في الأوّل بأنّ القبلة تعرف بجعل الجدي على المنكب الأيمن مثلا، و في الثاني بأنّ الزوال يعرف</w:t>
      </w:r>
    </w:p>
    <w:p>
      <w:pPr>
        <w:pStyle w:val="BookText"/>
        <w:rPr/>
      </w:pPr>
      <w:r>
        <w:rPr>
          <w:rFonts w:ascii="Amiri" w:hAnsi="Amiri" w:eastAsia="Amiri" w:cs="Amiri"/>
          <w:color w:val="111111"/>
          <w:sz w:val="28"/>
          <w:sz w:val="28"/>
          <w:szCs w:val="28"/>
          <w:rtl w:val="true"/>
          <w:lang w:bidi="ar-SA"/>
        </w:rPr>
        <w:t>بزيد ظلّ الشاخص بعد انتهاء نقصانه و بحدوثه بعد انعدامه أو بميل الشمس عمّا بين العينين إلى الحاجب الأيمن مثلا، و في الثالث بأنّ الغروب يعرف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السؤال بناء على هذا الاحتمال و ظهوره على أنّ العدالة كانت معلومة لدى السائل بحسب مفهومها، و إنّما غرضه معرفة أمارة يرجع إليها لإحراز تحقّق هذا المفهوم المعلوم في رجل يشكّ تحقّقه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الإمام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 بالستر و العفاف و كفّ البطن و الفرج و اليد و اللسان و 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لهذه الأمارة الكاشفة عن تحقّق مفهوم العدالة كشف الأثر عن تحقّق مؤثّرة و المعلول عن تحقّق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الأمارة عدّة من الأمور العدميّة التي بعضها تفسير بعض، فإنّ الستر و إن كان عبارة عن الحياء من اللّه إلّا أنّ محصّله ترك المعصية استحياء منه تعالى عند تهيؤ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العفاف عبارة عن الكفّ عن محارم اللّه، فلا بدّ أن يكون العدالة بحسب المفهوم غير هذه الأمور العدميّة ليصحّ كونها أمارة كاشفة عنها، و لا يتأتّى هذه المغايرة إلّا بكون العدالة بحسب المفهوم صفة نفسانيّة ينشأ منها هذه الأمور العدميّة و ليست، إلّا الملكة و الحالة الراسخة في النفس التي تبعث على ملازمة التقوى المنحلّة إلى هذه الأمور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يشكل الحال في هذا التوجيه بالنسبة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الذي هو صريح في كونه بيانا للأمارة و الدليل، لاستلزامه كون ذلك دليلا على الدليل، فهناك أمور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الأمارة عليها، و الأمارة على تلك الأمارة، و هو حسن الظاهر المعبّر عنه بستر جميع العيوب، و هو بعيد، لأنّ حسن الظاهر بنفسه يصلح أمارة للعدالة و إن جعلناها بمعنى الملكة، فيلغو اعتبار الواسطة و لو وجّهنا الدلالة على ذلك كلّه بما يرجع إلى الأمارة الأولى، بأن يكون المراد بيان الضابط الكلّي للأمور العدميّة المجعولة أمارة كاشفة عن وجود الملكة، بناء على عدم كون المراد من ستر جميع العيوب تغطية العيوب الشرعية و إخفائها على</w:t>
      </w:r>
    </w:p>
    <w:p>
      <w:pPr>
        <w:pStyle w:val="BookText"/>
        <w:rPr/>
      </w:pPr>
      <w:r>
        <w:rPr>
          <w:rFonts w:ascii="Amiri" w:hAnsi="Amiri" w:eastAsia="Amiri" w:cs="Amiri"/>
          <w:color w:val="111111"/>
          <w:sz w:val="28"/>
          <w:sz w:val="28"/>
          <w:szCs w:val="28"/>
          <w:rtl w:val="true"/>
          <w:lang w:bidi="ar-SA"/>
        </w:rPr>
        <w:t>الأنظار مع وجودها و التلبس بها في الواقع، لا للعيوب على العيوب الفعليّة الخارجة من القوّة إلى الفعل، بل المراد بها العيوب الشأنيّة، و المراد من سترها المنع من خروجها من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معنى العبارة حينئذ أنّ الضابط الكلّي في ذلك أن يكون مانعا لجميع العيوب الشرعية الشأنيّة من خروجها من القوّة إلى الفعل، كان أبعد لكونه خروجا عن ظاهر لفظ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العدول عن التقرير المذكور لوجه الدلالة إلى تقرير آخر سليم عن نحو الحزازات المذكورة،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يعرف عدالة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طلبا لمعرّف المصداق و أمارة التحقّق، إلّا أنّ الإمام عليه السّلام استظهر من حال السائل جهله بمفهوم العدالة أيضا، فتعرّض أوّلا لتعريفها بحسب المفهوم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أتبعه ببيان أمارة التحقّق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في أوائل الباب أنّ العدالة يعتبر فيها الملكة و الاستقامة الفعليّة، و محصّلها الملكة الباعثة على ملازمة التقوى، و قد أشار عليه السّلام أوّلا إلى الجزء الأوّل الذي هو بمنزلة الجنس، بأخذ الستر في التعريف، فإنّه عبارة عن الملكة المطلوبة في المقام الباعثة على ملازمة التقوى، سواء أخذناه بمعنى الخوف أو بمعنى الحياء، إذ لا يراد بالملكة هاهنا ما يكون جبلّة في الإنسان بحسب الخلقة الإلهيّة، بل الهيئة الراسخة في النفس التي ترسخ فيها بنحو من الكسب، و ليست الهيئة الراسخة فيها الباعثة على ملازمة التقوى إلّا الخوف أو الحياء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الخوف من اللّه اضطراب قلب يعتري الإنسان لعلمه بعذابه تعالى و عقابه، و أنّهما يستحقّ بهما لمعصيته و الخروج عن طاعته، و مقابله سكون القلب و اطمئنانه، و أصل الخوف الإيمان باللّه و وعده و وعيده و بكونه صادق الوعد و بما جاء به النبي صلّى اللّه عليه و آله و سلّم و بالجنّة و النار و كونهما جزاءين على الطاعة و المعصية، و فرعه الحذر من الاقتحام في المعاصي و الآثام، و من شروط تأثيره في حصول الحذر تذكّر وعيده و عذابه، و من موانعه الغفلة و غلبة الشهوة و هوى</w:t>
      </w:r>
    </w:p>
    <w:p>
      <w:pPr>
        <w:pStyle w:val="BookText"/>
        <w:rPr/>
      </w:pPr>
      <w:r>
        <w:rPr>
          <w:rFonts w:ascii="Amiri" w:hAnsi="Amiri" w:eastAsia="Amiri" w:cs="Amiri"/>
          <w:color w:val="111111"/>
          <w:sz w:val="28"/>
          <w:sz w:val="28"/>
          <w:szCs w:val="28"/>
          <w:rtl w:val="true"/>
          <w:lang w:bidi="ar-SA"/>
        </w:rPr>
        <w:t>النفس، و له مراتب متكثّرة متحدة الذات و مختلفة الصفات في الشدة و الضعف و الأشدّية و الأضعفيّة، و أوّل مراتبه خوف من يغلب عليه الشهوة و هو النفس غالبا فيكثر وقوعه في الإثم، و آخر مراتبه مرتبة العصمة التي لا يعتري صاحبها غفلة و لا غلبة شهوة و لا متابعة هوى طرفة عين أبدا و بينهما متوسّطات، و منشأ هذا الاختلاف اختلاف مراتب الإيمان قوّة و ضعفا،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الناس لربّه أعرفهم بربّه و بنفسه، و منه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أخوفكم للّه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خاف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النكتة في الحصر المستفاد من قوله عزّ من قائل إِنَّمٰا يَخْشَى اللّٰهَ مِنْ عِبٰادِهِ الْعُلَمٰاءُ </w:t>
      </w:r>
      <w:r>
        <w:rPr>
          <w:rStyle w:val="FootnoteAnchor"/>
          <w:rtl w:val="true"/>
        </w:rPr>
        <w:footnoteReference w:id="162"/>
      </w:r>
      <w:r>
        <w:rPr>
          <w:rFonts w:ascii="Amiri" w:hAnsi="Amiri" w:eastAsia="Amiri" w:cs="Amiri"/>
          <w:color w:val="111111"/>
          <w:sz w:val="28"/>
          <w:sz w:val="28"/>
          <w:szCs w:val="28"/>
          <w:rtl w:val="true"/>
          <w:lang w:bidi="ar-SA"/>
        </w:rPr>
        <w:t xml:space="preserve">هي كمال معرفتهم و في الدعاء المنسوب إلى السيد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عرفك كيف لا يخافك</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ضعف الإيمان ضعف الخوف، و كلّما قوى الإيمان قوي الخوف، فالمرء بقدر كمال معرفته يرسخ الخوف و الاضطراب و الحرقة في قلبه حتى يظهر أثره على البدن و الجوارح بكفّها عن المعاصي و بعثها على الطاعات إلى أن يبلغ بصاحبه بسببه تزايده، إلى أن يسدّ الشهوات على نفسه، و ينزّل اللذات على مذاقه منزلة السم المهلك، ثمَّ يفرّغ القلب بتصاعده عن المحظورات و المهلكات التي محلّها القلب من الكبر و الحقد و الحسد، و يقرّ فيه مكانها الذبول و الخشوع و الذلّة و الاستكانة، فهو الهيئة الراسخة الباعثة على ملازمة التقوى التي هي عبارة عن اجتناب الكبائر بل مطلق المعاصي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الحياء تغيّر و انفعال يعتري الإنسان عند حضور ذي شأن مطّلع عليه و على ما يخاف أنّه لو وقع منه يعاقب عليه و يذمّ، و لا يكون إلّا فيما يستقبحه طبعه، سواء كان في الواقع قبيحا أولا، و أصله فيما بين العبد و الرب الإيمان باللّه و بقدرته و علمه به و بفعله، و أنّه لا يعزب عن علمه مثقال ذرّة في</w:t>
      </w:r>
    </w:p>
    <w:p>
      <w:pPr>
        <w:pStyle w:val="BookText"/>
        <w:rPr/>
      </w:pPr>
      <w:r>
        <w:rPr>
          <w:rFonts w:ascii="Amiri" w:hAnsi="Amiri" w:eastAsia="Amiri" w:cs="Amiri"/>
          <w:color w:val="111111"/>
          <w:sz w:val="28"/>
          <w:sz w:val="28"/>
          <w:szCs w:val="28"/>
          <w:rtl w:val="true"/>
          <w:lang w:bidi="ar-SA"/>
        </w:rPr>
        <w:t>السماء و لا في الأرض، و أثره الامتناع و الانزواء عمّا هو متهيّئا لفعله استقباحا له و مخافة أن يعيبه و يذمّه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ورد في الحديث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الحياء من شعب الإيمان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فإنّ المستحيي بحيائه الذي أصله المعرفة ينزجر و ينقطع عن المعاصي و القبائح، و هذا أيضا يختلف درجاته باختلاف درجات الإيمان، و يتفاوت آثاره قلّة و كثرة بتفاوت مراتب الحياء قوّة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شروط تأثيره كالخوف التذكّر لحضوره تعالى و علمه بما هو متهيّئا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موانعه الغفلة ثمَّ غلبة الشهوة و هوى النفس بحيث لا يملك من نفسه ترك متابعته، فهو أيضا كالخوف إذا رسخ في القلب بسبب قوّة الإيمان و استقراره كان من الهيئة الراسخة في النفس، الرادعة عن ارتكاب الكبائر و الإصرار على الصغائر، فالستر بأحد المعنيين هو الملكة التي ذكرنا أنّ الإمام عليه السّلام أشار إليها أوّلا ثمَّ أشار ثانيا إلى الجزء الثاني ممّا اعتبر في مفهوم العدالة، من الاستقامة الفعليّة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العفاف بمعنى الكفّ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الستر و العفاف تعريف تامّ للعدالة و لكن إجمالا، لأنّ الستر على ما شرحناه إشارة إلى الملكة، و العفاف إشارة إلى الاستقامة الفعليّة الناشئة من الملكة، و ما بعده حسبما بيّناه سابقا تفصيل لهذا الاجمال، و لا يخفى لطف هذا التعريف و في معناه ما في موثّقة عبد اللّه بن أبي يعفور عن أخيه عبد الكريم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المرأة و النسوة إذا كنّ مستورات من أهل البيوتات، معروفات بالستر و العفاف مطيعات للأزواج، تاركات للبذاء و التبرّج </w:t>
      </w:r>
      <w:r>
        <w:rPr>
          <w:rStyle w:val="FootnoteAnchor"/>
          <w:rtl w:val="true"/>
        </w:rPr>
        <w:footnoteReference w:id="166"/>
      </w:r>
      <w:r>
        <w:rPr>
          <w:rFonts w:ascii="Amiri" w:hAnsi="Amiri" w:eastAsia="Amiri" w:cs="Amiri"/>
          <w:color w:val="111111"/>
          <w:sz w:val="28"/>
          <w:sz w:val="28"/>
          <w:szCs w:val="28"/>
          <w:rtl w:val="true"/>
          <w:lang w:bidi="ar-SA"/>
        </w:rPr>
        <w:t xml:space="preserve">إلى الرجال في أنديتهم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تأييد المختار من دخول الملكة في مفهوم العدالة بالاشارات و الاشعارات الموجودة في عدّة من الروايات الواردة في إمام الجماعة و الشهادة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أبي جعفر عليه السّلام في خبر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خلف من تثق بدينه و أمانته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خبر عمرو بن الربيع البصري، حيث سأله عن القراءة خلف الإمام إذا كنت خلف الإمام، تولّاه و تثق به فإنّه يجزيك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أكن أثق به فأصلّي خلفه فاقرأ؟ قال صلّ قبله أو بعده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إلّا خلف رجلين أحدهما من تثق بدينه و ورعه و ثانيهما من تتقي سيفه و سوطه </w:t>
      </w:r>
      <w:r>
        <w:rPr>
          <w:rStyle w:val="FootnoteAnchor"/>
          <w:rtl w:val="true"/>
        </w:rPr>
        <w:footnoteReference w:id="170"/>
      </w:r>
      <w:r>
        <w:rPr>
          <w:rFonts w:ascii="Amiri" w:hAnsi="Amiri" w:eastAsia="Amiri" w:cs="Amiri"/>
          <w:color w:val="111111"/>
          <w:sz w:val="28"/>
          <w:sz w:val="28"/>
          <w:szCs w:val="28"/>
          <w:rtl w:val="true"/>
          <w:lang w:bidi="ar-SA"/>
        </w:rPr>
        <w:t>إذ الوثوق بالدين و الامانة و الورع لا يحصل غالبا في غير ذوي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 و سلّم في المرسل المرويّ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سرّكم أن تزكّوا صلاتكم فقدموا خياركم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الرضا في خبر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الفطرة و عرف بالصلاح في نفسه جازت شهادته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الحسن في حسنة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الفطرة أجيزت شهادته على الطلاق بعد أن يعرف منه خير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الضيف إذا كان عفيفا صائنا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رواية العلاء بن سيابة حيث سئل عن الملّاح و المكاري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بهم تقبل شهادتهم إذا كانوا صلحاء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 لابنه و الابن يشهد لأبيه و الرجل لامرأته،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بذلك إذا كان خيرا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العسكري عليه السّلام في تفسيره في قوله تعالى مِمَّنْ تَرْضَوْنَ مِنَ الشُّهَدٰاءِ </w:t>
      </w:r>
      <w:r>
        <w:rPr>
          <w:rStyle w:val="FootnoteAnchor"/>
          <w:rtl w:val="true"/>
        </w:rPr>
        <w:footnoteReference w:id="177"/>
      </w:r>
      <w:r>
        <w:rPr>
          <w:rFonts w:ascii="Amiri" w:hAnsi="Amiri" w:eastAsia="Amiri" w:cs="Amiri"/>
          <w:color w:val="111111"/>
          <w:sz w:val="28"/>
          <w:sz w:val="28"/>
          <w:szCs w:val="28"/>
          <w:rtl w:val="true"/>
          <w:lang w:bidi="ar-SA"/>
        </w:rPr>
        <w:t xml:space="preserve">من ترضون دينه و أمانته و صلاحه و عفّته و تيقظه فيما يشهد به و تحصيله و تميّزه، فما كل صالح مميّز، و لا كل محصل و مميّز صالح، و أنّ عباد اللّه لمن هو أهل لصلاحه و عفّته، و لو شهد لم تقبل شهادته لقلّة تميّزه، فإذا كان صالحا عفيفا مميّزا محصّلا مجانبا للمعصية و الهوى و الميل و التخايل و المحائل فذلك الرجل الفاضل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المتبادر من الخير و الأمانة و الصيانة و الصلاح و العفّة الأمر الوجوديّ كما في الرياض </w:t>
      </w:r>
      <w:r>
        <w:rPr>
          <w:rStyle w:val="FootnoteAnchor"/>
          <w:rtl w:val="true"/>
        </w:rPr>
        <w:footnoteReference w:id="179"/>
      </w:r>
      <w:r>
        <w:rPr>
          <w:rFonts w:ascii="Amiri" w:hAnsi="Amiri" w:eastAsia="Amiri" w:cs="Amiri"/>
          <w:color w:val="111111"/>
          <w:sz w:val="28"/>
          <w:sz w:val="28"/>
          <w:szCs w:val="28"/>
          <w:rtl w:val="true"/>
          <w:lang w:bidi="ar-SA"/>
        </w:rPr>
        <w:t>و غيره، و لا يكون إلّا الصفة النفسانيّة و الهيئة الراسخة في النفس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عرفت سابقا أنّ العدالة في الإنسان مأخوذة منها بالمعنى اللغوي و هو الاستقامة، فيراد به الاستقامة على طريق الشرع من باب إطلاق الكلّي على الفرد أو من جهة النقل، و لا يستقيم ذلك إلّا إذا كانت عبارة عن حالة وجوديّة و كيفيّة نفسانيّة تنشأ منها التروك، لوضوح أنّ ترك المعاصي لمحض الاتّفاق، أو لفقد أسباب المعصية، أو لإنكار أصل الطبيعة لخصوص المعصية، أو ترك بعضها للّه حال الاشتغال بالبعض الآخر، أو لأجل تغرير الناس أو استحياء منهم، أو غير ذلك من الأمور الغير الاختياريّة، أو غيرها ممّا لا يرجع إلى الخوف أو الاستحياء من اللّه تعالى، لا يعدّ استقامة لا لغة و لا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يستفاد اعتبار الملكة في العدالة من آية النبإ، بناء على دلالتها بمفهوم الشرط أو الوصف على جواز قبول خبر العادل من غير تثبّت، بالنظر إلى تعليل منع قبول الفاسق من غير تثبّت بالوقوع في الندم، لوضوح أنّ الوثوق الموجب لظنّ الصدق و اطمئنانه الملازم لعدم الوقوع في الندم لا يحصل مع التروك الغير الناشئة عن الكيفيّة النفسانيّة التي هي الخوف أو الحياء من اللّه، ثمَّ يتمّ اعتبارها في العدالة المعتبرة في الشهادة و إمام الجماعة و غيرها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العدالة بمقتضى الأدلّة المذكورة التي منها مجموع الروايات مع شهادة التعليل الوارد في آية التثبّت ترجع إلى ما يوجب الوثوق و الاطمئنان، و ليس إلّا الحالة الوجوديّة و الكيفيّة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قرّرناه ظهر أنّ الأمر في دخول الملكة في مفهوم العدالة ليس كما توهّمه صاحب الذخيرة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الأخبار له أثر و لا شاهد عليه فيما أعلم، و كأنّهم اقتفوا في ذلك أثر العامّة </w:t>
      </w:r>
      <w:r>
        <w:rPr>
          <w:rStyle w:val="FootnoteAnchor"/>
          <w:rtl w:val="true"/>
        </w:rPr>
        <w:footnoteReference w:id="1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صحيحة ابن أبي يعفور التي هي العمدة في باب العدالة و ما بمعناها من الموثّقة المتقدّمة بذلك، مع شهادة مجموع الروايات الواردة في بابي الشهادة و إمام الجماعة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يندفع به أيضا و بما قرّرناه من تفسير الملكة و جعلها عبارة عن حالتي الخوف و الحياء من اللّه سبحانه جميع ما أورد في المقام على القول بالملكة من النقوض و الاعتراضات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الفاضل الشارح للوافية، فإنّه بعد ما نسب إلى المتأخّرين تفسير العدالة بأنّها ملكة في النفس يمنعها من فعل الكبائر و الإصرار على الصغائر و منافيات المروءة، و جعل المراد بالملكة الكيفيّة الراسخة التي يمتنع زوالها عادة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هذه الملكة عدالة فلا ريب فيه، لأنّ التوسّط بين البلادة و الجربزة هي الحكمة، و بين إفراط الشهوة و تفريطها هي العفّة، و بين طرفي إفراط 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الظلم و تفريطها اي الانظلام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الشجاعة، فإذا اعتدلت</w:t>
      </w:r>
    </w:p>
    <w:p>
      <w:pPr>
        <w:pStyle w:val="BookText"/>
        <w:rPr/>
      </w:pPr>
      <w:r>
        <w:rPr>
          <w:rFonts w:ascii="Amiri" w:hAnsi="Amiri" w:eastAsia="Amiri" w:cs="Amiri"/>
          <w:color w:val="111111"/>
          <w:sz w:val="28"/>
          <w:sz w:val="28"/>
          <w:szCs w:val="28"/>
          <w:rtl w:val="true"/>
          <w:lang w:bidi="ar-SA"/>
        </w:rPr>
        <w:t>هذه القوى حصلت كيفيّة وحدانيّة شبيهة بالمزاج كأنّها تحصل بعد الفعل و الانفعال من طرفي تلك القوى و انكسار سورة كلّ واحدة منهما، و بعد حصولها يلزمها التقوى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تحقّق هذا المعنى في الواقع حيث اعتبار الشارع العدالة فلم أطّلع على دليل ظنّي لهم فضلا عن القطعي، و صحيحة ابن أبي يعفور عليهم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يحصل لنا الاطمئنان التام في اجتناب الذنب في الواقع، إلّا فيمن نعلم أو نظنّ حصول تلك الكلمة له، و هذا يقرّب اعتبارها، و لكن يبعّده أنّ حصول هذه الصفة الحميدة يكون في الأوحديّ الذي لا يسمح الدهر بمثله إلّا نادرا، لأنّ التعديل المذكور يحتاج إلى مجاهدات شاقّة مع تأييد ربّاني، و الاحتياج إلى العادل عامّ لا بدّ منه في كلّ طائفة من كلّ فرقة من سكّان البرّ و البحر حفظا لنظام الشرع، حيث اعتبر في الأغلب اثنين منه في الشهادات، و اعتبر واحدا في الجمعة و الجماعات، و حثّ الناس عليهما و وعدهم و أوعدهم على الفعل و الترك، و احتياج أهل كلّ فرقة و إن كانوا خمسة إلى الشاهد في أغلب الأوقات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و إن اعتبر الملكة و لكنّه جعل حسن الظاهر مع عدم عثور الحاكم أو المأموم على فعل الكبيرة و الإصرار على الصغيرة علامة لها، و هذا يحصل في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 القائل بالملكة فيما يعرف به العدالة هذا الذي قلت فلا ثمرة للنّزاع في أنّ العدالة ما ذا، لأنّ من لا يقول بالملكة يقول باشتراط حسن الظاهر و اجتناب الكبائر و الصغائر إلّا القليل ممّن يكتفي بالإسلام، و لا ريب في أنّهما غير مستلزمين لوجود الملكة و إن كانت الملكة مستلزمة لهما، فما الفائدة في اعتبار أمر ثمَّ جعل علامته أمرا عامّا غير مستلزم له </w:t>
      </w:r>
      <w:r>
        <w:rPr>
          <w:rStyle w:val="FootnoteAnchor"/>
          <w:rtl w:val="true"/>
        </w:rPr>
        <w:footnoteReference w:id="1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تفسير الملكة المعتبرة في العدالة الشرعيّة عند قائليه بالكيفيّة المعتدلة الحاصلة من تعديل القوى النفسانية و فعلها و انفعالها و كسر بعضها سورة</w:t>
      </w:r>
    </w:p>
    <w:p>
      <w:pPr>
        <w:pStyle w:val="BookText"/>
        <w:rPr/>
      </w:pPr>
      <w:r>
        <w:rPr>
          <w:rFonts w:ascii="Amiri" w:hAnsi="Amiri" w:eastAsia="Amiri" w:cs="Amiri"/>
          <w:color w:val="111111"/>
          <w:sz w:val="28"/>
          <w:sz w:val="28"/>
          <w:szCs w:val="28"/>
          <w:rtl w:val="true"/>
          <w:lang w:bidi="ar-SA"/>
        </w:rPr>
        <w:t xml:space="preserve">البعض الآخر و انكسار سورة كلّ بالآخر التي تشبه بالمزاج في الإنسان، من الفاضل القمّي في قوانينه في مبحث بيان شروط العمل بخبر الواحد التي منها العدالة </w:t>
      </w:r>
      <w:r>
        <w:rPr>
          <w:rStyle w:val="FootnoteAnchor"/>
          <w:rtl w:val="true"/>
        </w:rPr>
        <w:footnoteReference w:id="182"/>
      </w:r>
      <w:r>
        <w:rPr>
          <w:rFonts w:ascii="Amiri" w:hAnsi="Amiri" w:eastAsia="Amiri" w:cs="Amiri"/>
          <w:color w:val="111111"/>
          <w:sz w:val="28"/>
          <w:sz w:val="28"/>
          <w:szCs w:val="28"/>
          <w:rtl w:val="true"/>
          <w:lang w:bidi="ar-SA"/>
        </w:rPr>
        <w:t>و لم نقف على موافق لهما في هذا التفسير و لا على وجوده في كلام أهل القول بالملكة، كيف؟ و ستسمع عبارة العلّامة المنقولة عن نهاية الأصول و هو من أهل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الكيفية عدالة عند علماء الأخلاق، و هي التي يعزّ وجودها، و لا تحصل إلّا في الأوحديّ، و ليست مناطا لحكم شرعي، و لا هي العدالة المعتبرة في الشرعيات التي تعمّ بها البلوى و يحتاج إليها عامة الناس في عباداتهم و معاملاتهم و سائر أمورهم حتى على القول بالملكة، و إلّا لزم أن لا يتحقّق عادل شرعيّ في صنفي البليد و صاحب الجربزة، لكونهما في طرفي الإفراط و التفريط من القوّة العاقلة، و لا في صنفي الخمود و ذي الشرة، لكونهما في طرفي الإفراط و التفريط من القوّة الشهوية، و لا في صنفي الجبون و المتهوّر، لكونهما في طرفي الإفراط و التفريط من القوّة الغضبيّة، و أنّ الضرورة قاضية بفساده، بل الملكة المأخوذة في العدالة عند قائليه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و نصّ عليه بعض مشايخنا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الصفة النفسانية المعبّر عنها بخشية اللّه تعالى و حالة الخوف منه اللازمة لحالة الحياء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عثرنا في كلامهم عليه من التعبير عن الملكة بهذا المعنى عبارة العلّامة المحكية عن نهاية الأصول في بيان طرق معرفة العدالة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بالصحبة المتأكّدة و الملازمة، بحيث يظهر له أحواله و يطّلع على سريرة أمره بتكرار المعاشرة حتى يظهر له من القرائن ما يستدلّ به على خوف في قلبه مانع من الكذب و الاقدام على المعصية </w:t>
      </w:r>
      <w:r>
        <w:rPr>
          <w:rStyle w:val="FootnoteAnchor"/>
          <w:rtl w:val="true"/>
        </w:rPr>
        <w:footnoteReference w:id="1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على ما ندركه بالوجدان من وقوع المدافعة بينها و بين هوى النفس الأمّارة عند تهيّؤ أسباب المعصية هي الحالة الملازمة للتّقوى الرادعة عن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المدافعة المذكورة من ضروريات الوجدان التي لا يدانيها الإنكار، فترى أنّه قد يغلب حالة الخوف لكونها في مرتبة القوّة على هوى النفس، و قد ينعكس الأمر، و إنّما تكون عدالة في الصورة الاولى، و هو معنى الردع عن ارتكاب الكبائر و الإصرار على الصغائر، فالخوف النفساني الغالب على هوى النفس أمر باطني و أثره الذي هو التروك الناشئة منه أمر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 من الأمرين هو العدالة التي أناط بها الشارع من الأحكام ما لا يكاد يحصى كثرة، و الدليل عليه هو ظاهر صحيحة ابن أبي يعفور </w:t>
      </w:r>
      <w:r>
        <w:rPr>
          <w:rStyle w:val="FootnoteAnchor"/>
          <w:rtl w:val="true"/>
        </w:rPr>
        <w:footnoteReference w:id="185"/>
      </w:r>
      <w:r>
        <w:rPr>
          <w:rFonts w:ascii="Amiri" w:hAnsi="Amiri" w:eastAsia="Amiri" w:cs="Amiri"/>
          <w:color w:val="111111"/>
          <w:sz w:val="28"/>
          <w:sz w:val="28"/>
          <w:szCs w:val="28"/>
          <w:rtl w:val="true"/>
          <w:lang w:bidi="ar-SA"/>
        </w:rPr>
        <w:t xml:space="preserve">و موثقة أخيه عبد الكريم </w:t>
      </w:r>
      <w:r>
        <w:rPr>
          <w:rStyle w:val="FootnoteAnchor"/>
          <w:rtl w:val="true"/>
        </w:rPr>
        <w:footnoteReference w:id="186"/>
      </w:r>
      <w:r>
        <w:rPr>
          <w:rFonts w:ascii="Amiri" w:hAnsi="Amiri" w:eastAsia="Amiri" w:cs="Amiri"/>
          <w:color w:val="111111"/>
          <w:sz w:val="28"/>
          <w:sz w:val="28"/>
          <w:szCs w:val="28"/>
          <w:rtl w:val="true"/>
          <w:lang w:bidi="ar-SA"/>
        </w:rPr>
        <w:t>المتقدمة على 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مضافا إلى ما تقدّم من المؤيّدات الاعتبار العقلي الذي تفطّن به بعض مشايخنا قدّس سرّه و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الإنصاف أنّ الاقتصار على ما دون هذه المرتبة يوجب تضييع حقوق اللّه و حقوق الناس، و كيف يحصل الوثوق في الاقدام على ما أناطه الشارع بالعدالة بمن لا يظنّ فيه ملكة ترك الكذب و الخيانة، فيمضي قوله في دين الخلق و دنياهم من الأنفس و الأموال و الاعراض و يمضي فعله على الأيتام و الفقراء و السادة؟ </w:t>
      </w:r>
      <w:r>
        <w:rPr>
          <w:rStyle w:val="FootnoteAnchor"/>
          <w:rtl w:val="true"/>
        </w:rPr>
        <w:footnoteReference w:id="1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يؤكده أيضا ما قيل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الشريعة المنيعة التي منعت من إجراء الحدّ على من أقرّ على نفسه بالزنا مرّة بل ثلاثا كيف يحكم بقتل النفوس و إهراق دمائهم و قطع أياديهم و حبسهم و أخذ أموالهم و أرواحهم بمجرّد شهادة من لم يظنّ به</w:t>
      </w:r>
    </w:p>
    <w:p>
      <w:pPr>
        <w:pStyle w:val="BookText"/>
        <w:rPr/>
      </w:pPr>
      <w:r>
        <w:rPr>
          <w:rFonts w:ascii="Amiri" w:hAnsi="Amiri" w:eastAsia="Amiri" w:cs="Amiri"/>
          <w:color w:val="111111"/>
          <w:sz w:val="28"/>
          <w:sz w:val="28"/>
          <w:szCs w:val="28"/>
          <w:rtl w:val="true"/>
          <w:lang w:bidi="ar-SA"/>
        </w:rPr>
        <w:t>الملكة الملازمة للتقوى المانعة عن الكذب و الفرية الباعثة على تزكية النفس عن الحقد و الحسد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المذكور من الملكة هو الذي دلّ الدليل الظنّي القطعي العمل على اشتراط تحقّقه في العدالة حيث اعتبرها الشارع، و هو ليس بعزيز الوجود المخصوص بالأوحديّ بل كثر وجوده و شاع تحقّقه في آحاد المكلفين، فاعتبار تحقّقه في العدالة مع عموم البلوى بها في الشرعيات ممّا لا يستتبع المحذور الذي ظنّه الفاضل الشارح المتقدّم ذكره الذي مرجعه إلى ما زعمه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اختلال النظام، سيما مع ملاحظة ما أشرنا إليه في أوائل الباب، و ستعرفه مفصّلا من أن القائلين بالملكة يجعلون حسن الظاهر طريقا إلى إحراز وجودها، و على الاكتفاء بمطلق الظنّ في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سخافة هذا التوهّم غاية الوضوح، و كيف يعقل تفاوت الأمر من حيث اختلال النظام و استقامته بين جعلها حسن الظاهر و بين جعلها الملكة مع جعل حسن الظاهر طريقا إليها؟</w:t>
      </w:r>
    </w:p>
    <w:p>
      <w:pPr>
        <w:pStyle w:val="BookText"/>
        <w:rPr/>
      </w:pPr>
      <w:r>
        <w:rPr>
          <w:rFonts w:ascii="Amiri" w:hAnsi="Amiri" w:eastAsia="Amiri" w:cs="Amiri"/>
          <w:color w:val="111111"/>
          <w:sz w:val="28"/>
          <w:sz w:val="28"/>
          <w:szCs w:val="28"/>
          <w:rtl w:val="true"/>
          <w:lang w:bidi="ar-SA"/>
        </w:rPr>
        <w:t>و أمّا المطالبة لثمرة النزاع بين القولين على القول بطريقيّة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في كلام الفاضل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ثمرته حينئذ هي الثمرة بين الموضوعيّة و الطريقيّة في الأمارات الغير العلمية، لكون وجه اعتباره على القول بكونه عدالة وجه الموضوعيّة، فلا يتحرّى بعد إحرازه علما أو ظنّا كشفه و لو ظنّا عن أمر آخر، فيجامع العدالة حينئذ للشك في وجود الملكة، بل الظنّ بانتفائها، بل العلم بانتفائها أيضا فيمن لم يعلم وقوع ما يوجب الفسق منه، و على الطريقية لا بدّ من تحرّي كشفه ظنّا عن وجودها، فلا يجامع العدالة حينئذ الشكّ فيه فضلا عن الظنّ أو العلم بانتفائها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الثمرة أيضا فيما لو انكشف موجب الفسق بعد الحكم بالعدالة تعويلا على حسن الظاهر، فعلى الطريقيّة يجب نقض الآثار السابقة المترتّبة حال</w:t>
      </w:r>
    </w:p>
    <w:p>
      <w:pPr>
        <w:pStyle w:val="BookText"/>
        <w:rPr/>
      </w:pPr>
      <w:r>
        <w:rPr>
          <w:rFonts w:ascii="Amiri" w:hAnsi="Amiri" w:eastAsia="Amiri" w:cs="Amiri"/>
          <w:color w:val="111111"/>
          <w:sz w:val="28"/>
          <w:sz w:val="28"/>
          <w:szCs w:val="28"/>
          <w:rtl w:val="true"/>
          <w:lang w:bidi="ar-SA"/>
        </w:rPr>
        <w:t>الفسق الواقعي إلّا فيما دل الدليل على كون العدالة شرطا اعتقاديّا و لو ظنا كما في إمام الجماعة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ظهور الثمرة أيضا فيما لو انكشف وجود الملكة الملازمة للتقوى بطريق علمي غير عادي كإخبار مخبر صادق و نحوه، من غير سبق معرفة حسن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إحراز وجودها بطريق العلم المفتقر إلى الملازمة التامة و الصحبة المتأكدة ممّا لا يخلو عن صعوبة و كلفة، بل لا يتيسّر لكثير، ففائدة جعل الأمر العام علامة له إنّما هو تسهيل الأمر و رفع الكلفة في إحرازه، لأنّ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الرجل مجتنبا عن المعاصي و السيّئات و مواظبا للطاعات و القربات و محافظا على الصلوات و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في غالب موارده الظنّ و الوثوق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بزوال العدالة عند عروض ما ينافيها من معصية أو خلاف مروّة، و رجوعها بمجرّد التوبة ينافي كون العدالة هي الملكة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لا تزول بمخالفة مقتضاها، لا لأنّ الشارع جعل الأثر المخالف لمقتضاها مزيلا لحكمها بالإجماع و جعل التوبة رافعة لهذا المزيل، فالأمر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المصرّح به في كلماتهم زوال نفس العدالة بعروض المعصية ثمَّ عودها بالتوبة، لا زوال حكمها فقط ثمَّ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عروض المعصية يوجب الفسق، و هو أمر واقعي، و العدالة ضدّ له، فلو لا زوالها بعروض المعصية يلزم اجتماعهما في محلّ واحد، فالأمر في زوالها بعروض ما ينافيها واقعي لا تعبّدي محض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رافعة للفسق الذي هو من الآثار الدنيوية للمعصية واقعا،</w:t>
      </w:r>
    </w:p>
    <w:p>
      <w:pPr>
        <w:pStyle w:val="BookText"/>
        <w:rPr/>
      </w:pPr>
      <w:r>
        <w:rPr>
          <w:rFonts w:ascii="Amiri" w:hAnsi="Amiri" w:eastAsia="Amiri" w:cs="Amiri"/>
          <w:color w:val="111111"/>
          <w:sz w:val="28"/>
          <w:sz w:val="28"/>
          <w:szCs w:val="28"/>
          <w:rtl w:val="true"/>
          <w:lang w:bidi="ar-SA"/>
        </w:rPr>
        <w:t>و هذا هو معنى عود العدالة بالتوبة، لا أنّها ترفع أصل المعصية،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زوال العدالة بالكبيرة حقيقي و عودها بالتوبة تعبّدي أيضا ليس بسديد، لكون عودها أيضا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التوبة رافعة للآثار الأخرويّة المترتّبة على المعصية كاستحقاق العقوبة و نحوها تعبّديّ، بل لأنّ الزائل بعروض المعصية هو العدالة، و هو لا يلازم زوال الملكة، لإمكان بقائها حال زوال العدالة، فالملكة تجامع الفسق و إن كانت العدالة لا تجامعه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عند معتبري الملكة فيها ليست عبارة عن الملكة فقط، و لو مجردة عن مقتضاها الذي هو التروك المخصوصة الناشئة منها و هي اجتناب الكبائر و عدم الإصرار على الصغائر، بل المجموع منها و من التروك الناشئة منها كما أشرنا إليه سابقا، و هو الظاهر من تعريفاتهم العدالة بأنّها ملكة تبعث على ملازمة التقوى، أو انّها هيئة في النفس تمنعها عن ارتكاب الكبائر و الإصرار على الصغائر، أو أنّها صفة رادعة عن ارتكاب الكبائر و الإصرار على الصغائر، بناء على أنّ المتبادر من البعث و المنع و الردع الفعلي منها، مع كون المتبادر من التعريف كون الوصف كالموصوف داخلا في المعرّف، لوضوح كون الجنس و الفصل كليهما من أجزاء الماهية، و أظهر ما يفيد ذلك ما تقدّم في أوائل الباب من تعريف الشهيد إيّاها في باب الزكاة من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هيئة راسخة تبعث على ملازمة التقوى بحيث لا يقع منها الكبيرة و لا الإصرار على الصغيرة </w:t>
      </w:r>
      <w:r>
        <w:rPr>
          <w:rStyle w:val="FootnoteAnchor"/>
          <w:rtl w:val="true"/>
        </w:rPr>
        <w:footnoteReference w:id="192"/>
      </w:r>
      <w:r>
        <w:rPr>
          <w:rFonts w:ascii="Amiri" w:hAnsi="Amiri" w:eastAsia="Amiri" w:cs="Amiri"/>
          <w:color w:val="111111"/>
          <w:sz w:val="28"/>
          <w:sz w:val="28"/>
          <w:szCs w:val="28"/>
          <w:rtl w:val="true"/>
          <w:lang w:bidi="ar-SA"/>
        </w:rPr>
        <w:t>بناء على ما أشرنا إليه ثمّة من كون قيد الحيثية بيانا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قيدا توضيحيّا للملازمة، و عليه فوقوع الكبيرة أو الإصرار على الصغيرة من ذوي الملكات يوجب زوال الوصف لا زوال الموصوف و هو الملكة، و هو المراد من زوال العدالة بعروض المعصية، بناء على أنّ زوال المركّب أعمّ من زواله بجميع أجزائه أو ببعض أجزائه، و قد ذكرنا سابقا أنّ الملكة في محلّ البحث عبارة عن الخوف</w:t>
      </w:r>
    </w:p>
    <w:p>
      <w:pPr>
        <w:pStyle w:val="BookText"/>
        <w:rPr/>
      </w:pPr>
      <w:r>
        <w:rPr>
          <w:rFonts w:ascii="Amiri" w:hAnsi="Amiri" w:eastAsia="Amiri" w:cs="Amiri"/>
          <w:color w:val="111111"/>
          <w:sz w:val="28"/>
          <w:sz w:val="28"/>
          <w:szCs w:val="28"/>
          <w:rtl w:val="true"/>
          <w:lang w:bidi="ar-SA"/>
        </w:rPr>
        <w:t>النفساني الذي يقع المدافعة بينه و بين هوى النفس فقد يغلب على هوى النفس و أثره حينئذ عدم وقوع المعصية، و قد ينعكس الأمر و لازمه وقوع المعصية، و هذا هو معنى زوال العدالة مع بقاء الملكة، غاية الأمر كونها مغلوبة من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الندم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من آثار بقاء الملكة، لأنّ الخوف النفساني كما أنه في غلبته على هوى النفس يبعث على عدم وقوع المعصية فكذلك في صورة مغلوبيته من هوى النفس يبعث على الندم على المعصية الواقعة، فتصير معه بمنزلة غير الواقع، و لا يقع حاله سائر المعاصي الغير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يرتفع به حكم المعصية الماضية، و لا يقع غيرها من المعاصي المستقبلة، فيتّصف الملكة بالمنع حكما بالنسبة إلى ما وقع و حقيقة بالنسبة إلى ما لم يقع فالزائل بالمعصية ثمَّ العائد بالتوبة انّما هو وصف المنع لا ذات المانع و هي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لتتمّة الكلام في أحكام التوبة و زيادة تحقيق فيها في أواخر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الكتاب المذكور أيضا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بينهم تقديم الجرح على التعديل عند التعارض، و هذا لا يتأتّى إلّا على القول بأنّ العدالة حسن الظاهر، و أمّا على القول بأنّها الملكة فلا يتجه، لأنّ المعدل إنّما ينطق عن علم حصل له بعد طول المعاشرة و الاختبار أو بعد الجهد في تتبّع الآثار، فيبعد صدور الخطأ منه، و يرشد إلى ذلك تعليلهم تقديم الجرح بأنّا إذا أخذنا بقول الجارح فقد صدّقناه و صدّقنا المعدّل، لأنّه لا مانع من وقوع ما يوجب الجرح و التعديل، بأن يكون كلّ منهما اطلع على ما يوجب أحدهما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أيضا بعد تصحيح إطلاق القول بتقديم الجرح و تصحيح إطلاق تعليله بكونه تصديقا لهما المبني على إطلاق عدم وقوع التكاذب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الملكة على القول بدخوله في مفهوم العدالة لا يلازم العدالة، بل الفسق قد</w:t>
      </w:r>
    </w:p>
    <w:p>
      <w:pPr>
        <w:pStyle w:val="BookText"/>
        <w:rPr/>
      </w:pPr>
      <w:r>
        <w:rPr>
          <w:rFonts w:ascii="Amiri" w:hAnsi="Amiri" w:eastAsia="Amiri" w:cs="Amiri"/>
          <w:color w:val="111111"/>
          <w:sz w:val="28"/>
          <w:sz w:val="28"/>
          <w:szCs w:val="28"/>
          <w:rtl w:val="true"/>
          <w:lang w:bidi="ar-SA"/>
        </w:rPr>
        <w:t>يجامع الملكة، لأنّ العدالة على القول المذكور على ما حقّقناه عبارة عن الملكة المقيّدة بقيد عدميّ يعبّر عنه بعدم ارتكاب الكبائر و عدم الإصرار على الصغائر، فتقديم قول الجارح لا ينافي هذا القول ليستدل به على صحة القول بحسن الظاهر، إذ الاختلاف بينه و بين المعدّل بعد فرض دخول الملكة في مفهوم العدالة راجع غالبا إلى الأخير من جزءي هذا المفهوم و هو القيد العدميّ، و الغالب في التعديل أنّ مستند المعدّل في إحرازه الأصل الذي لا تعرّض فيه للواقع، و ليس مبنى اعتباره على العلم أو الظنّ بالواقع، خصوصا مع ملاحظة ما ادعي من النص و الإجماع على أنّه يكفي في الشهادة بالعدالة عدم العلم بوقوع موجب الفسق من فعل كبيرة أو إصرار على صغيرة، و مستند الجارح ما يفيد العلم بوقوعه من غير تعرّض لنفي الملكة، فيكون ذلك المستند كالدليل العلمي قبالا للأصل الذي هو مستند المعدّل، و من البيّن عدم معارضة الأصل للدليل و ورود الدليل عليه، و هذا هو معنى ما قد يوجد في كلامهم من عدم التعارض بين أدري و لا أدري، فتقديم قول الجارح تصديق له و للمعدّل، بخلاف تقديم قول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القولين في نحو الصورة المفروضة ناطق من جهة و ساكت في أخرى، فنطق المعدّل بوجود الملكة و سكوته عن نفي موجب الفسق في الواقع، و نطق الجارح بوقوع موجبه و سكوته عن نفي الملكة، و قضية الجمع بين النطقين اجتماع الفسق و الملكة، و هو معنى تصديقهما الذي يتأتى بتقديم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تطرّق المنع إلى تقديمه لمنع إطلاق التعليل إمّا لأنّ تصديقهما بعد فرض عدم وقوع التكاذب بينهما قد يتأتى بتقديم المعدّل فيما لو عدّل بناء منه على لحوق التوبة بعد وقوع المعصية علما أو ظنا فينحل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ان عصى إلّا أنّه تاب مع رجوع قول الجارح إلى منع التوبة استنادا إلى الأصل، أو لأنّهما كثيرا ما يتعارضان و يتكاذبان بتعرض كلّ منهما لنفي ما أثبته الآخر كما يتّفق في صور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دعواهما العلم أو الظنّ بوقوع موجب الفسق و نفي وقوعه في قضية</w:t>
      </w:r>
    </w:p>
    <w:p>
      <w:pPr>
        <w:pStyle w:val="BookText"/>
        <w:rPr/>
      </w:pPr>
      <w:r>
        <w:rPr>
          <w:rFonts w:ascii="Amiri" w:hAnsi="Amiri" w:eastAsia="Amiri" w:cs="Amiri"/>
          <w:color w:val="111111"/>
          <w:sz w:val="28"/>
          <w:sz w:val="28"/>
          <w:szCs w:val="28"/>
          <w:rtl w:val="true"/>
          <w:lang w:bidi="ar-SA"/>
        </w:rPr>
        <w:t>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دعواهما علما أو ظنا حصول الملكة الرادعة و عدم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دعواهما علما أو ظنا بقاء الملكة و زوالها مع الاتفاق على أصل حصولها، و حينئذ فلا بدّ إمّا من البناء على الترجيح بمراجعة المرجّحات على تقدير وجودها إن ساعد عليه الدليل، أو البناء على التساقط و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الأصل</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المختلف جريانه بحسب اختلاف الفروض إن لم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يساعد الأصل على الحكم بما يوافق الجرح، و قد يساعد على الحكم بما يوافق التعديل، و لا يذهب عليك أنّه حينئذ ليس من تقديم قول الجارح أو المعدّل، لأنّ الحكم بما يوافق أحد القولين غير تقديم هذا القول، من حيث إنّه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لتمام البحث في فروع هذه المسألة محلّ آخر، فلم يتّجه إطلاق القول بتقديم الجارح، كما هو المشهور 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 الكتاب المذكور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الأصحاب إلّا السيد و الإسكافي على صحة صلاة من صلّى خلف إمام تبيّن كفره أو فسقه، و به نطقت الأخبار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التأدية ما لا يخفى، و كان المراد به أنّ قضية اشتراط صحّة صلاة المأموم بعدالة الإمام مع صحة صلاة مأموم انكشف فسق إمامه تنفي كون العدالة ملكة و إلّا لزم أحد الأمرين من نفي الشرطية أو إنكار الصحة، و هو طرح لدليل 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في مفروض المسألة على القول بالملكة من الاجزاء في الأمر الظاهري العقلي أو الشرعي الذي أثبته الدليل على خلاف القاعدة المقرّرة في محلّه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شرطية العدالة تجامع القول بالملكة أيضا لكونها حينئذ من الشروط العلمية، و توهّم لزوم طرح دليل الشرطية أيضا لظهوره في الشرط</w:t>
      </w:r>
    </w:p>
    <w:p>
      <w:pPr>
        <w:pStyle w:val="BookText"/>
        <w:rPr/>
      </w:pPr>
      <w:r>
        <w:rPr>
          <w:rFonts w:ascii="Amiri" w:hAnsi="Amiri" w:eastAsia="Amiri" w:cs="Amiri"/>
          <w:color w:val="111111"/>
          <w:sz w:val="28"/>
          <w:sz w:val="28"/>
          <w:szCs w:val="28"/>
          <w:rtl w:val="true"/>
          <w:lang w:bidi="ar-SA"/>
        </w:rPr>
        <w:t>الواقعي، يدفعه منع كونه طرحا للدليل، بل هو تصرّف فيه بإخراجه عمّا هو ظاهر فيه إلى خلافه، و لا بدّ له من قرينة، و يكفي فيها كون الحمل عليه جمعا بين دليل كون العدالة ملكة و دليل صحّة صلاة المأموم فيما انكشف فسق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 الكلام في القول بظهور الإسلام و عدم ظهور الفسق و القول بحسن الظاهر، بناء على ما اشتهر من كونهما قولين في معنى العدالة و إغماضا عمّا تقدم منّا من منع ذلك بما لا مزيد عليه، و لا سيما في الأوّل منهما الذي كانت عبارات أصحابه ظاهرة كالصريحة في كون مرادهم دعوى أنّ الأصل في المسلم الذي لم يظهر منه الفسق أن يكون عدلا فيحكم به في مجهول الحال إلى أن يظهر خلافه، لا أنّ ظهور الإسلام مع عدم ظهور الفسق بنفسه عدالة، فهو لا ينافي كون العدالة بحسب المفهوم عندهم عبارة عن الصفة الواقعية المأخوذ فيها الملكة، و المقصود في هذا المقام التعرّض لدليليهما على تقدير كونهما قولين في معنى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القول الأوّل ممّا استدلّ به مع ما يمكن أن يستدلّ به عدّة روايات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محصن بالزنا فعدل منهم اثنان و لم يعدل الآخران،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أربعة من المسلمين ليس يعرفون بشهادة الزور أجيزت شهادتهم جميعا و أقيم الحدّ على الذي شهدوا عليه، إنّما عليهم أن يشهدوا بما أبصروا و علموا، و على الوالي أن يجيز شهادتهم، إلّا أن يكونوا معروفين بالفسق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الوشاء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لم يعرف بفسق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حسنة محمّد بن أبي نصر البزنطي بإبراهيم بن هاشم، بل صحيحة على الصحيح، عن أبي الحسن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طلاق السنّة؟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يطلقها إذا طهرت من حيضها قبل أن يغشاها بشاهدين عدلين كما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خالف ذلك ردّ إلى كتاب اللّه عزّ و 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 يكون طلاقا؟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على الفطرة أجيزت شهادته على الطلاق بعد أن يعرف منه خير </w:t>
      </w:r>
      <w:r>
        <w:rPr>
          <w:rStyle w:val="FootnoteAnchor"/>
          <w:rtl w:val="true"/>
        </w:rPr>
        <w:footnoteReference w:id="198"/>
      </w:r>
      <w:r>
        <w:rPr>
          <w:rFonts w:ascii="Amiri" w:hAnsi="Amiri" w:eastAsia="Amiri" w:cs="Amiri"/>
          <w:color w:val="111111"/>
          <w:sz w:val="28"/>
          <w:sz w:val="28"/>
          <w:szCs w:val="28"/>
          <w:rtl w:val="true"/>
          <w:lang w:bidi="ar-SA"/>
        </w:rPr>
        <w:t>بناء على كون المراد من خير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لشريح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المسلمين عدول بعضهم على بعض إلّا مجلود في حدّ لم يتب منه أو معروف بشهادة زور أو ظنين </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لا تعرفه الناس يقرأ القرآن فلا تقرأ خلفه و اعتد بصلاته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صالح بن علقمة عن أبيه قال الصادق جعفر بن محمّد عليهما السّلام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 أخبرني عمّن تقبل شهادته و من لم تقبل شهادته؟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علقمة كلّ من كان على فطرة الإسلام جازت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المعترف بالذّنوب؟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لو لم تقبل شهادة المعترف بالذنوب لما قبلت إلّا شهادة الأنبياء و الأوصياء، لأنّهم هم المعصومون دون سائر الخلق، فمن لم تره بعينك يرتكب ذنبا أو لم يشهد عليه شاهدان فهو من أهل العدالة و الستر، و شهادته مقبولة و إن كان في نفسه مذنبا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الطعن على أسانيد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دلالاتها على مطلوبهم، فإنّ أقصى ما فيها الدلالة على أنّ المسلم الذي لم يظهر منه الفسق أو من ولد على فطرة الإسلام و لم يظهر منه فسق قبلت شهادته،</w:t>
      </w:r>
    </w:p>
    <w:p>
      <w:pPr>
        <w:pStyle w:val="BookText"/>
        <w:rPr/>
      </w:pPr>
      <w:r>
        <w:rPr>
          <w:rFonts w:ascii="Amiri" w:hAnsi="Amiri" w:eastAsia="Amiri" w:cs="Amiri"/>
          <w:color w:val="111111"/>
          <w:sz w:val="28"/>
          <w:sz w:val="28"/>
          <w:szCs w:val="28"/>
          <w:rtl w:val="true"/>
          <w:lang w:bidi="ar-SA"/>
        </w:rPr>
        <w:t>و يجري عليه سائر أحكام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ذلك لأجل كون الإسلام مع عدم ظهور الفسق بنفسه هو العدالة كما هو المطلوب فلا دلالة فيها عليه أصلا، لا بطريق النصوصية و لا بنحو الظهور، لقيام احتمال كونه لأجل كون ما ذكر طريقا تعبّديا إلى العدالة، و مرجعه إلى ما استظهرناه من الجماعة من القول بأصالة العدالة في المسلم المقتضية لترتيب أحكام العدل عليه إلى أن يظهر منه ما يوجب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هذا الاحتمال أظهر من الاحتمال الأوّل الذي عليه مبنى الاستدلال بها، حتى أنّ رواية ابن كهيل غير ظاهرة في ذلك، لأنّ كون المسلم عدلا لا يلازم كون الإسلام عدالة، لجواز كون الحمل فيما بين المسلم و العدل نظيره فيما بين الناطق و الضاحك و غيرهما من المتساويين، فغاية ما يفيده الحمل اتحاد الذات المتّصفة بالعدالة مع الذات الموصوفة بالإسلام في الوجود، و هذا لا ينافي تغاير وصفي العدالة و الإسلام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الظاهر عدم تعلّق بعض الروايات المذكورة بمحلّ البحث أصلا كرواية عبد الرحيم القصير، لظهورها في كفاية ائتمام الناس بإمام لا تعرفه في معرفة عدالته، لكونه نوعا أمارة ظنّية تفيد الظنّ و الوثوق بعدالة الامام، و هو على ما سنقرّره كاف في إحراز العدالة المعتبرة بحسب الشرع، على أنّ في رواية صالح بن علقمة دلالة واضحة، على أنّ عدم رؤية الرجل يرتكب ذنبا أمارة يستدل بها على كونه من أهل العدالة بمعنى الملكة الرادعة بمعنى الخوف النفساني المانع من ارتكاب الذنب، لمكان عطف الستر بهذا المعنى على العدالة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أهل العدالة 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عدم رؤية ارتكاب الذنب في الرجل أمارة تكشف و لو تعبّدا عن خوف نفساني فيه يمنعه عن ارتكاب الذنب على معنى الحكم بأنه لم يرتكب الذنب، و البناء على أنّ منشأه العدالة و الستر بمعنى الخوف النفساني إلى أن يظهر خلافه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المقترف بالذنوب هو العامل بها، و قد حكم الامام عليه السّلام بقبول شهادته تعليلا بأنّه لولاه لانحصر قبول الشهادة في أهل العصمة، و هذا يدل على</w:t>
      </w:r>
    </w:p>
    <w:p>
      <w:pPr>
        <w:pStyle w:val="BookText"/>
        <w:rPr/>
      </w:pPr>
      <w:r>
        <w:rPr>
          <w:rFonts w:ascii="Amiri" w:hAnsi="Amiri" w:eastAsia="Amiri" w:cs="Amiri"/>
          <w:color w:val="111111"/>
          <w:sz w:val="28"/>
          <w:sz w:val="28"/>
          <w:szCs w:val="28"/>
          <w:rtl w:val="true"/>
          <w:lang w:bidi="ar-SA"/>
        </w:rPr>
        <w:t>أنّ العدالة لا يعتبر فيها ترك المعصية في الواقع فضلا عن الملكة، بل يكفي فيها عدم رؤية ارتكاب المعصية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بملاحظة ما ذكرناه مرارا من أنّ وجود الملكة لا ينافي صدور المعصية أحيانا، إنّما ينفي اعتبار العصمة في العادل، و لا ينفي اعتبار الملكة و بعثها على ترك المعصية فعلا في مفهوم العدالة لتعارض ما تقدّم من دليل اعتباره، و لو سلّم فهو من جهة إطلاق الحكم بقبول شهادة المقترف بالذّنوب المتناول لفاقد الملكة أيضا و يخرج عنه بدليل اعتباره من باب التقيّد، و بهذا يعالج الإطلاق لو توهّم في سائر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للقول بكون العدالة حسن الظاهر بالروايات المعلّقة لترتيب أحكام العدالة من الإمامة و قبول الشهادة على الصفات الوجودية الظاهرة في الصفة الواقعيّة النفسانية، كالخيرية و الأمانة و الصيانة و الصلاح و العفّة، كما تقدم ذكرها عند تأييد المختار، مضافة إلى روايات أخر ظاهرة في كون حسن الظاهر مناطا للحكم بالعدالة و ترتيب أحكامها، مثل المروي عن الشيخ عن محمّد بن عيسى عن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و المناكح و المواريث و الذبائح و الشهادات، فإذا كان ظاهره ظاهرا مأمونا جازت شهادته و لا يسأل عن باطنه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سماعة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كان ممّن حرمت غيبته و كملت مروّته و ظهر عدله و وجب اخوّته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أمالي الصدوق بسنده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خمس صلوات في اليوم و الليلة في جماعة فظنّوا به خيرا و أجيزوا شهادته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المرسلة المروية عن هداية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آله و سلّم كان إذا تخاصم إليه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جاؤوا بشهود لا يعرفهم بخير و لا شرّ بعث رجلين من خيار أصحابه يسأل كلّ منهما من حيث لا يشعر الآخر عن حال الشهود في قبائلهم و محلّاتهم، فإذا أثنوا عليهم قضى حينئذ على المدّعى عليه، و إن رجعا بخبر شين و ثناء قبيح لم يفصهم و لكن يدعو الخصمين إلى الصلح، و إن لم يعرف لهم قبيلة سأل عنهما الخصم،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منهما إلّا خيرا أنفذه شهادتهما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الكافي و التهذيب في الحسن أو الصحيح عن ابن أبي عمير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خرجوا من خراسان أو بعض الجبال و كان يؤمهم رجل فلمّا صاروا إلى الكوفة علموا أنّه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يعيدون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المروي عن الصدوق في الفقيه عن كتاب زياد بن مروان القندي و في نوادر محمّد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بقوم من حين خرجوا عن خراسان حتى قدموا من مكّة فإذا هو يهوديّ أو نصرانيّ،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عليهم إعادة </w:t>
      </w:r>
      <w:r>
        <w:rPr>
          <w:rStyle w:val="FootnoteAnchor"/>
          <w:rtl w:val="true"/>
        </w:rPr>
        <w:footnoteReference w:id="20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أسانيد أكثرها و الغضّ عن إشعار كثير منها بكون العدالة أمرا وجوديّا واقعيّا و صفة نفسانيّة يستدلّ عليها بظاهر الحال إن لم ندعّ كونه ظهورا كما أشرنا إليه عند تأييد المختار، أنّ قصارى ما ينساق منها إجراء أحكام العدالة و ترتيب آثارها عند تحقّق حسن الظاهر أو على من حسن ظاهره، و هذا لا يقتضي أزيد من الطريقيّة، و هو مسلّم عند أهل القول بالملكة أو عند أكثرهم على ما أشرنا إليه مرارا و ستعرفه مفصّلا من أنّهم يجعلون</w:t>
      </w:r>
    </w:p>
    <w:p>
      <w:pPr>
        <w:pStyle w:val="BookText"/>
        <w:rPr/>
      </w:pPr>
      <w:r>
        <w:rPr>
          <w:rFonts w:ascii="Amiri" w:hAnsi="Amiri" w:eastAsia="Amiri" w:cs="Amiri"/>
          <w:color w:val="111111"/>
          <w:sz w:val="28"/>
          <w:sz w:val="28"/>
          <w:szCs w:val="28"/>
          <w:rtl w:val="true"/>
          <w:lang w:bidi="ar-SA"/>
        </w:rPr>
        <w:t>حسن الظاهر طريقا يتوصّل به إلى إحراز العدالة، و على المستدلّ إثبات دلالتها على كونه بنفسه عدالة، و أنّى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بصحيحة ابن أبي يعفور حيث قال الامام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إلخ، و هذا صريح في اعتبار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أشرنا إليه مرارا و سنحقّقه في المقام الآتي ظاهر كالصريح في اعتباره طريقا إلى العدالة المغايرة له لئلّا يلزم اتحاد الدليل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اشتراط قبول الشهادة بحسن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تلك الأخبار بضميمة ما دلّ على اشتراطه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العدالة و حسن الظاهر، للإجماع على عدم كونهما شرطين متغايرين، فكون حسن الظاهر طريقا إلى العدالة خلاف ظاهر الاتحاد، كما إذا ورد أنّه يشترط في الشاهد العدالة و ورد أيضا يشترط فيه حسن الظاهر فحينئذ يجعل العدالة عبارة عن الاستقامة الظاهريّة التي عليها الإنسان في ظاهر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بمثله بالقياس إلى الملكة، فإنّ ظاهر ما دلّ على اشتراط قبول الشهادة بالعدالة بضميمة صحيحة ابن أبي يعفور الدالّة على اشتراط قبوله بالملكة و بعثها على اجتناب الكبائر هو اتحاد العدالة و الملكة، و عليه فلا يبقى لتلك الأخبار محمل سوى حسن الظاهر على وجه الطريقيّة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تلك الأخبار على اشتراط قبول الشهادة بحسن الظاهر كما عرفت، فإنّ بعضها دالّ على اشتراطه بالعدالة التي يكشف عنها حسن الظاهر و بعضها دالّ على قبولها عند تحقّق حسن الظاهر، و هذا كما يحتمل كون حسن الظاهر بنفسه شرطا كذلك يحتمل كونه طريقا إلى الشرط إن لم ندع ظهوره في الثاني، غاية الأمر كونه مجملا فيرجع إلى ما يوجب رفع هذا الاجمال ممّا دلّ على مغايرة حسن الظاهر للعدالة كمغايرة الطريق و ذيه</w:t>
      </w:r>
      <w:r>
        <w:rPr>
          <w:rFonts w:eastAsia="Amiri" w:cs="Amiri" w:ascii="Amiri" w:hAnsi="Amiri"/>
          <w:color w:val="111111"/>
          <w:sz w:val="28"/>
          <w:szCs w:val="28"/>
          <w:rtl w:val="true"/>
          <w:lang w:bidi="ar-SA"/>
        </w:rPr>
        <w:t>.</w:t>
      </w:r>
      <w:bookmarkStart w:id="92" w:name="pg19659_263702"/>
    </w:p>
    <w:p>
      <w:pPr>
        <w:pStyle w:val="Heading2"/>
        <w:numPr>
          <w:ilvl w:val="1"/>
          <w:numId w:val="1"/>
        </w:numPr>
        <w:rPr/>
      </w:pPr>
      <w:bookmarkStart w:id="93" w:name="__RefHeading___Toc1948290_2314609296"/>
      <w:bookmarkStart w:id="94" w:name="_Toc36"/>
      <w:bookmarkEnd w:id="92"/>
      <w:bookmarkEnd w:id="93"/>
      <w:r>
        <w:rPr>
          <w:rtl w:val="true"/>
        </w:rPr>
        <w:t>المقام الثالث في طرق العدالة من الأصل و غيره</w:t>
      </w:r>
      <w:bookmarkEnd w:id="94"/>
    </w:p>
    <w:p>
      <w:pPr>
        <w:pStyle w:val="Heading3"/>
        <w:numPr>
          <w:ilvl w:val="2"/>
          <w:numId w:val="1"/>
        </w:numPr>
        <w:rPr/>
      </w:pPr>
      <w:bookmarkStart w:id="95" w:name="__RefHeading___Toc1948292_2314609296"/>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فليعلم أنّه لا مجال للأصل الاستصحابي في إحراز العدالة لمجهول الحال إذا شكّ في وجود الصفة النفسانية، لأنّ الأصل يقتضي العدم، فلا يمكن إحراز وجودها 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أو ظنّ عدالة رجل في وقت ثمَّ شكّ في وقت آخر في زوالها جاز الحكم بانسحابها، و ترتيب أحكامها عليه بالأصل، سواء شكّ في زوال الملكة أو في عروض ما يوجب الفسق من ارتكاب كبيرة أو الإصرار على صغيرة، فإنّ الأصل بقاء الأوّل و عدم عروض الثاني، و لا إشكال في جواز الاعتماد على هذا الأصل بكلّ من قسميه، لعموم المنع من نقض اليقين بالشكّ للأحكام و الموضوعات التي منها المقام، و سيرة المسلمين قديما و حديثا التي هي إجماع عملي في الاعتماد عليه في ترتيب أحكام العدالة في الشهود و أئمّة الجماعة و المفتين و حكّام الشرع و غيرهم، و هذا خارج عن معقد البحث من الطرق التي يراد بها الأمور التي يحرز بها العدالة ابتداء، فانّ فيه خلافا بين الأصحاب، ففي كلام جماعة حصرها في المعاشرة و الشهرة و الشهادة، و قد يعبّر عنها بالاختبار و الاشتهار و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تحرز بحسن الظاهر أيضا، و لعلّه المشهور بين المتأخّرين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الإسلام مع عدم ظهور الفسق، و عليه جماعة من قدماء</w:t>
      </w:r>
    </w:p>
    <w:p>
      <w:pPr>
        <w:pStyle w:val="BookText"/>
        <w:rPr/>
      </w:pPr>
      <w:r>
        <w:rPr>
          <w:rFonts w:ascii="Amiri" w:hAnsi="Amiri" w:eastAsia="Amiri" w:cs="Amiri"/>
          <w:color w:val="111111"/>
          <w:sz w:val="28"/>
          <w:sz w:val="28"/>
          <w:szCs w:val="28"/>
          <w:rtl w:val="true"/>
          <w:lang w:bidi="ar-SA"/>
        </w:rPr>
        <w:t xml:space="preserve">الأصحاب على ما استظهرناه من كلماتهم، حتى أنّهم جعلوا الأصل في المسلم العدالة، كما هو ظاهر عبارة الإسكافي المتقدّمة بل صريح عبارة الشيخ في الخلاف </w:t>
      </w:r>
      <w:r>
        <w:rPr>
          <w:rStyle w:val="FootnoteAnchor"/>
          <w:rtl w:val="true"/>
        </w:rPr>
        <w:footnoteReference w:id="210"/>
      </w:r>
      <w:r>
        <w:rPr>
          <w:rFonts w:ascii="Amiri" w:hAnsi="Amiri" w:eastAsia="Amiri" w:cs="Amiri"/>
          <w:color w:val="111111"/>
          <w:sz w:val="28"/>
          <w:sz w:val="28"/>
          <w:szCs w:val="28"/>
          <w:rtl w:val="true"/>
          <w:lang w:bidi="ar-SA"/>
        </w:rPr>
        <w:t>كما عرفت، و جعلوا فائدة ذلك الأصل سقوط اعتبار الفحص و التفتيش عن الباطن، و قولهم هذا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طريقيّة الإسلام مع عدم ظهور الفسق باعتبار إفادته الظنّ بالعدالة،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كالبيّنة أمارة تعبّدية بالعدالة، و أيّا ما كان فهو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الأوّل فلمنع تأثير مجرّد الإسلام في الظنّ بالعدالة، فإنّها بمعنى الكيفيّة النفسانيّة صفة زائدة على الإسلام، و باعتباره ينقسم المسلم إلى العادل و الفاسق، فيكون الإسلام أعمّ، و لا يعقل كون الأعمّ مؤثرا في الظنّ بالأخصّ، و انضمام القيد العدميّ إليه لا يجديه نفعا في إفادة الظنّ لكونه أيضا أعمّ، سواء أخذنا ظهور الفسق بالمعنى المقابل لخفائه، أو بالمعنى المرادف بخروجه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 عدم ظهوره بهذا المعنى قد يجامع وجود الفسق في الواقع مع خفائه على الأنظار، و لقد عرفت أنّ العدالة على القول بالملكة هي الملكة الملازمة للتقوى المؤثّرة في اجتناب الكبائر و سائر موجبات الفسق، لا مطلق الملكة و لو كانت مجامعة لموجب الفسق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فلأنّ لعدم خروج الفسق من القوّة إلى الفعل أسبابا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الكيفيّة النفسانية التي هي خشية اللّه سبحانه، و الخوف من سخطه و عذابه على وجه يغلب على هوى النفس و شهوتها و مكيدة الشيطان، و قد ينشأ عن خوف السلطان و من يجري مجراه، و عن خوف الافتضاح بين الناس، و عن الاستحياء منهم، و عن خوف السقوط عن درجة الاعتبار لديهم، و عن فقد أسباب المعصية أو بعض من شروطها أو نحو ذلك، فيكون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ذكرناه يظهر ضعف ما تقدّم حكايته عن ابن الجنيد من الاستدلال بأنّ إسلام المسلم يقتضي عدم الإخلال بواجب و لا الإقدام على محرّم إلى أن يصرفه صارف، فإنّ الشيئين ما لم يكن بينهما علاقة و ملازمة يستحيل أن يكون أحدهما مقتضيا للآخر، و لقد عرفت أنّه لا علاقة بين الإسلام من حيث هو، و بين عدم الإخلال بالواجبات و عدم ركوب المحرّمات، فضلا عن كون ذلك من آثار الملكة و الكيفيّة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العلاقة بينهما إمّا من جهة أنّ الإسلام ما أخذ في مفهومه الإقرار بما جاء به النبي صلّى اللّه عليه و آله و سلّم، أو من جهة أنّه مرادف للايمان الذي أخذ في مفهومه العمل بالأركان، أو من جهة غلبة تحقق الملكة الرادعة معه، فيوجّه الدليل حينئذ بأنّ الإسلام بما أخذ فيه من الإقرار بما جاء به النبيّ، أو بما أخذ فيه من العمل بالأركان، أو بما يغلب معه من الملكة الرادعة يقتضي عدم الإخلال بواجب و لا الإقدام على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منع الغلبة المدّعاة، فإنّا إن لم ندّع غلبة الفسق فلا أقلّ من منع غلبة العدالة و منع مرادفة الإسلام للايمان، بل هو على ما يستفاد من أخبار أهل العصمة عليهم السّلام و تصريح فحول الفرقة الحقّة أعم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حقّقناه في رسالة منفردة في تحقيق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دخول العمل بالأركان في حقيقة الإيمان على تقدير تسليم المرادفة بينهما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معتبر في كمال الإيمان، و الإقرار بما جاء به النبي المأخوذ في حقيقة الإسلام إنّما يقتضي عدم الإخلال بالواجبات و ركوب المحرّمات على وجه الإنكار و التكذيب، لا مطلقا، حتى ما يكون منهما على وجه الإثم و العصيان، مع أنّه لو تمَّ الاقتضاء على الوجه الأوّل بل الوجه الثاني لقضي بعدم انفكاك العدالة من الإسلام و لزم منه عدم كون الفاسق مسلما، و هم لا يقولون بذلك، بل هو في</w:t>
      </w:r>
    </w:p>
    <w:p>
      <w:pPr>
        <w:pStyle w:val="BookText"/>
        <w:rPr/>
      </w:pPr>
      <w:r>
        <w:rPr>
          <w:rFonts w:ascii="Amiri" w:hAnsi="Amiri" w:eastAsia="Amiri" w:cs="Amiri"/>
          <w:color w:val="111111"/>
          <w:sz w:val="28"/>
          <w:sz w:val="28"/>
          <w:szCs w:val="28"/>
          <w:rtl w:val="true"/>
          <w:lang w:bidi="ar-SA"/>
        </w:rPr>
        <w:t>وضوح الفساد بمكانة البديهيّ الذي لا ينبغي أخذه مسألة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يرد عليه من أنّ اللازم من دعوى التعبّدية لزوم الحكم بالعدالة و ترتيب آثارها و لو مع الظنّ بالخلاف، كما هو الحال في سائر الأمارات و الأصول التعبّدية، و لا نظنّهم أنّهم يقولون بذلك، و لذا قيّدوا الحكم بالعدالة و العمل بالأصل بغاية ظهور الفسق المتناول للظنّ به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تعبّدية العمل بالإسلام مع عدم ظهور الفسق في ترتيب أحكام العدالة و لو مع عدم الظنّ بها، بل و مع الظنّ بخلافها لا بدّ له من دلالة معتبرة قطعيّة أو منتهية إلى القطع، فانّ التعبّد بالإسلام مع عدم ظهور الفسق في الحكم بالعدالة لا معنى له إلّا وجوب ترتيب آثار العدالة على المسلم إلى أن يظهر خلافها، و هذا هو الأصل الوارد في كلامهم مرادا به القاعدة المستفادة من الأدلّة، نظير الأصل في حمل فعل المسلم على الصحة على معنى وجوب ترتيب آثار الصحة على فعله، و هذا كما ترى يحتاج إلى دليل، كما قام الدليل على أصل الصحة من الإجماع فتوى و عملا و الأخبار، و لم نقف في الأدلّة كتابا و سنّة و إجماعا و عقلا ما يمكن استنباط نحو ذلك الأصل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فغير مستقل، و أمّا الإجماع فغير ثابت بل الثابت خلافه، و أمّا الكتاب فليس منه ما يرتبط بالمقام إلّا قوله عزّ من قائل وَ اسْتَشْهِدُوا شَهِيدَيْنِ مِنْ رِجٰالِكُمْ </w:t>
      </w:r>
      <w:r>
        <w:rPr>
          <w:rStyle w:val="FootnoteAnchor"/>
          <w:rtl w:val="true"/>
        </w:rPr>
        <w:footnoteReference w:id="211"/>
      </w:r>
      <w:r>
        <w:rPr>
          <w:rFonts w:ascii="Amiri" w:hAnsi="Amiri" w:eastAsia="Amiri" w:cs="Amiri"/>
          <w:color w:val="111111"/>
          <w:sz w:val="28"/>
          <w:sz w:val="28"/>
          <w:szCs w:val="28"/>
          <w:rtl w:val="true"/>
          <w:lang w:bidi="ar-SA"/>
        </w:rPr>
        <w:t>بتقريب أنّ الخطاب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بكفاية رجلين من المسلمين، و مبناه إمّا على عدم اعتبار العدالة في الشهادة و هو باطل بالإجماع و الروايات و قوله تعالى وَ أَشْهِدُوا ذَوَيْ عَدْلٍ مِنْكُمْ </w:t>
      </w:r>
      <w:r>
        <w:rPr>
          <w:rStyle w:val="FootnoteAnchor"/>
          <w:rtl w:val="true"/>
        </w:rPr>
        <w:footnoteReference w:id="212"/>
      </w:r>
      <w:r>
        <w:rPr>
          <w:rFonts w:ascii="Amiri" w:hAnsi="Amiri" w:eastAsia="Amiri" w:cs="Amiri"/>
          <w:color w:val="111111"/>
          <w:sz w:val="28"/>
          <w:sz w:val="28"/>
          <w:szCs w:val="28"/>
          <w:rtl w:val="true"/>
          <w:lang w:bidi="ar-SA"/>
        </w:rPr>
        <w:t>أو على أنّ الأصل في المسلم العدالة ما لم يظهر خلافها و هو المطلوب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يندفع بأنّه ليس إلّا من جهة الإطلاق، و يخرج عنه بقوله تعالى مِمَّنْ تَرْضَوْنَ مِنَ الشُّهَدٰاءِ </w:t>
      </w:r>
      <w:r>
        <w:rPr>
          <w:rStyle w:val="FootnoteAnchor"/>
          <w:rtl w:val="true"/>
        </w:rPr>
        <w:footnoteReference w:id="213"/>
      </w:r>
      <w:r>
        <w:rPr>
          <w:rFonts w:ascii="Amiri" w:hAnsi="Amiri" w:eastAsia="Amiri" w:cs="Amiri"/>
          <w:color w:val="111111"/>
          <w:sz w:val="28"/>
          <w:sz w:val="28"/>
          <w:szCs w:val="28"/>
          <w:rtl w:val="true"/>
          <w:lang w:bidi="ar-SA"/>
        </w:rPr>
        <w:t>أي تثقون به، بشهادة المروي في تفسيره عن</w:t>
      </w:r>
    </w:p>
    <w:p>
      <w:pPr>
        <w:pStyle w:val="BookText"/>
        <w:rPr/>
      </w:pP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ترضون دينه و أمانته، و صلاحه و عفّته و تيقّظه فيما يشهد به، و تحصيله و 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صالحا عفيفا مميّزا محصّلا مجانبا للمعصية و الهوى و الميل و التحائل فذلك الرجل الفاضل </w:t>
      </w:r>
      <w:r>
        <w:rPr>
          <w:rStyle w:val="FootnoteAnchor"/>
          <w:rtl w:val="true"/>
        </w:rPr>
        <w:footnoteReference w:id="214"/>
      </w:r>
      <w:r>
        <w:rPr>
          <w:rFonts w:ascii="Amiri" w:hAnsi="Amiri" w:eastAsia="Amiri" w:cs="Amiri"/>
          <w:color w:val="111111"/>
          <w:sz w:val="28"/>
          <w:sz w:val="28"/>
          <w:szCs w:val="28"/>
          <w:rtl w:val="true"/>
          <w:lang w:bidi="ar-SA"/>
        </w:rPr>
        <w:t>فإنّه يوجب تقييد الرجلين بحسن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الروايات ما يوهم هذا الأصل إلّا ما تقدّم في الأخبار في حجة القول بكون الإسلام مع عدم ظهور الفسق نفس العدالة من صحيحة حريز و حسنتي الوشاء و البزنطي و روايتي ابني كهيل و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الصحيحة و الحسنة الاولى أنّه ليس فيهما من وجوه الدلالة إلّا إطلاق عدم المعروفيّة بالفسق على معنى عدم ظهوره منضمّا إلى الإسلام، و هو قابل للتقييد بحسن الظاهر، فليحمل على إرادة المقيّد بذلك، جمعا بينهما و بين روايات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الحسنة الثانية باحتمال، إرادة ما عدا الإسلام من لفظ الخير إن لم نقل بظهوره فيه، فليحمل عليه أيضا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رواية ابن كهيل مع ضعفها سندا بقبولها التقييد بحسن الظاهر، فلتحمل عليه أيضا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رواية ابن علقمة أيضا مع ضعفها أنّه ليس فيها إلّا إطلاق قبول شهادة من لم يره يرتكب ذنبا، و هذا أيضا يقبل التقييد بحسن الظاهر، بل يصلح ذلك، لكونه نوعا من حسن الظاهر،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ضعف القول بطريقيّة الإسلام و عدم ظهور الفسق ظهر لك قوّة القول بطريقيّة حسن الظاهر، و دليله الأخبار المتكاثرة المعتضد بعضها ببعض المنجبر ضعف كثير منها سندا و دلالة بذلك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مرسلة يونس عن بعض رجاله المتقدّمة من قول أبي عبد اللّه عليه السّلام في جواب المسألة عن البيّنة إذا أقيمت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المواريث و الذبائح و الشهادات،</w:t>
      </w:r>
    </w:p>
    <w:p>
      <w:pPr>
        <w:pStyle w:val="BookText"/>
        <w:rPr/>
      </w:pPr>
      <w:r>
        <w:rPr>
          <w:rFonts w:ascii="Amiri" w:hAnsi="Amiri" w:eastAsia="Amiri" w:cs="Amiri"/>
          <w:color w:val="111111"/>
          <w:sz w:val="28"/>
          <w:sz w:val="28"/>
          <w:szCs w:val="28"/>
          <w:rtl w:val="true"/>
          <w:lang w:bidi="ar-SA"/>
        </w:rPr>
        <w:t>فإذا كان ظاهره ظاهرا مأمونا جازت شهادته، و لا يسأل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أنّه عليه السّلام جعل الشهادات من الخمسة التي يجب الأخذ فيها بظاهر الحال، ثمَّ فسّر ظاهر الحال في الشاهد الذي يجب الأخذ به على معنى قبول شهادته بكون ظاهره ظاهرا مأمونا، و لا يكون ظاهره مأمونا إلّا بحسنه و ظهور الصلاح منه، فهو الذي أناط عليه السّلام به جواز شهادته و قبولها،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بعد ما ظهر منه الحسن و الصلاح لا يتوقّف الحكم بعدالته و ترتيب أثرها عليه على التفتيش، و المسألة من باطن أمره و سريرة شغله هل هو في السرائر و الخلوات يرتكب القبائح و الكبائر القادحة في العدالة أو يجتنبها؟ بل بمقتضى ظاهر حاله المنبئ بباطن أمره و لو ظنا يبني على وجود الصفة الواقعيّة و الحالة الملكية الباعثة له على الاجتناب و عدم الارتكاب إلى أن يظهر خلافه بطريق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رواية سماعة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كان ممّن حرمت غيبته و كملت مروّته و ظهر عدله و وجب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الظلم في المعاملات و عدم الكذب في التحديثات و عدم الخلف في الوعدات من جملة حسن الظاهر، بل من أعلى مراتبه، و قد رتّب عليه السّلام عليه أمورا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عدالة من يتّصف بها من باب ترتيب الجزاء على الشرط المقتضي للمغايرة بينهما، و قضية ذلك كون العدالة الظاهرة بالصفات المذكورة غيرها، و حيث إنّها تنشأ من الحالة المستقيمة النفسانية التي هي العدالة، فيكون الشرط المستفاد من قضية الرواية علّة للحكم بوجود الجزاء، لا علّة لنفس وجوده، و هذا هو معنى طريقيّة حسن الظاهر إلى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الكاظم عليه السّلام في المروي عن الأمالي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ظاهر في مواظبة الجماعة في الصلوات الخمس و المداومة عليها، و هو نحو من حسن الظاهر ينبئ باعتناء صاحبه بالشرع و محبّته للّه عز و جل، و قد رتّب الإمام عليه السّلام عليه ظنّ الخير بصاحبه و قبول شهادته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به خيرا و أجيزوا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بظنّ الخير الذي عطف عليه الأمر بقبول الشهادة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طلبا لنفس الظنّ على معنى إيجاد صفة الظنّ بوجود الصفة الواقعيّة التي هي العدالة، بناء على أن يكون المراد من الخير نفس العدالة، و محصّله إيجاب إيجاد الظنّ بعدالة الرجل بسبب حسن ظاهره المعلوم بمواظبته على الجماعة في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طلبا للاعتناء بظنّ العدالة على تقدير حصوله بملاحظة ما ذكر من حسن الظاهر، بناء على كون المراد من الخير أيضا نفس العدالة، فيكون تقديره أنّه اعتنوا بظنّ العدالة المفروض حصوله لكم بسبب ما ذكر من حسن الظاهر، و بعبارة أخرى إيجاب العمل بالانكشاف الظنّي المستند إلى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طلبا لترتيب آثار الظنّ بالعدالة التي منها قبول شهادته على مجرّد حسن الظاهر المذكور و إن لم يستتبع الظنّ فعلا بوجود صفة العدالة، و مفاده حينئذ كون حسن الظاهر المذكور معتبرا على وجه التعبّد أو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طلبا لجعل ما ذكر من المواظبة على الجماعة في الصلوات من الحسن الظاهر الذي يستدلّ به على وجود صفة العدالة على معنى عدّه منه إحرازا لدليل العدالة، ليتفرّع عليه بعد الانتقال منه إلى وجود هذه الصفة و لو تعبّدا وجوب قبول الشهادة بناء على أن يكون المراد من الخير حسن الظاهر الذي هو من قبيل الدليل، لا نفس العدالة الذي هو من قبيل المدلول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هذه الوجوه هو الوجه الأوّل، لعدم كون الظنّ من حيث وجوده في</w:t>
      </w:r>
    </w:p>
    <w:p>
      <w:pPr>
        <w:pStyle w:val="BookText"/>
        <w:rPr/>
      </w:pPr>
      <w:r>
        <w:rPr>
          <w:rFonts w:ascii="Amiri" w:hAnsi="Amiri" w:eastAsia="Amiri" w:cs="Amiri"/>
          <w:color w:val="111111"/>
          <w:sz w:val="28"/>
          <w:sz w:val="28"/>
          <w:szCs w:val="28"/>
          <w:rtl w:val="true"/>
          <w:lang w:bidi="ar-SA"/>
        </w:rPr>
        <w:t>النفس بنفسه من الأمور الاختياريّة المقدورة ليصحّ الأمر به و طلب إيجاده، إلّا بأن يرجع إلى طلب مراعاة حسن الظاهر المذكور و ملاحظته و النظر فيه ليحصل به ظن العدالة، أو يوجّه بكون الظنّ المأمور بإيجاده مقدورا بالواسطة بهذا الاعتبار، و أيّا ما كان فهو بعيد من سياق الكلام و دونه في الضعف الوجه الأخير، لرجوعه إلى توضيح الواضح، لأنّ كون ما ذكر نحوا من حسن الظاهر من الواضحات،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في متفاهم العرف ظاهر في الأمر بحسن الظاهر بالرجل المواظب على الجماعة في الصلوات في مقابل سوء الظنّ، و مرجعه إلى الظنّ بحسنه إمّا حسن ظاهره أو حسن باطنه الذي هو العدالة، و هو الأظهر، فيرجع إلى المعنى الثالث، فيرجع الرواية حينئذ إلى اعتبار حسن الظاهر من حيث التعبّد أو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الهداية المتقدّمة و فيها مواضع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جاؤوا بشهود لا يعرفهم بخير و 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المناط في قبول الشهادة و ردّها معرفة الشاهد بحسن ظاهر أو سوء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أثنوا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وصفوهم بالحسن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منهما إلّا خيرا أنفذ شهادتهما، لظهور معرفة الخير منهما في معرفتهما بحسن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 في سابقة دلالة أيضا على أنّ شاهد التعديل يكفي في قبول قوله في مقام التعديل أن يخبر بحسن الظاهر الذي هو طريق إلى إحراز العدالة، و لا يعتبر فيه الإخبار بنفس العدالة بعبارة فلان عدل أو ثقة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فإنّ العيوب عبارة عن العيوب الشرعية، و هي المعاصي الحاصلة من ترك الواجبات و فعل المحرّمات، و سترها عبارة عن</w:t>
      </w:r>
    </w:p>
    <w:p>
      <w:pPr>
        <w:pStyle w:val="BookText"/>
        <w:rPr/>
      </w:pPr>
      <w:r>
        <w:rPr>
          <w:rFonts w:ascii="Amiri" w:hAnsi="Amiri" w:eastAsia="Amiri" w:cs="Amiri"/>
          <w:color w:val="111111"/>
          <w:sz w:val="28"/>
          <w:sz w:val="28"/>
          <w:szCs w:val="28"/>
          <w:rtl w:val="true"/>
          <w:lang w:bidi="ar-SA"/>
        </w:rPr>
        <w:t>حجبها عن الأنظار، و ليس المراد به ما هو ظاهر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حجب الأمر الوجودي حال وجوده و لو مع معلوميّة وجوده ليكون ستر العيوب عبارة عن حجب العيوب المعلوم وجودها فيه، ضرورة أنّه بهذا المعنى لا يصلح طريقا إلى العدالة لمن علم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الامتناع عن العيوب المحتملة الوقوع منه في الملإ و عدم التلبّس بها في ظاهر الأنظار و محضر الناس، و إذا كان الرجل بهذه الصفة فهي فيه حسن ظاهر يستدلّ به على عدالته و يتوصّل إلى وجود الصفة الواقعية، كما أشار إليه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عليهم تزكيته و إظهار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بعد إحرازه إلى الفحص و التفتيش عن عيوبه الباطنيّة، و هي التي يرتكبها في الخلوات مثل بيته و منزله و عند أهله و عياله، بل يحرم ذلك بحكم حرمة التجسّس و إشاعة الفاحشة المنصوص عليه بالآية، كما أشار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يحرم على المسلمين ما وراء ذلك من عثراته و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الرواية تقضي بأنّ الستر بجميع العيوب بالمعنى المذكور إذا أحرز في الرجل يترتّب عليه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التفتيش عن عيوبه الباطنية المحتمل تلبّسه بها في البواطن و الخلوات، و وجوب تزكيته و إظهار عدالته و ترتيب آثار العدالة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منه التعاهد للصلوات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يتخلّف عن جماعتهم في مصلّاهم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كونهما عطفين على مدخول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وجوها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العطف المقتضي للجميع بمعنى المشاركة بين المعطوف و المعطوف عليه، من كون طريق إحراز العدالة مجموع الأمور الثلاث من حيث المجموع،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جميع العيوب في الظاهر المندرج فيه فعل الواجبات و ترك المحرّمات و المواظبة على الصلوات و حفظ مواقيتها على معنى الإتيان بها في أوائل أوقاتها الذي هو من السنن المؤكّدة، و الحضور في الجماعات عند الصلوات لأدائها جماعة الذي هو أيضا من السنن المؤكّدة، فهذا المجموع من حيث هو ما</w:t>
      </w:r>
    </w:p>
    <w:p>
      <w:pPr>
        <w:pStyle w:val="BookText"/>
        <w:rPr/>
      </w:pPr>
      <w:r>
        <w:rPr>
          <w:rFonts w:ascii="Amiri" w:hAnsi="Amiri" w:eastAsia="Amiri" w:cs="Amiri"/>
          <w:color w:val="111111"/>
          <w:sz w:val="28"/>
          <w:sz w:val="28"/>
          <w:szCs w:val="28"/>
          <w:rtl w:val="true"/>
          <w:lang w:bidi="ar-SA"/>
        </w:rPr>
        <w:t>يمكن الاستدلال به على وجود صفة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العطف فيهما من باب عطف الخاص على العامّ،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ستر العيوب جميعا في الظاهر يستلزم دوام المواظبة على الصلوات و حفظ مواقيتها، على معنى عدم تركها رأسا و لا تأخيرها عن أوقاتها المخصوصة، كما يستلزم غالبا حضور الجماعات في الصلوات، و إنّما خصّ هذان بأفراد الذكر لمزيد دخلهما في حسن الظاهر و ظهور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لبيان تعدّد طرق العدالة على معنى تعدّد أنواع حسن الظاهر الذي يحرز به العدالة، على وجه يكون كلّ كافيا في إحرازها، بناء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لبيان كون كلّ لاحق طريقا إلى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أمور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النفساني الّذي هو العدالة، و هو المطلوب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ستر العيوب في الظاهر، و قد جعله الشارع طريقا إلى إحراز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مواظبة الصلوات و حفظ مواقيتها، و قد اعتبره الشاعر طريقا إلى الطريق لمن لا يتمكّن من إحراز ستر العيوب بالمعاشرة التامّة، و لعلّ السرّ فيه كون الصلاة بالخاصية زاجرة عن المعاصي، كما يشير إليه قوله عزّ من قائل إِنَّ الصَّلٰاةَ تَنْهىٰ عَنِ الْفَحْشٰاءِ وَ الْمُنْكَرِ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الجماعات في الصلوات، و قد أخذ الشارع طريقا إلى طريق الطريق، و كأنّ الوجه فيه أنّ المواظبة على الصلوات في مواقيتهنّ لا يعلم بها في أكثر الأشخاص إلّا بالحضور في المساجد و إقامة الصلوات جماعة، و الأوّل و إن كان يساعد عليه ظاهر العطف إلّا أنّه يصرفه عن هذا الظهور قوله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عليهم تزكيته و إظهار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يقضي باستقلال ستر العيوب في الطريقية، 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 الصلاة ستر و كفّارة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الجماعة و الاجتماع إلى الصلاة لكي يعرف من يصلّي ممّن لا يصلّي، و من يحفظ مواقيت الصلاة ممّن يضيع، و لو لا</w:t>
      </w:r>
    </w:p>
    <w:p>
      <w:pPr>
        <w:pStyle w:val="BookText"/>
        <w:rPr/>
      </w:pPr>
      <w:r>
        <w:rPr>
          <w:rFonts w:ascii="Amiri" w:hAnsi="Amiri" w:eastAsia="Amiri" w:cs="Amiri"/>
          <w:color w:val="111111"/>
          <w:sz w:val="28"/>
          <w:sz w:val="28"/>
          <w:szCs w:val="28"/>
          <w:rtl w:val="true"/>
          <w:lang w:bidi="ar-SA"/>
        </w:rPr>
        <w:t>ذلك لم يكن لأحد أن يشهد على آخر بصلاح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لا يصلّي لا صلاح له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ربّما يقرّب الوجه الثالث، و يعطي كون المواظبة على الصلوات و حفظ مواقيتهنّ بنفسه نوعا من الصلاح و حسن الظاهر، بل و لو جعلنا الصلاح عبارة عن الأمر النفساني الذي يستدلّ عليه بحسن الظاهر كان مواظبة الصلوات و حفظ مواقيتهنّ من حسن الظاهر المجعول طريقا إلى ذلك الوصف النفساني، و يعضده ما تقدّم من المروي عن الأمالي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قضية الجمع بين الروايتين كون كلّ من مواظبة الصلوات الخمس و مواظبة الجماعة في أدائها طريقا مستقلا إلى نفس العدالة، فأظهر الوجوه حينئذ هو الوجه الثالث، و دونه في الظهور الوجه الأخير، كما أنّ أردأ الوجوه هو الوجه الأوّل، و دونه الوجه الثاني، إذ لا يلائمه التعليلات المذكورة،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كون حسن الظاهر ما اعتبره الشارع طريقا إلى إحراز العدالة فهل هو معتبر من باب التعبّد فلا يراعى في العمل به افادته الظنّ بالعدالة بل و لا يقدح فيه الظنّ بخلافها أيضا إذا لم يكن ذلك الظنّ ممّا اعتبره الشارع بالخصوص، أو معتبر من حيث الوصف على معنى كون اعتباره في نظر الشارع منوطا بإفادته الظنّ بالواقع؟ و مرجع البحث في ذلك إلى إطلاق طريقيّة حسن الظاهر بالقياس إلى صورتي إفادته الظنّ بالواقع و عدمها و تقييدها بإفادة الظنّ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 بالتعبّد تمسّكا بإطلاق الروايات الواردة بطريقية حسن الظاهر،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ورد في سائر الأخبار المتقدمة و غيرها بالقياس إلى صور الظنّ بالواقع و عدمه و الظنّ بخلاف الواقع و عدمه مطلق، فيفيد إطلاق الاعتبار و إرادة المطلق دون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بل يكشف عن إرادة المطلق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يونس </w:t>
      </w:r>
      <w:r>
        <w:rPr>
          <w:rStyle w:val="FootnoteAnchor"/>
          <w:rtl w:val="true"/>
        </w:rPr>
        <w:footnoteReference w:id="217"/>
      </w:r>
      <w:r>
        <w:rPr>
          <w:rFonts w:ascii="Amiri" w:hAnsi="Amiri" w:eastAsia="Amiri" w:cs="Amiri"/>
          <w:color w:val="111111"/>
          <w:sz w:val="28"/>
          <w:sz w:val="28"/>
          <w:szCs w:val="28"/>
          <w:rtl w:val="true"/>
          <w:lang w:bidi="ar-SA"/>
        </w:rPr>
        <w:t>بمعنى لا يلتفت إليه على حدّ ما في أخبار الجبن و اللحم المشترى من سوق المسلمين،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تسأل</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على معنى نفي اعتبار الالتفات إلى الواقع، أي لا يتحرّى بعد نهوض الطريق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و نظائرهما و حسن الظاهر فيما نحن فيه، لانكشاف الواقع علما أو ظنا، و هذا لا يلائم إلّا تعبّد العمل بالطريق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به كلّ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 الفقيه </w:t>
      </w:r>
      <w:r>
        <w:rPr>
          <w:rStyle w:val="FootnoteAnchor"/>
          <w:rtl w:val="true"/>
        </w:rPr>
        <w:footnoteReference w:id="219"/>
      </w:r>
      <w:r>
        <w:rPr>
          <w:rFonts w:ascii="Amiri" w:hAnsi="Amiri" w:eastAsia="Amiri" w:cs="Amiri"/>
          <w:color w:val="111111"/>
          <w:sz w:val="28"/>
          <w:sz w:val="28"/>
          <w:szCs w:val="28"/>
          <w:rtl w:val="true"/>
          <w:lang w:bidi="ar-SA"/>
        </w:rPr>
        <w:t>بتقريب أنّ الظنّ بنفسه ليس من الأمور الاختياريّة، فلا يصحّ طلبه، فيراد من نحوه ترتيب آثار الظنّ و إن لم يكن الظنّ حاصلا، و هذا أيضا يقتضي كون وجه اعتبار حسن الظاهر وجه الموضوعيّة لا الكاشفية، و هذا غاية ما يمكن أن يوجّه الاستدلال به على التعبّد و وجه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يزيّفه منع الإطلاق المتوهّم من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مورد الغالب لقضاء العيان و ضرورة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الظاهر في غالب موارده بالنسبة إلى المعتدلين من الناس يفيد الظنّ الغالب بوجود الصفة الواقعية، هذا مع إمكان القدح فيه باحتمال ورودها مورد بيان حكم آخر، و هو مرجعية حسن الظاهر في إحراز العدالة في الجملة على طريقة القضية المهملة، من دون نظر إلى التعميم و التخصيص و لا الإطلاق و التقييد، فلا بدّ في التزام أحد الوجهين من ملاحظة القرائن و الأدلّة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استكشاف إرادة المطلق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منع شهادة ذلك بمطلوب المستدل،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خبر في موضع الإنشاء،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فكما أنّ ذلك يفيد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شهادة الشاهد عند تحقّق حسن ظاهر فكذلك هذا يفيد حرمة السؤال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عيوبه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نهيا مساوقا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يحرم على المسلمين تفتيش ما وراء ذلك من عيوبه و عثراته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شهادة فيه بالموضوعية، و لو سلّم كونه على حقيقته فمفاده نفي اعتبار المسألة عن وجود صفة العدالة في الواقع، لفرض انكشاف وجودها ظنّا بملاحظة حسن الظاهر، و قد اكتفى به الشارع و أسقط كلفة الفحص و التفتيش كما هو ثمرة الطريقية، مع أنّه بمقتضى الفرض يرجع إلى طلب الحاصل إن قصد به الاستكشاف الظنّي، و ربّما يندرج في التجسّس و حبّ إشاعة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على تحريمهما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يستلزمه من الاطّلاع على العيوب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ظنّوا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ينهض قرينة على ارادة المطلق لو كان منافيا لإرادة المقيّد، و هو بمكانة من المنع و إن حملناه على طلب ترتيب آثار الظنّ لا على طلب إيجاد نفس الظنّ، لأنّ ترتيب آثار الظنّ بالعدالة في مورد حسن الظاهر المورث بنوعه لذلك الظنّ جهة جامعة بين وجهي التعبّد و الوصف، فيكون أعمّ، و لا يعقل دلالة الأعمّ على الأخص، مع أنّه قد أشرنا سابقا أنّ الظنّ باعتبار كونه مقدورا بواسطة النظر في سببه المورث له ممّا يصحّ أن يتعلّق به التكليف، فيكون محصّل المراد به على هذا التقدير، فحصّلوا الظنّ بعدالته بملاحظة حسن ظاهره المعلوم فيه بأنّ من صفته أنّه يلازم الجماعة في صلواته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جميع ما بيّناه أنّ الحقّ الحقيق بالقبول وفاقا لبعض محققي مشايخنا </w:t>
      </w:r>
      <w:r>
        <w:rPr>
          <w:rStyle w:val="FootnoteAnchor"/>
          <w:rtl w:val="true"/>
        </w:rPr>
        <w:footnoteReference w:id="221"/>
      </w:r>
      <w:r>
        <w:rPr>
          <w:rFonts w:ascii="Amiri" w:hAnsi="Amiri" w:eastAsia="Amiri" w:cs="Amiri"/>
          <w:color w:val="111111"/>
          <w:sz w:val="28"/>
          <w:sz w:val="28"/>
          <w:szCs w:val="28"/>
          <w:rtl w:val="true"/>
          <w:lang w:bidi="ar-SA"/>
        </w:rPr>
        <w:t>أنّ طريقيّة حسن الظاهر منوطة بإفادته الظنّ، و ليس مبناه على التعبّد الصرف، و دليله نفس النصوص الدالّة على مرجعيته التي توهم كونها مطلقات،</w:t>
      </w:r>
    </w:p>
    <w:p>
      <w:pPr>
        <w:pStyle w:val="BookText"/>
        <w:rPr/>
      </w:pPr>
      <w:r>
        <w:rPr>
          <w:rFonts w:ascii="Amiri" w:hAnsi="Amiri" w:eastAsia="Amiri" w:cs="Amiri"/>
          <w:color w:val="111111"/>
          <w:sz w:val="28"/>
          <w:sz w:val="28"/>
          <w:szCs w:val="28"/>
          <w:rtl w:val="true"/>
          <w:lang w:bidi="ar-SA"/>
        </w:rPr>
        <w:t>بضميمة قاعدة انصراف المطلق إلى الشائع من أفراده، و هو في حسن الظاهر بحكم الغلبة ما يفيد ظنّ العدالة، فيجب الاقتصار عليه في إجراء أحكام العدالة على مورده، إمّا لكونه القدر المتيقن من الحكم المخالف للأصل الذي أثبته الدليل، أو لنهوض شيوع الفرد في متفاهم العرف قرينة على انفهام الماهية من حيث الوجود فيرتفع به القبح اللازم على المتكلّم الحكيم من جهة إرادة خلاف الظاهر ممّا له ظاهر في معرض البيان، لكون قبحه منوطا بعدم البيان و الشيوع يصلح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سماعة </w:t>
      </w:r>
      <w:r>
        <w:rPr>
          <w:rStyle w:val="FootnoteAnchor"/>
          <w:rtl w:val="true"/>
        </w:rPr>
        <w:footnoteReference w:id="222"/>
      </w:r>
      <w:r>
        <w:rPr>
          <w:rFonts w:ascii="Amiri" w:hAnsi="Amiri" w:eastAsia="Amiri" w:cs="Amiri"/>
          <w:color w:val="111111"/>
          <w:sz w:val="28"/>
          <w:sz w:val="28"/>
          <w:szCs w:val="28"/>
          <w:rtl w:val="true"/>
          <w:lang w:bidi="ar-SA"/>
        </w:rPr>
        <w:t>بتقريب أنّ ظهور العدل بواسطة حسن الظاهر الحاصل من الصفات المذكورة في الرواية عبارة عن انكشافه الظنّي لبعد إرادة الانكشاف العلمي لندرة اتّفاقه، فيشعر بل يدلّ على أنّ عليه المدار في إجراء الأحكام المعلّقة على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 المعرفة ظاهرة في الإدراك التصديقي، و لا بدّ له من مستند، و قد جعله عليه السّلام حسن الظاهر، و حيث إنّ حسن الظاهر، بطبعه لا يصلح سببا للتصديق العلمي، فينهض ذلك قرينة على إرادة التصديق الظنّي من المعرفة، فدلّت الرواية على أنّ المعتبر في العدالة إنّما هو المعرفة الظنيّة، و الطريق المحصّل لها إنّما هو حسن الظاهر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المختار أو يدلّ عليه أيضا الاعتبار العقلي و هو أنّ الحكمة الباعثة على جعل الطريق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تسهيل الأمر على العباد المحتاجين إلى العدالة، و رفع الكلفة عنهم، مع مراعاة عدم لزوم سدّ باب الشهادات و الحكومات، و تضييع الحقوق و الأموال، و تعطيل أمور الناس في دينهم و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الطريق المجعول أمرا منضبطا يتساوى نسبته إلى الجميع، و لا يكون إلّا الانكشاف الظنّي المستند إلى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من حيث إفادته الظنّ، لأنّه من حيث هو مشتمل على مراتب مختلفة غير منضبطة، باعتبار أنّ الظاهر و الباطن في كلّ من طرفي الحسن و السوء أمران إضافيان يختلفان بحسب اختلاف الأشخاص و الأنظار، فالظاهر لأهل البلد باطن لغيرهم، و الظاهر لأهل المحلّة باطن لمن عداهم، و الظاهر للجيران باطن لغيرهم، و الظاهر لأهل البيت باطن للجيران، و الظاهر لزوجة الرجل باطن لسائر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يظهر للزوجة ما لا يظهر لسائر أهل بيته، و لأهل بيته ما لا يظهر لجيرانه، و لجيرانه ما لا يظهر لأهل محلّته، و لأهل محلّته ما لا يظهر لسائر أهل بلده، و لأهل بلده مالا يظهر للخارجين من البلد، و قد يصير السلسلة على عكس ذلك كما يعلم بالتأمّل، إلّا أنّ ذلك يغلب في جانب السوء، و لا ينضبط هذه المراتب المختلفة إلّا بإناطته بإفادة الظنّ بوجود الملكة الملازمة للتقوى، مع أنّ سقوط اعتبار العلم في الأمر الواقعي الذي يكون الأصل في طريق إحرازه العلم من جهة تعذّره أو تعسّره في غالب موارد ذلك الأمر يستدعي في حكم العقل المستقل جعل ما هو أقرب إليه من الطرق الغير العلميّة مقامه، و لا ريب أنّ المقيّد من الحسن الظاهر بإفادة الظنّ أقرب إلى العلم من مطلقة، فتأمّل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كون المدار في طريقيّه حسن الظاهر من حيث الظنّ على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كونه بحيث لو خلّي و طبعه أفاد الظنّ بوجود الملكة الملازمة للتقوى، فلا يقدح فيه عدم اتّفاق الظنّ في بعض الموارد لعارض، أو على الظنّ الشخصي، على معنى إناطة اعتباره في كلّ واقعة على افادة 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استظهارا لهما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لعين الأدلّة المذكورة، فإنّها بأجمعها تفيد اعتبار الظنّ الشخصي حتى النصوص المطلقة، بحكم الانصراف إلى مورد الغالب، و لو بقي فيها شبهة إطلاق مقتض لنوعيّة الظنّ لوجب الخروج عنه بالأخبار المعلّقة لجواز الائتمام بإمام الجماعة بالوثوق به، كما في</w:t>
      </w:r>
      <w:bookmarkStart w:id="97" w:name="pg19659_263717"/>
    </w:p>
    <w:p>
      <w:pPr>
        <w:pStyle w:val="BookText"/>
        <w:rPr/>
      </w:pPr>
      <w:bookmarkEnd w:id="97"/>
      <w:r>
        <w:rPr>
          <w:rFonts w:ascii="Amiri" w:hAnsi="Amiri" w:eastAsia="Amiri" w:cs="Amiri"/>
          <w:color w:val="111111"/>
          <w:sz w:val="28"/>
          <w:sz w:val="28"/>
          <w:szCs w:val="28"/>
          <w:rtl w:val="true"/>
          <w:lang w:bidi="ar-SA"/>
        </w:rPr>
        <w:t xml:space="preserve">خبر عمرو بن الربيع البصري </w:t>
      </w:r>
      <w:r>
        <w:rPr>
          <w:rStyle w:val="FootnoteAnchor"/>
          <w:rtl w:val="true"/>
        </w:rPr>
        <w:footnoteReference w:id="223"/>
      </w:r>
      <w:r>
        <w:rPr>
          <w:rFonts w:ascii="Amiri" w:hAnsi="Amiri" w:eastAsia="Amiri" w:cs="Amiri"/>
          <w:color w:val="111111"/>
          <w:sz w:val="28"/>
          <w:sz w:val="28"/>
          <w:szCs w:val="28"/>
          <w:rtl w:val="true"/>
          <w:lang w:bidi="ar-SA"/>
        </w:rPr>
        <w:t xml:space="preserve">أو الوثوق بدينه كما في خبر سهل بن زياد، أو الوثوق بدينه و أمانته كما في خبر أبي علي بن راشد </w:t>
      </w:r>
      <w:r>
        <w:rPr>
          <w:rStyle w:val="FootnoteAnchor"/>
          <w:rtl w:val="true"/>
        </w:rPr>
        <w:footnoteReference w:id="224"/>
      </w:r>
      <w:r>
        <w:rPr>
          <w:rFonts w:ascii="Amiri" w:hAnsi="Amiri" w:eastAsia="Amiri" w:cs="Amiri"/>
          <w:color w:val="111111"/>
          <w:sz w:val="28"/>
          <w:sz w:val="28"/>
          <w:szCs w:val="28"/>
          <w:rtl w:val="true"/>
          <w:lang w:bidi="ar-SA"/>
        </w:rPr>
        <w:t xml:space="preserve">أو بالوثوق بدينه و ورعه كما في الرضوي </w:t>
      </w:r>
      <w:r>
        <w:rPr>
          <w:rStyle w:val="FootnoteAnchor"/>
          <w:rtl w:val="true"/>
        </w:rPr>
        <w:footnoteReference w:id="225"/>
      </w:r>
      <w:r>
        <w:rPr>
          <w:rFonts w:ascii="Amiri" w:hAnsi="Amiri" w:eastAsia="Amiri" w:cs="Amiri"/>
          <w:color w:val="111111"/>
          <w:sz w:val="28"/>
          <w:sz w:val="28"/>
          <w:szCs w:val="28"/>
          <w:rtl w:val="true"/>
          <w:lang w:bidi="ar-SA"/>
        </w:rPr>
        <w:t>فإنّ المتبادر من الوثوق الظنّ و الاطمئنان الفعليان، و من الدين و الأمانة و الورع الصفات الوجودية، و تطلق في العرف و العادة على ملكاتها الراجعة إلى الملكة الملازمة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بوجود الصفة النفسانية المستند في إمام الجماعة إلى حسن الظاهر ظنّ به و بدينه و أمانته و ورعه، فليحمل عليه النصوص المطلقة على فرض تسليم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في ذلك نسبة العموم من وجه بينها و بين الأخبار المذكورة، لحكومة تلك الأخبار عليها في متفاهم العرف و لا ضعف أسانيدها، لأنّ تراكم بعضها ببعض و اعتضادها بالاعتبار و ظهور العمل بها من كلمات الأصحاب، حيث يستدلّون بها في باب اشتراط العدالة في إمام الجماعة يفيده ظنّ الصدور فيها، ثمَّ يتمّ المطلب في غير إمام الجماعة من سائر موارد العدالة، بظهور عدم القول بالفصل، مضافا إلى قوله تعالى مِمَّنْ تَرْضَوْنَ مِنَ الشُّهَدٰاءِ </w:t>
      </w:r>
      <w:r>
        <w:rPr>
          <w:rStyle w:val="FootnoteAnchor"/>
          <w:rtl w:val="true"/>
        </w:rPr>
        <w:footnoteReference w:id="226"/>
      </w:r>
      <w:r>
        <w:rPr>
          <w:rFonts w:ascii="Amiri" w:hAnsi="Amiri" w:eastAsia="Amiri" w:cs="Amiri"/>
          <w:color w:val="111111"/>
          <w:sz w:val="28"/>
          <w:sz w:val="28"/>
          <w:szCs w:val="28"/>
          <w:rtl w:val="true"/>
          <w:lang w:bidi="ar-SA"/>
        </w:rPr>
        <w:t xml:space="preserve">إذ الظاهر المتبادر من الرضا بالشاهد الوثوق و الاطمئنان به، و يظهر إرادة ذلك ظهورا تامّا ممّا في المروي عن تفسير الإمام عليه السّلام </w:t>
      </w:r>
      <w:r>
        <w:rPr>
          <w:rStyle w:val="FootnoteAnchor"/>
          <w:rtl w:val="true"/>
        </w:rPr>
        <w:footnoteReference w:id="227"/>
      </w:r>
      <w:r>
        <w:rPr>
          <w:rFonts w:ascii="Amiri" w:hAnsi="Amiri" w:eastAsia="Amiri" w:cs="Amiri"/>
          <w:color w:val="111111"/>
          <w:sz w:val="28"/>
          <w:sz w:val="28"/>
          <w:szCs w:val="28"/>
          <w:rtl w:val="true"/>
          <w:lang w:bidi="ar-SA"/>
        </w:rPr>
        <w:t>من اضافة الرضا إلى دينه و أمانته و صلاحه و عفّته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948294_2314609296"/>
      <w:bookmarkStart w:id="99" w:name="_Toc38"/>
      <w:bookmarkEnd w:id="98"/>
      <w:r>
        <w:rPr>
          <w:rtl w:val="true"/>
        </w:rPr>
        <w:t>و هل مطلق الظنّ بالعدالة من أيّ سبب حصل كاف في ثبوتها</w:t>
      </w:r>
      <w:bookmarkEnd w:id="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أحكامها، أو يعتبر الظنّ الخاص المستند إلى أسباب مخصوصة كالمعاشرة و الشهرة و الشهادة، أو هي و حسن الظاهر أيضا؟ وجهان، بل قولان، بل أقوال،</w:t>
      </w:r>
    </w:p>
    <w:p>
      <w:pPr>
        <w:pStyle w:val="BookText"/>
        <w:rPr/>
      </w:pPr>
      <w:r>
        <w:rPr>
          <w:rFonts w:ascii="Amiri" w:hAnsi="Amiri" w:eastAsia="Amiri" w:cs="Amiri"/>
          <w:color w:val="111111"/>
          <w:sz w:val="28"/>
          <w:sz w:val="28"/>
          <w:szCs w:val="28"/>
          <w:rtl w:val="true"/>
          <w:lang w:bidi="ar-SA"/>
        </w:rPr>
        <w:t xml:space="preserve">أقواها الأوّل، وفاقا لغير واحد من مشايخنا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اختياره من ثاني الشهيدين في الروضة حيث جعل من مثبتات عدالة الإمام اقتداء العدلين به بحيث يعلم ركونهما إليه </w:t>
      </w:r>
      <w:r>
        <w:rPr>
          <w:rStyle w:val="FootnoteAnchor"/>
          <w:rtl w:val="true"/>
        </w:rPr>
        <w:footnoteReference w:id="229"/>
      </w:r>
      <w:r>
        <w:rPr>
          <w:rFonts w:ascii="Amiri" w:hAnsi="Amiri" w:eastAsia="Amiri" w:cs="Amiri"/>
          <w:color w:val="111111"/>
          <w:sz w:val="28"/>
          <w:sz w:val="28"/>
          <w:szCs w:val="28"/>
          <w:rtl w:val="true"/>
          <w:lang w:bidi="ar-SA"/>
        </w:rPr>
        <w:t>فإنّ كون ذلك مثبتا لها خصوصا مع تقييده بالعلم بالركون إليه ممّا لا يعقل له وجه، إلّا أنّه يفيد بنوعه ظنّ العدالة، و كلّما كثر المقتدين العدول المعتبرين قوى الظنّ بها، و ربّما يدرج ذلك في الشهادة التي هي بنفسها من المثبتات، بناء على جعلها أعمّ من القوليّة 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دعوى الشهرة بين المتأخّرين في كفاية مطلق الظنّ، كما ربّما يظهر حكايتها من الفاضل الخراساني في الذخيرة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تحقيق أنّ المعتبر في إمام الجماعة و قبول الشهادة هل هو الظنّ الغالب بحصول العدالة المستند إلى البحث و التفتيش أم يكفي في ذلك ظهور الإسلام و عدم ظهور ما يقدح في العدالة؟ المشهور بين المتأخّرين الأوّل، و جوّز بعض الأصحاب التعويل في العدالة على حسن الظاهر،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المسلمين على العدالة إلّا أن يظهر خلافها، و ذهب الشيخ رحمه اللّه في الخلاف و ابن الجنيد و المفيد في كتاب الاشراف إلى أنّه يكفي في قبول الشهادة ظاهر الإسلام مع عدم ظهور ما يقدح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للقول الأخير و هو أنّه لا يعتبر في العمل بمقتضى العدالة البحث و التفتيش، بل يكفي الإسلام و حسن الظاهر و عدم ظهور القادح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الأخبار المتقدّمة لأهل القول بكفاية الإسلام و حسن الظاهر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بهذه الأخبار أنّ القدر الذي اعتبره عليه السّلام أقلّ من الظنّ بالعدالة بالمعنى الذي اعتبروه </w:t>
      </w:r>
      <w:r>
        <w:rPr>
          <w:rStyle w:val="FootnoteAnchor"/>
          <w:rtl w:val="true"/>
        </w:rPr>
        <w:footnoteReference w:id="2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اعتبار الظنّ الغالب بحصول العدالة الذي جعله مشهورا بين المتأخّرين قول بكفاية الظنّ المطلق، و لا ينافيه الحصر المستفاد من العبارة بواسطة وصف كون الظنّ الغالب مستندا إلى البحث و التفتيش، لأنّه ليس حصرا للظن المعتبر في</w:t>
      </w:r>
    </w:p>
    <w:p>
      <w:pPr>
        <w:pStyle w:val="BookText"/>
        <w:rPr/>
      </w:pPr>
      <w:r>
        <w:rPr>
          <w:rFonts w:ascii="Amiri" w:hAnsi="Amiri" w:eastAsia="Amiri" w:cs="Amiri"/>
          <w:color w:val="111111"/>
          <w:sz w:val="28"/>
          <w:sz w:val="28"/>
          <w:szCs w:val="28"/>
          <w:rtl w:val="true"/>
          <w:lang w:bidi="ar-SA"/>
        </w:rPr>
        <w:t>باب العدالة في الظنّ الحاصل من البحث و التفتيش خاصّة، بل هو حصر للسبب المورث للظنّ بها في البحث و التفتيش، بناء على أنّ الوصف للتوضيح لا للاحتراز، و لا ينافيه عدم اعتبار هؤلاء لحسن الظاهر، لأنّه ليس بناء منهم على أنّه يفيد الظنّ بالعدالة، و لكنه غير معتبر، بل بناء منهم على أنّه لا يفيد الظنّ بها ليكون معتبرا، فوجه إنكارهم لحسن الظاهر بعينه هو وجه عدم اكتفائهم بظهور الإسلام مع عدم ظهور الفسق من أنّه لا يلازم العدالة ليفيد الظنّ بها و لم يعتبره الشارع تعبّدا، لعدم ورود خبر معتبر تام الدلالة في ذلك، و ما ورد من الأخبار ممّا ظاهره ذلك غير معتبر، و على هذا يرجع النزاع بينهم و بين معتبري حسن الظاهر من باب الظنّ إلى كونه في الصغرى، و هو أنّ حسن الظاهر هل يفيد الظنّ أولا؟</w:t>
      </w:r>
    </w:p>
    <w:p>
      <w:pPr>
        <w:pStyle w:val="BookText"/>
        <w:rPr/>
      </w:pPr>
      <w:r>
        <w:rPr>
          <w:rFonts w:ascii="Amiri" w:hAnsi="Amiri" w:eastAsia="Amiri" w:cs="Amiri"/>
          <w:color w:val="111111"/>
          <w:sz w:val="28"/>
          <w:sz w:val="28"/>
          <w:szCs w:val="28"/>
          <w:rtl w:val="true"/>
          <w:lang w:bidi="ar-SA"/>
        </w:rPr>
        <w:t>لا إلى الكبرى، و هو أن الظنّ الحاصل منه هل هو معتبرا أولا؟</w:t>
      </w:r>
    </w:p>
    <w:p>
      <w:pPr>
        <w:pStyle w:val="BookText"/>
        <w:rPr/>
      </w:pPr>
      <w:r>
        <w:rPr>
          <w:rFonts w:ascii="Amiri" w:hAnsi="Amiri" w:eastAsia="Amiri" w:cs="Amiri"/>
          <w:color w:val="111111"/>
          <w:sz w:val="28"/>
          <w:sz w:val="28"/>
          <w:szCs w:val="28"/>
          <w:rtl w:val="true"/>
          <w:lang w:bidi="ar-SA"/>
        </w:rPr>
        <w:t xml:space="preserve">فالفريقان مطبقان على أنّ الظنّ بالعدالة مطلقا كاف في الحكم بها و ترتيب أحكامها، و على أنّ البحث و التفتيش ممّا يفيد الظنّ بها، و اختلفوا في أنّ حسن الظاهر أيضا يفيده ليكون مسقطا لاعتبار البحث و التفتيش أو لا يفيده لئلّا يكون كافيا في الحكم بها، و ربّما يظهر دعوى الشهرة المذكورة من ثاني الشهيدين أيضا في المسالك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فلنا على كفاية مطلق الظنّ الأخبار المتقدّمة المعلّقة لحكم إمام الجماعة بالوثوق به و بدينه و أمانته و ورعه، بتقريب ما مرّ من أنّ الظنّ بعدالة الرجل وثوق به، و هو بالقياس إلى سبب الوثوق مطلق، مضافا إلى قوله مِمَّنْ تَرْضَوْنَ مِنَ الشُّهَدٰاءِ </w:t>
      </w:r>
      <w:r>
        <w:rPr>
          <w:rStyle w:val="FootnoteAnchor"/>
          <w:rtl w:val="true"/>
        </w:rPr>
        <w:footnoteReference w:id="232"/>
      </w:r>
      <w:r>
        <w:rPr>
          <w:rFonts w:ascii="Amiri" w:hAnsi="Amiri" w:eastAsia="Amiri" w:cs="Amiri"/>
          <w:color w:val="111111"/>
          <w:sz w:val="28"/>
          <w:sz w:val="28"/>
          <w:szCs w:val="28"/>
          <w:rtl w:val="true"/>
          <w:lang w:bidi="ar-SA"/>
        </w:rPr>
        <w:t>و إلى خبر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لا تعرفه يؤم الناس يقرأ القرآن فلا تقرأ خلفه و اعتد بصلاته </w:t>
      </w:r>
      <w:r>
        <w:rPr>
          <w:rStyle w:val="FootnoteAnchor"/>
          <w:rtl w:val="true"/>
        </w:rPr>
        <w:footnoteReference w:id="233"/>
      </w:r>
      <w:r>
        <w:rPr>
          <w:rFonts w:ascii="Amiri" w:hAnsi="Amiri" w:eastAsia="Amiri" w:cs="Amiri"/>
          <w:color w:val="111111"/>
          <w:sz w:val="28"/>
          <w:sz w:val="28"/>
          <w:szCs w:val="28"/>
          <w:rtl w:val="true"/>
          <w:lang w:bidi="ar-SA"/>
        </w:rPr>
        <w:t>فانّ ترخيصه عليه السّلام في الاقتداء بإمام مجهول في الاكتفاء بمجرّد كونه يؤم الناس لا جهة له في الظاهر، إلّا أنّ اقتداء الناس به ممّا يورث الظنّ بعدالته و عليه</w:t>
      </w:r>
    </w:p>
    <w:p>
      <w:pPr>
        <w:pStyle w:val="BookText"/>
        <w:rPr/>
      </w:pPr>
      <w:r>
        <w:rPr>
          <w:rFonts w:ascii="Amiri" w:hAnsi="Amiri" w:eastAsia="Amiri" w:cs="Amiri"/>
          <w:color w:val="111111"/>
          <w:sz w:val="28"/>
          <w:sz w:val="28"/>
          <w:szCs w:val="28"/>
          <w:rtl w:val="true"/>
          <w:lang w:bidi="ar-SA"/>
        </w:rPr>
        <w:t>المدار في ثبوت العدالة،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بدليل الانسداد القاضي بأنّه لو لا جواز الاكتفاء بالظنّ في باب العدالة لزم سدّ باب الشهادات و الحكومات و تضييع الحقوق و تلف أموال الأيتام و تعطيل الفتاوى و الولايات و غيرها ممّا ينوط نفوذه بالعدالة، لتعذر العلم بها في غالب مواردها من جهة فقد الطرق العلمية المفيدة للعلم بها، حتى أنّ المعاشرة التامة و الصحبة المؤكّدة أيضا لا يفيده إلّا في حق الأوحدي، لعسر الاطلاع على العيوب الباطنيّة القادحة في العدالة، فلئن سلّم غلبة اتّفاق العلم بوجود الملكة بالمعاشرة التامة في كثر من مواردها أو أكثرها، فلا يسلم العلم بترك جميع الكبائر حتى الباطنيّة منها، و لا باستناد ما حصل به إلى الملكة لتعدّد أسبابه على 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بأنّه لا يلزم من انسداد باب العلم بالعدالة انفتاح باب الظنّ المطلق فيها، لجواز الرجوع في الموارد المشتبهة إلى الأصل أو إلى الشهادة في إثباتها بناء على الأخذ بها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مرجعية الأصل في مقام إثبات العدالة بعد سقوط اعتبار العلم غير معقولة، لأنّ من شأن الأصل نفي ما يشكّ في حدوثه، و العدالة أمر حادث، فيلزم من مرجعيّته ما يلزم على تقدير اعتبار العلم، و جريانه فيما يشك في زوال العدالة بعد تيقّن ثبوتها، و إن كان ممكنا غير أنّه خارج عن محلّ البحث الذي يقصد فيه إثبات الطرق المثبتة للعدالة في الموارد المشتبهة التي يشكّ فيها في أصل وجود الكيفيّة النفسانيّة الرادعة، و كون المرجع هو الشهادة أيضا غير معقول، إلّا على تقدير الالتزام بانفتاح باب الظنّ مطلقا، إذ الشهادة لا بدّ في اعتبارها عدالة الشاهد، و لا بدّ لها من مثبت، و لا يجوز كونه الشهادة أيضا لأدائه إلى الدور أو التسلسل، فلا بدّ أن يناط ثبوتها فيه إمّا بطريق العلم أو بطريق الظنّ، و الأوّل باطل لفرض تعذره و انسداد بابه، فتعيّن الثاني، و هو المطلوب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فيه بأنّه لا يتجه القول بكفاية الظنّ المطلق من مجرد</w:t>
      </w:r>
    </w:p>
    <w:p>
      <w:pPr>
        <w:pStyle w:val="BookText"/>
        <w:rPr/>
      </w:pPr>
      <w:r>
        <w:rPr>
          <w:rFonts w:ascii="Amiri" w:hAnsi="Amiri" w:eastAsia="Amiri" w:cs="Amiri"/>
          <w:color w:val="111111"/>
          <w:sz w:val="28"/>
          <w:sz w:val="28"/>
          <w:szCs w:val="28"/>
          <w:rtl w:val="true"/>
          <w:lang w:bidi="ar-SA"/>
        </w:rPr>
        <w:t>سقوط اعتبار العلم و بطلان مرجعية الأصل و عدم تماميّة الرجوع إلى الشهادة ما لم تنته إلى مطلق الظنّ، لجواز الرجوع إلى حسن الظاهر، من حيث إنّه ظنّ خاصّ اعتبره الشارع بالخصوص، بل ربّما يمكن دعوى ظهور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في حصر طريق المعرفة الظنية للعدالة في حسن الظاهر، على معنى انحصار طريق إثباتها ظنا في ذلك، أو إلى ظنون خاصة أخر اعتبرها الشارع بالخصوص، كظنّ المعاشرة و الشهرة و الشهادة بناء على الأخذ بها هنا، من حيث إفادتها الظنّ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الجميع بأنّ التمسّك بدليل الانسداد في المقام مبني على عدم ثبوت دليل خاص من نص أو إجماع على الأمور المذكورة أو عدم تمامية ما ورد من الأخبار في بعضها سندا أو دلالة، فهو على هذا الفرض يقتضي كفاية الظنّ مطلقا و من أي سبب حصل، و يندرج في هذا العنوان حينئذ كلّ ما يفيد الظنّ من حسن الظاهر و البحث و التفتيش و السؤال و المعاشرة و الاشتهار و الشهادة و اقتداء العدلين أو جماعة من المعتبرين و غير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نهوض الدليل المذكور على هذا الوجه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يؤكّده جميع الأخبار الواردة بحسن الظاهر مع الأخبار المصرّحة بالوثوق في إمام الجماعة و ما ورد في تفسير مِمَّنْ تَرْضَوْنَ مِنَ الشُّهَدٰاءِ </w:t>
      </w:r>
      <w:r>
        <w:rPr>
          <w:rStyle w:val="FootnoteAnchor"/>
          <w:rtl w:val="true"/>
        </w:rPr>
        <w:footnoteReference w:id="23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يونس </w:t>
      </w:r>
      <w:r>
        <w:rPr>
          <w:rStyle w:val="FootnoteAnchor"/>
          <w:rtl w:val="true"/>
        </w:rPr>
        <w:footnoteReference w:id="236"/>
      </w:r>
      <w:r>
        <w:rPr>
          <w:rFonts w:ascii="Amiri" w:hAnsi="Amiri" w:eastAsia="Amiri" w:cs="Amiri"/>
          <w:color w:val="111111"/>
          <w:sz w:val="28"/>
          <w:sz w:val="28"/>
          <w:szCs w:val="28"/>
          <w:rtl w:val="true"/>
          <w:lang w:bidi="ar-SA"/>
        </w:rPr>
        <w:t xml:space="preserve">و خبر عبد الرحيم القصير </w:t>
      </w:r>
      <w:r>
        <w:rPr>
          <w:rStyle w:val="FootnoteAnchor"/>
          <w:rtl w:val="true"/>
        </w:rPr>
        <w:footnoteReference w:id="237"/>
      </w:r>
      <w:r>
        <w:rPr>
          <w:rFonts w:ascii="Amiri" w:hAnsi="Amiri" w:eastAsia="Amiri" w:cs="Amiri"/>
          <w:color w:val="111111"/>
          <w:sz w:val="28"/>
          <w:sz w:val="28"/>
          <w:szCs w:val="28"/>
          <w:rtl w:val="true"/>
          <w:lang w:bidi="ar-SA"/>
        </w:rPr>
        <w:t>و غيره ممّا ذكرناه و ما لم نذكره،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المجموع من حيث المجموع كون المناط في إثبات العدالة و ترتيب أحكامها في نظر الشارع ظهورها و انكشافها الظنّي كائنا ما كان، من دون مدخلية لخصوص سبب 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ورودها بحسن الظاهر لعلّها من جهة أنّه الطريق</w:t>
      </w:r>
      <w:bookmarkStart w:id="100" w:name="pg19659_263722"/>
    </w:p>
    <w:p>
      <w:pPr>
        <w:pStyle w:val="BookText"/>
        <w:rPr/>
      </w:pPr>
      <w:bookmarkEnd w:id="100"/>
      <w:r>
        <w:rPr>
          <w:rFonts w:ascii="Amiri" w:hAnsi="Amiri" w:eastAsia="Amiri" w:cs="Amiri"/>
          <w:color w:val="111111"/>
          <w:sz w:val="28"/>
          <w:sz w:val="28"/>
          <w:szCs w:val="28"/>
          <w:rtl w:val="true"/>
          <w:lang w:bidi="ar-SA"/>
        </w:rPr>
        <w:t>الغالبي المتيسّر الحصول لأكثر المكلفين بإحراز العدالة في حق أغلب الناس المحتاج إلى إثبات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من الظنّ المطلق مطلقه و لو في أوّل درجات الرجحان أو الظنّ القوي البالغ حدّ الوثوق و الاطمئنان أو الظنّ القوي المتاخم للعلم؟ وجوه أوسطها أقواها، عملا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 جازت شهادته 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التمسّك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العلم بالظنّ في الجملة، فيجب الاقتصار فيه على الظنّ القوي المعبّر عنه عرفا بالوثوق و الأمن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بجميع ما ذكر 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إطلاقات الروايات تدلّ على اعتبار مطلق الظنّ، بناء على أنّ المتيقّن ممّا خرج من إطلاقها هو صورة عدم حصول الظنّ، فيبقى الباقي تحته، فإنّ الإطلاق المدعي 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الإغماض عن دعوى انصرافه إلى صورة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بما دلّ على اعتبار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w:t>
      </w:r>
    </w:p>
    <w:p>
      <w:pPr>
        <w:pStyle w:val="Heading3"/>
        <w:numPr>
          <w:ilvl w:val="2"/>
          <w:numId w:val="1"/>
        </w:numPr>
        <w:rPr/>
      </w:pPr>
      <w:bookmarkStart w:id="101" w:name="__RefHeading___Toc1948296_2314609296"/>
      <w:bookmarkStart w:id="102" w:name="_Toc39"/>
      <w:bookmarkEnd w:id="101"/>
      <w:r>
        <w:rPr>
          <w:rtl w:val="true"/>
        </w:rPr>
        <w:t>الكلام مع من حصر الطرق المثبتة للعدالة في المعاشرة و الشياع و الشهادة</w:t>
      </w:r>
      <w:bookmarkEnd w:id="102"/>
    </w:p>
    <w:p>
      <w:pPr>
        <w:pStyle w:val="Heading4"/>
        <w:numPr>
          <w:ilvl w:val="3"/>
          <w:numId w:val="1"/>
        </w:numPr>
        <w:rPr/>
      </w:pPr>
      <w:bookmarkStart w:id="103" w:name="__RefHeading___Toc1948298_2314609296"/>
      <w:bookmarkStart w:id="104" w:name="_Toc40"/>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فإن أراد بذلك نفي اعتبار الظنّ مطلقا و أنّ المعتبر في إثبات العدالة هو العلم بالمعنى الأعم من العقلي و الشرعيّ و أنّ أسبابه منحصرة في الثلاثة فالشهادة علم شرعي، و ما عداها علم عقلي على معنى افادته إيّاه، تمسّكا بأنّ العدالة بمعنى الملكة النفسانيّة من الموضوعات الواقعية التي علّق عليها في الشرع أحكام كثيرة، و الأصل الأوّلي العقلي فيها لزوم إثباتها بطريق العلم و ما يقوم مقامه شرعا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المعاشرة و الشياع مفيدين للعلم الحقيقي بالعدالة، لعسر الاطّلاع على المعاصي الباطنيّة، و عسر الاطّلاع على استناد ترك ما علم تركه من المعاصي إلى الخوف و الاستحياء من اللّه، و الشياع المفيد للعلم بالعدالة لا يتأتى إلّا إذا بلغ حد التسامع و التظافر بحيث كانت العدالة متسالما فيها بين الناس على</w:t>
      </w:r>
    </w:p>
    <w:p>
      <w:pPr>
        <w:pStyle w:val="BookText"/>
        <w:rPr/>
      </w:pPr>
      <w:r>
        <w:rPr>
          <w:rFonts w:ascii="Amiri" w:hAnsi="Amiri" w:eastAsia="Amiri" w:cs="Amiri"/>
          <w:color w:val="111111"/>
          <w:sz w:val="28"/>
          <w:sz w:val="28"/>
          <w:szCs w:val="28"/>
          <w:rtl w:val="true"/>
          <w:lang w:bidi="ar-SA"/>
        </w:rPr>
        <w:t>وجه لا ينكرها و لا يتوقّف فيها أحد كعدالة سلمان و أبي ذر و احزابهما، و هذا كما ترى ممّا لا يتفق عادة في حق غير الأوحدي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ما يعتبر في إثبات العدالة في العلم بالمعنى المذكور، لوجوب الخروج من الأصل المذكور بكثرة الأخبار الواردة بكفاية حسن الظاهر في إثباتها، المعتضدة بروايات كفاية ظهور الإسلام و عدم ظهور الفسق، و غير ذلك ممّا تقدم دليلا أو تأييدا لإثبات حجّية حسن الظاهر، سواء قلنا تعبّدا أو من باب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المطلق عند معتبريه أيضا داخل في العلم بالمعنى المذكور، لأنّهم إنّما يعتبرونه لدليل، فيكون كالشهادة علما شرعيّا قائما مقام العلم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بذلك نفي حصول الظنّ من غير هذه الثلاثة من باب حصر أسبابه فيها مع البناء على كفاية مطلق الظنّ فيها على تقدير حصوله من غير الثلاثة أيضا فهو كلام في الصغرى، و الأمر فيه سهل، لبناء التعدي من الثلاثة إلى غيرها على فرض حصول الظنّ من غيرها أيضا، بل بعد الفراغ عن إثبات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نفي اعتبار الظنّ الحاصل من غير هذه الثلاثة بدعوى أنّها ظنون مخصوصة ثبت اعتبارها هنا بالخصوص بالنص و الإجماع، فيرجع في غيرها إلى أصالة عدم حجية الظنّ خصوصا في الموضوعات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هذا الأصل أيضا يجب الخروج عنه بدليل حسن الظاهر، بل بدليل كفاية الظنّ مطلقا الذي يندرج فيه هذه الثلاثة و يسقط به كلفة تحرّي أحدها، بل قد عرفت عن الإسكافي و الشيخين و أحزابهم من القدماء الاكتفاء بما دون الظنّ و ما هو أدون من حسن الظاهر و هو الإسلام و عدم ظهور الفسق، مع ما عرفت عن الشيخ في الخلاف </w:t>
      </w:r>
      <w:r>
        <w:rPr>
          <w:rStyle w:val="FootnoteAnchor"/>
          <w:rtl w:val="true"/>
        </w:rPr>
        <w:footnoteReference w:id="239"/>
      </w:r>
      <w:r>
        <w:rPr>
          <w:rFonts w:ascii="Amiri" w:hAnsi="Amiri" w:eastAsia="Amiri" w:cs="Amiri"/>
          <w:color w:val="111111"/>
          <w:sz w:val="28"/>
          <w:sz w:val="28"/>
          <w:szCs w:val="28"/>
          <w:rtl w:val="true"/>
          <w:lang w:bidi="ar-SA"/>
        </w:rPr>
        <w:t>من إنكاره لزوم الفحص و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المعاشرة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الإنكار، و دعواه إجماع أهل الأعصار على تركه و جعله الالتزام به ممّا أحدثه شريك بن عبد اللّه القاضي مع عدم مساعدة شي‌ء من النصوص على</w:t>
      </w:r>
      <w:bookmarkStart w:id="105" w:name="pg19659_263724"/>
    </w:p>
    <w:p>
      <w:pPr>
        <w:pStyle w:val="BookText"/>
        <w:rPr/>
      </w:pPr>
      <w:bookmarkEnd w:id="105"/>
      <w:r>
        <w:rPr>
          <w:rFonts w:ascii="Amiri" w:hAnsi="Amiri" w:eastAsia="Amiri" w:cs="Amiri"/>
          <w:color w:val="111111"/>
          <w:sz w:val="28"/>
          <w:sz w:val="28"/>
          <w:szCs w:val="28"/>
          <w:rtl w:val="true"/>
          <w:lang w:bidi="ar-SA"/>
        </w:rPr>
        <w:t>اعتبار هذه الثلاثة بالخصوص، فكيف يدعى كونها من الظنّ الخاص الذي ثبت اعتباره بالخصوص بالنص و الإجماع؟ و غاية ما يسلّم إنّما هو الإجماع على جواز سلوك كلّ من هذه الطرق الثلاث في إحراز العدالة، و هذا لا ينافي طريقيّة غيرها بعد مساعدة الدليل، بل طريقية شي‌ء عام يكون هذه الثلاثة من أفراده، مع إمكان كونه المشهور بين المتأخرين على ما بيّناه في توجيه كلام 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التكلّم في بعض ما يتعلّق بهذه الثلاثة لينتفع به من لم يتمكّن في إثبات عدالة شاهد أو إمام أو غيرهما من طريق إلّا أحدها، فنقول</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948300_2314609296"/>
      <w:bookmarkStart w:id="107" w:name="_Toc41"/>
      <w:bookmarkEnd w:id="106"/>
      <w:r>
        <w:rPr>
          <w:rtl w:val="true"/>
        </w:rPr>
        <w:t>أمّا المعاشرة</w:t>
      </w:r>
      <w:r>
        <w:rPr>
          <w:rtl w:val="true"/>
        </w:rPr>
        <w:t>:</w:t>
      </w:r>
      <w:bookmarkEnd w:id="107"/>
    </w:p>
    <w:p>
      <w:pPr>
        <w:pStyle w:val="BookText"/>
        <w:rPr/>
      </w:pPr>
      <w:r>
        <w:rPr>
          <w:rFonts w:ascii="Amiri" w:hAnsi="Amiri" w:eastAsia="Amiri" w:cs="Amiri"/>
          <w:color w:val="111111"/>
          <w:sz w:val="28"/>
          <w:sz w:val="28"/>
          <w:szCs w:val="28"/>
          <w:rtl w:val="true"/>
          <w:lang w:bidi="ar-SA"/>
        </w:rPr>
        <w:t>فهي المصاحبة و المخالطة مع الرجل في الخلإ و الملأ للاطّلاع على وجود صفة العدالة في باطنه بواسطة الاطّلاع على خصلة فيه تكشف عن خوفه من اللّه الرادع له عن ارتكاب المعاصي و القبائح، و هذا هو معنى ما تقدّم سابقا عن نهاية العلّامة في تفسير الاختبار الذي جعله من طرق معرفة العدالة، و قد ذكرنا مرارا أنّه في غالب موارده لا يورث القطع، بل غاية ما يورثه الظنّ، فليكتف به مع مراعاة مرتبة الوثوق و الاطمئنان، و هو سكون النفس على وجه لا يبقى لها تزلزل و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عبارة الروضة من التعبير بالعلم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 بالاختبار المستفاد من التكرار المطلع على الخلق من التخلّق و الطبع من التكلّف غالبا و بشهادة عدلين بها و شياعها و اقتداء العدلين به في الصلاة بحيث يعلم ركونهما إليه تزكية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فلا ينافي ما ذكرناه، لعدم كون مراده خصوص العلم بقرينة ذكر شهادة العدلين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948302_2314609296"/>
      <w:bookmarkStart w:id="109" w:name="_Toc42"/>
      <w:bookmarkEnd w:id="108"/>
      <w:r>
        <w:rPr>
          <w:rtl w:val="true"/>
        </w:rPr>
        <w:t>و أمّا الشياع</w:t>
      </w:r>
      <w:r>
        <w:rPr>
          <w:rtl w:val="true"/>
        </w:rPr>
        <w:t>:</w:t>
      </w:r>
      <w:bookmarkEnd w:id="109"/>
    </w:p>
    <w:p>
      <w:pPr>
        <w:pStyle w:val="BookText"/>
        <w:rPr/>
      </w:pPr>
      <w:r>
        <w:rPr>
          <w:rFonts w:ascii="Amiri" w:hAnsi="Amiri" w:eastAsia="Amiri" w:cs="Amiri"/>
          <w:color w:val="111111"/>
          <w:sz w:val="28"/>
          <w:sz w:val="28"/>
          <w:szCs w:val="28"/>
          <w:rtl w:val="true"/>
          <w:lang w:bidi="ar-SA"/>
        </w:rPr>
        <w:t>فالكلام فيه تارة من حيث الكمّ و اخرى من حيث الكيف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لم يحصل فيه للفقهاء اصطلاح خاص، بل هو باق على حقيقته اللغوية التي يكشف عنها العرف، و إطلاقه في كلامهم إنّما هو باعتبار المعنى العرفي الكاشف عن اللغة، فهو لغة على 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 الأمر أي</w:t>
      </w:r>
    </w:p>
    <w:p>
      <w:pPr>
        <w:pStyle w:val="BookText"/>
        <w:rPr/>
      </w:pPr>
      <w:r>
        <w:rPr>
          <w:rFonts w:ascii="Amiri" w:hAnsi="Amiri" w:eastAsia="Amiri" w:cs="Amiri"/>
          <w:color w:val="111111"/>
          <w:sz w:val="28"/>
          <w:sz w:val="28"/>
          <w:szCs w:val="28"/>
          <w:rtl w:val="true"/>
          <w:lang w:bidi="ar-SA"/>
        </w:rPr>
        <w:t>ذاع و فشا، 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الخبر ذاع و ظهر، و منه قوله عزّ من قائل الَّذِينَ يُحِبُّونَ أَنْ تَشِيعَ الْفٰاحِشَةُ فِي الَّذِينَ آمَنُوا </w:t>
      </w:r>
      <w:r>
        <w:rPr>
          <w:rStyle w:val="FootnoteAnchor"/>
          <w:rtl w:val="true"/>
        </w:rPr>
        <w:footnoteReference w:id="241"/>
      </w:r>
      <w:r>
        <w:rPr>
          <w:rFonts w:ascii="Amiri" w:hAnsi="Amiri" w:eastAsia="Amiri" w:cs="Amiri"/>
          <w:color w:val="111111"/>
          <w:sz w:val="28"/>
          <w:sz w:val="28"/>
          <w:szCs w:val="28"/>
          <w:rtl w:val="true"/>
          <w:lang w:bidi="ar-SA"/>
        </w:rPr>
        <w:t>فهو بهذا المعنى كما ترى ليس من جنس الخبر و إن أوهمه عبارة المجمع، بل هو وصف يعرض أصل المطلب باعتبار بروزه و ظهوره عند أناس،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به في القضايا و المخبر به في الأخبار، و بهذا الاعتبار قد يجامعه الخبرية فيما إذا أخذ ذلك المطلب الذائع الظاهر الشائع في قضية خبرية و أخبر به فيها، و لذا قد يعبّر عنه في باب العدالة بالاشتهار أو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كلام جماعة من تعريفه بخبر جماعة مع اختلافهم في تقييده بإفادة العلم أو الظنّ المتاخم بالعلم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المعنى المذكور بحيث أخذ في مفهومه الإضافة إلى من يطرأه العدد، فمن هنا جاء النظر في العدد المعتبر في صدق هذا المفهوم و تحقّقه في الخارج، غير أنّ الأصحاب لم يتعرّضوا لتحديده و تعيينه، و هذا آية إيكالهم له إلى نظر العرف، و لا ريب أنّه عند أهل العرف لا يصدق على ظهور الأمر عند واحد و لا عند اثنين و لا عند ثلاثة، و إن كان ما سمعته عن الجماعة من تعريفه بخبر جماعة ربّما يوهم صدقه مع الثلاثة باعتبار صدق الجماعة عليه، غير أنّه واضح الفساد، لأنّ المستفاد من العرف أنّه يتوقّف على عدد أزيد من ذلك، و لا يتحقّق بالأربعة، بل الخمسة و ما دونهما، و في تحقّقه بالستة و ما يقرب منه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يكفي في صدق هذا المفهوم و تحقّقه مطلق الجماعة، بل يعتبر معها نحو كثرة لا بدّ في تشخيصها من مراجعة العرف، و يختلف بحسب الموارد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ذلك بالنسبة إلى نظر من يستفيد المطلب من شياعه على معنى ظهوره و وضوحه عند أناس كثيرين، فهل يعتبر فيه عرفا كونه بحيث يفيد العلم به أو الظنّ المتاخم بالعلم، أو يكفي الظنّ و يعتبر بلوغه حدّ الاطمئنان أو يكفي مطلق الظنّ؟ و الظاهر أنّه صالح لجميع المراتب، و يصدق عرفا مع الجميع، و يختلف حاله بحسب الموارد و باعتبار اختلاف مراتب كثرة الجماعة،</w:t>
      </w:r>
    </w:p>
    <w:p>
      <w:pPr>
        <w:pStyle w:val="BookText"/>
        <w:rPr/>
      </w:pPr>
      <w:r>
        <w:rPr>
          <w:rFonts w:ascii="Amiri" w:hAnsi="Amiri" w:eastAsia="Amiri" w:cs="Amiri"/>
          <w:color w:val="111111"/>
          <w:sz w:val="28"/>
          <w:sz w:val="28"/>
          <w:szCs w:val="28"/>
          <w:rtl w:val="true"/>
          <w:lang w:bidi="ar-SA"/>
        </w:rPr>
        <w:t xml:space="preserve">و لأجل ذا اختلف الفقهاء في حكمه من حيث اشتراط ثبوت المطلب به بإفادته العلم أو كفاية الظنّ مطلقا أو مع الاطمئنان، و من ذلك اختلافهم في مسألة ثبوت ولاية القاضي به، و من معتبري إفادته العلم ثمّة الفاضلان في قضاء الشرائع </w:t>
      </w:r>
      <w:r>
        <w:rPr>
          <w:rStyle w:val="FootnoteAnchor"/>
          <w:rtl w:val="true"/>
        </w:rPr>
        <w:footnoteReference w:id="242"/>
      </w:r>
      <w:r>
        <w:rPr>
          <w:rFonts w:ascii="IRNazanin" w:hAnsi="IRNazanin" w:eastAsia="IRNazanin"/>
          <w:color w:val="111111"/>
          <w:sz w:val="28"/>
          <w:sz w:val="28"/>
          <w:szCs w:val="28"/>
          <w:rtl w:val="true"/>
          <w:lang w:bidi="fa-IR"/>
        </w:rPr>
        <w:t xml:space="preserve">و المنتهى </w:t>
      </w:r>
      <w:r>
        <w:rPr>
          <w:rStyle w:val="FootnoteAnchor"/>
          <w:rtl w:val="true"/>
        </w:rPr>
        <w:footnoteReference w:id="243"/>
      </w:r>
      <w:r>
        <w:rPr>
          <w:rFonts w:ascii="Amiri" w:hAnsi="Amiri" w:eastAsia="Amiri" w:cs="Amiri"/>
          <w:color w:val="111111"/>
          <w:sz w:val="28"/>
          <w:sz w:val="28"/>
          <w:szCs w:val="28"/>
          <w:rtl w:val="true"/>
          <w:lang w:bidi="ar-SA"/>
        </w:rPr>
        <w:t>، و لو كانت هذه اللفظة واردة في نص أو مأخوذة في معقد إجماع أمكن التمسّك بها من جهة الإطلاق على إطلاق حجيّته في كلّ مورد، إلّا ما خرج بدليل دالّ على اعتبار العلم فيه بالخصوص، غير أنّ النصوص خالية عنها، و لم نجدها في معاقد الإجماعات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سهّل الخطب في خصوص المقام هو ما رجّحناه من كفاية الظنّ في ثبوت العدالة، و عليه فالمتّجه كفاية الشياع الظنّي مع مراعاة بلوغه حدّ الاطمئنان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أيضا بمرسلة يونس بن عبد الرحمن المتقدّمة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و المناكح و الذبائح و المواريث و الشهادات فإذا كان ظاهره ظاهرا مأمونا جازت شهادته </w:t>
      </w:r>
      <w:r>
        <w:rPr>
          <w:rStyle w:val="FootnoteAnchor"/>
          <w:rtl w:val="true"/>
        </w:rPr>
        <w:footnoteReference w:id="244"/>
      </w:r>
      <w:r>
        <w:rPr>
          <w:rFonts w:ascii="Amiri" w:hAnsi="Amiri" w:eastAsia="Amiri" w:cs="Amiri"/>
          <w:color w:val="111111"/>
          <w:sz w:val="28"/>
          <w:sz w:val="28"/>
          <w:szCs w:val="28"/>
          <w:rtl w:val="true"/>
          <w:lang w:bidi="ar-SA"/>
        </w:rPr>
        <w:t>بناء على كون المراد بالحكم، المحكوم به، بمعنى أصل المطلب، و من الظاهر المضاف، ما يرادف الواضح لا ما يقابل الباطن، على أن يكون إضافته إلى الحكم من باب إضافة الصفة إلى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محصّل معنى الرواية أنّه يجب على الناس الأخذ في الخمسة المذكورة بالمطلب الواضح، أي بوضوح المطلب، فينطبق على الشياع، بمعنى وضوح المطلب و ظهوره عند الناس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بوضوح المطلب وضوحه عند جميع الناس كانت الرواية أجنبية عمّا نحن فيه بالمرّة، لأنّها تقضي حينئذ باعتبار البداهة و الضرورة،</w:t>
      </w:r>
    </w:p>
    <w:p>
      <w:pPr>
        <w:pStyle w:val="BookText"/>
        <w:rPr/>
      </w:pPr>
      <w:r>
        <w:rPr>
          <w:rFonts w:ascii="Amiri" w:hAnsi="Amiri" w:eastAsia="Amiri" w:cs="Amiri"/>
          <w:color w:val="111111"/>
          <w:sz w:val="28"/>
          <w:sz w:val="28"/>
          <w:szCs w:val="28"/>
          <w:rtl w:val="true"/>
          <w:lang w:bidi="ar-SA"/>
        </w:rPr>
        <w:t>و هي ليست من الشياع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وضوحه عند جماعة بالعدد المعتبر في الشياع فليس في الرواية ما يكشف عن ذلك مع كونها مطلقة، بل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 جازت شهادته 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المراد من الظاهر ما يقابل الباطن و الواقع، فيكون المراد من الحكم الحالة التي لها ظهور و لو نوعا في شي‌ء مع احتمالها لخلاف الواقع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المذكور لا يلائم مع السؤال في الرواية الذي هو سؤال عن جواز قبول الشهادة من غير مسألة عن حال الشهود مع عدم معرفتهم، و المعنى المذكور بالنسبة إلى الشهادات يعطي حكما بالنسبة إلى تحمّل الشهادة، على معنى اعتبار كون مستند الشاهد في تحمّل الشهادة الشياع، على معنى وضوح المطلب عند جماعة من الناس بالعدد المعتبر في تحقّق الشياع و هذا كما ترى أجنبي عن السؤال بل الجواب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تكلّف بحمل 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المطلب الواضح عند جماعة على نفس شهادة الشهود ليكون محصّله اعتبار كون القضية المشهود بها معلومة للشهود مستندة إلى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اعتبار كون العدد المأخوذ في البيّنة المسؤول عنها في الرواية أكثر من اثنين، و هذا منفي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تحمّل بحمل هذا الواضح على كونه كذلك عند اثنين فقط لزم الاكتفاء في تحقّق الشياع إلغاء شروط البيّنة، لأنّ المفروض تحقّق الشياع بالعدد المعتبر في البيّنة مع عدم اعتبار شروطها التي منها العدالة فيه، و هذا أيضا واضح الفساد، فالرواية بمقتضى ظاهر سياقها و غيرها من القرائن الموجودة فيها مسوقة لبيان حجّية ظاهر الحال في الأشياء المذكورة، أي الحالة الظاهرة بنوعها في المطلب المحتملة لخلاف الواقع، فيؤخذ بها في إثبات المطلب، و يستغنى بظهورها النوعي عن البحث و التفتيش و السؤال عن الباطن استعلاما لمطابقته الواقع أو مخالفته، و مرجعه إلى بيان اعتبار الأمارة الموجودة في كلّ واحد و حجّيتها، و لو من حيث الطريقية الكاشفة ظنا نوعيا عن الباطن، مثل ظهور التصرف في عين أو منفعة أو حقّ آدمي أو إلهيّ،</w:t>
      </w:r>
    </w:p>
    <w:p>
      <w:pPr>
        <w:pStyle w:val="BookText"/>
        <w:rPr/>
      </w:pPr>
      <w:r>
        <w:rPr>
          <w:rFonts w:ascii="Amiri" w:hAnsi="Amiri" w:eastAsia="Amiri" w:cs="Amiri"/>
          <w:color w:val="111111"/>
          <w:sz w:val="28"/>
          <w:sz w:val="28"/>
          <w:szCs w:val="28"/>
          <w:rtl w:val="true"/>
          <w:lang w:bidi="ar-SA"/>
        </w:rPr>
        <w:t>و منه القضاء للقاضي بالنسبة إلى الولايات بمعنى التصرّفات في كونه تصرّفا بحقّ فيحكم بكونه كذلك و لا يفتش عن باطنه، و ظهور كون المرأة في بيت الرجل و حبالته أو عقد النكاح الواقع بينهما في علقة الزوجيّة بينهما بانتفاء محرّمات النكاح عما بينهما، فيحكم بكونه كذلك و لا يفتّش عن باطنه، و ظهور كون الذبيحة الموجودة في سوق المسلمين أو في يد مسلم في وقوع ذبحها على شرائط الإسلام فيحكم بكونها كذلك و لا يفتش عن باطنه، و ظهور الفراش فيما بين رجل و امرأته في لحوق الولد بالرجل فيحكم بالتّوارث بينهما و لا يفتش عن باطنه، و ظهور حسن ظاهر الشاهد و حاله المأمون في عدالته الواقعية فيحكم بكونه كذلك و يقبل شهادته و لا يفتش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أيضا بصحيحة حريز الواردة في قصّة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 اللّه عليه السّلام 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 الخروج إلى اليمن و عندي كذا و كذا دينارا أ فترى أن أدفعها يبتاع لي بها بضاعة من اليمن؟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 فعصى أباه و دفع إليه دنانيره فاستهلكها و لم يأت بشي‌ء منها، فخرج إسماعيل و قضى أنّ أبا عبد اللّه عليه السّلام حجّ و حجّ إسماعيل تلك السنة، فجعل يطوف 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أخلف علي، فلحقه أبو عبد اللّه عليه 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 و اللّه مالك على اللّه هذا، و لا لك أن يأجرك و لا يخلف عليك، و 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2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 يصدّق للمؤمنين، فإذا شهد عندك المؤمنون فصدّقهم، و لا تأتمن شارب الخمر، فإنّ اللّه تعالى يقول</w:t>
      </w:r>
      <w:r>
        <w:rPr>
          <w:rFonts w:eastAsia="Amiri" w:cs="Amiri" w:ascii="Amiri" w:hAnsi="Amiri"/>
          <w:color w:val="111111"/>
          <w:sz w:val="28"/>
          <w:szCs w:val="28"/>
          <w:rtl w:val="true"/>
          <w:lang w:bidi="ar-SA"/>
        </w:rPr>
        <w:t>:</w:t>
      </w:r>
      <w:bookmarkStart w:id="110" w:name="pg19659_263729"/>
    </w:p>
    <w:p>
      <w:pPr>
        <w:pStyle w:val="BookText"/>
        <w:rPr/>
      </w:pPr>
      <w:bookmarkEnd w:id="110"/>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246"/>
      </w:r>
      <w:r>
        <w:rPr>
          <w:rFonts w:ascii="Amiri" w:hAnsi="Amiri" w:eastAsia="Amiri" w:cs="Amiri"/>
          <w:color w:val="111111"/>
          <w:sz w:val="28"/>
          <w:sz w:val="28"/>
          <w:szCs w:val="28"/>
          <w:rtl w:val="true"/>
          <w:lang w:bidi="ar-SA"/>
        </w:rPr>
        <w:t xml:space="preserve">فأيّ سفيه أسفه من شارب الخمر، لا يزوّج إذا خطب، و لا يشفع إذا شفع، و لا يؤتمن على أمانة، فمن ائتمنه على أمانة فاستهلكها لم يكن للذي ائتمنه على اللّه أن يأجره و لا يخلف عليه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ترى كالصريح في اعتبار الشياع الذي هو أعلى أفراد قول الناس و شهادة المؤمنين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وجهه كون جنس الجمع أقرب مجازات الجمع المحلّى بعد تعذّر حقيقته و هو العموم، لتعذّر اتّفاق جميع المؤمنين على الشهادة بشي‌ء عادة مع القطع بعدم اعتباره شرعا في شي‌ء من المقامات، فيندرج فيه العدد المعتبر في الشياع، لكونه من مصاديق جنس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بكون أقل الجمع اثنين يندرج فيه شهادة العدلين في جميع مواردها، بل تدل الرواية حينئذ على عموم قبول البيّنة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المحلّى حقيقته في العموم، و المتبادر عنه استغراق الأفراد، و معناه استقلال كلّ فرد بانفراده للحكم و لا صارف له عن هذا الظاهر، فالمنساق من الرواية أشبه بوجوب قبول الشهادة كما ستعرفه، و قد يمنع الدلالة بمنع كونه أمرا بقبول شهادة المؤمنين و ترتيب آثار الصدق عليها ليكون دليلا على حجية الشياع، لكون المراد به نظير ما هو المراد في قوله تعالى يُؤْمِنُ بِاللّٰهِ وَ يُؤْمِنُ لِلْمُؤْمِنِينَ </w:t>
      </w:r>
      <w:r>
        <w:rPr>
          <w:rStyle w:val="FootnoteAnchor"/>
          <w:rtl w:val="true"/>
        </w:rPr>
        <w:footnoteReference w:id="249"/>
      </w:r>
      <w:r>
        <w:rPr>
          <w:rFonts w:ascii="Amiri" w:hAnsi="Amiri" w:eastAsia="Amiri" w:cs="Amiri"/>
          <w:color w:val="111111"/>
          <w:sz w:val="28"/>
          <w:sz w:val="28"/>
          <w:szCs w:val="28"/>
          <w:rtl w:val="true"/>
          <w:lang w:bidi="ar-SA"/>
        </w:rPr>
        <w:t>و هو عدم ترتيب آثار الكذب احتياطا و أخذا بالأحوط فالأحوط، و سنوضحه فيما بعد و نشير إلى ما يدفعه أيضا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48304_2314609296"/>
      <w:bookmarkStart w:id="112" w:name="_Toc43"/>
      <w:bookmarkEnd w:id="111"/>
      <w:r>
        <w:rPr>
          <w:rtl w:val="true"/>
        </w:rPr>
        <w:t>و أمّا شهادة العدلين</w:t>
      </w:r>
      <w:r>
        <w:rPr>
          <w:rtl w:val="true"/>
        </w:rPr>
        <w:t>:</w:t>
      </w:r>
      <w:bookmarkEnd w:id="1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بالعدالة فالظاهر بل المقطوع به أنّه لا إشكال بل لا خلاف في اعتبارها، بل وجوب قبولها في إثبات العدالة إجماعيّ، و لا ينافيه الخلاف في كفاية الواحد في التزكية مطلقا، أو اشتراط التعدّد مطلقا،</w:t>
      </w:r>
    </w:p>
    <w:p>
      <w:pPr>
        <w:pStyle w:val="BookText"/>
        <w:rPr/>
      </w:pPr>
      <w:r>
        <w:rPr>
          <w:rFonts w:ascii="Amiri" w:hAnsi="Amiri" w:eastAsia="Amiri" w:cs="Amiri"/>
          <w:color w:val="111111"/>
          <w:sz w:val="28"/>
          <w:sz w:val="28"/>
          <w:szCs w:val="28"/>
          <w:rtl w:val="true"/>
          <w:lang w:bidi="ar-SA"/>
        </w:rPr>
        <w:t>أو الفرق بين تزكية الراوي فالأوّل و تزكية الشاهد فالثاني على ما قرر في الأصول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من النصوص مع ما ذكره ما ورد في نقل فعل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إذا لم يعرف الشهود كان يبعث رجلين من أصحابه إلى قبيلته و محلته و جيرانه لاستظهار حاله من عدالة أو جرح، فإذا جاؤوا بخبر ثناء أجاز شهادته، و إذا جاؤوا بخبر شين لم يفضحه </w:t>
      </w:r>
      <w:r>
        <w:rPr>
          <w:rStyle w:val="FootnoteAnchor"/>
          <w:rtl w:val="true"/>
        </w:rPr>
        <w:footnoteReference w:id="250"/>
      </w:r>
      <w:r>
        <w:rPr>
          <w:rFonts w:ascii="Amiri" w:hAnsi="Amiri" w:eastAsia="Amiri" w:cs="Amiri"/>
          <w:color w:val="111111"/>
          <w:sz w:val="28"/>
          <w:sz w:val="28"/>
          <w:szCs w:val="28"/>
          <w:rtl w:val="true"/>
          <w:lang w:bidi="ar-SA"/>
        </w:rPr>
        <w:t>و ما ورد في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سئل عنها فعدلت </w:t>
      </w:r>
      <w:r>
        <w:rPr>
          <w:rStyle w:val="FootnoteAnchor"/>
          <w:rtl w:val="true"/>
        </w:rPr>
        <w:footnoteReference w:id="251"/>
      </w:r>
      <w:r>
        <w:rPr>
          <w:rFonts w:ascii="Amiri" w:hAnsi="Amiri" w:eastAsia="Amiri" w:cs="Amiri"/>
          <w:color w:val="111111"/>
          <w:sz w:val="28"/>
          <w:sz w:val="28"/>
          <w:szCs w:val="28"/>
          <w:rtl w:val="true"/>
          <w:lang w:bidi="ar-SA"/>
        </w:rPr>
        <w:t>و ما في صحيحة ابن أبي يعفور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w:t>
      </w:r>
      <w:r>
        <w:rPr>
          <w:rStyle w:val="FootnoteAnchor"/>
          <w:rtl w:val="true"/>
        </w:rPr>
        <w:footnoteReference w:id="252"/>
      </w:r>
      <w:r>
        <w:rPr>
          <w:rFonts w:ascii="Amiri" w:hAnsi="Amiri" w:eastAsia="Amiri" w:cs="Amiri"/>
          <w:color w:val="111111"/>
          <w:sz w:val="28"/>
          <w:sz w:val="28"/>
          <w:szCs w:val="28"/>
          <w:rtl w:val="true"/>
          <w:lang w:bidi="ar-SA"/>
        </w:rPr>
        <w:t>و فحوى ما دلّ على اعتبارها في الجرح مثل قوله عليه السّلام في رواية صالح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تره بعينك يرتكب ذنبا أو لم يشهد عليه شاهدان فهو من أهل الستر و العدالة و شهادته مقبولة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عليه أيضا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عندك المؤمنون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حريز المتقدّمة بتقريب أنّ الأصل في الجمع المعرّف باللّام هو العموم الأفرادي، و لا صارف عنه في الرواية إلى غيره من العموم المجموعي أو جنس الجمع أو جنس المفرد أو غير ذلك من إطلاقاته الواردة على خلاف الحقيقة، فيدلّ على استقلال كلّ مؤمن في وجوب تصديقه في شهادته، ثمَّ يقيّد إطلاقه بالشروط المعتبرة في قبول شهادة الشاهد التي منها العدالة، و مورد الرواية و إن كان هو الجرح بالفسق بل خصوص شرب الخمر غير أنّ العبرة على ما حقّق في محله بعموم اللفظ لا بخصوص المورد، فعموم اللفظ المستفاد من الجملة الشرطية المفيدة للسّببية يقتضي وجوب تصديق المؤمن في كلّ ما يشهد به من المطالب و الموضوعات التي منها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أنّ المنساق من الرواية قاعدة كلّية مطردة في جميع الموارد، و هو ثبوت كلّ حقّ آدميّ أو الهيّ بالشهادة، ثمَّ إن ثبت</w:t>
      </w:r>
    </w:p>
    <w:p>
      <w:pPr>
        <w:pStyle w:val="BookText"/>
        <w:rPr/>
      </w:pPr>
      <w:r>
        <w:rPr>
          <w:rFonts w:ascii="Amiri" w:hAnsi="Amiri" w:eastAsia="Amiri" w:cs="Amiri"/>
          <w:color w:val="111111"/>
          <w:sz w:val="28"/>
          <w:sz w:val="28"/>
          <w:szCs w:val="28"/>
          <w:rtl w:val="true"/>
          <w:lang w:bidi="ar-SA"/>
        </w:rPr>
        <w:t>دليل عام من نص أو إجماع على اعتبار التعدّد في الشهادة قيّد به إطلاق كلّ مؤمن من حيث العدد، فيكون المعنى نفوذ شهادة كلّ مؤمن و وجوب قبولها بشرط انضمام شهادة مثله إليه، و إلّا كان الأصل بمقتضى العموم قبول شهادة العدل الواحد في كلّ مورد، إلّا ما خرج بالدليل الدال على اشتراط التعدّد فيه بالخصوص، و منه المقام لما عرفت بالنصوص المتقدّمة من اعتبار العدلين في الشهادة بالعدالة كاعتبارهما في الجرح و هو الشهادة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تمامية دلالة الرواية على نفوذ الشهادة و وجوب قبولها، من حيث إنّه ليس فيها إلّا الأمر بتصديق المؤمنين في شهادتهم و هو لا يلازم وجوب قبول شهادتهم على معنى ترتيب آثار الواقع على المشهود، لاحتمال أن يكون المراد به التصديق المخبري و هو عدم تكذيب المخبر و وصفه بالصدق وصفا صوريّا من دون ترتيب آثار الصدق على خبره، لا التصديق الخبري و هو وصف الخبر بالصدق و ترتيب آثار الواقع على 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أنّ التصديق الخبري يستلزم التصديق المخبري، بخلاف التصديق المخبري فإنّه لا يستلزم التصديق الخبري، و إطلاق الأمر بالتّصديق و إن كان ظاهرا في التصديق الخبري غير أنّه يجب الخروج عن هذا الظاهر بقرينة موجودة في الرواية صارفة له إلى التصديق المخبري، و هو استدلال الإمام عليه السّلام أوّلا بقوله تعالى يُؤْمِنُ بِاللّٰهِ وَ يُؤْمِنُ لِلْمُؤْمِنِينَ </w:t>
      </w:r>
      <w:r>
        <w:rPr>
          <w:rStyle w:val="FootnoteAnchor"/>
          <w:rtl w:val="true"/>
        </w:rPr>
        <w:footnoteReference w:id="254"/>
      </w:r>
      <w:r>
        <w:rPr>
          <w:rFonts w:ascii="Amiri" w:hAnsi="Amiri" w:eastAsia="Amiri" w:cs="Amiri"/>
          <w:color w:val="111111"/>
          <w:sz w:val="28"/>
          <w:sz w:val="28"/>
          <w:szCs w:val="28"/>
          <w:rtl w:val="true"/>
          <w:lang w:bidi="ar-SA"/>
        </w:rPr>
        <w:t>أي يصدّق اللّه و يصدّق المؤمنين، فإنّ تصديق المؤمنين في الآية أريد به التصديق المخبري، أي عدم تكذيبهم و وصفهم بالصدق وصفا صوريّا فقط لا وصفا واقعيا بدليل ملاحظة شأن نزول الآية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نزولها أنّ عبد اللّه بن تهيل </w:t>
      </w:r>
      <w:r>
        <w:rPr>
          <w:rStyle w:val="FootnoteAnchor"/>
          <w:rtl w:val="true"/>
        </w:rPr>
        <w:footnoteReference w:id="255"/>
      </w:r>
      <w:r>
        <w:rPr>
          <w:rFonts w:ascii="Amiri" w:hAnsi="Amiri" w:eastAsia="Amiri" w:cs="Amiri"/>
          <w:color w:val="111111"/>
          <w:sz w:val="28"/>
          <w:sz w:val="28"/>
          <w:szCs w:val="28"/>
          <w:rtl w:val="true"/>
          <w:lang w:bidi="ar-SA"/>
        </w:rPr>
        <w:t>كان منافقا و كان يقعد إلى رسول اللّه صلّى اللّه عليه و آله فيسمع كلامه و ينقله إلى المنافقين و ينمّ عليه، فنزل جبرئيل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المنافقين ينمّ عليك و ينقل حديثك إلى المنافقين،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الأسود كثير شعر الرأس</w:t>
      </w:r>
    </w:p>
    <w:p>
      <w:pPr>
        <w:pStyle w:val="BookText"/>
        <w:rPr/>
      </w:pPr>
      <w:r>
        <w:rPr>
          <w:rFonts w:ascii="Amiri" w:hAnsi="Amiri" w:eastAsia="Amiri" w:cs="Amiri"/>
          <w:color w:val="111111"/>
          <w:sz w:val="28"/>
          <w:sz w:val="28"/>
          <w:szCs w:val="28"/>
          <w:rtl w:val="true"/>
          <w:lang w:bidi="ar-SA"/>
        </w:rPr>
        <w:t>ينظر بعينين كأنّهما قدران و ينطق بلسانه شيطان، فدعاه رسول اللّه صلّى اللّه عليه و آله فأخبره فحلف أنّه لم يفعل،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منك فلا تقعد 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أذن، أخبره اللّه أنّي انمّ عليه و أنقل أخباره فقبل، و أخبرته أنّي لم أفعل فقبل، فأنزل اللّه على نبيّه وَ مِنْهُمُ الَّذِينَ يُؤْذُونَ النَّبِيَّ وَ يَقُولُونَ هُوَ أُذُنٌ قُلْ أُذُنُ خَيْرٍ لَكُمْ يُؤْمِنُ بِاللّٰهِ وَ يُؤْمِنُ لِلْمُؤْمِنِينَ </w:t>
      </w:r>
      <w:r>
        <w:rPr>
          <w:rStyle w:val="FootnoteAnchor"/>
          <w:rtl w:val="true"/>
        </w:rPr>
        <w:footnoteReference w:id="256"/>
      </w:r>
      <w:r>
        <w:rPr>
          <w:rFonts w:ascii="Amiri" w:hAnsi="Amiri" w:eastAsia="Amiri" w:cs="Amiri"/>
          <w:color w:val="111111"/>
          <w:sz w:val="28"/>
          <w:sz w:val="28"/>
          <w:szCs w:val="28"/>
          <w:rtl w:val="true"/>
          <w:lang w:bidi="ar-SA"/>
        </w:rPr>
        <w:t xml:space="preserve">أي يصدّق اللّه فيما يقول له و يصدّق فيما نعتذر إليه في الظاهر، و لا يصدّقك في الباطن </w:t>
      </w:r>
      <w:r>
        <w:rPr>
          <w:rStyle w:val="FootnoteAnchor"/>
          <w:rtl w:val="true"/>
        </w:rPr>
        <w:footnoteReference w:id="2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 حمل تصديق المؤمنين على التصديق المخبري أنّ من المستحيل الجمع بين تصديقي المخبرين بالإثبات و النفي في قضيّة واحدة، إلّا بأن يكون أحدهما تصديقا خبريّا و الآخر تصديقا مخبريّا، و لما تعيّن كون تصديق اللّه تصديقا خبريّا، على معنى أنّه صلّى اللّه عليه و آله اعتقد اعتقادا يقينيّا مطابقا للواقع بصدق خبره تعالى و مطابقته الواقع، فيعيّن كون تصديقه المؤمنين أي المنتحلين بالإيمان تصديقا مخبريّا، على معنى مجرّد عدم تكذيبهم و وصفهم بالصدق ظاهرا لا باطنا لاستحالة صدق الخبرين بكلا طرفي نقيض القضية،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التفكيك بين يؤمن باللّه و يؤمن للمؤمنين بالباء و اللام للتفرقة بين التصديقين </w:t>
      </w:r>
      <w:r>
        <w:rPr>
          <w:rStyle w:val="FootnoteAnchor"/>
          <w:rtl w:val="true"/>
        </w:rPr>
        <w:footnoteReference w:id="258"/>
      </w:r>
      <w:r>
        <w:rPr>
          <w:rFonts w:ascii="Amiri" w:hAnsi="Amiri" w:eastAsia="Amiri" w:cs="Amiri"/>
          <w:color w:val="111111"/>
          <w:sz w:val="28"/>
          <w:sz w:val="28"/>
          <w:szCs w:val="28"/>
          <w:rtl w:val="true"/>
          <w:lang w:bidi="ar-SA"/>
        </w:rPr>
        <w:t>و قضية استدلاله عليه السّلام أوّلا بتلك الآية بعد ما عرفت من الفرق المذكور اندراج تصديق المؤمنين في شهادتهم الذي أمر به الإمام في عنوان قوله تعالى يُؤْمِنُ لِلْمُؤْمِنِينَ فيكون أمرا بعدم تكذيبهم و تصديقهم في الظاهر، لا في الباطن الذي هو عبارة عن ترتيب آثار الصدق على شهادتهم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ذلك أيضا أنّ إسماعيل في حديث الدنانير لمّا رتّب على قول الناس في الرجل المريد لليمن أنّه يشرب الخمر آثار الكذب حيث ائتمنه على دنانيره و اعتذر له بأنّي لم أره يشرب الخمر و إنّما سمعت الناس يقولون، فردّه الإمام عليه السّلام في هذا التكذيب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 عندك المؤمنون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p>
    <w:p>
      <w:pPr>
        <w:pStyle w:val="BookText"/>
        <w:rPr/>
      </w:pPr>
      <w:r>
        <w:rPr>
          <w:rFonts w:ascii="Amiri" w:hAnsi="Amiri" w:eastAsia="Amiri" w:cs="Amiri"/>
          <w:color w:val="111111"/>
          <w:sz w:val="28"/>
          <w:sz w:val="28"/>
          <w:szCs w:val="28"/>
          <w:rtl w:val="true"/>
          <w:lang w:bidi="ar-SA"/>
        </w:rPr>
        <w:t>تكذّبهم، فهو ردع له عن التكذيب، لا أنّه أمر بالتصديق، على معنى ترتيب آثار الصدق على قولهم، و لا يقدح فيه أنّ اللازم من عدم التكذيب و الغرض الأصلي منه هو عدم الائتمان لشارب الخمر على المال و غيره، و هو بعينه من آثار صدق المؤمنين، و يترتّب على قولهم، فلا فرق بين الاعتبارين في خصوص المقام، لوضوح الفرق بين عدم الائتمان على أنّه يرتّب على صدق الخبر، و عدم الائتمان على أنّه احتياط على المال، فإنّه و إن كان من آثار الواقع غير أنّه يترتّب على صدق الخبر، و قد يراعى احتياطا على المال من التلف، و المقصود من الردع عن التكذيب في الرواية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الذبّ عن الإشكال المذكور باستظهار إرادة التصديق الخبري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تأتمن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تعالى يقول وَ لٰا تُؤْتُوا السُّفَهٰاءَ أَمْوٰالَكُمُ </w:t>
      </w:r>
      <w:r>
        <w:rPr>
          <w:rStyle w:val="FootnoteAnchor"/>
          <w:rtl w:val="true"/>
        </w:rPr>
        <w:footnoteReference w:id="259"/>
      </w:r>
      <w:r>
        <w:rPr>
          <w:rFonts w:ascii="Amiri" w:hAnsi="Amiri" w:eastAsia="Amiri" w:cs="Amiri"/>
          <w:color w:val="111111"/>
          <w:sz w:val="28"/>
          <w:sz w:val="28"/>
          <w:szCs w:val="28"/>
          <w:rtl w:val="true"/>
          <w:lang w:bidi="ar-SA"/>
        </w:rPr>
        <w:t>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 المنع عن ائتمان شارب الخمر و إدراجه في السفيه المنهي عن إتيانه المال يدلّ على ثبوت كون الرجل المعهود شارب الخمر بشهادة المؤمنين، فيدلّ على كون الائتمان المطلوب بذلك النهي من آثار الواقع و يرتّب على الشهادة على أنّه يترتّب على صدق الخبر، و لا ينافيه الاستدلال بآية يُؤْمِنُ بِاللّٰهِ وَ يُؤْمِنُ لِلْمُؤْمِنِينَ لعدم كونه من الاستدلالات الحقيقية، بل هو لنحو من التقريب و بيان لما يناسب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ثبوته مستندا إلى علم أو نحو من الظنّ الحاصل من تلك الشهادة بسبب بلوغها حدّ الاستفاضة أو الشياع القطعي أو الظنّي المتاخم بالعلم أو الاطمئناني أو نحو ذلك، فلا يدلّ على وجوب التعبّد بالشهادة بالمعنى المصطلح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ابتناؤه على الخروج من ظاهر الجمع المعرّف بلا داع حسبما بيّناه، فينفيه أصالة الحقيقة، مع أنّ ظاهر قول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عدم كون الشهادة المذكورة بحيث أورث له القطع أو الظنّ، فتأمّل</w:t>
      </w:r>
      <w:r>
        <w:rPr>
          <w:rFonts w:eastAsia="Amiri" w:cs="Amiri" w:ascii="Amiri" w:hAnsi="Amiri"/>
          <w:color w:val="111111"/>
          <w:sz w:val="28"/>
          <w:szCs w:val="28"/>
          <w:rtl w:val="true"/>
          <w:lang w:bidi="ar-SA"/>
        </w:rPr>
        <w:t>.</w:t>
      </w:r>
      <w:bookmarkStart w:id="113" w:name="pg19659_263734"/>
    </w:p>
    <w:p>
      <w:pPr>
        <w:pStyle w:val="BookText"/>
        <w:rPr/>
      </w:pPr>
      <w:bookmarkEnd w:id="113"/>
      <w:r>
        <w:rPr>
          <w:rFonts w:ascii="Amiri" w:hAnsi="Amiri" w:eastAsia="Amiri" w:cs="Amiri"/>
          <w:color w:val="111111"/>
          <w:sz w:val="28"/>
          <w:sz w:val="28"/>
          <w:szCs w:val="28"/>
          <w:rtl w:val="true"/>
          <w:lang w:bidi="ar-SA"/>
        </w:rPr>
        <w:t>هذا، و لكن الإنصاف أنّ الاعتماد على قاعدة الجمع المعرّف في استفادة الحكم المذكور من الرواية لا يخلو عن إشكال،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 الخبر إليه بواسطة جماعة بل جمع كثير، و هذا يصلح قرينة على إرادة جنس الجمع، بل خصوص الجماعة الكثيرة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 عندك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مورد الرواية الاستفاضة و الشياع القطعيين أو أعمّ منهما و من الظنّيين، فانحصر دليل اعتبار شهادة عدلين في باب العدالة في الإجماع و الأخبار المتقدّمة، و فيه الكفاية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948306_2314609296"/>
      <w:bookmarkStart w:id="115" w:name="_Toc44"/>
      <w:bookmarkEnd w:id="114"/>
      <w:r>
        <w:rPr>
          <w:rtl w:val="true"/>
        </w:rPr>
        <w:t>بقي الكلام في أمور</w:t>
      </w:r>
      <w:r>
        <w:rPr>
          <w:rtl w:val="true"/>
        </w:rPr>
        <w:t>:</w:t>
      </w:r>
      <w:bookmarkEnd w:id="115"/>
    </w:p>
    <w:p>
      <w:pPr>
        <w:pStyle w:val="Heading4"/>
        <w:numPr>
          <w:ilvl w:val="3"/>
          <w:numId w:val="1"/>
        </w:numPr>
        <w:rPr/>
      </w:pPr>
      <w:bookmarkStart w:id="116" w:name="__RefHeading___Toc1948308_2314609296"/>
      <w:bookmarkStart w:id="117" w:name="_Toc45"/>
      <w:bookmarkEnd w:id="116"/>
      <w:r>
        <w:rPr>
          <w:rtl w:val="true"/>
        </w:rPr>
        <w:t>الأوّل</w:t>
      </w:r>
      <w:r>
        <w:rPr>
          <w:rtl w:val="true"/>
        </w:rPr>
        <w:t xml:space="preserve">: </w:t>
      </w:r>
      <w:r>
        <w:rPr>
          <w:rtl w:val="true"/>
        </w:rPr>
        <w:t>أنّها هل تثبت بالشهادة الفعلية</w:t>
      </w:r>
      <w:bookmarkEnd w:id="117"/>
    </w:p>
    <w:p>
      <w:pPr>
        <w:pStyle w:val="BookText"/>
        <w:rPr/>
      </w:pPr>
      <w:r>
        <w:rPr>
          <w:rFonts w:ascii="Amiri" w:hAnsi="Amiri" w:eastAsia="Amiri" w:cs="Amiri"/>
          <w:color w:val="111111"/>
          <w:sz w:val="28"/>
          <w:sz w:val="28"/>
          <w:szCs w:val="28"/>
          <w:rtl w:val="true"/>
          <w:lang w:bidi="ar-SA"/>
        </w:rPr>
        <w:t>بأن يفعل العدلان فعلا يدلّ على عدالته كما إذا اقتديا به في الصلاة مع انتفاء الضرورة و مرجعه إلى أنّ الشهادة المثبتة للعدالة أعمّ من القوليّة و الفعليّة أم 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نسب الجزم به إلى الدروس </w:t>
      </w:r>
      <w:r>
        <w:rPr>
          <w:rStyle w:val="FootnoteAnchor"/>
          <w:rtl w:val="true"/>
        </w:rPr>
        <w:footnoteReference w:id="260"/>
      </w:r>
      <w:r>
        <w:rPr>
          <w:rFonts w:ascii="Amiri" w:hAnsi="Amiri" w:eastAsia="Amiri" w:cs="Amiri"/>
          <w:color w:val="111111"/>
          <w:sz w:val="28"/>
          <w:sz w:val="28"/>
          <w:szCs w:val="28"/>
          <w:rtl w:val="true"/>
          <w:lang w:bidi="ar-SA"/>
        </w:rPr>
        <w:t>و هو ظاهر عبارة الروضة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اقتداء العدلين به في الصلاة بحيث يعلم ركونهما إليه تزكية </w:t>
      </w:r>
      <w:r>
        <w:rPr>
          <w:rStyle w:val="FootnoteAnchor"/>
          <w:rtl w:val="true"/>
        </w:rPr>
        <w:footnoteReference w:id="261"/>
      </w:r>
      <w:r>
        <w:rPr>
          <w:rFonts w:ascii="Amiri" w:hAnsi="Amiri" w:eastAsia="Amiri" w:cs="Amiri"/>
          <w:color w:val="111111"/>
          <w:sz w:val="28"/>
          <w:sz w:val="28"/>
          <w:szCs w:val="28"/>
          <w:rtl w:val="true"/>
          <w:lang w:bidi="ar-SA"/>
        </w:rPr>
        <w:t>على أحد احتماليها و هو استئناف الجملة، على أن يكون الاقتداء مبتدأ و تزكية خبرا، لا معطوفة بخبر الاقتداء و نصب تزكية، على أن يكون حالا من الركون إليه لإخراج الركون إليه تعصّبا و حميّة و نحو ذلك لا تزكية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أيضا من غير واحد من فقهائنا منهم العلّامة في نهج الحقّ على ما حكي عنه حيث رد القائلين بجواز الاقتداء بالفاسق بقوله تعالى إِنْ جٰاءَكُمْ فٰاسِقٌ بِنَبَإٍ </w:t>
      </w:r>
      <w:r>
        <w:rPr>
          <w:rStyle w:val="FootnoteAnchor"/>
          <w:rtl w:val="true"/>
        </w:rPr>
        <w:footnoteReference w:id="262"/>
      </w:r>
      <w:r>
        <w:rPr>
          <w:rFonts w:ascii="Amiri" w:hAnsi="Amiri" w:eastAsia="Amiri" w:cs="Amiri"/>
          <w:color w:val="111111"/>
          <w:sz w:val="28"/>
          <w:sz w:val="28"/>
          <w:szCs w:val="28"/>
          <w:rtl w:val="true"/>
          <w:lang w:bidi="ar-SA"/>
        </w:rPr>
        <w:t xml:space="preserve">إلخ، حيث إنّه تعالى أوجب التثبّت عند خبر الفاسق، و من جملته الطهارة التي هي من شروط الصلاة </w:t>
      </w:r>
      <w:r>
        <w:rPr>
          <w:rStyle w:val="FootnoteAnchor"/>
          <w:rtl w:val="true"/>
        </w:rPr>
        <w:footnoteReference w:id="263"/>
      </w:r>
      <w:r>
        <w:rPr>
          <w:rFonts w:ascii="Amiri" w:hAnsi="Amiri" w:eastAsia="Amiri" w:cs="Amiri"/>
          <w:color w:val="111111"/>
          <w:sz w:val="28"/>
          <w:sz w:val="28"/>
          <w:szCs w:val="28"/>
          <w:rtl w:val="true"/>
          <w:lang w:bidi="ar-SA"/>
        </w:rPr>
        <w:t>بتقريب أنّ الشهادة خبر و هو أعمّ من الفعل المنبئ عن الواقع بحسب ما في ضمير الفاعل الذي منه اقدامه على فعل الصلاة، فإنّه إخبار باستجماعه لشرائط الصحّة التي منها الطهارة، و لعلّ وجهه عموم ما دلّ</w:t>
      </w:r>
    </w:p>
    <w:p>
      <w:pPr>
        <w:pStyle w:val="BookText"/>
        <w:rPr/>
      </w:pPr>
      <w:r>
        <w:rPr>
          <w:rFonts w:ascii="Amiri" w:hAnsi="Amiri" w:eastAsia="Amiri" w:cs="Amiri"/>
          <w:color w:val="111111"/>
          <w:sz w:val="28"/>
          <w:sz w:val="28"/>
          <w:szCs w:val="28"/>
          <w:rtl w:val="true"/>
          <w:lang w:bidi="ar-SA"/>
        </w:rPr>
        <w:t>على وجوب تصديق المؤمن بل العادل مثل قوله تعالى إِنْ جٰاءَكُمْ فٰاسِقٌ بِنَبَإٍ إلخ، و قوله تعالى يُؤْمِنُ بِاللّٰهِ وَ يُؤْمِنُ لِلْمُؤْمِنِينَ بناء على كون المراد به التصديق الخبري، كما فهمه جماعة حيث استدلّوا به على حجّية خبر العدل، بدعوى شموله لتصديق قوله و فعله، لكون الثاني مخبرا و منبئا عمّا في ضمير الفاعل، كما أنّ الأوّل منبئ عمّا في ضمير القائل، فيتصف كلّ بالصدق و الكذب بهذا الاعتبار، و احتمال تدليسه في فعله أو خطائه في اعتقاده، أو صدور الفعل منه لداع يندفع بما اندفع به نحو هذه الاحتمالات في قوله من فرض العدالة و أصالة عدم الخطأ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فاسقا لم يقبل فعله، كما لا يقبل قوله لآية التثبّت و إن حمل فعله بالنظر إلى نفسه، و من حيث هو فعله على الصحة لترتيب آثار الصحة المحمولة على فعله من الحيثية المذكورة، مثل استحقاقه الأجرة على صلاته في الاستئجار، و حصول القبض بها إذا حصلت في أرض موقوفة جعلت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أنّه لم يتأمّل أحد من العلماء في العمل بتعديلات أهل الرجال المكتوبة في كتبهم، من أجل أنّ الخبر و النبإ لا يصدق على الكتابة، مع ذهاب أكثرهم إلى أنّ التعديلات من باب الشهادة، و لا في العمل بالأخبار المودعة في كتب الحديث من دون سماعها مشافهة عن المحدّث، و قد شاع منهم الاستدلال على ذلك بأدلّة حجية الخبر و النبإ، و يعتبرون العدالة فيمن جمع الروايات في كتابه من جهة آية النبإ و نحوه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 الضعف ما لا يخفى على المتأمّل، لتطرّق المنع إلى كلّ من صغرى الدليل و كبراه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المرادف للنّبأ يتضمّن بمفهومه الحكاية في قصد المخبر باعتبار قصده إفادة الواقع، و لا حكاية في الفعل، إذ الفاعل لا يقصد بفعله إفادة</w:t>
      </w:r>
    </w:p>
    <w:p>
      <w:pPr>
        <w:pStyle w:val="BookText"/>
        <w:rPr/>
      </w:pPr>
      <w:r>
        <w:rPr>
          <w:rFonts w:ascii="Amiri" w:hAnsi="Amiri" w:eastAsia="Amiri" w:cs="Amiri"/>
          <w:color w:val="111111"/>
          <w:sz w:val="28"/>
          <w:sz w:val="28"/>
          <w:szCs w:val="28"/>
          <w:rtl w:val="true"/>
          <w:lang w:bidi="ar-SA"/>
        </w:rPr>
        <w:t>الواقع و إن فرضناه دالّا عليه، لوضوح الفرق بين قصد الفاعل بفعله الدلالة على شي‌ء، و بين دلالة فعله على ذلك الشي‌ء من دون أن تكون الدلالة مقصودة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يسلّم في فعل المسلم العدل ظهور حاله في أنّه يراعى في صلاته شرائط الإسلام التي منها الطهارة، و في اقتدائه بشرائط القدوة التي منها عدالة الإمام من دون قصده افادة هذا المعنى و لا التفاته إليه، فلا يتضمّن حكاية ليصدق عليه عنوان الخبر و النبإ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التصديق المأمور به عبارة عن الحكم بصدق المخبر و ترتيب آثار الصدق على خبره، و الصدق و الكذب في متفاهم العرف من الأوصاف العارضة للقول، و لا يتّصف بهما الفعل على وجه الحقيقة، فليس في دليل تصديق المؤمن أو العادل و قبول نبائه عموم يتناول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صدق النبإ و الخبر على الفعل باعتبار مفهومه العرفي فلا يسلّم اندراجه في إطلاق الدليل المذكور، لانصرافه إلى القول، فظاهر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يُؤْمِنُ لِلْمُؤْمِنِينَ أنّه يصدّق المؤمنين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القطع أو الظنّ بإرادة ما يعمّ الفعل و إن كان إطلاقه ينصرف إلى القول لا تسمع إلّا على تقدير ثبوت قرينة كاشفة عن ذلك، أو إذا ساعد عليه فهم الأصحاب أو معظمهم أو جماعة منهم يعتدّ بقولهم و فهمهم، و لا خفاء في انتفاء الأوّل و عدم ثبوت الثاني، إذ لو سلّم بناء قول أوّل الشهيدين على فهم ذلك فلا نسلّم ذلك من غيره إلّا ثانيهما على أحد احتمالي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غيرهما ممّن استدلّ بآية التثبت في ردّ القائلين بجواز الاقتداء بالفاسق كالعلّامة و غيره فليس مبنى كلامه على تعميم آية التثبت بالقياس إلى فعل الفاسق أيضا، بل مبناه على أنّه كما لا يقبل قول الفاسق مع صراحته لآية التثبت فكذلك لا يقبل فعله، لأنّه ليس بأقوى من قوله الصريح إنّ لم نقل بكونه أضعف منه، لا أنّه كما يقبل قول العادل فكذلك يقبل فعله لآية التثبت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مقصودهم من الاستدلال بيان أنّ فعل الفاسق كقوله في عدم القبول،</w:t>
      </w:r>
    </w:p>
    <w:p>
      <w:pPr>
        <w:pStyle w:val="BookText"/>
        <w:rPr/>
      </w:pPr>
      <w:r>
        <w:rPr>
          <w:rFonts w:ascii="Amiri" w:hAnsi="Amiri" w:eastAsia="Amiri" w:cs="Amiri"/>
          <w:color w:val="111111"/>
          <w:sz w:val="28"/>
          <w:sz w:val="28"/>
          <w:szCs w:val="28"/>
          <w:rtl w:val="true"/>
          <w:lang w:bidi="ar-SA"/>
        </w:rPr>
        <w:t>لا بيان أنّ فعل العادل كقوله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بتعديلات أهل الرجال مع ذهاب الأكثر إلى أنّها من باب الشهادة، فيمكن منع ابتنائه أيضا على تعميم الشهادة بالقياس إلى الفعلية، بل على تعميم القول المأخوذ في مفهوم الشهادة بالقياس إلى الذهني المدلول عليه بالكتابة، بناء على ما حقّق في محلّه من أنّ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 المكتوبة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بالوضع على الألفاظ الموضوعة للمعاني، فالألفاظ دالّة على المعاني بأنفسها، و الخطوط دالّة عليها بواسطة الألفاظ الموضوعة، فاللفظ المدلول عليه بصورة الكتابة هو القول الذهني الذي قصد الكاتب افادته برسم الكتابة، و قد انتقل إليه المكتوب له أيضا بملاحظة الكتابة، و لا ريب أنّ جعل القول في معنى الشهادة و النبإ أعمّ من القول الخارجي، و القول الذهني أهون من جعلهما أعمّ من القولي و الفعلي، و عليه فتعديلات أهل الرجال من قبيل الشهادة القولية 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الوجه في العمل بالأخبار المودعة في كتب الحديث من دون سماعها مشافهة من المحدّث مع ما شاع منهم من الاستدلال على ذلك بأدلّة حجية الخبر و النبإ، و في اعتبارهم العدالة فيمن جمع الروايات في كتابه من جهة آية النبإ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جعل القول أعم ممّا لا يأباه العرف، بخلاف جعل الشهادة، و الخبر و النبإ أعمّ بالقياس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تعديلات أهل الرجال إن لم تندرج في الشهادة القوليّة بالتقريب الذي ذكرناه فلا دليل على اعتبارها لمجرد الكتابة من حيث إنّها شهادة فعلية، بل لا بدّ في اعتبارها من إفادتها الظنّ و الوثوق بالعدالة، فتكون من الظنون الاجتهادية، كما ذهب إليه غير واحد من محقّقي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الأخبار المودعة في كتب الحديث ما لم تندرج في الخبر القولي بالتقريب المتقدم، فالعمل بها حينئذ منوط بظنّ الصدور و الوثوق به كما رجحناه في محله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بيّناه ظهر الحال في اقتداء عدلين، فإنّه ما لم يفد الوثوق بالعدالة لم</w:t>
      </w:r>
      <w:bookmarkStart w:id="118" w:name="pg19659_263738"/>
    </w:p>
    <w:p>
      <w:pPr>
        <w:pStyle w:val="BookText"/>
        <w:rPr/>
      </w:pPr>
      <w:bookmarkEnd w:id="118"/>
      <w:r>
        <w:rPr>
          <w:rFonts w:ascii="Amiri" w:hAnsi="Amiri" w:eastAsia="Amiri" w:cs="Amiri"/>
          <w:color w:val="111111"/>
          <w:sz w:val="28"/>
          <w:sz w:val="28"/>
          <w:szCs w:val="28"/>
          <w:rtl w:val="true"/>
          <w:lang w:bidi="ar-SA"/>
        </w:rPr>
        <w:t>يوجب الحكم بها، و عليه يحمل رواية عبد الرحيم القصير المتقدّمة إن لم ندع انصراف إطلاقها إليه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948310_2314609296"/>
      <w:bookmarkStart w:id="120" w:name="_Toc46"/>
      <w:bookmarkEnd w:id="119"/>
      <w:r>
        <w:rPr>
          <w:rtl w:val="true"/>
        </w:rPr>
        <w:t>[</w:t>
      </w:r>
      <w:r>
        <w:rPr>
          <w:rtl w:val="true"/>
        </w:rPr>
        <w:t>الثاني</w:t>
      </w:r>
      <w:r>
        <w:rPr>
          <w:rtl w:val="true"/>
        </w:rPr>
        <w:t xml:space="preserve">: </w:t>
      </w:r>
      <w:r>
        <w:rPr>
          <w:rtl w:val="true"/>
        </w:rPr>
        <w:t>هل الشهادة القوليّة معتبرة مطلقا</w:t>
      </w:r>
      <w:r>
        <w:rPr>
          <w:rtl w:val="true"/>
        </w:rPr>
        <w:t>]</w:t>
      </w:r>
      <w:bookmarkEnd w:id="1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القوليّة و هي شهادة عدلين بعدالة الرجل هل تعتبر تعبّدا حتى لو كان الظنّ على خلافها أو يشترط عدم الظنّ على خلافها أو يشترط إفادتها الظنّ بها؟ وجوه مبتنية على إطلاق أدلّة اعتبارها، أو انصرافها إلى صورة إفادتها الظنّ، أو إلى صورة عدم الظنّ على الخلاف، و الأوّل أظهر بالنظر إلى إطلاق الأخبار المتقدمة، و الأحوط مراعاة عدم الظنّ بالخلاف، و أحوط منه مراعاة إفادتها الظنّ، و لو فرض حصول الظنّ بشهادة عدل واحد كان كافيا، لكن لا من حيث الشهادة بل من حيث الظنّ المطلق الكافي في إثبات العدالة، و لكن يعتبر بلوغه حد الوثوق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مشايخنا من احتمل تفصيلا في شهادة عدلين هنا بعد ما ذكر الوجوه الثلاثة من غير ترجيح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يفصّل بين ما إذا كان احتمال الخلاف فيها مستندا إلى تعمّد كذب العدلين، فلا اعتبار به و لو كان مظنونا، لأنّ الظاهر من أدلّة تصديق العادل بل المؤمن نفي تعمّد الكذب عنه مطلقا حتى مع الظنّ،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 بصرك عن أخيك</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بين ما إذا كان مستندا إلى خطائه و اشتباهه، فالظاهر اعتبار كونه موهوما، لأنّ ظاهر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آية النبإ </w:t>
      </w:r>
      <w:r>
        <w:rPr>
          <w:rStyle w:val="FootnoteAnchor"/>
          <w:rtl w:val="true"/>
        </w:rPr>
        <w:footnoteReference w:id="266"/>
      </w:r>
      <w:r>
        <w:rPr>
          <w:rFonts w:ascii="Amiri" w:hAnsi="Amiri" w:eastAsia="Amiri" w:cs="Amiri"/>
          <w:color w:val="111111"/>
          <w:sz w:val="28"/>
          <w:sz w:val="28"/>
          <w:szCs w:val="28"/>
          <w:rtl w:val="true"/>
          <w:lang w:bidi="ar-SA"/>
        </w:rPr>
        <w:t>المفصّلة بين العادل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باحتمال تعمّد كذب المخبر، و أمّا احتمال خطائه و اشتباهه فهو ممّا ينفيه ظاهر حاله المعتبر عند كافة العقلاء إذا كان المخبر به من المحسوسات، أو من غيرها النازل في ندرة الخطأ و الاشتباه منزلة المحسوسات و لو عند المخبر، لكونه من أهل الخبرة و الاطلاع بالنسبة إلى مضمون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هذا التفصيل وجوب قبول خبر الفاسق إذا علمنا عدم تعمّد كذبه، و كان احتمال المخالفة للواقع من جهة احتمال خطائه في</w:t>
      </w:r>
      <w:bookmarkStart w:id="121" w:name="pg19659_263739"/>
    </w:p>
    <w:p>
      <w:pPr>
        <w:pStyle w:val="BookText"/>
        <w:rPr/>
      </w:pPr>
      <w:bookmarkEnd w:id="121"/>
      <w:r>
        <w:rPr>
          <w:rFonts w:ascii="Amiri" w:hAnsi="Amiri" w:eastAsia="Amiri" w:cs="Amiri"/>
          <w:color w:val="111111"/>
          <w:sz w:val="28"/>
          <w:sz w:val="28"/>
          <w:szCs w:val="28"/>
          <w:rtl w:val="true"/>
          <w:lang w:bidi="ar-SA"/>
        </w:rPr>
        <w:t xml:space="preserve">الحسّ سهوا أو اشتباها، و لعلّ ظاهر كلماتهم يأباه، إلّا أنّ القول به متعيّن، بناء على كون مستند قبول خبر العادل و ردّ الفاسق آية النبإ مفهوما و منطوقا، إلّا أن يقوم الإجماع في بعض المقامات كما بيّناه في مسألة حجّية الإجماع المنقول </w:t>
      </w:r>
      <w:r>
        <w:rPr>
          <w:rStyle w:val="FootnoteAnchor"/>
          <w:rtl w:val="true"/>
        </w:rPr>
        <w:footnoteReference w:id="2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العدالة بمعنى الملكة النفسانيّة من الأمور الغير المحسوسة التي يكثر فيها الخطأ و الاشتباه خصوصا إذا استند في إحرازها إلى حسن الظاهر الذي يكثر فيه عدم مصادفة الواقع فلا بدّ فيها بعد نفي احتمال تعمّد الكذب بعدالة الشاهدين، على معنى عدم الاعتناء به، و لو كان مظنونا أن يكون احتمال الخطأ و الاشتباه موهوما، و لو كان الشاهد بالعدالة فاسقا مع التعدّد و بدونه لا بدّ أن يكون كلّ من احتمالي تعمّد الكذب و الخطأ موهوما، و مرجعه إلى الظنّ و الوثوق بالعدالة الذي ينحلّ إلى الظنّ بانتفاء الكذب و الظنّ بانتفاء الخطأ، غير أنّه يخرج حينئذ عن ضابط الشهادة التي يؤخذ بها تعبّدا و يدخل في عنوان مطلق الظنّ الكافي في باب العدالة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948312_2314609296"/>
      <w:bookmarkStart w:id="123" w:name="_Toc47"/>
      <w:bookmarkEnd w:id="122"/>
      <w:r>
        <w:rPr>
          <w:rtl w:val="true"/>
        </w:rPr>
        <w:t xml:space="preserve">الثالث </w:t>
      </w:r>
      <w:r>
        <w:rPr>
          <w:rtl w:val="true"/>
        </w:rPr>
        <w:t>[</w:t>
      </w:r>
      <w:r>
        <w:rPr>
          <w:rtl w:val="true"/>
        </w:rPr>
        <w:t>جواز الشهادة بالعدالة</w:t>
      </w:r>
      <w:r>
        <w:rPr>
          <w:rtl w:val="true"/>
        </w:rPr>
        <w:t>]</w:t>
      </w:r>
      <w:bookmarkEnd w:id="1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كما يقبل شهادة الرجل إذا ظهر عدالته بإحدى طرقها كذلك يجوز الشهادة بعدالته، لأنّه من الأحكام المحمولة على العدالة عند ظهورها، فقول الصادق عليه السّلام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ترتّب جميع أحكام العدالة على ظهورها، و منها جواز الشهادة بعدالته، و أصرح منه دلالة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عليهم تزكيته و إظهار عدالته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ما تقدّم في مرسلة هداية الشيخ الحرّ من بعث النبي صلّى اللّه عليه و آله رجلين من خيار أصحابه للسؤال عن حال الشهود المجهولين في قبائلهم و محلّاتهم، فإنّه كما يدلّ على قبول شهادة العدلين بالعدالة الظاهرة لهما بالفحص و السؤال فكذلك يدلّ على جواز الشهادة لهما بها، و ظاهر الخبرين الأوّلين بل صريح الصحيحة منهما جواز استناد الشاهد في شهادته بالعدالة إلى حسن الظاهر، كما يجوز له الاستناد إليه في اعمال نفسه، و الظاهر أنه ممّا لا خلاف فيه بين القائلين بطريقيّة حسن</w:t>
      </w:r>
    </w:p>
    <w:p>
      <w:pPr>
        <w:pStyle w:val="BookText"/>
        <w:rPr/>
      </w:pPr>
      <w:r>
        <w:rPr>
          <w:rFonts w:ascii="Amiri" w:hAnsi="Amiri" w:eastAsia="Amiri" w:cs="Amiri"/>
          <w:color w:val="111111"/>
          <w:sz w:val="28"/>
          <w:sz w:val="28"/>
          <w:szCs w:val="28"/>
          <w:rtl w:val="true"/>
          <w:lang w:bidi="ar-SA"/>
        </w:rPr>
        <w:t>الظاهر، بل قضيّة ما حقّقناه سابقا من إناطة طريقية حسن الظاهر بإفادته الظنّ و الوثوق بالعدالة، و أنّ الظنّ المطلق كاف في إحرازها جواز الاستناد إليه في الشهادة بها أيضا كما صرح به بعض مشايخنا، و استدلّ عليه بالصحيحة و المرسلة من حيث ظهورها في استناد الشاهدين اللذين بعثهما النبي صلّى اللّه عليه و آله إلى الظنّ الحاصل لهما من السؤال عن قبيلة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انحصر مستند الشهادة في العلم لبطل أمر التعديل، و به تبطل الحقوق </w:t>
      </w:r>
      <w:r>
        <w:rPr>
          <w:rStyle w:val="FootnoteAnchor"/>
          <w:rtl w:val="true"/>
        </w:rPr>
        <w:footnoteReference w:id="268"/>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الملازمة ما عرفت سابقا من انسداد باب العلم بالعدالة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شهد الشاهدان في مقام التزكية بالصلاح أو ظهوره أو حسن الظاهر أو غير ذلك من الصفات الراجعة إليه فهل هو كما لو شهدا بنفس العدالة الظاهرة لهما بحسن الظاهر بعبارة فلان عدل أو ثقة في الاعتبار و ثبوت العدالة به أو لا و مرجعه إلى كفاية الأخبار بطريق العدالة في التزكية و عدمها؟ وجهان، من أنّ الشهادة على ما بيّناه في الأمر الثاني طريق تعبّدي، و حسن الظاهر طريق ظنّي منوط اعتباره بإفادته الظنّ بالعدالة، و لا يثبت الطريق الظنّي بهذا المعنى بالطريق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الشهادة بالطريق الظنّي للعدالة في معنى الشهادة بنفس العدالة بحسب الظنّ الحاصل له من الطريق، و هذا أظهر لا لمجرّد ما ذكر بل لظاهر قوله في المرسلة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أثنوا عليهم قضى حينئذ على المدّعى عليه </w:t>
      </w:r>
      <w:r>
        <w:rPr>
          <w:rStyle w:val="FootnoteAnchor"/>
          <w:rtl w:val="true"/>
        </w:rPr>
        <w:footnoteReference w:id="269"/>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يعرف لهم قبيلة سئل عنهما الخصم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منهما إلّا خيرا أنفذ شهادتهما </w:t>
      </w:r>
      <w:r>
        <w:rPr>
          <w:rStyle w:val="FootnoteAnchor"/>
          <w:rtl w:val="true"/>
        </w:rPr>
        <w:footnoteReference w:id="27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w:t>
      </w:r>
      <w:r>
        <w:rPr>
          <w:rStyle w:val="FootnoteAnchor"/>
          <w:rtl w:val="true"/>
        </w:rPr>
        <w:footnoteReference w:id="271"/>
      </w:r>
      <w:r>
        <w:rPr>
          <w:rFonts w:ascii="Amiri" w:hAnsi="Amiri" w:eastAsia="Amiri" w:cs="Amiri"/>
          <w:color w:val="111111"/>
          <w:sz w:val="28"/>
          <w:sz w:val="28"/>
          <w:szCs w:val="28"/>
          <w:rtl w:val="true"/>
          <w:lang w:bidi="ar-SA"/>
        </w:rPr>
        <w:t>و قوله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يمكن الشهادة على الرجل بأنّه يصلّي إذا كان لا يحضره مصلّاه و يتعاهد جماعة المسلمين </w:t>
      </w:r>
      <w:r>
        <w:rPr>
          <w:rStyle w:val="FootnoteAnchor"/>
          <w:rtl w:val="true"/>
        </w:rPr>
        <w:footnoteReference w:id="272"/>
      </w:r>
      <w:r>
        <w:rPr>
          <w:rFonts w:ascii="Amiri" w:hAnsi="Amiri" w:eastAsia="Amiri" w:cs="Amiri"/>
          <w:color w:val="111111"/>
          <w:sz w:val="28"/>
          <w:sz w:val="28"/>
          <w:szCs w:val="28"/>
          <w:rtl w:val="true"/>
          <w:lang w:bidi="ar-SA"/>
        </w:rPr>
        <w:t>و قوله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 يكن لأحد أن يشهد على آخر بصلاح، لأنّ من لا يصلّي لا صلاح له بين المسلمين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فإنّ جميع ذلك يعطي نفوذ الشهادة بالصلاح و حسن الظاهر و ما يوجبهما من تعاهد الصلوات و ملازمة جماعة المسلمين في مقام إحراز العدالة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الاستناد في التزكية و الشهادة بالعدالة إلى شهادة العدلين بها أو لا؟ و يجري هذا الكلام في حسن الظاهر على القول به تعبّدا و في استصحاب العدالة، و ملخّصه كلية أنّ كلّ طريق علمي أو ظنّي أو تعبّدي إلى العدالة يجوز للإنسان الاستناد إليه في عمل نفسه هل يجوز له الاستناد إليه في التزكية و الشهادة بالعدالة أو لا و لا يبعد دعوى الجواز من أنّ معنى طريقية الطريق أن يجري عليه جميع أحكام ذي الطريق التي منها جواز الشهادة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من أحكام العدالة الواقعية جواز الشهادة بها لمن انكشفت له علما أو ظنا، و مقتضى دليل الطريق التعبّدي إقامة مؤدّاه مقام الواقع في ترتّب الأحكام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العدل عدلان عدل واقعي و عدل شرعي، و كما يجوز الشهادة بعدالة العدل الواقعي و يمضي شهادته فكذلك يجوز ذلك في العدل الشرعي و من زكّاه عدلان، و كذلك من حسن ظاهره، و كذلك مستصحب العدالة عدل شرعيّ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كون العدل الشرعي كالعدل الواقعي في الحكم المذكور، أعني جواز الشهادة بعدالته و نفوذ تلك الشهادة، و ذلك لأنّ معنى الحمل في الأحكام المحمولة على العدالة، كجواز الائتمام و جواز قبول الشهادة و جواز الطلاق على معنى صحّته و نفوذه إلى غير ذلك من الأحكام المقرّرة في مظانّها اشتراط تلك الأحكام بالعدالة، و مفاد أدلّة الطرق أنّ الشرط أعمّ من العدالة العلمية و العدالة الظنية و العدالة المستصحبة و العدالة المؤدّاة بالبيّنة و حسن الظاهر على القول بكونه طريقا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تعميم الشرط الظاهر من أدلّة الاشتراط في العدالة الواقعية بالنسبة إلى العدالة الظاهريّة، و هي المجعولة للجاهل بوصف كونه جاهلا بشرط ظنّه بوجودها، أو سبق اليقين بحدوثها و لحوق الشكّ في بقائها، أو قيام</w:t>
      </w:r>
    </w:p>
    <w:p>
      <w:pPr>
        <w:pStyle w:val="BookText"/>
        <w:rPr/>
      </w:pPr>
      <w:r>
        <w:rPr>
          <w:rFonts w:ascii="Amiri" w:hAnsi="Amiri" w:eastAsia="Amiri" w:cs="Amiri"/>
          <w:color w:val="111111"/>
          <w:sz w:val="28"/>
          <w:sz w:val="28"/>
          <w:szCs w:val="28"/>
          <w:rtl w:val="true"/>
          <w:lang w:bidi="ar-SA"/>
        </w:rPr>
        <w:t>البينة عنده، أو ظهور الصلاح لديه و لو باعتبار مجعوليّة الأحكام المعلقة عليها في حقّ الجاهل نظرا إلى عدم كون العدالة بنفسها من الأمور القابلة للجعل، فمعنى مجعوليتها للجاهل مجعولية الاحكام المشروط بها، بخلاف الشهادة بالعدالة فإنّ اشتراط جوازها بالعدالة ليس بحسب الشرع حتى يجعل الشرط بمقتضى أدلّة الطرق أعم من العدالة الواقعية و العدالة الظاهرية بل بحسب العقل، باعتبار أنّ الشهادة قسم من الخبر و هو بماهيته لا ينفكّ عن المخبر به الواقعي الذي هو في المقام عبارة عن العدالة الواقعية، و لا بدّ فيها مع ذلك من العلم بثبوت هذه الصفة الواقعية للمخبر عنه، و قد دلّ الشرع على أنّ وجه اعتبار العلم في هذه الشهادة إنّما هو وجه الطريقية، و لذا لم يتعرّض له بتخصيص و لا تقييد بل عمّمه بإقامة الظنّ مقامه، حيث اكتفى في إحراز العدالة بالشهادة الظنية، أعني ما كان مستندها الظنّ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الطريق التعبّدي لا ينوط اعتباره بإفادته العلم أو الظنّ بالعدالة، فهو في موضع انتفاء العلم و الظنّ يفيد ثبوت العدالة على معنى ترتّب أحكامها، و لا ينعقد بسببه الخبر المتضمّن للعلم أو الظنّ بالمخبر به الذي هو العدالة الواقعية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يخبر حينئذ بالعدالة الظاهرية المعلومة لديه بمقتضى الأمارة التعبّدية الناهضة عنده من البينة و الاستصحاب و حسن الظاهر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أنّ العدالة الظاهرية بمنزلة الحكم الظاهري المجعول لعنوان الجاهل بالواقع مع ما أخذ معه من القيود و الحيثيّات، فتكون مخصوصة بموضوعها و لا تتعداه إلى غيره، و ليس موضوعها إلّا من قام عنده الأمارة التعبّدية، فموضوع العدالة المستصحبة إنّما هو من سبقه اليقين بحدوثها ثمَّ شكّ في بقائها، فلو نقل هذا الشخص هذه العدالة المحرزة بالاستصحاب إلى غيره ممّن ليس بهذه الصفة، فليس لذلك الغير المنقول إليه الأخذ بها في عمل نفسه، لأنّها ليست من موضوع أحكامه المعلّقة على العدالة لا بحسب الواقع بأن تكون من العدالة الواقعية، و لا بحسب الظاهر بأن تكون من العدالة الظاهرية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لم يدركها</w:t>
      </w:r>
    </w:p>
    <w:p>
      <w:pPr>
        <w:pStyle w:val="BookText"/>
        <w:rPr/>
      </w:pPr>
      <w:r>
        <w:rPr>
          <w:rFonts w:ascii="Amiri" w:hAnsi="Amiri" w:eastAsia="Amiri" w:cs="Amiri"/>
          <w:color w:val="111111"/>
          <w:sz w:val="28"/>
          <w:sz w:val="28"/>
          <w:szCs w:val="28"/>
          <w:rtl w:val="true"/>
          <w:lang w:bidi="ar-SA"/>
        </w:rPr>
        <w:t>بالطرق الكاشفة عن الواقع علما أو ظنّا، و أمّا الثاني فلأنّه ليس من موضوع العدالة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فالمزكى إذا استند في شهادته بالعدالة إلى شهادة العدلين بها أو إلى الاستصحاب أو نحو ذلك لا يمضي شهادته على غيره ممّن لم ينهض عنده هذا الطريق، سواء أراد من العدالة المشهود بها العدالة الواقعية أو العدالة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فلفرض عدم علم الشاهد و لا ظنّه بها، و أمّا الثاني فلفرض عدم كون المشهود له من موضوع العدالة المشهود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دليل طريقية شهادة العدلين لإثبات العدالة تعبّدا عموم أو إطلاق يتناول من يستند في شهادته إلى غير الطرق الكاشفة عن الواقع علما أو ظنّا كان القول بجواز الاستناد في الشهادة بالعدالة إلى شهادة العدلين أو إلى الاستصحاب، و نفوذ هذه الشهادة على من لم ينهض عنده شهادة الأصل و لم يتحقّق عنده أركان الاستصحاب متجها، و المفروض خلافه، لظهور أدلّة شهادة العدلين فيمن يشهد عن علم أو ظنّ بها، و لم نقف في أدلّة مطلق الشهادة على عموم أو إطلاق يقضي بجواز الاستناد إليها في كلّ شي‌ء حتى التزكية و التعديل الذي هو عبارة عن الشهادة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بجواز الاستناد فيها إلى الاستصحاب، استظهارا له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غيره من عموم أخبار الاستصحاب، بتقريب أنّه نهي عن رفع اليد عن آثار اليقين السابق و أحكام المتيقّن المترتّبة عليه حال اليقين به إلى أن يحصل اليقين بارتفاعه، و من آثار اليقين السابق جواز الشهادة بالعدالة المتيقّنة، فيجوز الشهادة بالعدالة المستصحبة أيضا، عملا بعموم النهي عن رفع اليد عن آثار اليقين و أحكام المتيقّن، و قضية جواز الشهادة للشاهد بحكم الملازمة العرفية بل الشرعيّة أيضا نفوذ تلك الشهادة على المشهود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حقّقناه الفرق بين الاستصحاب و شهادة العدلين، فيجوز الاستناد في التعديل إلى الأوّل دون الثاني، و أمّا حسن الظاهر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عليهم</w:t>
      </w:r>
      <w:bookmarkStart w:id="124" w:name="pg19659_263744"/>
    </w:p>
    <w:p>
      <w:pPr>
        <w:pStyle w:val="BookText"/>
        <w:rPr/>
      </w:pPr>
      <w:bookmarkEnd w:id="124"/>
      <w:r>
        <w:rPr>
          <w:rFonts w:ascii="Amiri" w:hAnsi="Amiri" w:eastAsia="Amiri" w:cs="Amiri"/>
          <w:color w:val="111111"/>
          <w:sz w:val="28"/>
          <w:sz w:val="28"/>
          <w:szCs w:val="28"/>
          <w:rtl w:val="true"/>
          <w:lang w:bidi="ar-SA"/>
        </w:rPr>
        <w:t>تزكيته و إظهار عدالته في صحيحة ابن أبي يعفور، و إن دلّ على جواز الاستناد إليه إلّا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إطلاقه بسبب ما قيّده بإفادته الظنّ و الوثوق بالعدالة لينهض دليلا على جواز الاستناد إليه من حيث إنّه أمر تعبّدي، و لو لا التقييد المذكور و دليله كان القول بالجواز بالقياس إليه أيضا كالاستصحاب متّجها، و قد ذكرنا سابقا أنّ ملاك التعبّد و اشتراط الظنّ في حسن الظاهر، انّما هو إطلاق مرجعيته و تقييده بإفادته الظنّ بالعدالة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948314_2314609296"/>
      <w:bookmarkStart w:id="126" w:name="_Toc48"/>
      <w:bookmarkEnd w:id="125"/>
      <w:r>
        <w:rPr>
          <w:rtl w:val="true"/>
        </w:rPr>
        <w:t xml:space="preserve">خاتمة </w:t>
      </w:r>
      <w:r>
        <w:rPr>
          <w:rtl w:val="true"/>
        </w:rPr>
        <w:t>[</w:t>
      </w:r>
      <w:r>
        <w:rPr>
          <w:rtl w:val="true"/>
        </w:rPr>
        <w:t>في انحصار طريق ثبوت الفسق في المشاهدة و البيّنة</w:t>
      </w:r>
      <w:r>
        <w:rPr>
          <w:rtl w:val="true"/>
        </w:rPr>
        <w:t>.]</w:t>
      </w:r>
      <w:bookmarkEnd w:id="126"/>
    </w:p>
    <w:p>
      <w:pPr>
        <w:pStyle w:val="BookText"/>
        <w:rPr/>
      </w:pPr>
      <w:r>
        <w:rPr>
          <w:rFonts w:ascii="Amiri" w:hAnsi="Amiri" w:eastAsia="Amiri" w:cs="Amiri"/>
          <w:color w:val="111111"/>
          <w:sz w:val="28"/>
          <w:sz w:val="28"/>
          <w:szCs w:val="28"/>
          <w:rtl w:val="true"/>
          <w:lang w:bidi="ar-SA"/>
        </w:rPr>
        <w:t>قد ظهر من تضاعيف كلماتنا المتقدّمة في المقامات السابقة أنّ الفسق الذي هو ضد العدالة يعتري الإنسان بارتكاب الكبيرة أو الإصرار على الصغيرة الذي هو أيضا كبيرة، و قضيّة ظاهر قوله عليه السّلام في رواية صالح بن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أو لم يشهد عليه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طريق ثبوته في المشاهدة و البيّنة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948316_2314609296"/>
      <w:bookmarkStart w:id="128" w:name="_Toc49"/>
      <w:bookmarkEnd w:id="127"/>
      <w:r>
        <w:rPr>
          <w:rtl w:val="true"/>
        </w:rPr>
        <w:t>و بقي الكلام في التوبة الرافعة للفسق بعد حصوله، و في الفرق بين الكبيرة و الصغيرة</w:t>
      </w:r>
      <w:bookmarkEnd w:id="128"/>
    </w:p>
    <w:p>
      <w:pPr>
        <w:pStyle w:val="Heading4"/>
        <w:numPr>
          <w:ilvl w:val="3"/>
          <w:numId w:val="1"/>
        </w:numPr>
        <w:rPr/>
      </w:pPr>
      <w:bookmarkStart w:id="129" w:name="__RefHeading___Toc1948318_2314609296"/>
      <w:bookmarkStart w:id="130" w:name="_Toc50"/>
      <w:bookmarkEnd w:id="129"/>
      <w:r>
        <w:rPr>
          <w:rtl w:val="true"/>
        </w:rPr>
        <w:t>اشارة</w:t>
      </w:r>
      <w:bookmarkEnd w:id="1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بيان عدد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التكلّم في فصلين</w:t>
      </w:r>
      <w:r>
        <w:rPr>
          <w:rFonts w:eastAsia="Amiri" w:cs="Amiri" w:ascii="Amiri" w:hAnsi="Amiri"/>
          <w:color w:val="111111"/>
          <w:sz w:val="28"/>
          <w:szCs w:val="28"/>
          <w:rtl w:val="true"/>
          <w:lang w:bidi="ar-SA"/>
        </w:rPr>
        <w:t>:</w:t>
      </w:r>
      <w:bookmarkStart w:id="131" w:name="pg19659_263746"/>
    </w:p>
    <w:p>
      <w:pPr>
        <w:pStyle w:val="Heading4"/>
        <w:numPr>
          <w:ilvl w:val="3"/>
          <w:numId w:val="1"/>
        </w:numPr>
        <w:rPr/>
      </w:pPr>
      <w:bookmarkStart w:id="132" w:name="__RefHeading___Toc1948320_2314609296"/>
      <w:bookmarkStart w:id="133" w:name="_Toc51"/>
      <w:bookmarkEnd w:id="131"/>
      <w:bookmarkEnd w:id="132"/>
      <w:r>
        <w:rPr>
          <w:rtl w:val="true"/>
        </w:rPr>
        <w:t>الفصل الأوّل في التوبة</w:t>
      </w:r>
      <w:bookmarkEnd w:id="133"/>
    </w:p>
    <w:p>
      <w:pPr>
        <w:pStyle w:val="Heading5"/>
        <w:numPr>
          <w:ilvl w:val="4"/>
          <w:numId w:val="1"/>
        </w:numPr>
        <w:rPr/>
      </w:pPr>
      <w:bookmarkStart w:id="134" w:name="__RefHeading___Toc1948322_2314609296"/>
      <w:bookmarkStart w:id="135" w:name="_Toc52"/>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 الكلام فيها تارة في حقيقتها، و اخرى في حكمها، و ثالثة في محلّها، و رابعة في أثرها و فائدتها و سائر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مراحل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948324_2314609296"/>
      <w:bookmarkStart w:id="137" w:name="_Toc53"/>
      <w:bookmarkEnd w:id="136"/>
      <w:r>
        <w:rPr>
          <w:rtl w:val="true"/>
        </w:rPr>
        <w:t>أمّا المرحلة الاولى</w:t>
      </w:r>
      <w:r>
        <w:rPr>
          <w:rtl w:val="true"/>
        </w:rPr>
        <w:t xml:space="preserve">: </w:t>
      </w:r>
      <w:r>
        <w:rPr>
          <w:rtl w:val="true"/>
        </w:rPr>
        <w:t>فحقيقة التوبة</w:t>
      </w:r>
      <w:bookmarkEnd w:id="1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الرجوع إلى اللّه سبحانه بعد الاعراض عنه بالخوض في معاصيه، أو الرجوع إلى صراط اللّه المستقيم بعد الانحراف عنه بسلوك طريق الشيطان الرجيم، فالتوبة بمعنى الرجوع إلى اللّه ممّا لا يتأتّى إلّا بالندم على ما سلف من الذنب و المعصية، و يعتبر فيه كونه خالصا لوجه اللّه الكريم لا لغيره من الفضيحة بين الناس، أو سقوط اعتباره و انحطاط قدره و منزلته عندهم، أو طلب الجاه و المنزلة لديهم، أو غير ذلك من الدواعي و الأغراض، و الندم هو تألّم و حزن يعتري القلب بسبب العلم، و الإيمان و هو معرفة الذنب من حيث كونه خروجا عن طاعة اللّه و تعريضا للنفس على مخالفة حكمه حيث أمر أو نهى، و التصديق بكونه حاجبا بينه و بين الرب مبعدا له عن ساحة رحمته و تعرّضا لسخطه و غضبه و استحقاق عقوبته،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الندم روح التوبة، و لقد أشار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النبويّ المروي في الخبر المتقدّم عن الكاظم عليه السّلام </w:t>
      </w:r>
      <w:r>
        <w:rPr>
          <w:rStyle w:val="FootnoteAnchor"/>
          <w:rtl w:val="true"/>
        </w:rPr>
        <w:footnoteReference w:id="275"/>
      </w:r>
      <w:r>
        <w:rPr>
          <w:rFonts w:ascii="Amiri" w:hAnsi="Amiri" w:eastAsia="Amiri" w:cs="Amiri"/>
          <w:color w:val="111111"/>
          <w:sz w:val="28"/>
          <w:sz w:val="28"/>
          <w:szCs w:val="28"/>
          <w:rtl w:val="true"/>
          <w:lang w:bidi="ar-SA"/>
        </w:rPr>
        <w:t>في مسألة قدح الإصرار على الصغيرة في العدالة، فالندم ثمرة</w:t>
      </w:r>
    </w:p>
    <w:p>
      <w:pPr>
        <w:pStyle w:val="BookText"/>
        <w:rPr/>
      </w:pPr>
      <w:r>
        <w:rPr>
          <w:rFonts w:ascii="Amiri" w:hAnsi="Amiri" w:eastAsia="Amiri" w:cs="Amiri"/>
          <w:color w:val="111111"/>
          <w:sz w:val="28"/>
          <w:sz w:val="28"/>
          <w:szCs w:val="28"/>
          <w:rtl w:val="true"/>
          <w:lang w:bidi="ar-SA"/>
        </w:rPr>
        <w:t>يثمرها الإيمان، و هو يتبع طلب العفو عن الماضي و العزم على الترك في المستقبل،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محفوظا بطرفيه، أعني مثمرة و ثمرته، و يلزمه ترك الذنب في الحال للّه، فللتوبة بمعنى الرجوع إلى اللّه، جسد و هو ترك المعصية في الحال، و روح و هو الندم، و أصل و هو الإيمان، و فرع و هو الاستغفار، و العزم على عدم العود في المستقبل، و لقد أشار إلى بعض ذلك أيضا في الخبر المشار إليه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يندم على ذنب يرتكبه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يرتكب كبيرة من المعاصي و هو يعلم أنّه سيعاقب عليها إلّا أنّه ندم على ما ارتكب، و متى ندم كان تائبا مستحقّا للشفاعة، و من لم يندم عليها كان مصرّا، و المصر لا يغفر له، لأنه غير مؤمن لعقوبة ما ارتكب و لو كان مؤمنا بالعقوبة 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الإيمان المعتبر في التوبة هو التصديق بالذنب من حيث كونه مخالفة و آثاره من البعد و المقت و استحقاق العقوبة، فلا ينافي نفيه الإيمان باللّه و وحدانيّته و صفاته و رسله و كتبه، و هو المراد بقول النبي صلّى اللّه عليه و آله في المروي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يزني الزاني حين يزني و هو مؤمن </w:t>
      </w:r>
      <w:r>
        <w:rPr>
          <w:rStyle w:val="FootnoteAnchor"/>
          <w:rtl w:val="true"/>
        </w:rPr>
        <w:footnoteReference w:id="276"/>
      </w:r>
      <w:r>
        <w:rPr>
          <w:rFonts w:ascii="Amiri" w:hAnsi="Amiri" w:eastAsia="Amiri" w:cs="Amiri"/>
          <w:color w:val="111111"/>
          <w:sz w:val="28"/>
          <w:sz w:val="28"/>
          <w:szCs w:val="28"/>
          <w:rtl w:val="true"/>
          <w:lang w:bidi="ar-SA"/>
        </w:rPr>
        <w:t>و إنّما أراد به نفي الإيمان بكون الزنا مبعدا عن اللّه و موجبا لمقته و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بابا واحدا، بل هو كما ورد نيّف و سبعون باب أعلاها شهادة أن لا إله إلّا اللّه و أدناها إماطة الأذى عن الطريق، و قد مثل له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الإنسان موجودا واحدا، بل هو نيّف و سبعون موجودا أعلاها القلب و الروح و أدناها إماطة الأذى عن البشرة، بأن يكون مقصوص الشارب مقلوم الأظفار نقي البشرة عن الخبيث ليتميّز عن البهائم المرسلة المتلوّثة بأرواثها المستكرهة الصور بطول مخالبها و أظفارها، فالأيمان كالإنسان </w:t>
      </w:r>
      <w:r>
        <w:rPr>
          <w:rStyle w:val="FootnoteAnchor"/>
          <w:rtl w:val="true"/>
        </w:rPr>
        <w:footnoteReference w:id="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مراده في النبوي من نفي الإيمان عن الزاني حين يزني المبالغة في ضعفه الباعث على انطفاء نوره بغلبة نار الشهوة و هوى النفس، لا نفيه على وجه يرجع إلى الإنكار و التكذيب لقبح الزنا و كونه عصيانا للرّب موجبا لمقته و شدّة</w:t>
      </w:r>
    </w:p>
    <w:p>
      <w:pPr>
        <w:pStyle w:val="BookText"/>
        <w:rPr/>
      </w:pPr>
      <w:r>
        <w:rPr>
          <w:rFonts w:ascii="Amiri" w:hAnsi="Amiri" w:eastAsia="Amiri" w:cs="Amiri"/>
          <w:color w:val="111111"/>
          <w:sz w:val="28"/>
          <w:sz w:val="28"/>
          <w:szCs w:val="28"/>
          <w:rtl w:val="true"/>
          <w:lang w:bidi="ar-SA"/>
        </w:rPr>
        <w:t>العقوبة عليه، و إلّا كان من كفر الجحود، و بذلك يحصل الجمع بينه و بين الخبر المتقدّم الدال على أنّ التوبة بمعنى الندم من لوازم الإيمان، فإنّ بعثه على الندم الكاشف عن وجوده يكشف عن وجوده حين يبعث الشهوة و هوى النفس على الخوض في الذنب و الدخول على المعصية، فالتائب لا يزال مؤمنا من حين الذنب إلى حين يتوب، غاية الأمر أنّه حين الذنب مقهور مغلوب عن الهوى و الشهوة و بضعفة يصير مغلوبا و بعد مغلوبيته ازداد ضعفا، و يلزم منه كون بعثه على الندم بعد الذنب أشقّ و أثقل من بعثه على ترك الذنب قبل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ما روي مرسلا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الخطيئة أيسر من طلب التوبة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كلّما أصرّ المذنب على ذنبه و داومه و أقام عليه صارت التوبة عليه أشقّ و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أصل خلقته صاف صيقلي كالمرآة الصيقلية، و كلّ شهوة تبعها الإنسان ارتفع منها ظلمة على قلبه كما يرتفع من نفسه ظلمة على وجه المرآة، و إذا تراكمت ظلمات الشهوات صارت ريّنا كما قال تعالى بَلْ رٰانَ عَلىٰ قُلُوبِهِمْ مٰا كٰانُوا يَكْسِبُونَ </w:t>
      </w:r>
      <w:r>
        <w:rPr>
          <w:rStyle w:val="FootnoteAnchor"/>
          <w:rtl w:val="true"/>
        </w:rPr>
        <w:footnoteReference w:id="279"/>
      </w:r>
      <w:r>
        <w:rPr>
          <w:rFonts w:ascii="Amiri" w:hAnsi="Amiri" w:eastAsia="Amiri" w:cs="Amiri"/>
          <w:color w:val="111111"/>
          <w:sz w:val="28"/>
          <w:sz w:val="28"/>
          <w:szCs w:val="28"/>
          <w:rtl w:val="true"/>
          <w:lang w:bidi="ar-SA"/>
        </w:rPr>
        <w:t>كما يصير بخار النّفس في وجه المرآة خبثا، و إذا تراكم الرين صار طبعا، فيطبع على قلبه كالخبث على وجه المرآة إذا تراكم و طال زمانه حتى غاص في جرم الزجاج و الحجر، فلا يزول إلّا بعلاج صعب في مدة طويلة، بل ربّما لا يقبل العلاج لخروجه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لجميع ما ذكر 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في قلبه نكتة بيضاء، فإن أذنب خرج في النكتة نكتة سوداء، فإن تاب ذهب ذلك السواد، و إن تمادى في الذنوب زاد ذلك السواد حتى يغطّي البياض، و إذا غطّى البياض لم يرجع صاحبه إلى الخير أبدا، و هو قول اللّه عزّ و جلّ كَلّٰا بَلْ رٰانَ عَلىٰ قُلُوبِهِمْ مٰا كٰانُوا يَكْسِبُونَ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التقي الزكي اللبيب أن لا يسامح في التجنّب عن الذنب المبعد عن اللّه</w:t>
      </w:r>
    </w:p>
    <w:p>
      <w:pPr>
        <w:pStyle w:val="BookText"/>
        <w:rPr/>
      </w:pPr>
      <w:r>
        <w:rPr>
          <w:rFonts w:ascii="Amiri" w:hAnsi="Amiri" w:eastAsia="Amiri" w:cs="Amiri"/>
          <w:color w:val="111111"/>
          <w:sz w:val="28"/>
          <w:sz w:val="28"/>
          <w:szCs w:val="28"/>
          <w:rtl w:val="true"/>
          <w:lang w:bidi="ar-SA"/>
        </w:rPr>
        <w:t>المقرّب إلى الشيطان، و إذا سامح فيه فلا أقلّ من أن لا يسامح في التوبة منه و الندم عليه، و لقد ذكر إلى التوبة طريقا، و هو ذكر ما ورد في فضلها، و العلم بقبح الذنوب، و شدّة العقوبة عليها، و ضعف النفس عن الاحتمال، و شرف الآخرة، و خساسة الدنيا، و قرب الموت، و لذّة المعرفة، و المناجاة الممتنعة مع الإصرار، و خوف الإمهال، و الاستدراج بعدم المؤاخذة الحاليّة، و التوسعة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تبعات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الدنيا، و طول الأمل البالغة بصاحبها في سلك المستدرجين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 روح التوبة هو الندم على ما سلف من الذنب فهل يعتبر فيها مع ذلك العزم على عدم العود في المستقبل فمن ندم و لم يعزم ليس بتائب؟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عزى إلى ظاهر الأكثر </w:t>
      </w:r>
      <w:r>
        <w:rPr>
          <w:rStyle w:val="FootnoteAnchor"/>
          <w:rtl w:val="true"/>
        </w:rPr>
        <w:footnoteReference w:id="28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نسب إلى مذهب جمع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الندم الباعث على الرجوع إلى اللّه الناشئ من الإيمان بسوء العاقبة و شدّة العقوبة لا ينفكّ عن العزم، بمعنى الجزم بعدم العود إليه أبدا، و في بعض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الوثوق و الاطمئنان بحصول المعزوم عليه إلى الأبد فهو من صاحب النفس الأمّارة و من يمكن في حقّه غلبة الشهوة و هوى النفس مرّة أخرى، بل كرّة بعد اولى فغير ممكن عادة، و لعلّ معتبري العزم لم يعتبروه أيضا اكتفاء منهم بالعزم على عدم العود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الدالّة على قبول التوبة للنقض كالمروي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أصرّ من استغفر و إن عاد في اليوم سبعين مرة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عن الصادق عليه السّلام في قوله تعالى تُوبُوا إِلَى اللّٰهِ تَوْبَةً نَصُوحاً </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 اللّه يحب من عباده المفتن التواب </w:t>
      </w:r>
      <w:r>
        <w:rPr>
          <w:rStyle w:val="FootnoteAnchor"/>
          <w:rtl w:val="true"/>
        </w:rPr>
        <w:footnoteReference w:id="284"/>
      </w:r>
      <w:r>
        <w:rPr>
          <w:rFonts w:ascii="Amiri" w:hAnsi="Amiri" w:eastAsia="Amiri" w:cs="Amiri"/>
          <w:color w:val="111111"/>
          <w:sz w:val="28"/>
          <w:sz w:val="28"/>
          <w:szCs w:val="28"/>
          <w:rtl w:val="true"/>
          <w:lang w:bidi="ar-SA"/>
        </w:rPr>
        <w:t>يعني كثير الذنب كثير التوبة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 إذا تاب عنها مغفورة له</w:t>
      </w:r>
    </w:p>
    <w:p>
      <w:pPr>
        <w:pStyle w:val="BookText"/>
        <w:rPr/>
      </w:pPr>
      <w:r>
        <w:rPr>
          <w:rFonts w:ascii="Amiri" w:hAnsi="Amiri" w:eastAsia="Amiri" w:cs="Amiri"/>
          <w:color w:val="111111"/>
          <w:sz w:val="28"/>
          <w:sz w:val="28"/>
          <w:szCs w:val="28"/>
          <w:rtl w:val="true"/>
          <w:lang w:bidi="ar-SA"/>
        </w:rPr>
        <w:t>فليعمل المؤمن لما يستأنف بعد التوبة و المغفرة، أما و اللّه أنّها ليست إلّا لأهل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 الاستغفار في الذنوب و عاد في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 ترى العبد المؤمن يندم على ذنبه و يستغفر اللّه منه و يتوب ثمَّ لا يقبل اللّه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 يستغفر،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عاد المؤمن بالاستغفار و التوبة عاد اللّه عليه بالمغفرة، و أنّ اللّه غفور رحيم يقبل التوبة و يعفو عن السيّئات، فإيّاك أن تقنّط المؤمنين من رحمة اللّه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عدم وقوع المعزوم عليه في الخارج و عدم إخلاله بالتوبة يدلّ على عدم اعتبار الوثوق و الاطمئنان بوقوعه في العزم على عدم العود المعتبر فيها، و لعلّ أصحاب القول بعدم اعتبار العزم يريدون نفي اعتبار ذلك لا نفي أصل العزم، فإنّه على ما بيّناه ضروري الوجود مع الرجوع إلى اللّه و الندم على الذنب خالصا لوجهه الكريم، و عليه فيعود النزاع لفظيّ،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بالتّأمّل فيما بيّناه اندفع ما استشكله في الذخيرة، على القول باعتبار العزم على الترك و عدم العود في التوبة بما محصّله، قيام العذر أو العسر المانعين من اعتباره عقلا و نقلا، فإنّ الظاهر أنّ التوبة عن الذنب واجب اتفاقا، من غير فرق بين الصغيرة و الكبيرة، و العزم على ترك الصغائر متعذّر أو متعسّر، لأنّ الإنسان لا ينفك عنها غالبا، فكيف يتحقّق العزم على تركها أبدا مع ما جرّب من حاله و حال غيره من عدم الانفكاك عنها؟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عدم الانفكاك عن الصغائر إنّما تخلّ بالوثوق و الاطمئنان بحصول المعزوم عليه، و لا تخلّ بأصل العزم بمعنى الجزم، فإنّ كلّ مريد لفعل أو ترك حين الشروع فيه جازم بالإيقاع و غير مطمئن بالإتمام أو الاستمرار، لاحتمال طروّ عذر أو مانع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الجزم بالإيقاع لا ينافيه احتمال عدم الوقوع، فالجزم بترك الذنب و عدم العود إليه أبدا على تقدير عدم غلبة الشهوة و هوى النفس على الخوف</w:t>
      </w:r>
    </w:p>
    <w:p>
      <w:pPr>
        <w:pStyle w:val="BookText"/>
        <w:rPr/>
      </w:pPr>
      <w:r>
        <w:rPr>
          <w:rFonts w:ascii="Amiri" w:hAnsi="Amiri" w:eastAsia="Amiri" w:cs="Amiri"/>
          <w:color w:val="111111"/>
          <w:sz w:val="28"/>
          <w:sz w:val="28"/>
          <w:szCs w:val="28"/>
          <w:rtl w:val="true"/>
          <w:lang w:bidi="ar-SA"/>
        </w:rPr>
        <w:t>و الخشية من اللّه الناشئ من الإيمان لا ينافيه احتمال الغلبة، كما أنّ الجزم بوجود النهار على تقدير طلوع الشمس لا ينافيه احتمال عدم طلوع الشمس،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الجزم بعدم العود ما دام العمر ممّن لا يثق من نفسه غلبة إيمانه و خوفه من اللّه على هوى نفسه ما دام العمر في غاية الإشكال، بل مع احتمال غلبة الهوى في بعض الأحيان ممّا لا وجه له، فالّذي يمكن تحقّقه في حقّ التائب أنّه بحسب إيمانه و خوفه من اللّه و ندمه على ما سلف و رجوعه إلى اللّه يوطّن نفسه للترك و عدم العود ما دام العمر، فإن لم يعد أبدا فليشكر اللّه، و إن عاد إليه في بعض الأحيان لغلبة هوى نفسه فليتب إلى اللّه أيضا مرّة أخرى و كرّة بعد اولى، و هذا هو القدر الذي يمكن إذعان اعتباره في التوبة، و عليه يحمل العزم الوارد في الأخبار و كلام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التوبة بمعنى الرجوع إلى اللّه المتضمن للندم لا ينفكّ عن الاستغفار بمعنى حبّ العفو و المغفرة و شوق القلب و ميلها إليه، فالتكلّم في اعتباره فيها ممّا لا يرجع إلى طائل، و الظاهر أنّ إطلاق الاستغفار مكان التوبة في آيات متكرّرة و أخبار متكاثرة إنّما هو بهذا الاعتبار، على معنى أنّه أطلق فيها الاستغفار و أريد منه التوبة، باعتبار تضمّنها طلب العفو و المغفرة بمعنى حبه و الشوق إليه، و من ذلك قوله عزّ من قائل في سورة آل عمران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 </w:t>
      </w:r>
      <w:r>
        <w:rPr>
          <w:rStyle w:val="FootnoteAnchor"/>
          <w:rtl w:val="true"/>
        </w:rPr>
        <w:footnoteReference w:id="287"/>
      </w:r>
      <w:r>
        <w:rPr>
          <w:rFonts w:ascii="Amiri" w:hAnsi="Amiri" w:eastAsia="Amiri" w:cs="Amiri"/>
          <w:color w:val="111111"/>
          <w:sz w:val="28"/>
          <w:sz w:val="28"/>
          <w:szCs w:val="28"/>
          <w:rtl w:val="true"/>
          <w:lang w:bidi="ar-SA"/>
        </w:rPr>
        <w:t>و قول الصادق عليه السّلام المروي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صعد إبليس جبلا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فقال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w:t>
      </w:r>
    </w:p>
    <w:p>
      <w:pPr>
        <w:pStyle w:val="BookText"/>
        <w:rPr/>
      </w:pPr>
      <w:r>
        <w:rPr>
          <w:rFonts w:ascii="Amiri" w:hAnsi="Amiri" w:eastAsia="Amiri" w:cs="Amiri"/>
          <w:color w:val="111111"/>
          <w:sz w:val="28"/>
          <w:sz w:val="28"/>
          <w:szCs w:val="28"/>
          <w:rtl w:val="true"/>
          <w:lang w:bidi="ar-SA"/>
        </w:rPr>
        <w:t>يواقعوا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فوكّله بها إلى يوم القيامة </w:t>
      </w:r>
      <w:r>
        <w:rPr>
          <w:rStyle w:val="FootnoteAnchor"/>
          <w:rtl w:val="true"/>
        </w:rPr>
        <w:footnoteReference w:id="28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الذنوب الاستغفار </w:t>
      </w:r>
      <w:r>
        <w:rPr>
          <w:rStyle w:val="FootnoteAnchor"/>
          <w:rtl w:val="true"/>
        </w:rPr>
        <w:footnoteReference w:id="28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أصرّ من استغفر </w:t>
      </w:r>
      <w:r>
        <w:rPr>
          <w:rStyle w:val="FootnoteAnchor"/>
          <w:rtl w:val="true"/>
        </w:rPr>
        <w:footnoteReference w:id="290"/>
      </w:r>
      <w:r>
        <w:rPr>
          <w:rFonts w:ascii="Amiri" w:hAnsi="Amiri" w:eastAsia="Amiri" w:cs="Amiri"/>
          <w:color w:val="111111"/>
          <w:sz w:val="28"/>
          <w:sz w:val="28"/>
          <w:szCs w:val="28"/>
          <w:rtl w:val="true"/>
          <w:lang w:bidi="ar-SA"/>
        </w:rPr>
        <w:t>و قوله عليه السّلام في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w:t>
      </w:r>
      <w:r>
        <w:rPr>
          <w:rStyle w:val="FootnoteAnchor"/>
          <w:rtl w:val="true"/>
        </w:rPr>
        <w:footnoteReference w:id="291"/>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الاستغفار بمعنى استدعاء المغفرة و طلبه الإنشائي الذي يقال له السؤال باعتبار كونه من الداني بأيّ لفظ و أي لغة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قابل للانفكاك من التوبة بمعنى الندم و الرجوع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 فيها، و الأصل ينفيه، مضافا إلى إطلاق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بالندم توبة </w:t>
      </w:r>
      <w:r>
        <w:rPr>
          <w:rStyle w:val="FootnoteAnchor"/>
          <w:rtl w:val="true"/>
        </w:rPr>
        <w:footnoteReference w:id="292"/>
      </w:r>
      <w:r>
        <w:rPr>
          <w:rFonts w:ascii="Amiri" w:hAnsi="Amiri" w:eastAsia="Amiri" w:cs="Amiri"/>
          <w:color w:val="111111"/>
          <w:sz w:val="28"/>
          <w:sz w:val="28"/>
          <w:szCs w:val="28"/>
          <w:rtl w:val="true"/>
          <w:lang w:bidi="ar-SA"/>
        </w:rPr>
        <w:t>و قوله صلّى اللّه عليه و آله المروي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Style w:val="FootnoteAnchor"/>
          <w:rtl w:val="true"/>
        </w:rPr>
        <w:footnoteReference w:id="293"/>
      </w:r>
      <w:r>
        <w:rPr>
          <w:rFonts w:ascii="Amiri" w:hAnsi="Amiri" w:eastAsia="Amiri" w:cs="Amiri"/>
          <w:color w:val="111111"/>
          <w:sz w:val="28"/>
          <w:sz w:val="28"/>
          <w:szCs w:val="28"/>
          <w:rtl w:val="true"/>
          <w:lang w:bidi="ar-SA"/>
        </w:rPr>
        <w:t>و قوله عليه السّلام في المناجاة الاولى من الأدعية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الندم توبة إليك فأنا أندم النادمين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التكلّم في مغايرة الاستغفار و التوبة أو اتحادهما فممّا لا كرامة فيه، إذ لا ينبغي الاسترابة في تغايرهما مفهوما و مصداقا مع لزوم الأوّل للثاني كالضحك للإنسان، و لذا فكّك بينهما في قوله تعالى وَ اسْتَغْفِرُوا رَبَّكُمْ ثُمَّ تُوبُوا إِلَيْهِ </w:t>
      </w:r>
      <w:r>
        <w:rPr>
          <w:rStyle w:val="FootnoteAnchor"/>
          <w:rtl w:val="true"/>
        </w:rPr>
        <w:footnoteReference w:id="295"/>
      </w:r>
      <w:r>
        <w:rPr>
          <w:rFonts w:ascii="Amiri" w:hAnsi="Amiri" w:eastAsia="Amiri" w:cs="Amiri"/>
          <w:color w:val="111111"/>
          <w:sz w:val="28"/>
          <w:sz w:val="28"/>
          <w:szCs w:val="28"/>
          <w:rtl w:val="true"/>
          <w:lang w:bidi="ar-SA"/>
        </w:rPr>
        <w:t xml:space="preserve">المتكرّر في سورة هود مرادا بالأوّل طلب المغفرة عمّا سلف من ذنوب الكفر و الأعمال، و من الثاني الرجوع إليه فيما يأتي بإصلاح العقائد و تهذيب الأخلاق و مواظبة الطاعات و الحسنات و مجانبة المعاصي و السيّئات، و هو المراد من الذكر المعهود الوارد بصيغة أستغفر اللّه ربّي و أتوب إليه، و قد ينفردان في الاستعمال، و منه ما ورد من أنّ دواء الذنوب الاستغفار </w:t>
      </w:r>
      <w:r>
        <w:rPr>
          <w:rStyle w:val="FootnoteAnchor"/>
          <w:rtl w:val="true"/>
        </w:rPr>
        <w:footnoteReference w:id="296"/>
      </w:r>
      <w:r>
        <w:rPr>
          <w:rFonts w:ascii="Amiri" w:hAnsi="Amiri" w:eastAsia="Amiri" w:cs="Amiri"/>
          <w:color w:val="111111"/>
          <w:sz w:val="28"/>
          <w:sz w:val="28"/>
          <w:szCs w:val="28"/>
          <w:rtl w:val="true"/>
          <w:lang w:bidi="ar-SA"/>
        </w:rPr>
        <w:t xml:space="preserve">و أنّ التائب من الذنوب يغفر له </w:t>
      </w:r>
      <w:r>
        <w:rPr>
          <w:rStyle w:val="FootnoteAnchor"/>
          <w:rtl w:val="true"/>
        </w:rPr>
        <w:footnoteReference w:id="297"/>
      </w:r>
      <w:r>
        <w:rPr>
          <w:rFonts w:ascii="Amiri" w:hAnsi="Amiri" w:eastAsia="Amiri" w:cs="Amiri"/>
          <w:color w:val="111111"/>
          <w:sz w:val="28"/>
          <w:sz w:val="28"/>
          <w:szCs w:val="28"/>
          <w:rtl w:val="true"/>
          <w:lang w:bidi="ar-SA"/>
        </w:rPr>
        <w:t xml:space="preserve">و أنّه حبيب اللّه </w:t>
      </w:r>
      <w:r>
        <w:rPr>
          <w:rStyle w:val="FootnoteAnchor"/>
          <w:rtl w:val="true"/>
        </w:rPr>
        <w:footnoteReference w:id="298"/>
      </w:r>
      <w:r>
        <w:rPr>
          <w:rFonts w:ascii="Amiri" w:hAnsi="Amiri" w:eastAsia="Amiri" w:cs="Amiri"/>
          <w:color w:val="111111"/>
          <w:sz w:val="28"/>
          <w:sz w:val="28"/>
          <w:szCs w:val="28"/>
          <w:rtl w:val="true"/>
          <w:lang w:bidi="ar-SA"/>
        </w:rPr>
        <w:t xml:space="preserve">و أنّه كمن لا ذنب له </w:t>
      </w:r>
      <w:r>
        <w:rPr>
          <w:rStyle w:val="FootnoteAnchor"/>
          <w:rtl w:val="true"/>
        </w:rPr>
        <w:footnoteReference w:id="299"/>
      </w:r>
      <w:r>
        <w:rPr>
          <w:rFonts w:ascii="Amiri" w:hAnsi="Amiri" w:eastAsia="Amiri" w:cs="Amiri"/>
          <w:color w:val="111111"/>
          <w:sz w:val="28"/>
          <w:sz w:val="28"/>
          <w:szCs w:val="28"/>
          <w:rtl w:val="true"/>
          <w:lang w:bidi="ar-SA"/>
        </w:rPr>
        <w:t>فيراد بالأوّل ما هو لازم التوبة أو التوبة</w:t>
      </w:r>
    </w:p>
    <w:p>
      <w:pPr>
        <w:pStyle w:val="BookText"/>
        <w:rPr/>
      </w:pPr>
      <w:r>
        <w:rPr>
          <w:rFonts w:ascii="Amiri" w:hAnsi="Amiri" w:eastAsia="Amiri" w:cs="Amiri"/>
          <w:color w:val="111111"/>
          <w:sz w:val="28"/>
          <w:sz w:val="28"/>
          <w:szCs w:val="28"/>
          <w:rtl w:val="true"/>
          <w:lang w:bidi="ar-SA"/>
        </w:rPr>
        <w:t>باعتبار لزومه طلب المغفرة، و بالثاني ما يتضمن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التوبة عن الذنب من حيث إنّه مخالفة الرب لرفع آثاره اللازمة من الحيثيّة المذكورة لا غير، و أمّا لو كان الذنب ممّا يورث اشتغال الذمة بحق آدمي كأكل أموال الناس أو أخذها أو إتلافها ظلما و عدوانا اعتبر في توبته مع ما ذكر تفريغ الذمة بأداء حقوق الناس، و لو كان من قبيل ترك الفرائض و الواجبات التي ورد فيها قضاء أو كفّارة اعتبر في التوبة عنه مع ما ذكر الخروج عن عهدة القضاء و الكفّارة حسبما ورد، فإنّ جميع ذلك من لوازم الندم و الرجوع إلى اللّه و من الطريق المبعد إلى صراط اللّه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أنّ هذا و سابقة واجبان آخران، و ليسا من شروط صحّة التوبة و قبولها من الحيثية المذكورة، كما صرّح به غير واحد منهم شيخنا البهائي في أربعينه </w:t>
      </w:r>
      <w:r>
        <w:rPr>
          <w:rStyle w:val="FootnoteAnchor"/>
          <w:rtl w:val="true"/>
        </w:rPr>
        <w:footnoteReference w:id="300"/>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للتائب بعد مراعاة جميع ما ذكر أن يتعهّد إلى اللحم الذي نبت له في السحت و الحرام، فيذيبه بالأحزان و تحمّل الرياضات و استقلال المطاعم و المشارب، إلّا بقدر الضرورة و الكفاية في حفظ الرمق و بقاء الحياة، و أن يذيق جسمه ألم الطاعة كما أذاقه لذّة المعصية و لقد ورد بجميع ذلك حديث عن أمير المؤمنين عليه السّلام حيث قال لقائل بحضرته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ثكلتك أمّك أ تدري ما الاستغفار؟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السّحت، فتذيبه بالأحزان حتى يلصق الجلد بالعظم </w:t>
      </w:r>
      <w:r>
        <w:rPr>
          <w:rStyle w:val="FootnoteAnchor"/>
          <w:rtl w:val="true"/>
        </w:rPr>
        <w:footnoteReference w:id="301"/>
      </w: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138" w:name="pg19659_263754"/>
    </w:p>
    <w:p>
      <w:pPr>
        <w:pStyle w:val="BookText"/>
        <w:rPr/>
      </w:pPr>
      <w:bookmarkEnd w:id="138"/>
      <w:r>
        <w:rPr>
          <w:rFonts w:ascii="Amiri" w:hAnsi="Amiri" w:eastAsia="Amiri" w:cs="Amiri"/>
          <w:color w:val="111111"/>
          <w:sz w:val="28"/>
          <w:sz w:val="28"/>
          <w:szCs w:val="28"/>
          <w:rtl w:val="true"/>
          <w:lang w:bidi="ar-SA"/>
        </w:rPr>
        <w:t>هذا كلّه في حقيقة التوبة، و الظاهر أنّها و الإنابة بمعنى، كما يظهر من كلام بعض أئمة اللغة، و قد يفرّق بينهما و بين الاستغفار بعد جعلها توجّهات و اقبالات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فالتّوبة توجّه إليه من حيث إنّها رجوع إلى صراط اللّه المستقيم، و الاستغفار توجّه إليه لطلب العفو و المغفرة و الإنابة توجّه إليه بعد طلب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له من الآيات و الأخبار شاهدا تاما وافيا بتمام هذا الفرق، كما أنّه لم نجد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التوبة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التوبة و أوسطها الإنابة و آخرها الأوبة، فمن تاب من خوف العقوبة فهو صاحب التوبة، و من تاب طمعا للثّواب فهو صاحب الإنابة، و من تاب مراعاة للأمر لا لهما فهو صاحب الأوبة، و التوبة صفة المؤمنين، و الإنابة صفة الأولياء و المقربين، و الأوبة صفة الأنبياء</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948326_2314609296"/>
      <w:bookmarkStart w:id="140" w:name="_Toc54"/>
      <w:bookmarkEnd w:id="139"/>
      <w:r>
        <w:rPr>
          <w:rtl w:val="true"/>
        </w:rPr>
        <w:t>و أمّا المرحلة الثانية</w:t>
      </w:r>
      <w:r>
        <w:rPr>
          <w:rtl w:val="true"/>
        </w:rPr>
        <w:t xml:space="preserve">: </w:t>
      </w:r>
      <w:r>
        <w:rPr>
          <w:rtl w:val="true"/>
        </w:rPr>
        <w:t>فحكم التوبة</w:t>
      </w:r>
      <w:bookmarkEnd w:id="140"/>
    </w:p>
    <w:p>
      <w:pPr>
        <w:pStyle w:val="BookText"/>
        <w:rPr/>
      </w:pPr>
      <w:r>
        <w:rPr>
          <w:rFonts w:ascii="Amiri" w:hAnsi="Amiri" w:eastAsia="Amiri" w:cs="Amiri"/>
          <w:color w:val="111111"/>
          <w:sz w:val="28"/>
          <w:sz w:val="28"/>
          <w:szCs w:val="28"/>
          <w:rtl w:val="true"/>
          <w:lang w:bidi="ar-SA"/>
        </w:rPr>
        <w:t>هو الوجوب بالإجماع محصلا و منقولا في كلام جماعة منهم صاحب الذخيرة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التوبة عن الذنب واجب اتّفاقا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شارح أصول الكافي دعوى إجماع الأمة عليه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الإجماع عليه لكفى من الكتاب قوله تعالى تُوبُوا إِلَى اللّٰهِ تَوْبَةً نَصُوحاً عَسىٰ رَبُّكُمْ أَنْ يُكَفِّرَ عَنْكُمْ سَيِّئٰاتِكُمْ </w:t>
      </w:r>
      <w:r>
        <w:rPr>
          <w:rStyle w:val="FootnoteAnchor"/>
          <w:rtl w:val="true"/>
        </w:rPr>
        <w:footnoteReference w:id="305"/>
      </w:r>
      <w:r>
        <w:rPr>
          <w:rFonts w:ascii="Amiri" w:hAnsi="Amiri" w:eastAsia="Amiri" w:cs="Amiri"/>
          <w:color w:val="111111"/>
          <w:sz w:val="28"/>
          <w:sz w:val="28"/>
          <w:szCs w:val="28"/>
          <w:rtl w:val="true"/>
          <w:lang w:bidi="ar-SA"/>
        </w:rPr>
        <w:t xml:space="preserve">و قوله أيضا وَ تُوبُوا إِلَى اللّٰهِ جَمِيعاً أَيُّهَا الْمُؤْمِنُونَ لَعَلَّكُمْ تُفْلِحُونَ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ما لا يحصى كثرة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العقل أيضا قاض بوجوبه بناء على التحسين و التقبيح العقليّين، نظرا إلى أنّه دافع لضرر المعصية و هو العقوبة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أفضل المحقّقين في تجريده أنّه استدل عليه بأنه دافع للضّرر فيجب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شارح التجريد بناء على وجوبه على مذهب العدليّة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كونه دافعا للضرر من الآيات و الروايات ما لا يحصى كثرة، و لقد</w:t>
      </w:r>
    </w:p>
    <w:p>
      <w:pPr>
        <w:pStyle w:val="BookText"/>
        <w:rPr/>
      </w:pPr>
      <w:r>
        <w:rPr>
          <w:rFonts w:ascii="Amiri" w:hAnsi="Amiri" w:eastAsia="Amiri" w:cs="Amiri"/>
          <w:color w:val="111111"/>
          <w:sz w:val="28"/>
          <w:sz w:val="28"/>
          <w:szCs w:val="28"/>
          <w:rtl w:val="true"/>
          <w:lang w:bidi="ar-SA"/>
        </w:rPr>
        <w:t xml:space="preserve">سمعت جملة منها، و من ذلك قوله جل شأنه وَ هُوَ الَّذِي يَقْبَلُ التَّوْبَةَ عَنْ عِبٰادِهِ </w:t>
      </w:r>
      <w:r>
        <w:rPr>
          <w:rStyle w:val="FootnoteAnchor"/>
          <w:rtl w:val="true"/>
        </w:rPr>
        <w:footnoteReference w:id="309"/>
      </w:r>
      <w:r>
        <w:rPr>
          <w:rFonts w:ascii="Amiri" w:hAnsi="Amiri" w:eastAsia="Amiri" w:cs="Amiri"/>
          <w:color w:val="111111"/>
          <w:sz w:val="28"/>
          <w:sz w:val="28"/>
          <w:szCs w:val="28"/>
          <w:rtl w:val="true"/>
          <w:lang w:bidi="ar-SA"/>
        </w:rPr>
        <w:t xml:space="preserve">و قوله أيضا غٰافِرِ الذَّنْبِ وَ قٰابِلِ التَّوْبِ </w:t>
      </w:r>
      <w:r>
        <w:rPr>
          <w:rStyle w:val="FootnoteAnchor"/>
          <w:rtl w:val="true"/>
        </w:rPr>
        <w:footnoteReference w:id="310"/>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أشدّ فرحا بتوبة عبده من رجل أضلّ راحلته و زاده في ليلة ظلماء فوجدها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عملتم الخطايا حتى تبلغ السماء ثمَّ ندمتم لتاب اللّه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ليذنب فيدخله اللّه به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أنّه ليذنب فلا يزال منه خائفا ماقتا لنفسه فيرحمه اللّه فيدخله الجنة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امرأة قتلت ولدها هل لها من توبة؟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لو أنّها قتلت سبعين نبيا ثمَّ تابت و ندمت و يعرف اللّه من قلبها أنّها لا ترجع إلى المعصية أبدا يقبل اللّه توبتها و عفى عنها، فإنّ باب التوبة مفتوح ممّا بين المشرق و المغرب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قوله تعالى تُوبُوا إِلَى اللّٰهِ تَوْبَةً نَصُوحاً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ملكيه ما كانا يكتبان عليه، و يوحي اللّه إلى جوارحه و إلى بقاع الأرض أن اكتمي عليه ذنوبه فيلقى اللّه حين يلقاه، و ليس شي‌ء يشهد عليه بشي‌ء من الذنوب </w:t>
      </w:r>
      <w:r>
        <w:rPr>
          <w:rStyle w:val="FootnoteAnchor"/>
          <w:rtl w:val="true"/>
        </w:rPr>
        <w:footnoteReference w:id="315"/>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الأخبار كظاهر التعليل في الآيتين برجاء تكفير السيّئات و الفلاح كون وجوبه إرشاديا محضا قصد به رفع مفاسد المعصية السابقة و التخلّص عن آثارها، كما أشرنا إليه سابقا و جزم به بعض مشايخنا </w:t>
      </w:r>
      <w:r>
        <w:rPr>
          <w:rStyle w:val="FootnoteAnchor"/>
          <w:rtl w:val="true"/>
        </w:rPr>
        <w:footnoteReference w:id="316"/>
      </w:r>
      <w:r>
        <w:rPr>
          <w:rFonts w:ascii="Amiri" w:hAnsi="Amiri" w:eastAsia="Amiri" w:cs="Amiri"/>
          <w:color w:val="111111"/>
          <w:sz w:val="28"/>
          <w:sz w:val="28"/>
          <w:szCs w:val="28"/>
          <w:rtl w:val="true"/>
          <w:lang w:bidi="ar-SA"/>
        </w:rPr>
        <w:t>فليس ترك التوبة أو تأخيرها معصية أخرى يترتّب عليها عقاب آخر زائدا على العقاب المترتّب على أصل المعصية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فروع هذه المسألة عدم كون الإخلال بها بنفسه قادحا في العدالة إن كانت باقية بعد المعصية السابقة، و لا موجبا لتحقّق الإصرار الذي هو في الصغيرة قادح فيها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الندم في معنى التوبة الذي هو تألّم القلب و حزنه على المعصية السابقة ليس بغير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ليشكل من جهته تعلّق التكليف بها، فلا حاجة إلى تفسيرها بترك المعاصي في الحال مع العزم على تركها في الاستقبال، بل هو أمر مقدور يصح تعلّق التكليف بنفسه، و لكن بواسطة العلم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سوء عاقبة المعصية و سوء آثارها مع ما عرفت من سائر الأسباب التي هي الطريق إلى تحصيل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الإتيان بصيغتي الإطماع في الآيتين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 قبول التوبة من اللّه جلّ ذكره و العفو عن المعصية السابقة تفضّل منه تعالى، و ليس على وجه اللزوم و الوجوب عليه تعالى، و أنّ التوبة ليست موجبة له كما هو أحد القولين في المسألة، و لعل النكتة فيه الحثّ للعبد على أن يكون في جميع حالاته بين خوف و رجاء، و لا يخرج بسبب إيجاب التوبة إلى حدّ الأمن من مكر اللّه الذي هو كاليأس من روح اللّه من الكبائر، و لذا قال فيهما تعالى فَلٰا يَأْمَنُ مَكْرَ اللّٰهِ إِلَّا الْقَوْمُ الْخٰاسِرُونَ </w:t>
      </w:r>
      <w:r>
        <w:rPr>
          <w:rStyle w:val="FootnoteAnchor"/>
          <w:rtl w:val="true"/>
        </w:rPr>
        <w:footnoteReference w:id="317"/>
      </w:r>
      <w:r>
        <w:rPr>
          <w:rFonts w:ascii="Amiri" w:hAnsi="Amiri" w:eastAsia="Amiri" w:cs="Amiri"/>
          <w:color w:val="111111"/>
          <w:sz w:val="28"/>
          <w:sz w:val="28"/>
          <w:szCs w:val="28"/>
          <w:rtl w:val="true"/>
          <w:lang w:bidi="ar-SA"/>
        </w:rPr>
        <w:t xml:space="preserve">وَ لٰا يَيْأَسُ مِنْ رَوْحِ اللّٰهِ إِلَّا الْقَوْمُ الْكٰافِرُونَ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قبول التوبة من اللّه تعالى على وجه التفضّل لا على وجه الإيجاب ممّا يستفاد من بعض الأحاديث أيضا، و منه ما روي أنّه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 ذنب غير مغفور و ذنب مرجوّ لصاحبه و يخاف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فبيّنها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عاقبة اللّه على ذنبه في الدنيا و اللّه تعالى أحلم و أكرم من أن يعاقب عبده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الذنب الذي لا يغفره اللّه فظلم العباد بعضهم لبعض، أنّ اللّه إذا برز للخليقة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لا يجوزني ظلم ظالم و لو كفا بكفّ و لو مسحة بكفّ و لو نطحة ما بين القرناء إلى الجمّاء </w:t>
      </w:r>
      <w:r>
        <w:rPr>
          <w:rStyle w:val="FootnoteAnchor"/>
          <w:rtl w:val="true"/>
        </w:rPr>
        <w:footnoteReference w:id="319"/>
      </w:r>
      <w:r>
        <w:rPr>
          <w:rFonts w:ascii="Amiri" w:hAnsi="Amiri" w:eastAsia="Amiri" w:cs="Amiri"/>
          <w:color w:val="111111"/>
          <w:sz w:val="28"/>
          <w:sz w:val="28"/>
          <w:szCs w:val="28"/>
          <w:rtl w:val="true"/>
          <w:lang w:bidi="ar-SA"/>
        </w:rPr>
        <w:t>فيقتص للعباد بعضهم من بعض حتى لا يبقى لأحد على أحد مظلمة ثمَّ يبعثهم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الذنب الثالث فذنب ستره اللّه على خلقه و رزقه التوبة منه فأصبح خائفا من ذنبه راجيا لربّه، فنحن له كما هو لنفسه، نرجو له الرحمة و نخاف عليه العقاب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بيّناه فلا حاجة إلى حمل التوبة في هذه الرواية على التوبة المشكوك في شروطها، إلّا على القول بالإيجاب، و الأصحّ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321"/>
      </w:r>
      <w:r>
        <w:rPr>
          <w:rFonts w:ascii="Amiri" w:hAnsi="Amiri" w:eastAsia="Amiri" w:cs="Amiri"/>
          <w:color w:val="111111"/>
          <w:sz w:val="28"/>
          <w:sz w:val="28"/>
          <w:szCs w:val="28"/>
          <w:rtl w:val="true"/>
          <w:lang w:bidi="ar-SA"/>
        </w:rPr>
        <w:t>في مسألة الإصرار على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دلالة على ما ذكرنا، حيث جعل فيها الشفاعة للتائبين من أهل الكبائر، فإنّه لو كانت التوبة موجبة لم يحتج عفو اللّه و مغفرته للتائبين من أهل الكبائر إلى شفاعة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التوبة واجبة على الفور كما هو المصرح به في كلام العلماء، و لا أعلم فيه مخالفا، و في كلام للسيد الجزائري في أنواره ما يؤذن بدعوى إجماع المعتزلة و أصحابنا الإمامية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الوجوب الفوري فعليه المعتزلة و أصحابنا الإمامية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يقتضيه الاعتبار العقلي، لأنّها إذا كانت واجبة لدفع ضرر المعصية فوجب المبادرة إليها، خوفا من أن يفاجأه الموت من دون توبة أو لئلّا ينسيها الوسواس الخنّاس الذي وكّله إبليس بآية الَّذِينَ إِذٰا فَعَلُوا فٰاحِشَةً </w:t>
      </w:r>
      <w:r>
        <w:rPr>
          <w:rStyle w:val="FootnoteAnchor"/>
          <w:rtl w:val="true"/>
        </w:rPr>
        <w:footnoteReference w:id="323"/>
      </w:r>
      <w:r>
        <w:rPr>
          <w:rFonts w:ascii="Amiri" w:hAnsi="Amiri" w:eastAsia="Amiri" w:cs="Amiri"/>
          <w:color w:val="111111"/>
          <w:sz w:val="28"/>
          <w:sz w:val="28"/>
          <w:szCs w:val="28"/>
          <w:rtl w:val="true"/>
          <w:lang w:bidi="ar-SA"/>
        </w:rPr>
        <w:t>إلخ إلى يوم القيامة،</w:t>
      </w:r>
    </w:p>
    <w:p>
      <w:pPr>
        <w:pStyle w:val="BookText"/>
        <w:rPr/>
      </w:pPr>
      <w:r>
        <w:rPr>
          <w:rFonts w:ascii="Amiri" w:hAnsi="Amiri" w:eastAsia="Amiri" w:cs="Amiri"/>
          <w:color w:val="111111"/>
          <w:sz w:val="28"/>
          <w:sz w:val="28"/>
          <w:szCs w:val="28"/>
          <w:rtl w:val="true"/>
          <w:lang w:bidi="ar-SA"/>
        </w:rPr>
        <w:t>و التزم هو بانسائها كما عرفت حديثه مع تمام الآية، أو لئلّا يؤول التسويف إلى تراكم الرين البالغ حدّ الطبع، فلا يقبل المحو نظير الوسخ يغوص لطول تراكمه في تجاويف الثوب، فلا يقبل عند ذلك الزوال، فمثل هذا القلب لا يرجع و لا يتوب و إن قال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ورد في الخبر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صياح أهل النار من التسويف</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منزل على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ما قال بعض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 المبادرة إلى التوبة بالتسويف كان بين خطرين 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يتراكم الظلمة على قلبه من المعاصي حتى يصير رينا و طبعا فلا يقبل 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يعالجه المرض أو الموت فلا يجد مهلة بالاشتغال بالمحو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وجوب المبادرة إليها من الكتاب قوله سبحانه وَ سٰارِعُوا إِلىٰ مَغْفِرَةٍ مِنْ رَبِّكُمْ </w:t>
      </w:r>
      <w:r>
        <w:rPr>
          <w:rStyle w:val="FootnoteAnchor"/>
          <w:rtl w:val="true"/>
        </w:rPr>
        <w:footnoteReference w:id="326"/>
      </w:r>
      <w:r>
        <w:rPr>
          <w:rFonts w:ascii="Amiri" w:hAnsi="Amiri" w:eastAsia="Amiri" w:cs="Amiri"/>
          <w:color w:val="111111"/>
          <w:sz w:val="28"/>
          <w:sz w:val="28"/>
          <w:szCs w:val="28"/>
          <w:rtl w:val="true"/>
          <w:lang w:bidi="ar-SA"/>
        </w:rPr>
        <w:t>بتقريب أنّ التوبة داخلة في إطلاق سبب المغفرة، و أنّها المراد منه بالخصوص بناء على كون الأمر للوجوب الإرشاديّ 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أيضا إِنَّمَا التَّوْبَةُ عَلَى اللّٰهِ لِلَّذِينَ يَعْمَلُونَ السُّوءَ بِجَهٰالَةٍ ثُمَّ يَتُوبُونَ مِنْ قَرِيبٍ </w:t>
      </w:r>
      <w:r>
        <w:rPr>
          <w:rStyle w:val="FootnoteAnchor"/>
          <w:rtl w:val="true"/>
        </w:rPr>
        <w:footnoteReference w:id="327"/>
      </w:r>
      <w:r>
        <w:rPr>
          <w:rFonts w:ascii="Amiri" w:hAnsi="Amiri" w:eastAsia="Amiri" w:cs="Amiri"/>
          <w:color w:val="111111"/>
          <w:sz w:val="28"/>
          <w:sz w:val="28"/>
          <w:szCs w:val="28"/>
          <w:rtl w:val="true"/>
          <w:lang w:bidi="ar-SA"/>
        </w:rPr>
        <w:t>و لا أقل من أن يبادر إليها لئلّا يدخل في الذين قال عزّ ذكره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w:t>
      </w:r>
      <w:r>
        <w:rPr>
          <w:rStyle w:val="FootnoteAnchor"/>
          <w:rtl w:val="true"/>
        </w:rPr>
        <w:footnoteReference w:id="328"/>
      </w:r>
      <w:r>
        <w:rPr>
          <w:rFonts w:ascii="Amiri" w:hAnsi="Amiri" w:eastAsia="Amiri" w:cs="Amiri"/>
          <w:color w:val="111111"/>
          <w:sz w:val="28"/>
          <w:sz w:val="28"/>
          <w:szCs w:val="28"/>
          <w:rtl w:val="true"/>
          <w:lang w:bidi="ar-SA"/>
        </w:rPr>
        <w:t>و عن 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عاين أمر الآخرة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بالفورية هاهنا ثاني زمان المعصية، و هو ما بعد الفراغ منها، خصوصا على وجوبها العقلي الناشئ من ملاحظة خوف ضرر المعصية، و ليست معتبرة على وجه التقييد فتسقط بفوات زمان الفور، بل على وجه تعدّد المطلوب</w:t>
      </w:r>
    </w:p>
    <w:p>
      <w:pPr>
        <w:pStyle w:val="BookText"/>
        <w:rPr/>
      </w:pPr>
      <w:r>
        <w:rPr>
          <w:rFonts w:ascii="Amiri" w:hAnsi="Amiri" w:eastAsia="Amiri" w:cs="Amiri"/>
          <w:color w:val="111111"/>
          <w:sz w:val="28"/>
          <w:sz w:val="28"/>
          <w:szCs w:val="28"/>
          <w:rtl w:val="true"/>
          <w:lang w:bidi="ar-SA"/>
        </w:rPr>
        <w:t>الذي يعبّر عنه بالمسارعة فيجب المسارعة إليها في كلّ زمان متأخّر عند فوتها في الزمان المتقدّم عليه، و هكذا إلى آخر مدّة العمر، و بذلك يرتفع منافاة قاعدة الفور لما يستفاد من جملة كثيرة من الأخبار من توسعة زمان قبول التوبة المقتضية لصحّتها حيثما حصلت من مدّة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المروي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السنة لكثيرة و من تاب قبل موته بشهر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الشهر لكثير و 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لكثير 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كثيرة من تاب و قد بلغت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الكافي ما يقرب منه و لكن ذكر فيه الجمعة أيضا،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أن يعاين قبل اللّه توبته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أن يغرغر بها تاب اللّه عليه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لمّا 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عظمتك لا أفارق ابن آدم حتى يفارق روحه جسده، فقال اللّه عز و جلّ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عظمتي لا أحجب التوبة عن عبدي حتى يغرغر بها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مفهوم الغاية في الآية الثالثة المقتضي لقبول التوبة إلى ما قبل حضور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الحال بالنظر إلى الآية الأولى المقيّدة لوجوب قبول التوبة على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على تمام أمد الحياة إلى ما قبل حضور الموت كما احتمله بعض المفسّرين، تعليلا بأن أمد الحياة قريب </w:t>
      </w:r>
      <w:r>
        <w:rPr>
          <w:rStyle w:val="FootnoteAnchor"/>
          <w:rtl w:val="true"/>
        </w:rPr>
        <w:footnoteReference w:id="334"/>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مَتٰاعُ الدُّنْيٰا قَلِيلٌ </w:t>
      </w:r>
      <w:r>
        <w:rPr>
          <w:rStyle w:val="FootnoteAnchor"/>
          <w:rtl w:val="true"/>
        </w:rPr>
        <w:footnoteReference w:id="335"/>
      </w:r>
      <w:r>
        <w:rPr>
          <w:rFonts w:ascii="Amiri" w:hAnsi="Amiri" w:eastAsia="Amiri" w:cs="Amiri"/>
          <w:color w:val="111111"/>
          <w:sz w:val="28"/>
          <w:sz w:val="28"/>
          <w:szCs w:val="28"/>
          <w:rtl w:val="true"/>
          <w:lang w:bidi="ar-SA"/>
        </w:rPr>
        <w:t>بعيد عن اللفظ جدّا و مع ذلك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الذب عنه بأنّ وجوب القبول غير التفضل به،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الوجوب، و هو المقيّد بالزمان القريب، و هذا لا ينافي التفضّل به أيضا بعد الزمان القريب، و الأخبار المذكورة لا تفيد أزيد من حصول القبول من غير تعرّض لوجوبه، فليحمل على جهة التفضّل، غاية الأمر أنّه يلزم بذلك تقييد قاعدة التفضّل حسبما أشرنا إليها سابقا، و يكون المحصّل من ذلك واسطة بين القولين المطلقين بالوجوب و التفضّل كما أشرنا إليهما أيضا، فالتوبة من العبد إلى اللّه بالندم و طلب المغفرة يوجب التوبة من اللّه على العبد بالعفو و المغفرة له وجوبا في القريب و تفضّلا فيما بعده، و الآية بالحصر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متكفّلة لبيان حكم يرجع إلى التوبة من اللّه، فلا ينافي إطلاق القرب المتناول لزمان الفور و ما بعده وجوب الفور، من حيث إنّه حكم راجع إلى التوبة من العبد، خصوصا مع ملاحظة كونه على وجه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تحديد القريب الذي هو زمان وجوب القبول، و لم نقف على من تعرّض له و لا على رواية مفسّرة له بالنصوصية أو الظهور، و يمكن تحديده بسبع ساعات ممّا بعد الفراغ من المعصية أخذا له ممّا روي عن الصادق عليه السّلام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مذنب إلّا أجّله اللّه عز و جلّ سبع ساعات من النهار، فإن هو تاب لم يكتب عليه شي‌ء، و إن هو لم يفعل كتب عليه سيّئة، فأتاه عبّاد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اللّه بسبع ساعات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و كذلك كان قولي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هنا إشكال آخر من حيث المنافاة الظاهرة بين الأخبار الدالّة على توسعة زمان قبول التوبة و لو تفضّلا إلى بلوغ النفس إلى الحلق و إلى أن يغرغر بها، و بين الآية الأخيرة النافية للتّوبة عند حضور الموت المفسّر في غير واحد من الأخبار بمعاينة أمر الآخرة، بناء على ظهور النفي في الرجوع إلى قبول التوبة لا إلى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سبحانه بين من سوّف التوبة إلى حضور الموت من الفسقة و الكفّار، و بين من مات على الكفر في نفي التوبة للمبالغة في عدم الاعتداد بها في تلك الحالة،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هؤلاء و عدم توبة هؤلاء سواء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الجمع بحمل الأخبار على من يتوب عن ظهر القلب و عقد التوبة في قلبه، و الآية مع ما يفسّرها أو يوافقها من الأخبار على من يتلفّظ بالتوبة من دون أن يعقدها في قلبه كما يشعر به قوله قٰالَ إِنِّي تُبْتُ الْآنَ </w:t>
      </w:r>
      <w:r>
        <w:rPr>
          <w:rStyle w:val="FootnoteAnchor"/>
          <w:rtl w:val="true"/>
        </w:rPr>
        <w:footnoteReference w:id="337"/>
      </w:r>
      <w:r>
        <w:rPr>
          <w:rFonts w:ascii="Amiri" w:hAnsi="Amiri" w:eastAsia="Amiri" w:cs="Amiri"/>
          <w:color w:val="111111"/>
          <w:sz w:val="28"/>
          <w:sz w:val="28"/>
          <w:szCs w:val="28"/>
          <w:rtl w:val="true"/>
          <w:lang w:bidi="ar-SA"/>
        </w:rPr>
        <w:t xml:space="preserve">أو بحمل الأخبار على من أذنب ذنبا من دون إصرار و أخّر توبته إلى حضور الموت أو ظهور علاماته، و الآية على من أقام على ارتكاب السيّئات و داومها تمام أمد الحياة إلى أن يئس منها بظهور علامات الموت، و لذا أتى بالجمع المحلّى و غيّاه بغاية حضور الموت لبلوغ الأظلام المتواردة على القلب حينئذ حدّ الرين و الطبع الغير القابل للمحو، أو بحمل الآية على التوبة بمعنى الندامة الحاصلة بعد الموت الذي هو حالة معاينة أمر الآخرة على معنى مشاهدة عذاب الآخرة، فأريد من حضور الموت حلوله بتمامه المتحقّق بمفارقة الروح الجسد، و يشهد له ظاهر العطف في قوله تعالى وَ لَا الَّذِينَ يَمُوتُونَ وَ هُمْ كُفّٰارٌ </w:t>
      </w:r>
      <w:r>
        <w:rPr>
          <w:rStyle w:val="FootnoteAnchor"/>
          <w:rtl w:val="true"/>
        </w:rPr>
        <w:footnoteReference w:id="338"/>
      </w:r>
      <w:r>
        <w:rPr>
          <w:rFonts w:ascii="Amiri" w:hAnsi="Amiri" w:eastAsia="Amiri" w:cs="Amiri"/>
          <w:color w:val="111111"/>
          <w:sz w:val="28"/>
          <w:sz w:val="28"/>
          <w:szCs w:val="28"/>
          <w:rtl w:val="true"/>
          <w:lang w:bidi="ar-SA"/>
        </w:rPr>
        <w:t>المقتضي مع ملاحظة وحدة السياق لوحدة المنفي في المعطوف و المعطوف عليه، فيكون محصّل مفاد الآية نفي فائدة الندامة الحاصلة بعد الموت بسبب مشاهدة عذاب الآخرة و عقوباتها، فإنّ الندامة على السيّئات و الكفر إنّما تفيد إذا حصلت في دار الدنيا و لو في آخر النفس الذي هو بلوغها إلى الحلق و هو حالة الغرغرة،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لطف اللّه تعالى على العباد أن أمر قابض الأرواح بالابتداء في نزعها من أصابع الرّجلين ثمَّ يصعد شيئا فشيئا إلى أن يصل إلى الصدر ثمَّ ينتهي إلى الحلق ليتمكّن في هذه المهلة من الإقبال بالقلب على اللّه تعالى و الوصيّة و التوبة و الاستحلال و ذكر اللّه فيخرج روحه و ذكر اللّه على لسانه، فيرجى بذلك حسن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هذا الوجه الأخير أرجح نظرا إلى ظهور العطف و السياق، و عدم أدائه إلى التفكيك بين</w:t>
      </w:r>
      <w:bookmarkStart w:id="141" w:name="pg19659_263762"/>
    </w:p>
    <w:p>
      <w:pPr>
        <w:pStyle w:val="BookText"/>
        <w:rPr/>
      </w:pPr>
      <w:bookmarkEnd w:id="141"/>
      <w:r>
        <w:rPr>
          <w:rFonts w:ascii="Amiri" w:hAnsi="Amiri" w:eastAsia="Amiri" w:cs="Amiri"/>
          <w:color w:val="111111"/>
          <w:sz w:val="28"/>
          <w:sz w:val="28"/>
          <w:szCs w:val="28"/>
          <w:rtl w:val="true"/>
          <w:lang w:bidi="ar-SA"/>
        </w:rPr>
        <w:t>المعطوف و المعطوف عليه في توجّه النفي في أحدهما إلى الذات و في الآخر إلى الصفّة،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Heading5"/>
        <w:numPr>
          <w:ilvl w:val="4"/>
          <w:numId w:val="1"/>
        </w:numPr>
        <w:rPr/>
      </w:pPr>
      <w:bookmarkStart w:id="142" w:name="__RefHeading___Toc1948328_2314609296"/>
      <w:bookmarkStart w:id="143" w:name="_Toc55"/>
      <w:bookmarkEnd w:id="142"/>
      <w:r>
        <w:rPr>
          <w:rtl w:val="true"/>
        </w:rPr>
        <w:t xml:space="preserve">المرحلة الثالثة </w:t>
      </w:r>
      <w:r>
        <w:rPr>
          <w:rtl w:val="true"/>
        </w:rPr>
        <w:t>[</w:t>
      </w:r>
      <w:r>
        <w:rPr>
          <w:rtl w:val="true"/>
        </w:rPr>
        <w:t>عمومية أدلة وجوب فورية التوبة بالنسبة إلى الصغائر و الكبائر</w:t>
      </w:r>
      <w:r>
        <w:rPr>
          <w:rtl w:val="true"/>
        </w:rPr>
        <w:t>]</w:t>
      </w:r>
      <w:bookmarkEnd w:id="143"/>
    </w:p>
    <w:p>
      <w:pPr>
        <w:pStyle w:val="BookText"/>
        <w:rPr/>
      </w:pPr>
      <w:r>
        <w:rPr>
          <w:rFonts w:ascii="Amiri" w:hAnsi="Amiri" w:eastAsia="Amiri" w:cs="Amiri"/>
          <w:color w:val="111111"/>
          <w:sz w:val="28"/>
          <w:sz w:val="28"/>
          <w:szCs w:val="28"/>
          <w:rtl w:val="true"/>
          <w:lang w:bidi="ar-SA"/>
        </w:rPr>
        <w:t xml:space="preserve">فليعلم أنّ أدلّة وجوب التوبة و فوريّتها من الكتاب و السنّة و غيرهما عامة في جميع المعاصي كبائرها و صغائرها، و هو الظاهر من إطلاق العلماء، بل المصرّح به في كلام جماعة، منهم صاحب الذخيرة المدّعي للاتّفاق على عدم الفرق بينهما في عبارته المتقدّمة في مسألة اعتبار العزم على عدم المعاودة في التوبة، و لذا اعترض هو و غيره على القول باعتباره فيها بأنّ العزم على ترك الصغائر متعذّر أو متعسّر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نفي وجوبها رأسا بالنسبة إلى الصغائر من بعض العبارات استنادا إلى تعذّر العزم على عدم العود المأخوذ فيه أو تعسّره، بل بعض مشايخنا نقل عن بعض سادة معاصريه منع وجوبها عن المعاصي مطلقا، بل هو مختصّ بالكبائر، و أمّا الصغائر فهي مكفّرة عنه باجتناب الكبائر و بالأعمال الصالحة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في الأوّل و هم نشأ من قوله تعالى إِنْ تَجْتَنِبُوا كَبٰائِرَ مٰا تُنْهَوْنَ عَنْهُ نُكَفِّرْ عَنْكُمْ سَيِّئٰاتِكُمْ وَ نُدْخِلْكُمْ مُدْخَلًا كَرِيماً </w:t>
      </w:r>
      <w:r>
        <w:rPr>
          <w:rStyle w:val="FootnoteAnchor"/>
          <w:rtl w:val="true"/>
        </w:rPr>
        <w:footnoteReference w:id="341"/>
      </w:r>
      <w:r>
        <w:rPr>
          <w:rFonts w:ascii="Amiri" w:hAnsi="Amiri" w:eastAsia="Amiri" w:cs="Amiri"/>
          <w:color w:val="111111"/>
          <w:sz w:val="28"/>
          <w:sz w:val="28"/>
          <w:szCs w:val="28"/>
          <w:rtl w:val="true"/>
          <w:lang w:bidi="ar-SA"/>
        </w:rPr>
        <w:t>مع بعض الأخبار الموافقة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من قوله سبحانه وَ أَقِمِ الصَّلٰاةَ طَرَفَيِ النَّهٰارِ وَ زُلَفاً مِنَ اللَّيْلِ إِنَّ الْحَسَنٰاتِ يُذْهِبْنَ السَّيِّئٰاتِ </w:t>
      </w:r>
      <w:r>
        <w:rPr>
          <w:rStyle w:val="FootnoteAnchor"/>
          <w:rtl w:val="true"/>
        </w:rPr>
        <w:footnoteReference w:id="342"/>
      </w:r>
      <w:r>
        <w:rPr>
          <w:rFonts w:ascii="Amiri" w:hAnsi="Amiri" w:eastAsia="Amiri" w:cs="Amiri"/>
          <w:color w:val="111111"/>
          <w:sz w:val="28"/>
          <w:sz w:val="28"/>
          <w:szCs w:val="28"/>
          <w:rtl w:val="true"/>
          <w:lang w:bidi="ar-SA"/>
        </w:rPr>
        <w:t>مع ما ورد من الأخبار الكثيرة الموافقة أو المفسّرة لها كالنبوي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إلى الصلاة كفّارة ما بينهما ما اجتنب الكبائر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الصلوات الخمس و الجمعة إلى الجمعة تكفّر ما بينهنّ إن اجتنب الكبائر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الْحَسَنٰاتِ يُذْهِبْنَ السَّيِّئٰاتِ كما يذهب الماء الوسخ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سئل عن الكبائر كم هي و ما هي؟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من اجتنب ما وعد اللّه عليه النار كفّر عنه سيّئاته إذا كان مؤمنا </w:t>
      </w:r>
      <w:r>
        <w:rPr>
          <w:rStyle w:val="FootnoteAnchor"/>
          <w:rtl w:val="true"/>
        </w:rPr>
        <w:footnoteReference w:id="346"/>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الأمالي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يكفّر بكلّ حسنة سيّئة، ثمَّ تلا الآية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و العيّاشي عن الصادق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باللّيل يذهب بما عمل من ذنب النهار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 على اللّه بعدهنّ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بالحسنة فيعملها، فإن هو لم يعملها كتب اللّه له حسنة بحسن نيّته، و إن هو عملها كتب اللّه له عشرا، و يهمّ بالسيّئة أن يعملها، فإن لم يعلمها لم يكتب عليه شي‌ء، و إن هو عملها أجّل سبع ساعات، و قال صاحب الحسنات لصاحب السيّئات و 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عز و جلّ يقول إِنَّ الْحَسَنٰاتِ يُذْهِبْنَ السَّيِّئٰاتِ أو الاستغفار، 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عالم الغيب و الشهادة العزيز الحكيم الغفور الرحيم ذو الجلال و الإكرام و أتوب إليه، لم يكتب عليه شي‌ء، و إن مضت سبع ساعات و لم يتبعها بحسنة و استغفار قال صاحب الحسنات لصاحب السيّئات و 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الشقيّ المحروم </w:t>
      </w:r>
      <w:r>
        <w:rPr>
          <w:rStyle w:val="FootnoteAnchor"/>
          <w:rtl w:val="true"/>
        </w:rPr>
        <w:footnoteReference w:id="349"/>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أخبار تكفير السيّئات بالحسنات مطلقة في الكبائر و الصغائر، و ربما ادّعي صراحة بعضها في الكبائر و اختصاص السيّئة بالصغيرة بحسب العرف أو الشرع غير ثابت، و إن أوهمه مقابلة السيّئات للكبائر في الآية المذكورة أنّ تكفير الصغائر باجتناب الكبائر و العفو عن السيّئات بفعل الحسنات لا ينافي وجوب التوبة، لجواز كونه من باب سقوط الواجب بحصول أحد الأمرين، و لذا قد يسقط أيضا بالمصائب و العقوبات الدنيوية من الفقر و المرض و شدّة النزع و غيرها، كما ورد من ذهاب كثير من الذنوب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p>
    <w:p>
      <w:pPr>
        <w:pStyle w:val="BookText"/>
        <w:rPr/>
      </w:pPr>
      <w:r>
        <w:rPr>
          <w:rFonts w:ascii="Amiri" w:hAnsi="Amiri" w:eastAsia="Amiri" w:cs="Amiri"/>
          <w:color w:val="111111"/>
          <w:sz w:val="28"/>
          <w:sz w:val="28"/>
          <w:szCs w:val="28"/>
          <w:rtl w:val="true"/>
          <w:lang w:bidi="ar-SA"/>
        </w:rPr>
        <w:t>ما تقدّم في حديث عليّ أمير المؤمنين عليه السّلام في تقسيم الذنوب إلى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الذنب المغفور و هو ذنب عبد عاقبه اللّه على ذنبه في الدنيا و اللّه تعالى أحلم و أكرم من أن يعاقب عبده مرّتين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ليس من عرق يضرب و لا نكبة و لا صداع و لا مرض إلّا بذنب، و ذلك قول اللّه عزّ و جلّ في كتابه مٰا أَصٰابَكُمْ مِنْ مُصِيبَةٍ فَبِمٰا كَسَبَتْ أَيْدِيكُمْ وَ يَعْفُوا عَنْ كَثِيرٍ </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يعفو اللّه أكثر ممّا يؤاخذ به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التواء عرق و لا نكبة حجر و لا عثرة قدم و لا خدش عود إلّا بذنب و لما ما يعفو اللّه أكثر، فمن عجّل اللّه عقوبة ذنبه في الدنيا فإنّ اللّه أجلّ و أكرم و أعظم من أن يعود في عقوبته في الآخرة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المجمع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آية في كتاب اللّه هذه الآية، يا عليّ ما من خدش عود و لا نكبة قدم إلّا بذنب، و ما عفى اللّه عنه في الدنيا فهو أكرم من أن يعود فيه، و ما عاقب عليه في الدنيا فهو أعدل من أن يثني على عبده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اجتناب الكبائر إنّما يؤثّر في سقوط التوبة عند تهيؤ أسبابها و اجتماع شروطها من ارتكابها إذا حصل بداعي القربة لا مطلقا، فتبقى الصغائر في غير هذه الصور غير مكفّرة، فلا بدّ لرفع آثارها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التوبة أسبق من كلّ من اجتناب الكبائر و فعل الطاعات، لأنّه يتحقّق في زمان متّصل بالمعصية لا يمكن تحقّق غيره فيه غالبا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 الوجوب تخييريّا بين التوبة و اجتناب الكبائر و فعل الطاعات مدفوع بعدم جواز هذا التخيير، لسقوط التوبة بكلّ منهما و عدم سقوط شي‌ء منهما بحصول التوبة</w:t>
      </w:r>
      <w:r>
        <w:rPr>
          <w:rFonts w:eastAsia="Amiri" w:cs="Amiri" w:ascii="Amiri" w:hAnsi="Amiri"/>
          <w:color w:val="111111"/>
          <w:sz w:val="28"/>
          <w:szCs w:val="28"/>
          <w:rtl w:val="true"/>
          <w:lang w:bidi="ar-SA"/>
        </w:rPr>
        <w:t>.</w:t>
      </w:r>
      <w:bookmarkStart w:id="144" w:name="pg19659_263765"/>
    </w:p>
    <w:p>
      <w:pPr>
        <w:pStyle w:val="BookText"/>
        <w:rPr/>
      </w:pPr>
      <w:bookmarkEnd w:id="144"/>
      <w:r>
        <w:rPr>
          <w:rFonts w:ascii="Amiri" w:hAnsi="Amiri" w:eastAsia="Amiri" w:cs="Amiri"/>
          <w:color w:val="111111"/>
          <w:sz w:val="28"/>
          <w:sz w:val="28"/>
          <w:szCs w:val="28"/>
          <w:rtl w:val="true"/>
          <w:lang w:bidi="ar-SA"/>
        </w:rPr>
        <w:t>و أمّا</w:t>
      </w:r>
    </w:p>
    <w:p>
      <w:pPr>
        <w:pStyle w:val="Heading5"/>
        <w:numPr>
          <w:ilvl w:val="4"/>
          <w:numId w:val="1"/>
        </w:numPr>
        <w:rPr/>
      </w:pPr>
      <w:bookmarkStart w:id="145" w:name="__RefHeading___Toc1948330_2314609296"/>
      <w:bookmarkStart w:id="146" w:name="_Toc56"/>
      <w:bookmarkEnd w:id="145"/>
      <w:r>
        <w:rPr>
          <w:rtl w:val="true"/>
        </w:rPr>
        <w:t xml:space="preserve">المرحلة الرابعة </w:t>
      </w:r>
      <w:r>
        <w:rPr>
          <w:rtl w:val="true"/>
        </w:rPr>
        <w:t>[</w:t>
      </w:r>
      <w:r>
        <w:rPr>
          <w:rtl w:val="true"/>
        </w:rPr>
        <w:t>هل تعود العدالة بمجرد التوبة</w:t>
      </w:r>
      <w:r>
        <w:rPr>
          <w:rtl w:val="true"/>
        </w:rPr>
        <w:t>]</w:t>
      </w:r>
      <w:bookmarkEnd w:id="146"/>
    </w:p>
    <w:p>
      <w:pPr>
        <w:pStyle w:val="BookText"/>
        <w:rPr/>
      </w:pPr>
      <w:r>
        <w:rPr>
          <w:rFonts w:ascii="Amiri" w:hAnsi="Amiri" w:eastAsia="Amiri" w:cs="Amiri"/>
          <w:color w:val="111111"/>
          <w:sz w:val="28"/>
          <w:sz w:val="28"/>
          <w:szCs w:val="28"/>
          <w:rtl w:val="true"/>
          <w:lang w:bidi="ar-SA"/>
        </w:rPr>
        <w:t>فليعلم أنّ الذنب الذي يجب التوبة عنه قد يكون ممّا لا يقدح في العدالة و لا يزيلها، كما لو كان صغيرة مع عدم الإصرار، فلا أثر للتوبة الرافعة لآثاره الأخرويّة في إعادة العدالة، لأنّ المفروض عدم زوالها بتلك المعصية حتى تعود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يقدح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كبيرة أو صغيرة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فالتّوبة الحاصلة بشرائطها توجب عودها، بلا خلاف يظهر بين الأصحاب، كما أومأ إليه صاحب الذخيرة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العدالة بارتكاب ما يقدح فيها فتعود بالتوبة لا أعلم في ذلك خلافا بين الأصحاب </w:t>
      </w:r>
      <w:r>
        <w:rPr>
          <w:rStyle w:val="FootnoteAnchor"/>
          <w:rtl w:val="true"/>
        </w:rPr>
        <w:footnoteReference w:id="3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في مباحث العدالة أنّها مفهوم مركّب من أمر وجودي و هو الملكة المانعة بوصف المنع، و قيد عدمي منتزع عن الوصف و هو عدم ارتكاب الكبائر و لا الصغائر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هو المجموع من ذات الموصوف و وصفها، و الأمر العدمي مفهوم اعتباري انتزاعي، و ليس قيدا آخر زائدا على الوصف المنتزع عنه، و أنّ الزائل بارتكاب المعصية إنّما هو وصف المنع لا ذات المانع و هو ملكة الخوف و الحياء من اللّه سبحانه، بل هي باقية حال المعصية، غاية الأمر أنّها لضعفها صارت مغلوبة من هوى النفس و مكيدة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ذلك أنّ العائد بالتوبة إنّما هو وصف المنع لا ذات المانع، لعدم زوالها بالفرض، كيف و أنّ بالتوبة بمعنى الندم و العزم على عدم العود لا بدّ و أن تنشأ من ملكة الخوف من اللّه فحدوثها يكشف عن سبق وجودها فلا يعقل عودها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أيضا أنّ عود العدالة بعد التوبة لا يشترط بمضيّ زمان متطاول كما صرّح به غير واحد من أصحابنا، و لا يعتبر فيه أيضا إصلاح العمل مدّة، خلافا للعامّة فإنّ منهم من اعتبر سنة </w:t>
      </w:r>
      <w:r>
        <w:rPr>
          <w:rStyle w:val="FootnoteAnchor"/>
          <w:rtl w:val="true"/>
        </w:rPr>
        <w:footnoteReference w:id="356"/>
      </w:r>
      <w:r>
        <w:rPr>
          <w:rFonts w:ascii="Amiri" w:hAnsi="Amiri" w:eastAsia="Amiri" w:cs="Amiri"/>
          <w:color w:val="111111"/>
          <w:sz w:val="28"/>
          <w:sz w:val="28"/>
          <w:szCs w:val="28"/>
          <w:rtl w:val="true"/>
          <w:lang w:bidi="ar-SA"/>
        </w:rPr>
        <w:t xml:space="preserve">و منهم من اعتبر ستّة أشهر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الذخيرة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يجي‌ء على قول من اعتبر في مفهوم العدالة</w:t>
      </w:r>
    </w:p>
    <w:p>
      <w:pPr>
        <w:pStyle w:val="BookText"/>
        <w:rPr/>
      </w:pPr>
      <w:r>
        <w:rPr>
          <w:rFonts w:ascii="Amiri" w:hAnsi="Amiri" w:eastAsia="Amiri" w:cs="Amiri"/>
          <w:color w:val="111111"/>
          <w:sz w:val="28"/>
          <w:sz w:val="28"/>
          <w:szCs w:val="28"/>
          <w:rtl w:val="true"/>
          <w:lang w:bidi="ar-SA"/>
        </w:rPr>
        <w:t>الملكة أن لا يكفي التوبة في عود العدالة، بل يحتاج إلى عود الملكة و رسوخ الهيئة في النفس</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ليس بجيّد، لابتنائه على الخلط بين زوال الموصوف و زوال الوصف، و لذلك نقل عن الأصحاب بعد العبارة المذكورة عدم اعتبار ما زاد على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يذكروا ذلك بل صرّحوا بأنّ التوبة كافية، و الظاهر أنّه لا خلاف فيه </w:t>
      </w:r>
      <w:r>
        <w:rPr>
          <w:rStyle w:val="FootnoteAnchor"/>
          <w:rtl w:val="true"/>
        </w:rPr>
        <w:footnoteReference w:id="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لم يسبقه عدالة و لا ملكة بل كان من أوّل أمره خائضا في الذنوب مداوما لكبائر المعاصي و لو نوعا منها و صغائرها فهداه اللّه سبحانه و شمله لطفه و حسن توفيقه فتندّم و تاب لا يكفيه مجرّد ذلك في حصول العدالة له و رسوخ حالة الخوف في نفسه، بل لا بدّ فيه من مضيّ زمان متطاول عليه و هو متشاغل فيه لإصلاح النفس و العمل و مواظبة الطاعات و الأعمال الصالحة و مجانبة ما يقدح في العدالة من المعاصي و غيرها إلى أن يحصل القطع و الوثوق و الاطمئنان بحصول الملكة و رسوخ الحالة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سبقه العدالة ففسق ثمَّ تاب لم تقبل توبته بمجرّد إظهاره التوبة ما لم يعلم أو يغلب على الظنّ صدقة، إذ لا يؤمن أن يكون له في التوبة غرض فاسد كقبول شهادته و نحوه، خصوصا فيما إذا 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حتى أقبل شهادتك، كما نصّ عليه جماعة من متأخّري الأصحاب، بل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Style w:val="FootnoteAnchor"/>
          <w:rtl w:val="true"/>
        </w:rPr>
        <w:footnoteReference w:id="360"/>
      </w:r>
      <w:r>
        <w:rPr>
          <w:rFonts w:ascii="Amiri" w:hAnsi="Amiri" w:eastAsia="Amiri" w:cs="Amiri"/>
          <w:color w:val="111111"/>
          <w:sz w:val="28"/>
          <w:sz w:val="28"/>
          <w:szCs w:val="28"/>
          <w:rtl w:val="true"/>
          <w:lang w:bidi="ar-SA"/>
        </w:rPr>
        <w:t>و إليه يرجع ما عن القواعد و كشف اللثام،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استمراره على الصلاح قبلت </w:t>
      </w:r>
      <w:r>
        <w:rPr>
          <w:rStyle w:val="FootnoteAnchor"/>
          <w:rtl w:val="true"/>
        </w:rPr>
        <w:footnoteReference w:id="361"/>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تاب حين تاب بإخلاص النية و صميم العزم </w:t>
      </w:r>
      <w:r>
        <w:rPr>
          <w:rStyle w:val="FootnoteAnchor"/>
          <w:rtl w:val="true"/>
        </w:rPr>
        <w:footnoteReference w:id="362"/>
      </w:r>
      <w:r>
        <w:rPr>
          <w:rFonts w:ascii="Amiri" w:hAnsi="Amiri" w:eastAsia="Amiri" w:cs="Amiri"/>
          <w:color w:val="111111"/>
          <w:sz w:val="28"/>
          <w:sz w:val="28"/>
          <w:szCs w:val="28"/>
          <w:rtl w:val="true"/>
          <w:lang w:bidi="ar-SA"/>
        </w:rPr>
        <w:t>و عن دروس الشهيد بعد حكاية القول بالقبول مطلقا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يتمّ إذا علم منه التوبة بقرائن الأحوال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محكي المسالك أيضا، فإنّه بعد ما حكى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في موضع من المبسوط إلى الاكتفاء بإظهار التوبة عقيب قول الحاكم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 أقبل شهادتك، لصدق التوبة المقتضي لعود العدالة مع انتفاء المانع، فيدخل تحت عموم قبول شهادة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بمنع اعتبار توبته حينئذ، لأنّ التوبة المعتبرة هي أن يتوب عن القبيح لقبحه، و هنا ظاهرها أنّها لا لقبحه بل لقبول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لأنّه لا يلزم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أقبل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التوبة لأجل ذلك، بل غايته أن تكون التوبة علّة للقبول، أمّا أنّه غاية لها فلا، و أيضا فالمأمور به التوبة المعتبرة شرعا لا مطلق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مرجع كلامه إلى أنّ مضيّ الزمان المتطاول ليس بشرط في ظهور التوبة، و الأمر كذلك إن فرض غلبة ظنّ الحاكم بصدقه في توبته في الحال، و إلّا فالمعتبر ذلك </w:t>
      </w:r>
      <w:r>
        <w:rPr>
          <w:rStyle w:val="FootnoteAnchor"/>
          <w:rtl w:val="true"/>
        </w:rPr>
        <w:footnoteReference w:id="3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المعتبر غلبة الظنّ بصدقه في إظهاره التوبة، فإن حصل في الحال و إلّا لا مناص من مراعاة الاختبار و لو بمضيّ مدّة يغلب معها على الظنّ أنّه صادق في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الأصحاب من اعتبر إصلاح العمل، و أنّه يكفي في ذلك عمل صالح و لو بذكر أو تسبيح، و منهم من اكتفى في ذلك بتكرير إظهار التوبة و الندامة و مجرّد استمراره على التوبة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لعلّهما أرادا اعتبار ما يكشف ظنا عن صدقه في دعوى التوبة و لو بأقلّ قليل من الذكر و التسبيح أو مجرّد تكرّر الإظهار أو الاستمرار عليه، و إلّا فما لم يكشف أو لم يغلب على الظنّ فلا وجه للاكتفاء بنحو الأمور المذكورة، و أمّا الاستمرار على التوبة الصادقة فهو معتبر في بقاء العدالة و استمرارها، لا في انكشاف عودها بعد زوالها أو صدقه في دعوى التوبة</w:t>
      </w:r>
      <w:r>
        <w:rPr>
          <w:rFonts w:eastAsia="Amiri" w:cs="Amiri" w:ascii="Amiri" w:hAnsi="Amiri"/>
          <w:color w:val="111111"/>
          <w:sz w:val="28"/>
          <w:szCs w:val="28"/>
          <w:rtl w:val="true"/>
          <w:lang w:bidi="ar-SA"/>
        </w:rPr>
        <w:t>.</w:t>
      </w:r>
      <w:bookmarkStart w:id="147" w:name="pg19659_263768"/>
    </w:p>
    <w:p>
      <w:pPr>
        <w:pStyle w:val="Heading4"/>
        <w:numPr>
          <w:ilvl w:val="3"/>
          <w:numId w:val="1"/>
        </w:numPr>
        <w:rPr/>
      </w:pPr>
      <w:bookmarkStart w:id="148" w:name="__RefHeading___Toc1948332_2314609296"/>
      <w:bookmarkStart w:id="149" w:name="_Toc57"/>
      <w:bookmarkEnd w:id="147"/>
      <w:bookmarkEnd w:id="148"/>
      <w:r>
        <w:rPr>
          <w:rtl w:val="true"/>
        </w:rPr>
        <w:t>الفصل الثاني في بيان الفرق بين الكبيرة و الصغيرة</w:t>
      </w:r>
      <w:bookmarkEnd w:id="149"/>
    </w:p>
    <w:p>
      <w:pPr>
        <w:pStyle w:val="Heading5"/>
        <w:numPr>
          <w:ilvl w:val="4"/>
          <w:numId w:val="1"/>
        </w:numPr>
        <w:rPr/>
      </w:pPr>
      <w:bookmarkStart w:id="150" w:name="__RefHeading___Toc1948334_2314609296"/>
      <w:bookmarkStart w:id="151" w:name="_Toc58"/>
      <w:bookmarkEnd w:id="150"/>
      <w:r>
        <w:rPr>
          <w:rtl w:val="true"/>
        </w:rPr>
        <w:t>[</w:t>
      </w:r>
      <w:r>
        <w:rPr>
          <w:rtl w:val="true"/>
        </w:rPr>
        <w:t>أقسام الذنوب إلى الكبيرة و الصغيرة</w:t>
      </w:r>
      <w:r>
        <w:rPr>
          <w:rtl w:val="true"/>
        </w:rPr>
        <w:t>]</w:t>
      </w:r>
      <w:bookmarkEnd w:id="151"/>
    </w:p>
    <w:p>
      <w:pPr>
        <w:pStyle w:val="BookText"/>
        <w:rPr/>
      </w:pPr>
      <w:r>
        <w:rPr>
          <w:rFonts w:ascii="Amiri" w:hAnsi="Amiri" w:eastAsia="Amiri" w:cs="Amiri"/>
          <w:color w:val="111111"/>
          <w:sz w:val="28"/>
          <w:sz w:val="28"/>
          <w:szCs w:val="28"/>
          <w:rtl w:val="true"/>
          <w:lang w:bidi="ar-SA"/>
        </w:rPr>
        <w:t xml:space="preserve">و اعلم أنّ الأصحاب اختلفوا في المعاصي هل هي نوعان كبيرة و صغيرة و ليس كلّ معصية كبيرة كما عن الشيخ في المبسوط </w:t>
      </w:r>
      <w:r>
        <w:rPr>
          <w:rStyle w:val="FootnoteAnchor"/>
          <w:rtl w:val="true"/>
        </w:rPr>
        <w:footnoteReference w:id="366"/>
      </w:r>
      <w:r>
        <w:rPr>
          <w:rFonts w:ascii="Amiri" w:hAnsi="Amiri" w:eastAsia="Amiri" w:cs="Amiri"/>
          <w:color w:val="111111"/>
          <w:sz w:val="28"/>
          <w:sz w:val="28"/>
          <w:szCs w:val="28"/>
          <w:rtl w:val="true"/>
          <w:lang w:bidi="ar-SA"/>
        </w:rPr>
        <w:t xml:space="preserve">و ابن حمزة </w:t>
      </w:r>
      <w:r>
        <w:rPr>
          <w:rStyle w:val="FootnoteAnchor"/>
          <w:rtl w:val="true"/>
        </w:rPr>
        <w:footnoteReference w:id="367"/>
      </w:r>
      <w:r>
        <w:rPr>
          <w:rFonts w:ascii="Amiri" w:hAnsi="Amiri" w:eastAsia="Amiri" w:cs="Amiri"/>
          <w:color w:val="111111"/>
          <w:sz w:val="28"/>
          <w:sz w:val="28"/>
          <w:szCs w:val="28"/>
          <w:rtl w:val="true"/>
          <w:lang w:bidi="ar-SA"/>
        </w:rPr>
        <w:t xml:space="preserve">و الفاضلين </w:t>
      </w:r>
      <w:r>
        <w:rPr>
          <w:rStyle w:val="FootnoteAnchor"/>
          <w:rtl w:val="true"/>
        </w:rPr>
        <w:footnoteReference w:id="368"/>
      </w:r>
      <w:r>
        <w:rPr>
          <w:rFonts w:ascii="Amiri" w:hAnsi="Amiri" w:eastAsia="Amiri" w:cs="Amiri"/>
          <w:color w:val="111111"/>
          <w:sz w:val="28"/>
          <w:sz w:val="28"/>
          <w:szCs w:val="28"/>
          <w:rtl w:val="true"/>
          <w:lang w:bidi="ar-SA"/>
        </w:rPr>
        <w:t xml:space="preserve">و جمهور المتأخرين؟ أو أنّ كلّ معصية كبيرة؟ نظرا إلى اشتراكها في مخالفة أمر اللّه تعالى و نهيه، و لكن قد يطلق الصغير و الكبير على الذنب بالإضافة إلى ما فوقه و ما تحته، فالقبلة صغيرة بالنسبة إلى الزنا كبيرة بالنسبة إلى النظر بشهوة، كما عن جماعة كالمفيد و الشيخ في العدّة و ابني البرّاج و إدريس و الشيخ أبي علي الطبرسي </w:t>
      </w:r>
      <w:r>
        <w:rPr>
          <w:rStyle w:val="FootnoteAnchor"/>
          <w:rtl w:val="true"/>
        </w:rPr>
        <w:footnoteReference w:id="369"/>
      </w:r>
      <w:r>
        <w:rPr>
          <w:rFonts w:ascii="Amiri" w:hAnsi="Amiri" w:eastAsia="Amiri" w:cs="Amiri"/>
          <w:color w:val="111111"/>
          <w:sz w:val="28"/>
          <w:sz w:val="28"/>
          <w:szCs w:val="28"/>
          <w:rtl w:val="true"/>
          <w:lang w:bidi="ar-SA"/>
        </w:rPr>
        <w:t>بل عن الأخير ما يؤذن بدعوى الإجماع عليه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ذهب أصحابنا رضي اللّه عنهم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كبيرة، لكن بعضها أكبر من بعض، و ليس الذنوب صغيرة، و إنّما يكون صغيرا بالإضافة إلى ما هو أكبر و يستحق العقاب عليه أكثر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دعوى الاتّفاق أيضا من كلام الشيخ في العدّة و ابن إدريس في السرائر أيضا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ثمرة الخلاف في قدح ما هو صغيرة على القول الأوّل من غير إصرار في العدالة و عدمه، كما تقدّم الإشارة إليه أيضا في مسألة الإصرار على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الأوّل أصحّ و أقوى، لقوله عز و جلّ إِنْ تَجْتَنِبُوا كَبٰائِرَ مٰا تُنْهَوْنَ عَنْهُ نُكَفِّرْ عَنْكُمْ سَيِّئٰاتِكُمْ </w:t>
      </w:r>
      <w:r>
        <w:rPr>
          <w:rStyle w:val="FootnoteAnchor"/>
          <w:rtl w:val="true"/>
        </w:rPr>
        <w:footnoteReference w:id="371"/>
      </w:r>
      <w:r>
        <w:rPr>
          <w:rFonts w:ascii="Amiri" w:hAnsi="Amiri" w:eastAsia="Amiri" w:cs="Amiri"/>
          <w:color w:val="111111"/>
          <w:sz w:val="28"/>
          <w:sz w:val="28"/>
          <w:szCs w:val="28"/>
          <w:rtl w:val="true"/>
          <w:lang w:bidi="ar-SA"/>
        </w:rPr>
        <w:t>فإنّ مقابلة السيّئات للكبائر و جعلها مكفّرة باجتناب الكبائر يدلّ على أنّها غير الكبائر، و انّ المعاصي منقسمة إليهما،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يَجْتَنِبُونَ كَبٰائِرَ الْإِثْمِ وَ الْفَوٰاحِشَ إِلَّا اللَّمَمَ </w:t>
      </w:r>
      <w:r>
        <w:rPr>
          <w:rStyle w:val="FootnoteAnchor"/>
          <w:rtl w:val="true"/>
        </w:rPr>
        <w:footnoteReference w:id="372"/>
      </w:r>
      <w:r>
        <w:rPr>
          <w:rFonts w:ascii="Amiri" w:hAnsi="Amiri" w:eastAsia="Amiri" w:cs="Amiri"/>
          <w:color w:val="111111"/>
          <w:sz w:val="28"/>
          <w:sz w:val="28"/>
          <w:szCs w:val="28"/>
          <w:rtl w:val="true"/>
          <w:lang w:bidi="ar-SA"/>
        </w:rPr>
        <w:t>لظهور الإضافة في انقسام الإثم إلى الكبائر و إلى غيرها مضافا إلى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الكبائر كم هي و ما هي؟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الكبائر من اجتنب ما وعد اللّه عليه النار كفّر عنه سيّئاته إذا كان مؤمنا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عمرو بن عبيد على أبي عبد اللّه عليه السّلام فلمّا سلّم و جلس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w:t>
      </w:r>
      <w:r>
        <w:rPr>
          <w:rStyle w:val="FootnoteAnchor"/>
          <w:rtl w:val="true"/>
        </w:rPr>
        <w:footnoteReference w:id="3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إلى الصلاة كفّارة ما بينهما ما اجتنب الكبائر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الصلوات الخمس و الجمعة إلى الجمعة تكفّر ما بينهنّ إن اجتنب الكبائر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الحديث أنّ الأعمال الصالحة تكفّر الصغائر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كفّر اللّه عنه جميع ذنوبه، و ذلك قوله تعالى عزّ و جلّ إِنْ تَجْتَنِبُوا كَبٰائِرَ مٰا تُنْهَوْنَ عَنْهُ نُكَفِّرْ عَنْكُمْ سَيِّئٰاتِكُمْ وَ نُدْخِلْكُمْ مُدْخَلًا كَرِيماً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تعالى 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هل يدخل الكبائر في مشيئة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إليه عز و جلّ إن شاء عذّب عليها و إن شاء عفى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 عن أبي عبد اللّه عليه السّلام قال إِنَّ اللّٰهَ لٰا يَغْفِرُ أَنْ يُشْرَكَ بِهِ 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فما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الكبائر في الاستثناء؟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حسنة ابن أبي عمير المتقدّمة في مسألة الإصرار على الصغيرة عن أبي الحسن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اجتنب الكبائر من المؤمنين لم يسأل عن الصغائر، قال اللّه تعالى إِنْ تَجْتَنِبُوا كَبٰائِرَ مٰا تُنْهَوْنَ عَنْهُ نُكَفِّرْ عَنْكُمْ سَيِّئٰاتِكُمْ وَ نُدْخِلْكُمْ مُدْخَلًا كَرِيماً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ابن بابويه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لأهل الكبائر من أمّتي </w:t>
      </w:r>
      <w:r>
        <w:rPr>
          <w:rStyle w:val="FootnoteAnchor"/>
          <w:rtl w:val="true"/>
        </w:rPr>
        <w:footnoteReference w:id="383"/>
      </w:r>
      <w:r>
        <w:rPr>
          <w:rFonts w:ascii="Amiri" w:hAnsi="Amiri" w:eastAsia="Amiri" w:cs="Amiri"/>
          <w:color w:val="111111"/>
          <w:sz w:val="28"/>
          <w:sz w:val="28"/>
          <w:szCs w:val="28"/>
          <w:rtl w:val="true"/>
          <w:lang w:bidi="ar-SA"/>
        </w:rPr>
        <w:t xml:space="preserve">فإن تخصيص الشفاعة بأهل الكبائر يقتضي بمفهوم 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مقابلا لأهل الكبائر لا يحتاج إلى الشفاعة، و هو إمّا من لا ذنب عليه أصلا أو من عليه ذنب ليس من الكبائر، و الأوّل غير صحيح، لقضائه بكون الإخبار بعدم احتياج من لا ذنب عليه أصلا إلى الشفاعة من باب توضيح الواضح، فتعيّن الثاني، فدلّت الرواية على عدم احتياج أهل الصغائر إلى الشفاعة، و وجهه كون الصغائر مكفّرة باجتناب الكبائر أو الأعمال الصالحة أو غير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التقريب أيضا يدلّ على المطلب ما في حسنة ابن أبي عمير المتقدّمة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و أمّا المحسنون فما عليهم من سبيل، لوجوب أن يكون المراد من المحسنين الذين ليس عليهم سبيل أهل الصغائر الذين اجتنبوا عن الكبائر، لا الذين ليس عليهم ذنب أصلا، لئلّا</w:t>
      </w:r>
    </w:p>
    <w:p>
      <w:pPr>
        <w:pStyle w:val="BookText"/>
        <w:rPr/>
      </w:pPr>
      <w:r>
        <w:rPr>
          <w:rFonts w:ascii="Amiri" w:hAnsi="Amiri" w:eastAsia="Amiri" w:cs="Amiri"/>
          <w:color w:val="111111"/>
          <w:sz w:val="28"/>
          <w:sz w:val="28"/>
          <w:szCs w:val="28"/>
          <w:rtl w:val="true"/>
          <w:lang w:bidi="ar-SA"/>
        </w:rPr>
        <w:t xml:space="preserve">يخرج 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المحسنين التائبين عن الصغائر التي لا تؤول بالتوبة إلى الكبائر بناء على صيرورة الصغيرة بالإصرار كبيرة كما مرّ تحقيقه، و أنّ الإصرار يتحقّق بمجرّد عدم التوبة و الاستغفار أو هو مع العزم على العود، كما يشهد لهذا الحمل ما رواه ابن بابويه 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شفاعتنا لأهل الكبائر من شيعتنا، و أمّا التائبون فإنّ اللّه عزّ و جل يقول مٰا عَلَى الْمُحْسِنِينَ مِنْ سَبِيلٍ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حمل التائبين في تلك الرواية على التائبين عن الكبائر، لئلّا ينافيه حسنة ابن أبي عمير المتقدّمة المصرحة باختصاص الشفاعة بالتائبين من أهل الكبائر، و لا ضير فيه بناء على ما تقدّم تحقيقه من كون قبول التوبة من باب التفضّل لا على وجه الوجوب، فيجوز توقّف القبول على شفاعة النبي صلّى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الآخر فلم نقف على دليل له يعتمد عليه سوى التعليل المتقدم من اشتراك كلّ معصية في مخالفة أمر اللّه، و توضيحه على ما فهمه غير واحد من مشايخنا أنّ كبر المعصية و صغرها أمران إضافيان بواسطة إضافة المعصية إلى من يعصى، فإن كان كبيرا فكلّ معاصيه كبيرة، و إن كان صغيرا فكلّ معاصيه صغيرة، و المفروض أنّ اللّه جلّت عظمته أكبر من كلّ شي‌ء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اجتهاد في مقابلة النص كتابا و سنّة فلا يعبأ به أنّ اعتبار الكبر في معاصيه تعالى بهذا الاعتبار بالقياس إلى معاصي غيره من الموالي و السادات لا ينافي اختلاف معاصيه لذواتها في كون طائفة منها كبيرة لذاتها و اخرى صغيرة كذلك، فإنّها تتبع مفاسد التروك و الأفعال الباعثة على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مفاسد الأشياء تختلف في العظم و خلافه، فمفسدة قتل النبيّ و هدم الكعبة أعظم من مفسدة ترك إزالة النجاسة عن المسجد، و ترك ردّ السّلام و مفسدة الزنا و اللواط أعظم من مفسدة النظر إلى الأجنبية أو إلى وجه الغلام بشهوة، فما كان مفسدته أعظم فكبيرة و غيره صغيرة، و هذا لا ينافي اختلاف</w:t>
      </w:r>
    </w:p>
    <w:p>
      <w:pPr>
        <w:pStyle w:val="BookText"/>
        <w:rPr/>
      </w:pPr>
      <w:r>
        <w:rPr>
          <w:rFonts w:ascii="Amiri" w:hAnsi="Amiri" w:eastAsia="Amiri" w:cs="Amiri"/>
          <w:color w:val="111111"/>
          <w:sz w:val="28"/>
          <w:sz w:val="28"/>
          <w:szCs w:val="28"/>
          <w:rtl w:val="true"/>
          <w:lang w:bidi="ar-SA"/>
        </w:rPr>
        <w:t>الكبائر في كون بعضها أكبر من بعض، و لا اختلاف الصغائر في كون بعضها أصغر من بعضها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النصوص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كلام هؤلاء من أنّه قد يطلق الصغير و الكبير على الذنب بالإضافة إلى ما فوقه و ما تحته فالقبلة صغيرة بالنسبة إلى الزنا، كبيرة بالنسبة إلى النظر بالشهوة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كلام الطبرسي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صغيرا بالإضافة إلى ما هو أكبر و يستحق العقاب عليه أكثر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يرجع إلى إفادة هذا المعنى، فيعود النزاع لفظيا،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القول شواهد في الأخبار، مثل ما دلّ على أنّ كلّ معصية شديدة، و ما دلّ على أنّ كلّ معصية قد يوجب لصاحبها النار، و ما دلّ على التحذير عن استحقار الذنب و استصغاره، ثمَّ أيّده بما ورد 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التأييد أنّ المراد بالإصرار الإقامة على الذنب بعدم التوبة و الاستغفار كما قاله جماعة من المفسّرين في تفسير قوله تعالى وَ لَمْ يُصِرُّوا عَلىٰ مٰا فَعَلُوا </w:t>
      </w:r>
      <w:r>
        <w:rPr>
          <w:rStyle w:val="FootnoteAnchor"/>
          <w:rtl w:val="true"/>
        </w:rPr>
        <w:footnoteReference w:id="386"/>
      </w:r>
      <w:r>
        <w:rPr>
          <w:rFonts w:ascii="Amiri" w:hAnsi="Amiri" w:eastAsia="Amiri" w:cs="Amiri"/>
          <w:color w:val="111111"/>
          <w:sz w:val="28"/>
          <w:sz w:val="28"/>
          <w:szCs w:val="28"/>
          <w:rtl w:val="true"/>
          <w:lang w:bidi="ar-SA"/>
        </w:rPr>
        <w:t>إلى آخر ما ذكره، و في الكلّ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المعصية بنفسها لا توصف بالشدة، و إنّما توصف بها العقوبة المترتّبة على المعصية، و لا ريب أنّ شدّة المعصية على تقدير بقائها و عدم زوالها بالتوبة أو بالأعمال الصالحة أو الشفاعة أو نحوها لا تنافي اختلاف المعاصي في الكبر و الصغر الموجب لاختلاف مراتب شدّة عقوباتها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المعصية من شأنها أن يوجب لصاحبها النار كما يساعد عليه الاعتبار، و يقتضيه عموم قوله تعالى فَلْيَحْذَرِ الَّذِينَ يُخٰالِفُونَ عَنْ أَمْرِهِ أَنْ تُصِيبَهُمْ فِتْنَةٌ أَوْ يُصِيبَهُمْ عَذٰابٌ أَلِيمٌ </w:t>
      </w:r>
      <w:r>
        <w:rPr>
          <w:rStyle w:val="FootnoteAnchor"/>
          <w:rtl w:val="true"/>
        </w:rPr>
        <w:footnoteReference w:id="387"/>
      </w:r>
      <w:r>
        <w:rPr>
          <w:rFonts w:ascii="Amiri" w:hAnsi="Amiri" w:eastAsia="Amiri" w:cs="Amiri"/>
          <w:color w:val="111111"/>
          <w:sz w:val="28"/>
          <w:sz w:val="28"/>
          <w:szCs w:val="28"/>
          <w:rtl w:val="true"/>
          <w:lang w:bidi="ar-SA"/>
        </w:rPr>
        <w:t>و قوله تعالى أيضا</w:t>
      </w:r>
      <w:r>
        <w:rPr>
          <w:rFonts w:eastAsia="Amiri" w:cs="Amiri" w:ascii="Amiri" w:hAnsi="Amiri"/>
          <w:color w:val="111111"/>
          <w:sz w:val="28"/>
          <w:szCs w:val="28"/>
          <w:rtl w:val="true"/>
          <w:lang w:bidi="ar-SA"/>
        </w:rPr>
        <w:t>:</w:t>
      </w:r>
      <w:bookmarkStart w:id="152" w:name="pg19659_263773"/>
    </w:p>
    <w:p>
      <w:pPr>
        <w:pStyle w:val="BookText"/>
        <w:rPr/>
      </w:pPr>
      <w:bookmarkEnd w:id="152"/>
      <w:r>
        <w:rPr>
          <w:rFonts w:ascii="Amiri" w:hAnsi="Amiri" w:eastAsia="Amiri" w:cs="Amiri"/>
          <w:color w:val="111111"/>
          <w:sz w:val="28"/>
          <w:sz w:val="28"/>
          <w:szCs w:val="28"/>
          <w:rtl w:val="true"/>
          <w:lang w:bidi="ar-SA"/>
        </w:rPr>
        <w:t xml:space="preserve">وَ مَنْ يَعْصِ اللّٰهَ وَ رَسُولَهُ فَإِنَّ لَهُ نٰارَ جَهَنَّمَ خٰالِدِينَ فِيهٰا أَبَداً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لا ينفي انقسام المعاصي إلى صغيرة و كبيرة، بناء على أنّ الفرق بينهما في توعيد النار على المعصية بالخصوص و عدمه، لا من جهة العمومات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استحقار الذنب و استصغاره عقلا قبيح، و النهي الوارد فيهما إرشادي، لئلّا ينجرّ الأمر إلى التجرّي في ركوب الكبائر، أو إلى الأمن من مكر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توجيه الإرشاد أن يقال بمثل ما تقدّم في مسألة إصرار الصغيرة في شرح النبويّ المروي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استصغار الذنب و لو صغيرا يدعو صاحبه غالبا إلى الإصرار عليه، ثمَّ بعد الإصرار إلى عدم الندم و الاستغفار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يوجب صيرورته كبيرة، و الثاني يوجب العقاب عليه، فنهيه عليه السّلام حثّ على الامتناع عن الاستصغار، و هو يتأتى تارة بمجانبة الإصرار و اخرى بملازمة الاستغفار على تقدير بعث النفس الأمّارة على الإصرار، و الحثّ المستفاد من النهي ينحلّ إلى طلب الأمرين و الإرشاد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خلاف المطلوب أدلّ لدلالته على أنّ المعصية بالإصرار تخرج عن كونها صغيرة، و إنّما تكون صغيرة إذا لم يلحقها الإصرار، و أمّا أنّ الإصرار هو مجرّد عدم التوبة و الاستغفار أو هو مع العزم على العود أو تكرير إيقاعها مع اتحاد النوع و عدمه فهو كلام آخر مرّ تحقيقه، فما ذكره بنفسه دليل على انقسام المعاصي إلى صغيرة و كبيرة، و أنّ الصغيرة تصير كبيرة بالإصرار و الكبيرة تزول بالاستغفار</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948336_2314609296"/>
      <w:bookmarkStart w:id="154" w:name="_Toc59"/>
      <w:bookmarkEnd w:id="153"/>
      <w:r>
        <w:rPr>
          <w:rtl w:val="true"/>
        </w:rPr>
        <w:t>[</w:t>
      </w:r>
      <w:r>
        <w:rPr>
          <w:rtl w:val="true"/>
        </w:rPr>
        <w:t>ضابط الفرق بين الكبيرة و الصغيرة</w:t>
      </w:r>
      <w:r>
        <w:rPr>
          <w:rtl w:val="true"/>
        </w:rPr>
        <w:t>]</w:t>
      </w:r>
      <w:bookmarkEnd w:id="1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في تفسير الكبيرة و ضابط الفرق بينها و بين الصغيرة اختلافا كثيرا و أقوالا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ذنب رتّب عليه الشارع حدّا أو صرّح فيه</w:t>
      </w:r>
    </w:p>
    <w:p>
      <w:pPr>
        <w:pStyle w:val="BookText"/>
        <w:rPr/>
      </w:pPr>
      <w:r>
        <w:rPr>
          <w:rFonts w:ascii="Amiri" w:hAnsi="Amiri" w:eastAsia="Amiri" w:cs="Amiri"/>
          <w:color w:val="111111"/>
          <w:sz w:val="28"/>
          <w:sz w:val="28"/>
          <w:szCs w:val="28"/>
          <w:rtl w:val="true"/>
          <w:lang w:bidi="ar-SA"/>
        </w:rPr>
        <w:t xml:space="preserve">بالوعيد، و عن طائفة أنّها كلّ معصية تؤذن بقلّة اكتراث </w:t>
      </w:r>
      <w:r>
        <w:rPr>
          <w:rStyle w:val="FootnoteAnchor"/>
          <w:rtl w:val="true"/>
        </w:rPr>
        <w:footnoteReference w:id="389"/>
      </w:r>
      <w:r>
        <w:rPr>
          <w:rFonts w:ascii="Amiri" w:hAnsi="Amiri" w:eastAsia="Amiri" w:cs="Amiri"/>
          <w:color w:val="111111"/>
          <w:sz w:val="28"/>
          <w:sz w:val="28"/>
          <w:szCs w:val="28"/>
          <w:rtl w:val="true"/>
          <w:lang w:bidi="ar-SA"/>
        </w:rPr>
        <w:t>فاعلها بالدّين، و عن جماعة أنّها كلّ ذنب علم حرمته بدليل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حجّ مصابيح السيد المتبحّر الطباطبائي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عندنا في الكبائر أنّها المعاصي التي أوجب اللّه تعالى سبحانه عليها النار </w:t>
      </w:r>
      <w:r>
        <w:rPr>
          <w:rStyle w:val="FootnoteAnchor"/>
          <w:rtl w:val="true"/>
        </w:rPr>
        <w:footnoteReference w:id="390"/>
      </w:r>
      <w:r>
        <w:rPr>
          <w:rFonts w:ascii="Amiri" w:hAnsi="Amiri" w:eastAsia="Amiri" w:cs="Amiri"/>
          <w:color w:val="111111"/>
          <w:sz w:val="28"/>
          <w:sz w:val="28"/>
          <w:szCs w:val="28"/>
          <w:rtl w:val="true"/>
          <w:lang w:bidi="ar-SA"/>
        </w:rPr>
        <w:t>و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أصحابنا أنّها ما توعّد اللّه تعالى عزّ و جلّ عليه بالنار بخصوصه </w:t>
      </w:r>
      <w:r>
        <w:rPr>
          <w:rStyle w:val="FootnoteAnchor"/>
          <w:rtl w:val="true"/>
        </w:rPr>
        <w:footnoteReference w:id="391"/>
      </w:r>
      <w:r>
        <w:rPr>
          <w:rFonts w:ascii="Amiri" w:hAnsi="Amiri" w:eastAsia="Amiri" w:cs="Amiri"/>
          <w:color w:val="111111"/>
          <w:sz w:val="28"/>
          <w:sz w:val="28"/>
          <w:szCs w:val="28"/>
          <w:rtl w:val="true"/>
          <w:lang w:bidi="ar-SA"/>
        </w:rPr>
        <w:t xml:space="preserve">و نحوه ما في الدروس، إلّا أنّه بدّل النار بالعقاب </w:t>
      </w:r>
      <w:r>
        <w:rPr>
          <w:rStyle w:val="FootnoteAnchor"/>
          <w:rtl w:val="true"/>
        </w:rPr>
        <w:footnoteReference w:id="392"/>
      </w:r>
      <w:r>
        <w:rPr>
          <w:rFonts w:ascii="Amiri" w:hAnsi="Amiri" w:eastAsia="Amiri" w:cs="Amiri"/>
          <w:color w:val="111111"/>
          <w:sz w:val="28"/>
          <w:sz w:val="28"/>
          <w:szCs w:val="28"/>
          <w:rtl w:val="true"/>
          <w:lang w:bidi="ar-SA"/>
        </w:rPr>
        <w:t>كما عن الكفاية و في الذخيرة، ففي محكي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أصحابنا أنّها كلّ ذنب توعّد اللّه عزّ و جلّ عليه بالعقاب في الكتاب العزيز </w:t>
      </w:r>
      <w:r>
        <w:rPr>
          <w:rStyle w:val="FootnoteAnchor"/>
          <w:rtl w:val="true"/>
        </w:rPr>
        <w:footnoteReference w:id="393"/>
      </w:r>
      <w:r>
        <w:rPr>
          <w:rFonts w:ascii="Amiri" w:hAnsi="Amiri" w:eastAsia="Amiri" w:cs="Amiri"/>
          <w:color w:val="111111"/>
          <w:sz w:val="28"/>
          <w:sz w:val="28"/>
          <w:szCs w:val="28"/>
          <w:rtl w:val="true"/>
          <w:lang w:bidi="ar-SA"/>
        </w:rPr>
        <w:t>و نحوه في الذخيرة ناسبا له إلى قوم،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مشهور بين أصحابنا و لم أجد في كلامهم اختيار قول آخر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مرادهم من العقاب و العذاب هو العذاب بالنار لا مطلق العقوبة و لو في دار الدنيا أو في الآخرة بغير النار، كما أنّ الظاهر أنّ مرادهم من التوعّد عليه بالنار هو التوعّد عليه بالخصوص و الوعيد الخاص كما قيّده به في الدروس و مجمع البرهان، لا الوعيد العام، لئلّا يلزم كون كلّ المعاصي كبيرة لتحقّقه في الجميع بنحو قوله تعالى وَ مَنْ يَعْصِ اللّٰهَ وَ رَسُولَهُ فَإِنَّ 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يساعد عليه الصحاح و غيرها من الأخبار المعتبرة هو هذا القول المدّعى فيه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ابن أبي يعفور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باجتناب الكبائر التي أوعد اللّه عليها النار من شرب الخمر و الزنا و الربا و عقوق الوالدين و الفرار من الزحف و غير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الحسن عليه السّلام</w:t>
      </w:r>
    </w:p>
    <w:p>
      <w:pPr>
        <w:pStyle w:val="BookText"/>
        <w:rPr/>
      </w:pPr>
      <w:r>
        <w:rPr>
          <w:rFonts w:ascii="Amiri" w:hAnsi="Amiri" w:eastAsia="Amiri" w:cs="Amiri"/>
          <w:color w:val="111111"/>
          <w:sz w:val="28"/>
          <w:sz w:val="28"/>
          <w:szCs w:val="28"/>
          <w:rtl w:val="true"/>
          <w:lang w:bidi="ar-SA"/>
        </w:rPr>
        <w:t>يسأله عن الكبائر كم هي و ما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أجتنب ما أوعد اللّه تعالى عليه النار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و عقوق الوالدين و أكل الربا و التعرّب بعد الهجرة و قذف المحصنة و أكل مال اليتيم و الفرار من الزحف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و قذف المحصنة و الفرار من الزحف و التعرّب بعد الهجرة و أكل مال اليتيم ظلما و أكل الربا بعد البيّنة و كلّ ما أوجب اللّه عليه النار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أكبر الكبائر الشرك باللّه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 مَنْ يُؤْتَ الْحِكْمَةَ فَقَدْ أُوتِيَ خَيْراً كَثِيراً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عليه السّلام و اجتناب الكبائر التي أوجب اللّه عليها النار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الحلبي عن أبي عبد اللّه عليه السّلام في قول اللّه عزّ و جلّ إِنْ تَجْتَنِبُوا كَبٰائِرَ مٰا تُنْهَوْنَ عَنْهُ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التي أوجب اللّه عزّ و جلّ عليها النار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عبّاد بن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أوعد اللّه عليه النار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كما ترى خالية عن اعتبار كون التوعّد بالنار في الكتاب العزيز، فما في تفسير الكفاية و الذخيرة و غيرهما من التقييد بذلك غير واضح الوجه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إبعاد النار حيثما أسند إليه تعالى كان ظاهرا في إيعاده تعالى في كلامه المجيد، و هذا هو منشأ التقييد المذكور في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بما اشتمل من الروايات على إيجاب النار المسند إليه تعالى، فإنّه مطلق يتناول ما لو علم إيجابه تعالى بإيعاده في الكتاب أو بإخبار النبي صلّى اللّه عليه و آله أو إخبار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دفعه بعد إمكان حمل هذا المطلق على المقيّد المستفاد من ظاهر الأخبار الأخر حسبما بيّناه هيّن، و عليه 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تفسير الكبيرة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و الذخيرة و غيرهما و إطلاق من أطلقه بالنسبة إلى قيد الكتاب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الأمر في أنّ من الكبائر ما لم يوجد ذكره في ظاهر الكتاب فضلا عن التوعيد عليه فيه كالصغيرة المصرّ عليها على ما تقدّم تحقيقه و دلّ عليه النصوص و ما ذكر فيه، و لم يتوعّد عليه كالغيبة و شرب الخمر و شهادة الزور و ترك الحجّ و ما أشبه ذلك، و ما توعد عليه فيه بالعذاب دون النار كما ستعرفه، و لا يندرج شي‌ء من ذلك في الضابط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أيضا بأنّ الظاهر المتبادر من العذاب الأليم و نحوه إنّما هو العذاب في نار جحيم، مع احتمال كون مبنى الضابط المذكور على الغالب، فلا يقدح فيه خروج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كون المراد من كون المذكورات من الكبائر دخولها فيها اسما بحسب اصطلاح أهل الشرع إن قلنا بثبوته، بل كونها في حكم الكبائر من حيث قدحها في العدالة، أو شدّة العقوبة عليها في الآخرة، أو عدم ذهابها إلّا بالتوبة، أو الشفاعة من دون كونها مكفّرة بالحسنات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ما ذكر انّما جعل ضابطا لما يكون لذاته كبيرة، لا لعارض الإصرار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وروده و التوعّد عليه بالنار في الكتاب كونه كذلك في الواقع و إن لم يبلغه افهام غير الراسخين في العلم، و من المحتمل في المذكورات كونها كذلك، من غير أن يبلغه أفهامنا القاصرة، و انّما كشف عنه أخبار الراسخين في العلم عليهم السّلام الحاكمة بكونها من الكبائر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ورد في شارب الخمر كالمرويّ في جامع الأخبار، قال</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شرب شربة من الخمر ابتلاه اللّه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قساوة قلبه،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 جبرئيل و ميكائيل و إسرافيل و جميع الملائكة،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 جميع الأنبياء و الأئمة،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يبرّئ منه الجبّار جلّ جلاله،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أَمَّا الَّذِينَ فَسَقُوا فَمَأْوٰاهُمُ النّٰارُ كُلَّمٰا أَرٰادُوا أَنْ يَخْرُجُوا مِنْهٰا أُعِيدُوا فِيهٰا وَ قِيلَ لَهُمْ ذُوقُوا عَذٰابَ النّٰارِ الَّذِي كُنْتُمْ بِهِ تُكَذِّبُونَ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يندرج في عموم هذه الآية كلّ من حكم في الكتاب العزيز بفسقه، و منه قوله تعالى 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تَسْتَقْسِمُوا بِالْأَزْلٰامِ ذٰلِكُمْ فِسْقٌ </w:t>
      </w:r>
      <w:r>
        <w:rPr>
          <w:rStyle w:val="FootnoteAnchor"/>
          <w:rtl w:val="true"/>
        </w:rPr>
        <w:footnoteReference w:id="403"/>
      </w:r>
      <w:r>
        <w:rPr>
          <w:rFonts w:ascii="Amiri" w:hAnsi="Amiri" w:eastAsia="Amiri" w:cs="Amiri"/>
          <w:color w:val="111111"/>
          <w:sz w:val="28"/>
          <w:sz w:val="28"/>
          <w:szCs w:val="28"/>
          <w:rtl w:val="true"/>
          <w:lang w:bidi="ar-SA"/>
        </w:rPr>
        <w:t>سواء قلنا برجوع الإشارة إلى الجميع أو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بجواز كون المراد بوعيد النار أو إيجابها المتكرّر في الأخبار ما هو أعمّ من الصريح و الضمني و ما هو أعم منه بطريق المطابقة أو اللزوم، كما استظهره السيد في المصابيح </w:t>
      </w:r>
      <w:r>
        <w:rPr>
          <w:rStyle w:val="FootnoteAnchor"/>
          <w:rtl w:val="true"/>
        </w:rPr>
        <w:footnoteReference w:id="404"/>
      </w:r>
      <w:r>
        <w:rPr>
          <w:rFonts w:ascii="Amiri" w:hAnsi="Amiri" w:eastAsia="Amiri" w:cs="Amiri"/>
          <w:color w:val="111111"/>
          <w:sz w:val="28"/>
          <w:sz w:val="28"/>
          <w:szCs w:val="28"/>
          <w:rtl w:val="true"/>
          <w:lang w:bidi="ar-SA"/>
        </w:rPr>
        <w:t>بدليل حسنة أو صحيحة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كتاب عليّ عليه 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عزّ و جل و قتل النفس و عقوق الوالدين و أكل الربا بعد البيّنة و أكل مال اليتيم و الفرار من الزحف و التعرّب بعد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أكبر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درهم من مال اليتيم ظلما أم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الصلاة كافر يعني من غير علّة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المتضمّنة للتوعيد على الكفر فوق حدّ الإحصاء، فيندرج فيه كلّما أطلق عليه الكفر في الآيات و الأخبار، و منه تارك الحجّ قال اللّه تعالى وَ لِلّٰهِ عَلَى النّٰاسِ حِجُّ الْبَيْتِ مَنِ اسْتَطٰاعَ إِلَيْهِ سَبِيلًا وَ مَنْ كَفَرَ فَإِنَّ اللّٰهَ غَنِيٌّ عَنِ الْعٰالَمِينَ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تارك الصلاة كما عرفت و شارب الخمر، قال عليه السّلام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شارب الخمر لا يقبل اللّه تعالى صلاته أربعين يوما، و إن مات في الأربعين مات كافرا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 الكافر على مطلق المجترئ على اللّه في المعصية و مرتكب الكبائر في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اجترأ على اللّه في المعصية و ارتكاب الكبائر فهو كافر، و من نصب دينا غير دين اللّه فهو مشرك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يندرج في إطلاق هذا الخبر فاعل الصغيرة أيضا مع الإصرار، لأنّه بإصراره مجتر على اللّه في المعصية أو أنّه ارتكب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كفر تارك الفرائض و اندراجه في التوعيد الوارد في الكتاب ضمنا، مع إطلاق الكفر عليه فيه أيضا مع الإصرار لأنهّ بإصراره مجتر على الله في المعصية أو أنّه ارتكب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كفر تارك الفرائض و اندراجه في التوعيد الوارد في الكتاب ضمنا، مع إطلاق الكفر عليه فيه أيضا رواية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عز و جل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على وجهين، و الكفر بترك ما أمر اللّه عزّ و جلّ به، و كفر البراءة، 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كفر الجحود فهو الجحود بالربوبيّة، و الجحود على معرفة و هو أن يجحد الجاحد و هو يعلم أنّه حق قد استقرّ عنده، و قد قال اللّه تعالى وَ جَحَدُوا بِهٰا وَ اسْتَيْقَنَتْهٰا أَنْفُسُهُمْ </w:t>
      </w:r>
      <w:r>
        <w:rPr>
          <w:rStyle w:val="FootnoteAnchor"/>
          <w:rtl w:val="true"/>
        </w:rPr>
        <w:footnoteReference w:id="409"/>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الرابع من الكفر ترك ما أمر اللّه عزّ و جلّ به، و هو قول اللّه عزّ و جلّ أَ فَتُؤْمِنُونَ بِبَعْضِ الْكِتٰابِ وَ تَكْفُرُونَ بِبَعْضٍ </w:t>
      </w:r>
      <w:r>
        <w:rPr>
          <w:rStyle w:val="FootnoteAnchor"/>
          <w:rtl w:val="true"/>
        </w:rPr>
        <w:footnoteReference w:id="410"/>
      </w:r>
      <w:r>
        <w:rPr>
          <w:rFonts w:ascii="Amiri" w:hAnsi="Amiri" w:eastAsia="Amiri" w:cs="Amiri"/>
          <w:color w:val="111111"/>
          <w:sz w:val="28"/>
          <w:sz w:val="28"/>
          <w:szCs w:val="28"/>
          <w:rtl w:val="true"/>
          <w:lang w:bidi="ar-SA"/>
        </w:rPr>
        <w:t xml:space="preserve">فكفّرهم بترك ما أمرهم اللّه عزّ و جلّ به و نسبهم إلى الإيمان و لم يقبله منهم و لم ينفعهم عنده، فقال فَمٰا جَزٰاءُ مَنْ يَفْعَلُ ذٰلِكَ مِنْكُمْ إِلّٰا خِزْيٌ فِي الْحَيٰاةِ الدُّنْيٰا وَ يَوْمَ الْقِيٰامَةِ يُرَدُّونَ إِلىٰ أَشَدِّ الْعَذٰابِ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توعّد عليه في الكتاب ضمنا أو لزوما الحكم بغير ما أنزل اللّه، قال اللّه تعالى وَ مَنْ لَمْ يَحْكُمْ بِمٰا أَنْزَلَ اللّٰهُ فَأُولٰئِكَ هُمُ الْكٰافِرُونَ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اليأس من روح اللّه، قال اللّه تعالى وَ لٰا تَيْأَسُوا مِنْ رَوْحِ اللّٰهِ إِنَّهُ لٰا يَيْأَسُ</w:t>
      </w:r>
      <w:bookmarkStart w:id="155" w:name="pg19659_263779"/>
    </w:p>
    <w:p>
      <w:pPr>
        <w:pStyle w:val="BookText"/>
        <w:rPr/>
      </w:pPr>
      <w:bookmarkEnd w:id="155"/>
      <w:r>
        <w:rPr>
          <w:rFonts w:ascii="Amiri" w:hAnsi="Amiri" w:eastAsia="Amiri" w:cs="Amiri"/>
          <w:color w:val="111111"/>
          <w:sz w:val="28"/>
          <w:sz w:val="28"/>
          <w:szCs w:val="28"/>
          <w:rtl w:val="true"/>
          <w:lang w:bidi="ar-SA"/>
        </w:rPr>
        <w:t xml:space="preserve">مِنْ رَوْحِ اللّٰهِ إِلَّا الْقَوْمُ الْكٰافِرُونَ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السحر، قال اللّه تعالى 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أيضا ما يدلّ كتابا أو سنّة في معصية على أنّها أشدّ من معصية أخرى توعّد عليها في الكتاب كقوله تعالى الْفِتْنَةُ أَشَدُّ مِنَ الْقَتْلِ </w:t>
      </w:r>
      <w:r>
        <w:rPr>
          <w:rStyle w:val="FootnoteAnchor"/>
          <w:rtl w:val="true"/>
        </w:rPr>
        <w:footnoteReference w:id="41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أشد من الزنا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أيضا عقوق الوالدين الذي أطلق على صاحبه الجبّار الشقي في الكتاب، مع ما ورد فيه من التوعيد على الشقي، قال اللّه تعالى وَ لَمْ يَجْعَلْنِي جَبّٰاراً شَقِيًّا </w:t>
      </w:r>
      <w:r>
        <w:rPr>
          <w:rStyle w:val="FootnoteAnchor"/>
          <w:rtl w:val="true"/>
        </w:rPr>
        <w:footnoteReference w:id="417"/>
      </w:r>
      <w:r>
        <w:rPr>
          <w:rFonts w:ascii="Amiri" w:hAnsi="Amiri" w:eastAsia="Amiri" w:cs="Amiri"/>
          <w:color w:val="111111"/>
          <w:sz w:val="28"/>
          <w:sz w:val="28"/>
          <w:szCs w:val="28"/>
          <w:rtl w:val="true"/>
          <w:lang w:bidi="ar-SA"/>
        </w:rPr>
        <w:t>مع قوله عزّ و جلّ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Style w:val="FootnoteAnchor"/>
          <w:rtl w:val="true"/>
        </w:rPr>
        <w:footnoteReference w:id="418"/>
      </w:r>
      <w:r>
        <w:rPr>
          <w:rFonts w:ascii="Amiri" w:hAnsi="Amiri" w:eastAsia="Amiri" w:cs="Amiri"/>
          <w:color w:val="111111"/>
          <w:sz w:val="28"/>
          <w:sz w:val="28"/>
          <w:szCs w:val="28"/>
          <w:rtl w:val="true"/>
          <w:lang w:bidi="ar-SA"/>
        </w:rPr>
        <w:t xml:space="preserve">و قوله تعالى فَأَمَّا الَّذِينَ شَقُوا فَفِي النّٰارِ لَهُمْ فِيهٰا زَفِيرٌ وَ شَهِيقٌ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اختلفوا في</w:t>
      </w:r>
    </w:p>
    <w:p>
      <w:pPr>
        <w:pStyle w:val="Heading5"/>
        <w:numPr>
          <w:ilvl w:val="4"/>
          <w:numId w:val="1"/>
        </w:numPr>
        <w:rPr/>
      </w:pPr>
      <w:bookmarkStart w:id="156" w:name="__RefHeading___Toc1948338_2314609296"/>
      <w:bookmarkStart w:id="157" w:name="_Toc60"/>
      <w:bookmarkEnd w:id="156"/>
      <w:r>
        <w:rPr>
          <w:rtl w:val="true"/>
        </w:rPr>
        <w:t>تعداد الكبائر</w:t>
      </w:r>
      <w:bookmarkEnd w:id="157"/>
    </w:p>
    <w:p>
      <w:pPr>
        <w:pStyle w:val="BookText"/>
        <w:rPr/>
      </w:pPr>
      <w:r>
        <w:rPr>
          <w:rFonts w:ascii="Amiri" w:hAnsi="Amiri" w:eastAsia="Amiri" w:cs="Amiri"/>
          <w:color w:val="111111"/>
          <w:sz w:val="28"/>
          <w:sz w:val="28"/>
          <w:szCs w:val="28"/>
          <w:rtl w:val="true"/>
          <w:lang w:bidi="ar-SA"/>
        </w:rPr>
        <w:t>، فعن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من أوّل سورة النساء إلى قوله عزّ و جلّ إِنْ تَجْتَنِبُوا كَبٰائِرَ مٰا تُنْهَوْنَ عَنْهُ نُكَفِّرْ عَنْكُمْ سَيِّئٰاتِكُمْ فكلّ ما نهى عنه في هذه السورة إلى هذه الآية فهو كبيرة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الكبائر أ سبع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إلى السبعمائة أقرب منها إلى السبعة </w:t>
      </w:r>
      <w:r>
        <w:rPr>
          <w:rStyle w:val="FootnoteAnchor"/>
          <w:rtl w:val="true"/>
        </w:rPr>
        <w:footnoteReference w:id="421"/>
      </w:r>
      <w:r>
        <w:rPr>
          <w:rFonts w:ascii="Amiri" w:hAnsi="Amiri" w:eastAsia="Amiri" w:cs="Amiri"/>
          <w:color w:val="111111"/>
          <w:sz w:val="28"/>
          <w:sz w:val="28"/>
          <w:szCs w:val="28"/>
          <w:rtl w:val="true"/>
          <w:lang w:bidi="ar-SA"/>
        </w:rPr>
        <w:t>و تبعه ثاني الشهيدين في الروضة على ما حكي من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السبعمائة أقرب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عرّفها بما تقدّم من أنّها ما توعّد اللّه تعالى عليه بخصوصه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عدّت سبعا و هي إلى السبعين أقرب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الذخيرة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عزّ و جلّ، و قتل النفس التي حرّم اللّه، و قذف المحصنة، و أكل مال اليتيم، و الزنا، و الفرار من الزحف، و عقوق الوالدين، و رووا في ذلك حديثا عن النبيّ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 بزيادة السحر و الإلحاد في بيت اللّه أي الظلم فيه، و رواه أبو هريرة و زاد عليه أكل الربا، و روي عن عليّ عليه السّلام زيادة على ذلك شرب الخمر و السرقة، و زاد بعضهم على السبعة السابقة ثلاثة عشر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و السحر و الربا و الغيبة و اليمين الغموس و شهادة الزور و شرب الخمر و استحلال الكعبة و السرقة و نكث الصفقة و التعرّب بعد الهجرة و اليأس من روح اللّه و الأمن من مكر اللّه، و قد تزاد أربعة عشر أخرى أكل الميتة و الدم و لحم الخنزير و ما أهلّ لغير اللّه به من غير ضرورة و السحت و القمار و البخس في الكيل و الوزن و معونة الظالمين و حبس الحقوق من غير عسر و الإسراف و التبذير و الخيانة و الاشتغال بالملاهي و الإصرار على الذنوب، و قد يعدّ أشياء أخر كالقيادة و الدياثة و الغصب و النميمة و قطيعة الرحم و تأخير الصلاة عن وقتها و الكذب خصوصا على رسول اللّه صلّى اللّه عليه و آله و ضرب المسلم بغير حقّ و كتمان الشهادة و السعاية إلى الظالم و منع الزكاة المفروضة و تأخير الحجّ عن عام الوجوب و الظهار و المحاربة لقطع الطريق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المتبحّر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الروايات الواردة في تعداد الكبائر و النصوص الواردة في بعض المعاصي بالخصوص بعد إسقاط المكرّرات منها 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عزّ و جلّ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ما أنزل اللّه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مكر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w:t>
      </w:r>
    </w:p>
    <w:p>
      <w:pPr>
        <w:pStyle w:val="BookText"/>
        <w:rPr/>
      </w:pPr>
      <w:r>
        <w:rPr>
          <w:rFonts w:ascii="Amiri" w:hAnsi="Amiri" w:eastAsia="Amiri" w:cs="Amiri"/>
          <w:color w:val="111111"/>
          <w:sz w:val="28"/>
          <w:sz w:val="28"/>
          <w:szCs w:val="28"/>
          <w:rtl w:val="true"/>
          <w:lang w:bidi="ar-SA"/>
        </w:rPr>
        <w:t xml:space="preserve">و على الأوصياء، و في رواية مطلق الكذب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المحاربة لأولياء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تعالى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و الركون إليهم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ظلما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الربا بعد البيّنة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و الدم و لحم الخنزير و ما أهلّ به لغير اللّه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السحت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و في رواية مطلق السرقة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في المكيال و الميزان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الحقوق من غير عسر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 التبذير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بالملاهي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الزكاة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بالحجّ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شي‌ء ممّا فرض اللّه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الأخبار المتكفّلة لتعداد الكبائر أيضا اختلاف شديد من حيث العدد قلّة و كثرة، و من حيث المعدود مع الموافقة في العدد، باعتبار كلّ على غير ما اشتمل عليه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عدّة منها سبع، كصحاح ابن محبوب و ابن مسلم و ابن زرارة المتقدّمة </w:t>
      </w:r>
      <w:r>
        <w:rPr>
          <w:rStyle w:val="FootnoteAnchor"/>
          <w:rtl w:val="true"/>
        </w:rPr>
        <w:footnoteReference w:id="426"/>
      </w:r>
      <w:r>
        <w:rPr>
          <w:rFonts w:ascii="Amiri" w:hAnsi="Amiri" w:eastAsia="Amiri" w:cs="Amiri"/>
          <w:color w:val="111111"/>
          <w:sz w:val="28"/>
          <w:sz w:val="28"/>
          <w:szCs w:val="28"/>
          <w:rtl w:val="true"/>
          <w:lang w:bidi="ar-SA"/>
        </w:rPr>
        <w:t>و روايتي أبي بصير و أبي الصامت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سبعة منها قتل النفس متعمّدا و الشرك باللّه العظيم و قذف المحصنة و أكل الربا بعد البينة و الفرار من الزحف و التعرّب بعد الهجرة و عقوق الوالدين و أكل مال اليتيم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التعرّب و الشرك واحد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 قتل النفس التي حرّم اللّه عزّ و جل إلّا بالحقّ و أكل مال اليتيم و عقوق الوالدين و قذف المحصنات</w:t>
      </w:r>
    </w:p>
    <w:p>
      <w:pPr>
        <w:pStyle w:val="BookText"/>
        <w:rPr/>
      </w:pPr>
      <w:r>
        <w:rPr>
          <w:rFonts w:ascii="Amiri" w:hAnsi="Amiri" w:eastAsia="Amiri" w:cs="Amiri"/>
          <w:color w:val="111111"/>
          <w:sz w:val="28"/>
          <w:sz w:val="28"/>
          <w:szCs w:val="28"/>
          <w:rtl w:val="true"/>
          <w:lang w:bidi="ar-SA"/>
        </w:rPr>
        <w:t xml:space="preserve">و الفرار من الزحف و إنكار ما أنزل اللّه عز و جلّ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عشر، كصحيحة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القنوط من رحمة اللّه و اليأس من روح اللّه عزّ و جل و الأمن من مكر اللّه و قتل النفس التي حرّم اللّه تعالى عزّ و جلّ و عقوق الوالدين و أكل مال اليتيم ظلما و أكل الربا بعد البينة و التعرّب بعد الهجرة و قذف المحصنة و الفرار من الزحف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الفضل بن شاذان عن الرضا عليه السّلام فيما كتب إلى المأمون ما زاد على ثلاثين،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الإيمان اجتناب الكبائر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و حبس الحقوق من غير عسرة و الكذب و الكبر و الإسراف و التبذير و الخيانة و الاستخفاف بالحجّ و المحاربة لأولياء اللّه و الاشتغال بالملاهي و الإصرار على الذنوب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عبد العظيم بن عبد اللّه الحسني المرويّة عن الكافي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 عليه السّلام فلمّا سلّم و جلس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ثمَّ أمسك، فقال له أبو عبد اللّه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أمسكك؟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w:t>
      </w:r>
    </w:p>
    <w:p>
      <w:pPr>
        <w:pStyle w:val="BookText"/>
        <w:rPr/>
      </w:pPr>
      <w:r>
        <w:rPr>
          <w:rFonts w:ascii="Amiri" w:hAnsi="Amiri" w:eastAsia="Amiri" w:cs="Amiri"/>
          <w:color w:val="111111"/>
          <w:sz w:val="28"/>
          <w:sz w:val="28"/>
          <w:szCs w:val="28"/>
          <w:rtl w:val="true"/>
          <w:lang w:bidi="ar-SA"/>
        </w:rPr>
        <w:t xml:space="preserve">عمرو أكبر الكبائر الإشراك باللّه، يقول اللّه عزّ و جلّ مَنْ يُشْرِكْ بِاللّٰهِ فَقَدْ حَرَّمَ اللّٰهُ عَلَيْهِ الْجَنَّةَ </w:t>
      </w:r>
      <w:r>
        <w:rPr>
          <w:rStyle w:val="FootnoteAnchor"/>
          <w:rtl w:val="true"/>
        </w:rPr>
        <w:footnoteReference w:id="432"/>
      </w:r>
      <w:r>
        <w:rPr>
          <w:rFonts w:ascii="Amiri" w:hAnsi="Amiri" w:eastAsia="Amiri" w:cs="Amiri"/>
          <w:color w:val="111111"/>
          <w:sz w:val="28"/>
          <w:sz w:val="28"/>
          <w:szCs w:val="28"/>
          <w:rtl w:val="true"/>
          <w:lang w:bidi="ar-SA"/>
        </w:rPr>
        <w:t xml:space="preserve">و بعده اليأس من روح اللّه، لأنّ اللّه تعالى يقول لٰا يَيْأَسُ مِنْ رَوْحِ اللّٰهِ إِلَّا الْقَوْمُ الْكٰافِرُونَ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من مكر اللّه لأنّ اللّه عزّ و جلّ يقول فَلٰا يَأْمَنُ مَكْرَ اللّٰهِ إِلَّا الْقَوْمُ الْخٰاسِرُونَ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الوالدين، لأنّ اللّه تعالى جعل العاقّ جبّارا شقيّا و قتل النفس التي حرّم اللّه إلّا بالحقّ، لأنّ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فَجَزٰاؤُهُ جَهَنَّمُ خٰالِداً فِيهٰا </w:t>
      </w:r>
      <w:r>
        <w:rPr>
          <w:rStyle w:val="FootnoteAnchor"/>
          <w:rtl w:val="true"/>
        </w:rPr>
        <w:footnoteReference w:id="4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المحصنة، لأنّ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لُعِنُوا فِي الدُّنْيٰا وَ الْآخِرَةِ وَ لَهُمْ عَذٰابٌ عَظِيمٌ </w:t>
      </w:r>
      <w:r>
        <w:rPr>
          <w:rStyle w:val="FootnoteAnchor"/>
          <w:rtl w:val="true"/>
        </w:rPr>
        <w:footnoteReference w:id="436"/>
      </w:r>
      <w:r>
        <w:rPr>
          <w:rFonts w:ascii="Amiri" w:hAnsi="Amiri" w:eastAsia="Amiri" w:cs="Amiri"/>
          <w:color w:val="111111"/>
          <w:sz w:val="28"/>
          <w:sz w:val="28"/>
          <w:szCs w:val="28"/>
          <w:rtl w:val="true"/>
          <w:lang w:bidi="ar-SA"/>
        </w:rPr>
        <w:t xml:space="preserve">و أكل مال اليتيم، لأنّ اللّه تعالى يقول إِنَّمٰا يَأْكُلُونَ فِي بُطُونِهِمْ نٰاراً وَ سَيَصْلَوْنَ سَعِيراً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الفرار من الزحف، لأنّ اللّه تعالى يقول وَ مَنْ يُوَلِّهِمْ يَوْمَئِذٍ دُبُرَهُ إِلّٰا مُتَحَرِّفاً لِقِتٰالٍ أَوْ مُتَحَيِّزاً إِلىٰ فِئَةٍ فَقَدْ بٰاءَ بِغَضَبٍ مِنَ اللّٰهِ وَ مَأْوٰاهُ جَهَنَّمُ وَ بِئْسَ الْمَصِيرُ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الربا، لأنّ اللّه تعالى يقول الَّذِينَ يَأْكُلُونَ الرِّبٰا لٰا يَقُومُونَ إِلّٰا كَمٰا يَقُومُ الَّذِي يَتَخَبَّطُهُ الشَّيْطٰانُ مِنَ الْمَسِّ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لأنّ اللّه عزّ و جلّ يقول وَ لَقَدْ عَلِمُوا لَمَنِ اشْتَرٰاهُ مٰا لَهُ فِي الْآخِرَةِ مِنْ خَلٰاقٍ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تعالى يقول وَ مَنْ يَفْعَلْ ذٰلِكَ يَلْقَ أَثٰاماً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الغموس الفاجرة، لأنّ اللّه تعالى يقول الَّذِينَ يَشْتَرُونَ بِعَهْدِ اللّٰهِ وَ أَيْمٰانِهِمْ ثَمَناً قَلِيلًا أُولٰئِكَ لٰا خَلٰاقَ لَهُمْ فِي الْآخِرَةِ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لأنّ اللّه عزّ و جلّ يقول وَ مَنْ يَغْلُلْ يَأْتِ بِمٰا غَلَّ يَوْمَ الْقِيٰامَةِ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الزكاة المفروضة، لأنّ اللّه عزّ و جلّ يقول فَتُكْوىٰ بِهٰا جِبٰاهُهُمْ وَ جُنُوبُهُمْ وَ ظُهُورُهُمْ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w:t>
      </w:r>
    </w:p>
    <w:p>
      <w:pPr>
        <w:pStyle w:val="BookText"/>
        <w:rPr/>
      </w:pPr>
      <w:r>
        <w:rPr>
          <w:rFonts w:ascii="Amiri" w:hAnsi="Amiri" w:eastAsia="Amiri" w:cs="Amiri"/>
          <w:color w:val="111111"/>
          <w:sz w:val="28"/>
          <w:sz w:val="28"/>
          <w:szCs w:val="28"/>
          <w:rtl w:val="true"/>
          <w:lang w:bidi="ar-SA"/>
        </w:rPr>
        <w:t xml:space="preserve">و جلّ يقول وَ مَنْ يَكْتُمْهٰا فَإِنَّهُ آثِمٌ قَلْبُهُ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نهى عنه كما نهى عن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الصلاة متعمّدا أو شيئا ممّا فرض اللّه تعالى،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فقد برأ من ذمّة اللّه و ذمّة رسول اللّه صلّى اللّه عليه و آله و نقض العهد و قطيعة الرحم، لأنّ اللّه تعالى يقول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 نازعكم في الفضل و العلم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اختلاف الروايات المذكورة تعارض ظاهر بينها مع تنافي روايات السبع و غيرها، للأخبار المتقدّمة القاضية بأنّ الكبائر ما أوعد اللّه عليه النار و 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و رفع التنافي بإلغاء مفهوم العدد المستفاد منها و حمل السبع و نحوها على إرادة أكبر الكبائر كما هو المصرّح به في خبري عبيد بن زرارة و أبي الصامت، أو على إرادة المعاصي الفعليّة دون التركية، أو إدراج بعض ما لم يذكر في بعض ما ذكر كإدراج ترك الصلاة و نحوه في الكفر في خبر ابن زرارة، أو على بيان جملة من الكبائر على وجه المثال لا جميعها على وجه الحصر، كما يدلّ عليه صحيحة محمّد بن مسلم حيث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الكبائر سبع و جعل السابع كلّ ما أوجب اللّه عليه النار، من باب التعميم بعد التخصيص مريدا به التنبيه على عدم انحصارها في العدد القليل، بل هي ما يعرف بالضابط المذكور الصادق عليه و على غيره ممّا لم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أوّلا و آخرا و ظاهرا و باطنا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في محرّم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قدّس سرّه بذلك في ختام المجلد الأوّل من تعليقته على القوانين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بيد مؤلفه الفقير الى اللّه الغني على بن إسماعيل الموسوي القزويني مولدا و مسكنا في العشر الأوّل من ربيع الأولى سنة اثني و تسعين و مائتين بعد الألف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النبوية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ذلك ممّا قاله العلّامة الطهراني في ترجمة السيّد رضي الدّين القزويني خال سيّدنا المترجم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خال السيد علي القزويني صاحب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 والد المترجم له السيّد على أكبر و انّه كان ابن عمّ السيد إبراهيم بن محمّد باقر الموسوي القزويني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المأثر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سياحت شرق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معروفة بقزوين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فيها أربعة أنبياء من بني إسرائيل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العاملي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و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سطوته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سوطه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الاشراف و نقله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شعبة من الإيمان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العدة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لي غير ذلك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يطلب إليه في الجرم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قليل الذنوب يجتمع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خبل فساد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نص العبارة عن بعض متأخّري المتأخّرين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الشفتي في مطالع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حسن في 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شعبة من الإيمان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التبرّج من البروج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الأنصاري في رسالة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السادة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الأنصاري في رسالة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تقتضيه السياق</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ظنين أي المتهم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صالح بن عقبة عن علقمة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الميل و التحامل فذلكم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و ذلك لاقتضاء السياق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الرواية واحدة، رواها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سهل، عن علي بن مهزيار، عن أبي عليّ بن راشد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تثق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سهل بن زياد مثله، إلّا أنّه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رواية سماعة بن مهران 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إلينا كتاب القضاء 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نفيل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إحياء الاحياء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يحب من عباده المفتن التواب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ينشأ بينهما لحم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تذيق الجسم ألم الطاعة كما أذقته حلاوة المعصية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أخطأتم حتى تبلغ خطاياكم السماء ثمَّ تبتم لتاب عليكم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التي لا قرن لها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الروائية، و نقله في المحجّة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إحياء الأحياء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العدالة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نقله عنهم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الاكتراث بالدّين قلّة المبالاة فيه و قلّة الاعتناء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51894</Words>
  <Characters>212571</Characters>
  <CharactersWithSpaces>263235</CharactersWithSpaces>
  <Paragraphs>1679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2026-08-26T01:21:23Z</dcterms:created>
  <dc:creator>ghaemiyeh.com</dc:creator>
  <dc:description/>
  <dc:language>en-US</dc:language>
  <cp:lastModifiedBy/>
  <dcterms:modified xsi:type="dcterms:W3CDTF">2026-08-26T04:51:30Z</dcterms:modified>
  <cp:revision>1</cp:revision>
  <dc:subject/>
  <dc:title>رساله فی العداله بضمیمه قاعده مایضمن و حمل فعل المسلم علی الصحه</dc:title>
</cp:coreProperties>
</file>

<file path=docProps/custom.xml><?xml version="1.0" encoding="utf-8"?>
<Properties xmlns="http://schemas.openxmlformats.org/officeDocument/2006/custom-properties" xmlns:vt="http://schemas.openxmlformats.org/officeDocument/2006/docPropsVTypes"/>
</file>