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ذکرة الاسباب الصادة عن ادراک الصواب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499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86499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65001_1280447820">
            <w:r>
              <w:rPr>
                <w:webHidden/>
                <w:rStyle w:val="IndexLink"/>
                <w:rtl w:val="true"/>
              </w:rPr>
              <w:t>تقدیم</w:t>
            </w:r>
            <w:r>
              <w:rPr>
                <w:rStyle w:val="IndexLink"/>
                <w:rtl w:val="true"/>
              </w:rPr>
              <w:t>:</w:t>
              <w:tab/>
            </w:r>
            <w:r>
              <w:rPr>
                <w:rStyle w:val="IndexLink"/>
              </w:rPr>
              <w:t>8</w:t>
            </w:r>
          </w:hyperlink>
        </w:p>
        <w:p>
          <w:pPr>
            <w:pStyle w:val="Contents2"/>
            <w:tabs>
              <w:tab w:val="clear" w:pos="8743"/>
              <w:tab w:val="right" w:pos="9026" w:leader="dot"/>
            </w:tabs>
            <w:rPr/>
          </w:pPr>
          <w:hyperlink w:anchor="__RefHeading___Toc15865003_1280447820">
            <w:r>
              <w:rPr>
                <w:webHidden/>
                <w:rStyle w:val="IndexLink"/>
                <w:rtl w:val="true"/>
              </w:rPr>
              <w:t>ترجمة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15865005_1280447820">
            <w:r>
              <w:rPr>
                <w:webHidden/>
                <w:rStyle w:val="IndexLink"/>
                <w:rtl w:val="true"/>
              </w:rPr>
              <w:t xml:space="preserve">نسبته إلى </w:t>
            </w:r>
            <w:r>
              <w:rPr>
                <w:rStyle w:val="IndexLink"/>
                <w:rtl w:val="true"/>
              </w:rPr>
              <w:t>(</w:t>
            </w:r>
            <w:r>
              <w:rPr>
                <w:rStyle w:val="IndexLink"/>
                <w:rtl w:val="true"/>
              </w:rPr>
              <w:t>كراجك</w:t>
            </w:r>
            <w:r>
              <w:rPr>
                <w:rStyle w:val="IndexLink"/>
                <w:rtl w:val="true"/>
              </w:rPr>
              <w:t>):</w:t>
              <w:tab/>
            </w:r>
            <w:r>
              <w:rPr>
                <w:rStyle w:val="IndexLink"/>
              </w:rPr>
              <w:t>15</w:t>
            </w:r>
          </w:hyperlink>
        </w:p>
        <w:p>
          <w:pPr>
            <w:pStyle w:val="Contents2"/>
            <w:tabs>
              <w:tab w:val="clear" w:pos="8743"/>
              <w:tab w:val="right" w:pos="9026" w:leader="dot"/>
            </w:tabs>
            <w:rPr/>
          </w:pPr>
          <w:hyperlink w:anchor="__RefHeading___Toc15865007_1280447820">
            <w:r>
              <w:rPr>
                <w:webHidden/>
                <w:rStyle w:val="IndexLink"/>
                <w:rtl w:val="true"/>
              </w:rPr>
              <w:t xml:space="preserve">نسبته إلى </w:t>
            </w:r>
            <w:r>
              <w:rPr>
                <w:rStyle w:val="IndexLink"/>
                <w:rtl w:val="true"/>
              </w:rPr>
              <w:t>(</w:t>
            </w:r>
            <w:r>
              <w:rPr>
                <w:rStyle w:val="IndexLink"/>
                <w:rtl w:val="true"/>
              </w:rPr>
              <w:t>طرابلس</w:t>
            </w:r>
            <w:r>
              <w:rPr>
                <w:rStyle w:val="IndexLink"/>
                <w:rtl w:val="true"/>
              </w:rPr>
              <w:t>)</w:t>
              <w:tab/>
            </w:r>
            <w:r>
              <w:rPr>
                <w:rStyle w:val="IndexLink"/>
              </w:rPr>
              <w:t>16</w:t>
            </w:r>
          </w:hyperlink>
        </w:p>
        <w:p>
          <w:pPr>
            <w:pStyle w:val="Contents2"/>
            <w:tabs>
              <w:tab w:val="clear" w:pos="8743"/>
              <w:tab w:val="right" w:pos="9026" w:leader="dot"/>
            </w:tabs>
            <w:rPr/>
          </w:pPr>
          <w:hyperlink w:anchor="__RefHeading___Toc15865009_1280447820">
            <w:r>
              <w:rPr>
                <w:webHidden/>
                <w:rStyle w:val="IndexLink"/>
                <w:rtl w:val="true"/>
              </w:rPr>
              <w:t xml:space="preserve">نسبته إلى </w:t>
            </w:r>
            <w:r>
              <w:rPr>
                <w:rStyle w:val="IndexLink"/>
                <w:rtl w:val="true"/>
              </w:rPr>
              <w:t>(</w:t>
            </w:r>
            <w:r>
              <w:rPr>
                <w:rStyle w:val="IndexLink"/>
                <w:rtl w:val="true"/>
              </w:rPr>
              <w:t>صور</w:t>
            </w:r>
            <w:r>
              <w:rPr>
                <w:rStyle w:val="IndexLink"/>
                <w:rtl w:val="true"/>
              </w:rPr>
              <w:t>):</w:t>
              <w:tab/>
            </w:r>
            <w:r>
              <w:rPr>
                <w:rStyle w:val="IndexLink"/>
              </w:rPr>
              <w:t>17</w:t>
            </w:r>
          </w:hyperlink>
        </w:p>
        <w:p>
          <w:pPr>
            <w:pStyle w:val="Contents2"/>
            <w:tabs>
              <w:tab w:val="clear" w:pos="8743"/>
              <w:tab w:val="right" w:pos="9026" w:leader="dot"/>
            </w:tabs>
            <w:rPr/>
          </w:pPr>
          <w:hyperlink w:anchor="__RefHeading___Toc15865011_1280447820">
            <w:r>
              <w:rPr>
                <w:webHidden/>
                <w:rStyle w:val="IndexLink"/>
                <w:rtl w:val="true"/>
              </w:rPr>
              <w:t>رحلاته</w:t>
            </w:r>
            <w:r>
              <w:rPr>
                <w:rStyle w:val="IndexLink"/>
                <w:rtl w:val="true"/>
              </w:rPr>
              <w:tab/>
            </w:r>
            <w:r>
              <w:rPr>
                <w:rStyle w:val="IndexLink"/>
              </w:rPr>
              <w:t>17</w:t>
            </w:r>
          </w:hyperlink>
        </w:p>
        <w:p>
          <w:pPr>
            <w:pStyle w:val="Contents2"/>
            <w:tabs>
              <w:tab w:val="clear" w:pos="8743"/>
              <w:tab w:val="right" w:pos="9026" w:leader="dot"/>
            </w:tabs>
            <w:rPr/>
          </w:pPr>
          <w:hyperlink w:anchor="__RefHeading___Toc15865013_1280447820">
            <w:r>
              <w:rPr>
                <w:webHidden/>
                <w:rStyle w:val="IndexLink"/>
                <w:rtl w:val="true"/>
              </w:rPr>
              <w:t>إطراء العلماء عليه</w:t>
            </w:r>
            <w:r>
              <w:rPr>
                <w:rStyle w:val="IndexLink"/>
                <w:rtl w:val="true"/>
              </w:rPr>
              <w:t>:</w:t>
              <w:tab/>
            </w:r>
            <w:r>
              <w:rPr>
                <w:rStyle w:val="IndexLink"/>
              </w:rPr>
              <w:t>18</w:t>
            </w:r>
          </w:hyperlink>
        </w:p>
        <w:p>
          <w:pPr>
            <w:pStyle w:val="Contents2"/>
            <w:tabs>
              <w:tab w:val="clear" w:pos="8743"/>
              <w:tab w:val="right" w:pos="9026" w:leader="dot"/>
            </w:tabs>
            <w:rPr/>
          </w:pPr>
          <w:hyperlink w:anchor="__RefHeading___Toc15865015_1280447820">
            <w:r>
              <w:rPr>
                <w:webHidden/>
                <w:rStyle w:val="IndexLink"/>
                <w:rtl w:val="true"/>
              </w:rPr>
              <w:t>تصانيفه</w:t>
            </w:r>
            <w:r>
              <w:rPr>
                <w:rStyle w:val="IndexLink"/>
                <w:rtl w:val="true"/>
              </w:rPr>
              <w:t>.</w:t>
              <w:tab/>
            </w:r>
            <w:r>
              <w:rPr>
                <w:rStyle w:val="IndexLink"/>
              </w:rPr>
              <w:t>19</w:t>
            </w:r>
          </w:hyperlink>
        </w:p>
        <w:p>
          <w:pPr>
            <w:pStyle w:val="Contents2"/>
            <w:tabs>
              <w:tab w:val="clear" w:pos="8743"/>
              <w:tab w:val="right" w:pos="9026" w:leader="dot"/>
            </w:tabs>
            <w:rPr/>
          </w:pPr>
          <w:hyperlink w:anchor="__RefHeading___Toc15865017_1280447820">
            <w:r>
              <w:rPr>
                <w:webHidden/>
                <w:rStyle w:val="IndexLink"/>
                <w:rtl w:val="true"/>
              </w:rPr>
              <w:t>أساتذته ومشايخه</w:t>
            </w:r>
            <w:r>
              <w:rPr>
                <w:rStyle w:val="IndexLink"/>
                <w:rtl w:val="true"/>
              </w:rPr>
              <w:tab/>
            </w:r>
            <w:r>
              <w:rPr>
                <w:rStyle w:val="IndexLink"/>
              </w:rPr>
              <w:t>21</w:t>
            </w:r>
          </w:hyperlink>
        </w:p>
        <w:p>
          <w:pPr>
            <w:pStyle w:val="Contents2"/>
            <w:tabs>
              <w:tab w:val="clear" w:pos="8743"/>
              <w:tab w:val="right" w:pos="9026" w:leader="dot"/>
            </w:tabs>
            <w:rPr/>
          </w:pPr>
          <w:hyperlink w:anchor="__RefHeading___Toc15865019_1280447820">
            <w:r>
              <w:rPr>
                <w:webHidden/>
                <w:rStyle w:val="IndexLink"/>
                <w:rtl w:val="true"/>
              </w:rPr>
              <w:t>تلامذته، ومن روى عنه</w:t>
            </w:r>
            <w:r>
              <w:rPr>
                <w:rStyle w:val="IndexLink"/>
                <w:rtl w:val="true"/>
              </w:rPr>
              <w:tab/>
            </w:r>
            <w:r>
              <w:rPr>
                <w:rStyle w:val="IndexLink"/>
              </w:rPr>
              <w:t>21</w:t>
            </w:r>
          </w:hyperlink>
        </w:p>
        <w:p>
          <w:pPr>
            <w:pStyle w:val="Contents2"/>
            <w:tabs>
              <w:tab w:val="clear" w:pos="8743"/>
              <w:tab w:val="right" w:pos="9026" w:leader="dot"/>
            </w:tabs>
            <w:rPr/>
          </w:pPr>
          <w:hyperlink w:anchor="__RefHeading___Toc15865021_1280447820">
            <w:r>
              <w:rPr>
                <w:webHidden/>
                <w:rStyle w:val="IndexLink"/>
                <w:rtl w:val="true"/>
              </w:rPr>
              <w:t>مؤلّفاته وآثاره العلمية</w:t>
            </w:r>
            <w:r>
              <w:rPr>
                <w:rStyle w:val="IndexLink"/>
                <w:rtl w:val="true"/>
              </w:rPr>
              <w:t>:</w:t>
              <w:tab/>
            </w:r>
            <w:r>
              <w:rPr>
                <w:rStyle w:val="IndexLink"/>
              </w:rPr>
              <w:t>22</w:t>
            </w:r>
          </w:hyperlink>
        </w:p>
        <w:p>
          <w:pPr>
            <w:pStyle w:val="Contents2"/>
            <w:tabs>
              <w:tab w:val="clear" w:pos="8743"/>
              <w:tab w:val="right" w:pos="9026" w:leader="dot"/>
            </w:tabs>
            <w:rPr/>
          </w:pPr>
          <w:hyperlink w:anchor="__RefHeading___Toc15865023_1280447820">
            <w:r>
              <w:rPr>
                <w:webHidden/>
                <w:rStyle w:val="IndexLink"/>
                <w:rtl w:val="true"/>
              </w:rPr>
              <w:t>وفاته</w:t>
            </w:r>
            <w:r>
              <w:rPr>
                <w:rStyle w:val="IndexLink"/>
                <w:rtl w:val="true"/>
              </w:rPr>
              <w:tab/>
            </w:r>
            <w:r>
              <w:rPr>
                <w:rStyle w:val="IndexLink"/>
              </w:rPr>
              <w:t>24</w:t>
            </w:r>
          </w:hyperlink>
        </w:p>
        <w:p>
          <w:pPr>
            <w:pStyle w:val="Contents2"/>
            <w:tabs>
              <w:tab w:val="clear" w:pos="8743"/>
              <w:tab w:val="right" w:pos="9026" w:leader="dot"/>
            </w:tabs>
            <w:rPr/>
          </w:pPr>
          <w:hyperlink w:anchor="__RefHeading___Toc15865025_1280447820">
            <w:r>
              <w:rPr>
                <w:webHidden/>
                <w:rStyle w:val="IndexLink"/>
                <w:rtl w:val="true"/>
              </w:rPr>
              <w:t>نسبة الكتاب إلى الكراجكيّ</w:t>
            </w:r>
            <w:r>
              <w:rPr>
                <w:rStyle w:val="IndexLink"/>
                <w:rtl w:val="true"/>
              </w:rPr>
              <w:t>:</w:t>
              <w:tab/>
            </w:r>
            <w:r>
              <w:rPr>
                <w:rStyle w:val="IndexLink"/>
              </w:rPr>
              <w:t>25</w:t>
            </w:r>
          </w:hyperlink>
        </w:p>
        <w:p>
          <w:pPr>
            <w:pStyle w:val="Contents2"/>
            <w:tabs>
              <w:tab w:val="clear" w:pos="8743"/>
              <w:tab w:val="right" w:pos="9026" w:leader="dot"/>
            </w:tabs>
            <w:rPr/>
          </w:pPr>
          <w:hyperlink w:anchor="__RefHeading___Toc15865027_1280447820">
            <w:r>
              <w:rPr>
                <w:webHidden/>
                <w:rStyle w:val="IndexLink"/>
                <w:rtl w:val="true"/>
              </w:rPr>
              <w:t>نسخة الكتاب وطريقتنا في التحقيق</w:t>
            </w:r>
            <w:r>
              <w:rPr>
                <w:rStyle w:val="IndexLink"/>
                <w:rtl w:val="true"/>
              </w:rPr>
              <w:tab/>
            </w:r>
            <w:r>
              <w:rPr>
                <w:rStyle w:val="IndexLink"/>
              </w:rPr>
              <w:t>27</w:t>
            </w:r>
          </w:hyperlink>
        </w:p>
        <w:p>
          <w:pPr>
            <w:pStyle w:val="Contents2"/>
            <w:tabs>
              <w:tab w:val="clear" w:pos="8743"/>
              <w:tab w:val="right" w:pos="9026" w:leader="dot"/>
            </w:tabs>
            <w:rPr/>
          </w:pPr>
          <w:hyperlink w:anchor="__RefHeading___Toc15865029_1280447820">
            <w:r>
              <w:rPr>
                <w:webHidden/>
                <w:rStyle w:val="IndexLink"/>
                <w:rtl w:val="true"/>
              </w:rPr>
              <w:t>نماذج من النسخة</w:t>
            </w:r>
            <w:r>
              <w:rPr>
                <w:rStyle w:val="IndexLink"/>
                <w:rtl w:val="true"/>
              </w:rPr>
              <w:tab/>
            </w:r>
            <w:r>
              <w:rPr>
                <w:rStyle w:val="IndexLink"/>
              </w:rPr>
              <w:t>30</w:t>
            </w:r>
          </w:hyperlink>
        </w:p>
        <w:p>
          <w:pPr>
            <w:pStyle w:val="Contents2"/>
            <w:tabs>
              <w:tab w:val="clear" w:pos="8743"/>
              <w:tab w:val="right" w:pos="9026" w:leader="dot"/>
            </w:tabs>
            <w:rPr/>
          </w:pPr>
          <w:hyperlink w:anchor="__RefHeading___Toc15865031_1280447820">
            <w:r>
              <w:rPr>
                <w:webHidden/>
                <w:rStyle w:val="IndexLink"/>
                <w:rtl w:val="true"/>
              </w:rPr>
              <w:t>فصل في ذكر ما يختص به العامة ومَن هَجَر النظر من الأمة فيصدهم عن إدراك الصواب</w:t>
            </w:r>
            <w:r>
              <w:rPr>
                <w:rStyle w:val="IndexLink"/>
                <w:rtl w:val="true"/>
              </w:rPr>
              <w:tab/>
            </w:r>
            <w:r>
              <w:rPr>
                <w:rStyle w:val="IndexLink"/>
              </w:rPr>
              <w:t>38</w:t>
            </w:r>
          </w:hyperlink>
        </w:p>
        <w:p>
          <w:pPr>
            <w:pStyle w:val="Contents2"/>
            <w:tabs>
              <w:tab w:val="clear" w:pos="8743"/>
              <w:tab w:val="right" w:pos="9026" w:leader="dot"/>
            </w:tabs>
            <w:rPr/>
          </w:pPr>
          <w:hyperlink w:anchor="__RefHeading___Toc15865033_1280447820">
            <w:r>
              <w:rPr>
                <w:webHidden/>
                <w:rStyle w:val="IndexLink"/>
                <w:rtl w:val="true"/>
              </w:rPr>
              <w:t>فصلٌ في ذكر ما يختص المستدلّين</w:t>
            </w:r>
            <w:r>
              <w:rPr>
                <w:rStyle w:val="IndexLink"/>
                <w:rtl w:val="true"/>
              </w:rPr>
              <w:tab/>
            </w:r>
            <w:r>
              <w:rPr>
                <w:rStyle w:val="IndexLink"/>
              </w:rPr>
              <w:t>56</w:t>
            </w:r>
          </w:hyperlink>
        </w:p>
        <w:p>
          <w:pPr>
            <w:pStyle w:val="Contents2"/>
            <w:tabs>
              <w:tab w:val="clear" w:pos="8743"/>
              <w:tab w:val="right" w:pos="9026" w:leader="dot"/>
            </w:tabs>
            <w:rPr/>
          </w:pPr>
          <w:hyperlink w:anchor="__RefHeading___Toc15865035_1280447820">
            <w:r>
              <w:rPr>
                <w:webHidden/>
                <w:rStyle w:val="IndexLink"/>
                <w:rtl w:val="true"/>
              </w:rPr>
              <w:t xml:space="preserve">فصل في ذكر ما يختص المستدلّين </w:t>
            </w:r>
            <w:r>
              <w:rPr>
                <w:rStyle w:val="IndexLink"/>
                <w:rtl w:val="true"/>
              </w:rPr>
              <w:t>..</w:t>
              <w:tab/>
            </w:r>
            <w:r>
              <w:rPr>
                <w:rStyle w:val="IndexLink"/>
              </w:rPr>
              <w:t>58</w:t>
            </w:r>
          </w:hyperlink>
        </w:p>
        <w:p>
          <w:pPr>
            <w:pStyle w:val="Contents2"/>
            <w:tabs>
              <w:tab w:val="clear" w:pos="8743"/>
              <w:tab w:val="right" w:pos="9026" w:leader="dot"/>
            </w:tabs>
            <w:rPr/>
          </w:pPr>
          <w:hyperlink w:anchor="__RefHeading___Toc15865037_1280447820">
            <w:r>
              <w:rPr>
                <w:webHidden/>
                <w:rStyle w:val="IndexLink"/>
                <w:rtl w:val="true"/>
              </w:rPr>
              <w:t>فهرس مصادر التحقيق</w:t>
            </w:r>
            <w:r>
              <w:rPr>
                <w:rStyle w:val="IndexLink"/>
                <w:rtl w:val="true"/>
              </w:rPr>
              <w:tab/>
            </w:r>
            <w:r>
              <w:rPr>
                <w:rStyle w:val="IndexLink"/>
              </w:rPr>
              <w:t>64</w:t>
            </w:r>
          </w:hyperlink>
        </w:p>
        <w:p>
          <w:pPr>
            <w:pStyle w:val="Contents2"/>
            <w:tabs>
              <w:tab w:val="clear" w:pos="8743"/>
              <w:tab w:val="right" w:pos="9026" w:leader="dot"/>
            </w:tabs>
            <w:rPr/>
          </w:pPr>
          <w:hyperlink w:anchor="__RefHeading___Toc15865039_1280447820">
            <w:r>
              <w:rPr>
                <w:webHidden/>
                <w:rStyle w:val="IndexLink"/>
                <w:rtl w:val="true"/>
              </w:rPr>
              <w:t>فهرس المحتويات</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1_180529"/>
      <w:bookmarkStart w:id="1" w:name="pg19151_180529"/>
      <w:bookmarkEnd w:id="1"/>
    </w:p>
    <w:p>
      <w:pPr>
        <w:pStyle w:val="Heading2"/>
        <w:numPr>
          <w:ilvl w:val="1"/>
          <w:numId w:val="1"/>
        </w:numPr>
        <w:rPr/>
      </w:pPr>
      <w:bookmarkStart w:id="2" w:name="pg19151_180529"/>
      <w:bookmarkStart w:id="3" w:name="__RefHeading___Toc1586499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ذكرة الاسباب الصادة عن ادراك الصواب</w:t>
      </w:r>
    </w:p>
    <w:p>
      <w:pPr>
        <w:pStyle w:val="BookText"/>
        <w:rPr/>
      </w:pPr>
      <w:r>
        <w:rPr>
          <w:rFonts w:ascii="Amiri" w:hAnsi="Amiri" w:eastAsia="Amiri" w:cs="Amiri"/>
          <w:color w:val="111111"/>
          <w:sz w:val="28"/>
          <w:sz w:val="28"/>
          <w:szCs w:val="28"/>
          <w:rtl w:val="true"/>
          <w:lang w:bidi="ar-SA"/>
        </w:rPr>
        <w:t>لأبي الفتح الكراجكي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تحقیق عبدالحليم عوض الحلى</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مركز الحياء التراث</w:t>
      </w:r>
    </w:p>
    <w:p>
      <w:pPr>
        <w:pStyle w:val="BookText"/>
        <w:rPr/>
      </w:pPr>
      <w:r>
        <w:rPr>
          <w:rFonts w:ascii="Amiri" w:hAnsi="Amiri" w:eastAsia="Amiri" w:cs="Amiri"/>
          <w:color w:val="111111"/>
          <w:sz w:val="28"/>
          <w:sz w:val="28"/>
          <w:szCs w:val="28"/>
          <w:rtl w:val="true"/>
          <w:lang w:bidi="ar-SA"/>
        </w:rPr>
        <w:t>التّابع لدار مخطوطات العتبة العباسيّة المقدسّة</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6499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tahqiq@alkafeel.net</w:t>
      </w:r>
    </w:p>
    <w:p>
      <w:pPr>
        <w:pStyle w:val="BookText"/>
        <w:rPr/>
      </w:pPr>
      <w:r>
        <w:rPr>
          <w:rFonts w:ascii="Amiri" w:hAnsi="Amiri" w:eastAsia="Amiri" w:cs="Amiri"/>
          <w:color w:val="111111"/>
          <w:sz w:val="28"/>
          <w:sz w:val="28"/>
          <w:szCs w:val="28"/>
          <w:rtl w:val="true"/>
          <w:lang w:bidi="ar-SA"/>
        </w:rPr>
        <w:t xml:space="preserve">الكراجكي، محمد بن علي بن عثمان،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ذكر الأسباب الصادة عن إدراك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الفتح الكراجكي؛ تحقيق عبد الحليم عوض الحليّ؛ مراجعة مركز إحياء التراث التابع لدار مخطوطات العتبة العباسية المقدسة –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 دار مخطوطات العتبة العباسيّة المقدّسة،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سلسلة تراثيات؛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الوعظ والإرشاد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عوض الحلي، عبد الحليم،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BP 184.25 .K3 2014</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في بغداد لسنة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الأسباب الصادة عن إدراك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قاسم الوردي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51_180533"/>
      <w:bookmarkStart w:id="8" w:name="pg19151_180533"/>
      <w:bookmarkEnd w:id="8"/>
    </w:p>
    <w:p>
      <w:pPr>
        <w:pStyle w:val="Heading2"/>
        <w:numPr>
          <w:ilvl w:val="1"/>
          <w:numId w:val="1"/>
        </w:numPr>
        <w:rPr/>
      </w:pPr>
      <w:bookmarkStart w:id="9" w:name="pg19151_180533"/>
      <w:bookmarkStart w:id="10" w:name="__RefHeading___Toc15865001_1280447820"/>
      <w:bookmarkStart w:id="11" w:name="_Toc3"/>
      <w:bookmarkEnd w:id="9"/>
      <w:bookmarkEnd w:id="10"/>
      <w:r>
        <w:rPr>
          <w:rtl w:val="true"/>
        </w:rPr>
        <w:t>تقدیم</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على آلائِهِ السابغة ونعمائه البالغة وأفضل الصلواتِ وأتمّ التسليمات على محمّدٍ وآلِهِ مصابيح الظلام، ومفاتيح الإسلام، وسادة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مِن مقوّماتِ الحضارة الإسلامية أو غيرها من الحضارات الإنسانية، وأسباب بقائها وديمومتها وعطائها ورقيّها هو تحقيق التواصل المستمرّ بين الماضي والحاضر وإيجاد الترابط الوثيق بين التراث والحداثة، وتأكيد العلاقة المتينة بين السلف والخلف على المستويين المادّي والمعنوي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حالات التواصل بين القديم والجديد هو البحث عن الآثارِ الفكرية للماضين، والحفاظ على نتاجهم الثقافي، وتحقيقه وطبعه ونشره والاعتزاز والمفاخرة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على المتخصصين وأهل التحقيق أن هناك تراثاً فكرياً بكراً ما يزال مخطوطاً ينتظر من يُخرجه من ظلمات خزاناته إلى حيّز النور ثمّ يأخذ طريقه إلى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فإنّ تراجع نشاط التحقيق وتقهقره في العالم العربي والإسلامي قياساً بالنشاط السابق ونظراً إلى التحضر اللاحق، وعزوف كثير ممن له الكفاية في ممارسة هذا العمل يسبّب مشكلة أُخرى في طريق تطوّر الحركة التحقيقية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ظهرت الحاجة الماسة إلى تطوير فرع مهم من فروع المعرفة، فكانت له أصوله ومناهجه في التعاطي مع التراث الإسلامي المخطوط، وقد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عراقة هذا العلم ونشأته المبكرة فإنّه لم يكن كما هو عليه اليوم، فقد قطع مراحل متعدّدة منذ ولادته حتى وصل إلى مرحلة من النضج والاكتمال يطمئن إليها المحققون والمعنيون بالتراث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الطبيعي أن يخرج إلينا سيل متدفّق من الكتب المحققة في مختلف العلوم والآداب والفنون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لكلّ محقق جولةً ميدانيةً في المكتبات المختلفة ومظانّ مخطوطاتها فلابد من وقوفه على مخطوطات متنوّعة في موضوعاتها وتواريخها وأحجامها وغير ذلك، فتبدو للباحث المحقق رغبة ثانوية لاحقة في تحقيقها وطبعها ونشرها خصوصاً المخطوطات الصغيرة الحجم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وكثیراًماكانت هذه الكتب المخطوطة الصغیرة تنشر فی المجلّات العامّة لقلّة عدد اوراقها، او للحصول بها علی درجة علمیّة، او غیر ذالك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 نشر هذه المخطوطات المحقّقة فی المجلات العامّة بطبیعة الحال لایضمن لها الوصول الی اكبر عدد من القرّاء والحاحثین بل غالباً مایقتصر تحصیلها علی مجموعة محدودة من المتخصّیصین والمثقّفین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انبثقت عند مركز احیاء التراث التابع لمكتبة و دار مخطوطات العتبة العباسیة المقدّسة فكرةٌ تحقیق الخطوطات الصغیرة، واخذت هذه الفكرة تختمر بعد جهود حثیثة لتأتی اكلها فی مشروع علمی تراثی مبارك مشتمل علی سلسلة من التحقیقات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هذا المركز المیمون عدداً من المعاییر و الضوابط فی اختیار المخطوط اهمّها ان یكون الكتاب المراد تحقیقه نافیاً فی موضوعه و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نرجو ان نكون ممن اسهم فی حفظ التراث الانسانی من الضیاع، ونشر القافات الاسلامیة فی الاصقاع، و تشجیع الباحثین و المحقّقین علی مواصلة البحث العلمی وتحقیق المخطوطات القدیمة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یكون هذالاسهام محاولة جادّة من محاولات التواصل </w:t>
      </w:r>
    </w:p>
    <w:p>
      <w:pPr>
        <w:pStyle w:val="BookText"/>
        <w:rPr/>
      </w:pPr>
      <w:r>
        <w:rPr>
          <w:rFonts w:ascii="Amiri" w:hAnsi="Amiri" w:eastAsia="Amiri" w:cs="Amiri"/>
          <w:color w:val="111111"/>
          <w:sz w:val="28"/>
          <w:sz w:val="28"/>
          <w:szCs w:val="28"/>
          <w:rtl w:val="true"/>
          <w:lang w:bidi="ar-SA"/>
        </w:rPr>
        <w:t>المعرفي بين الماضي والحاضر والمستقبل، والانتماء الطبيعي إلى الأصالة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 قصدنا وآخر غايتنا والصلاة والسلام على أشرف خلقه وأجلّ بريّته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الحياء التراث</w:t>
      </w:r>
    </w:p>
    <w:p>
      <w:pPr>
        <w:pStyle w:val="BookText"/>
        <w:rPr/>
      </w:pPr>
      <w:r>
        <w:rPr>
          <w:rFonts w:ascii="Amiri" w:hAnsi="Amiri" w:eastAsia="Amiri" w:cs="Amiri"/>
          <w:color w:val="111111"/>
          <w:sz w:val="28"/>
          <w:sz w:val="28"/>
          <w:szCs w:val="28"/>
          <w:rtl w:val="true"/>
          <w:lang w:bidi="ar-SA"/>
        </w:rPr>
        <w:t>التابع لدار مخطوطات العتبة العباسيّة المقدسّة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2014/6</w:t>
      </w:r>
      <w:r>
        <w:rPr>
          <w:rFonts w:ascii="IRNazanin" w:hAnsi="IRNazanin" w:eastAsia="IRNazanin"/>
          <w:color w:val="111111"/>
          <w:sz w:val="28"/>
          <w:sz w:val="28"/>
          <w:szCs w:val="28"/>
          <w:rtl w:val="true"/>
          <w:lang w:bidi="fa-IR"/>
        </w:rPr>
        <w:t>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الهادي إلى سبيل الصواب والدافع عن عباده زيغ الضلال بتهيئة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من نزل على صدره الكتاب محمّد المصطفى وعلى آله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نفس إنسانية صافية خالصة من الكدورة والمرض ترغب في أن تصل إلى الصواب، وتبتعد عن الزيغ والضلال، والله سبحانه وتعالى ألهم الإنسان وعرّفه طريق الخير والشرّ، وأوكل له الاختيار، فقد قال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وجداني يدركه كل إنسان ذوبصيرة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تحصل للإنسان شطحات فكرية وزيغ سببه الغفلة عن بعض الأمور، فإذا توجّه إليها وعرفها وتفهم سبب نشأة هذا الانحراف تراه يرجع إلى الصواب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ما نراه واضحاً خلال دراستنا للمسیرة الأُصولیَة والفقهیّة والكلامیّة، فانّنا نری و نفهم سرّ النظریّة وسرّ المذهب الذی انخبه فلان من العلماء، وهوالذی یعبّر عنه بالمبنی، فهذا المنشأ هو الأساس فی المعتقد والمذهب، فاذا كان المبنی سالماً كان البناء سالماً، والعكس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مع ذالك هناك جماعة من اهل العناد یعرف الحقّ این، ویعرف الباطل أین، ولكن لمصلحة ما وغایات دنیویّة تراه یأخذ جانب الباطل مع علمه ببطلانه، وقد وصف القرآن الكریم هؤلاء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انّ كتب المنطق مهتمّة بتقویم الفكر وتصحیحة مع بیان اسباب الاشتباه والتوهّم،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اقردوا لذلك باب المغالطة المبیّن لسبب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والرسالة الماثلة بین یدی القارئ الكریم مهتمّة بذكر الأسباب وبیانها المانعة والصادة عن الوصول الی الصواب، والانسان اذا تعرف علی هذه الاسباب واجتنبها یكون قد ازاح الموانع عن ذالك</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 مؤلّف هذه الرسالة علما من الاعلام البارزة فی تراثنا الاسلامی لابأس بتسلیط الضوء علیه، وعلی استاتذته ومؤلّفاته وما یتعلّق بذالك</w:t>
      </w:r>
      <w:r>
        <w:rPr>
          <w:rFonts w:eastAsia="IRNazanin" w:cs="IRNazanin"/>
          <w:color w:val="111111"/>
          <w:sz w:val="28"/>
          <w:szCs w:val="28"/>
          <w:rtl w:val="true"/>
          <w:lang w:bidi="fa-IR"/>
        </w:rPr>
        <w:t xml:space="preserve">. </w:t>
      </w:r>
      <w:bookmarkStart w:id="12" w:name="pg19151_180539"/>
    </w:p>
    <w:p>
      <w:pPr>
        <w:pStyle w:val="Heading2"/>
        <w:numPr>
          <w:ilvl w:val="1"/>
          <w:numId w:val="1"/>
        </w:numPr>
        <w:rPr/>
      </w:pPr>
      <w:bookmarkStart w:id="13" w:name="__RefHeading___Toc15865003_1280447820"/>
      <w:bookmarkStart w:id="14" w:name="_Toc4"/>
      <w:bookmarkEnd w:id="12"/>
      <w:bookmarkEnd w:id="13"/>
      <w:r>
        <w:rPr>
          <w:rtl w:val="true"/>
        </w:rPr>
        <w:t>ترجمة المؤلّف</w:t>
      </w:r>
      <w:bookmarkEnd w:id="14"/>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الشيخ الفقيه العلّامة أبو الفتح محمّد بن علي بن عثمان بن علیّ الكراجكیّ، الطرابلسیّ،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 بالقاضي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هذه الصفة غيره ممّن ترجم له، ولم تعثر على اسم البلد الذي كان قاضياً فيه</w:t>
      </w:r>
      <w:r>
        <w:rPr>
          <w:rFonts w:eastAsia="Amiri" w:cs="Amiri" w:ascii="Amiri" w:hAnsi="Amiri"/>
          <w:color w:val="111111"/>
          <w:sz w:val="28"/>
          <w:szCs w:val="28"/>
          <w:rtl w:val="true"/>
          <w:lang w:bidi="ar-SA"/>
        </w:rPr>
        <w:t xml:space="preserve">. </w:t>
      </w:r>
      <w:bookmarkStart w:id="15" w:name="pg19151_180540"/>
    </w:p>
    <w:p>
      <w:pPr>
        <w:pStyle w:val="Heading2"/>
        <w:numPr>
          <w:ilvl w:val="1"/>
          <w:numId w:val="1"/>
        </w:numPr>
        <w:rPr/>
      </w:pPr>
      <w:bookmarkStart w:id="16" w:name="__RefHeading___Toc15865005_1280447820"/>
      <w:bookmarkStart w:id="17" w:name="_Toc5"/>
      <w:bookmarkEnd w:id="15"/>
      <w:bookmarkEnd w:id="16"/>
      <w:r>
        <w:rPr>
          <w:rtl w:val="true"/>
        </w:rPr>
        <w:t xml:space="preserve">نسبته إلى </w:t>
      </w:r>
      <w:r>
        <w:rPr>
          <w:rtl w:val="true"/>
        </w:rPr>
        <w:t>(</w:t>
      </w:r>
      <w:r>
        <w:rPr>
          <w:rtl w:val="true"/>
        </w:rPr>
        <w:t>كراجك</w:t>
      </w:r>
      <w:r>
        <w:rPr>
          <w:rtl w:val="true"/>
        </w:rPr>
        <w:t>):</w:t>
      </w:r>
      <w:bookmarkEnd w:id="17"/>
    </w:p>
    <w:p>
      <w:pPr>
        <w:pStyle w:val="BookText"/>
        <w:rPr/>
      </w:pPr>
      <w:r>
        <w:rPr>
          <w:rFonts w:ascii="Amiri" w:hAnsi="Amiri" w:eastAsia="Amiri" w:cs="Amiri"/>
          <w:color w:val="111111"/>
          <w:sz w:val="28"/>
          <w:sz w:val="28"/>
          <w:szCs w:val="28"/>
          <w:rtl w:val="true"/>
          <w:lang w:bidi="ar-SA"/>
        </w:rPr>
        <w:t>وكراجكيّ، بالكاف المفتوحة والراء المهملة والألف والجيم بالفتحأو الكسر، والياء، نسبة إلى كراجك، والاختلاف بين الفتح والكسر ناشئ عن نسبته إلى البلد أو المهنة المنسوب إليها، وفيها قولان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الفتح، قال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قرية على باب واسط في العراق ، هكذا سمعت أستادي أبا القاسم إسماعيل بن محمد بن الفصل الحافظ بأصبهان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سألته، منها أحمد بن عيسى الكراجكيّ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على ّبن عيسى الكراحكيّ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عنه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كراحك بالفتح، والجيم المضمومة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اللباب في تهذيب الأسباب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8" w:name="pg19151_180541"/>
    </w:p>
    <w:p>
      <w:pPr>
        <w:pStyle w:val="BookText"/>
        <w:rPr/>
      </w:pPr>
      <w:bookmarkEnd w:id="18"/>
      <w:r>
        <w:rPr>
          <w:rFonts w:ascii="Amiri" w:hAnsi="Amiri" w:eastAsia="Amiri" w:cs="Amiri"/>
          <w:color w:val="111111"/>
          <w:sz w:val="28"/>
          <w:sz w:val="28"/>
          <w:szCs w:val="28"/>
          <w:rtl w:val="true"/>
          <w:lang w:bidi="ar-SA"/>
        </w:rPr>
        <w:t xml:space="preserve">وقد قال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ينسب إليه محمّد بن عليّ الكراجكيّ من الإماميّة، له تصانيف</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كسر الجيم، 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نسبه بعض مترجميه، قال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شيخ الشيعة والكراجكيّ هو الخيميّ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الكاف وإهمال الراء وكسر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الخيم، ولهذا وصفه بعض مترجميه بالخيمي، وضبطه بعضهم بضم الجيم 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كراجك قرية على الباب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صاحب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البلدان قرأ الجيم بالفتح لا بالضمّ</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5865007_1280447820"/>
      <w:bookmarkStart w:id="20" w:name="_Toc6"/>
      <w:bookmarkEnd w:id="19"/>
      <w:r>
        <w:rPr>
          <w:rtl w:val="true"/>
        </w:rPr>
        <w:t xml:space="preserve">نسبته إلى </w:t>
      </w:r>
      <w:r>
        <w:rPr>
          <w:rtl w:val="true"/>
        </w:rPr>
        <w:t>(</w:t>
      </w:r>
      <w:r>
        <w:rPr>
          <w:rtl w:val="true"/>
        </w:rPr>
        <w:t>طرابلس</w:t>
      </w:r>
      <w:r>
        <w:rPr>
          <w:rtl w:val="true"/>
        </w:rPr>
        <w:t>)</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ينسب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لإقامته فيها مدة طويلة، ولهذا فقد ذكره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علماء طرابلس حيث قال</w:t>
      </w:r>
      <w:r>
        <w:rPr>
          <w:rFonts w:eastAsia="Amiri" w:cs="Amiri" w:ascii="Amiri" w:hAnsi="Amiri"/>
          <w:color w:val="111111"/>
          <w:sz w:val="28"/>
          <w:szCs w:val="28"/>
          <w:rtl w:val="true"/>
          <w:lang w:bidi="ar-SA"/>
        </w:rPr>
        <w:t xml:space="preserve">: </w:t>
      </w:r>
      <w:bookmarkStart w:id="21" w:name="pg19151_180542"/>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أجلاء علمائنا وفقهائنا ورؤسائهم فقهاء حلب، وهم كثير، ومنهم فقهاء طرابلس، ومنه الشيخ الأجلّ السعيد أبو الفتح الكراجكيّ، نزيل الرملة البيضاء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عظيمة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نزيل الرملة مدة، وليست بمولده</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5865009_1280447820"/>
      <w:bookmarkStart w:id="23" w:name="_Toc7"/>
      <w:bookmarkEnd w:id="22"/>
      <w:r>
        <w:rPr>
          <w:rtl w:val="true"/>
        </w:rPr>
        <w:t xml:space="preserve">نسبته إلى </w:t>
      </w:r>
      <w:r>
        <w:rPr>
          <w:rtl w:val="true"/>
        </w:rPr>
        <w:t>(</w:t>
      </w:r>
      <w:r>
        <w:rPr>
          <w:rtl w:val="true"/>
        </w:rPr>
        <w:t>صور</w:t>
      </w:r>
      <w:r>
        <w:rPr>
          <w:rtl w:val="true"/>
        </w:rPr>
        <w:t>):</w:t>
      </w:r>
      <w:bookmarkEnd w:id="23"/>
    </w:p>
    <w:p>
      <w:pPr>
        <w:pStyle w:val="BookText"/>
        <w:rPr/>
      </w:pPr>
      <w:r>
        <w:rPr>
          <w:rFonts w:ascii="Amiri" w:hAnsi="Amiri" w:eastAsia="Amiri" w:cs="Amiri"/>
          <w:color w:val="111111"/>
          <w:sz w:val="28"/>
          <w:sz w:val="28"/>
          <w:szCs w:val="28"/>
          <w:rtl w:val="true"/>
          <w:lang w:bidi="ar-SA"/>
        </w:rPr>
        <w:t xml:space="preserve">وأيضاً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الساحلية اللبنانيّة، إذ أقام فيها أواخر عمره الشريف وتوفّي بها ودفن فيها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5865011_1280447820"/>
      <w:bookmarkStart w:id="25" w:name="_Toc8"/>
      <w:bookmarkEnd w:id="24"/>
      <w:r>
        <w:rPr>
          <w:rtl w:val="true"/>
        </w:rPr>
        <w:t>رحلاته</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السفر إلى البلدان، ويظهر ذلك من طرق رواياته والتواريخ والأماكن التي أثبتها في أسانيده، وقد أخذ في رحلاته تلك عن أعلام عصره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وتوطن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طويلة هناك، ثمّ نقل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في المسجد الحرام كتاب 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القرنين الرابع والخامس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وتوطن مدة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من كبار أعلامها كالمفيد والمرتضى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w:t>
      </w:r>
      <w:bookmarkStart w:id="26" w:name="pg19151_180543"/>
    </w:p>
    <w:p>
      <w:pPr>
        <w:pStyle w:val="BookText"/>
        <w:rPr/>
      </w:pPr>
      <w:bookmarkEnd w:id="26"/>
      <w:r>
        <w:rPr>
          <w:rFonts w:ascii="Amiri" w:hAnsi="Amiri" w:eastAsia="Amiri" w:cs="Amiri"/>
          <w:color w:val="111111"/>
          <w:sz w:val="28"/>
          <w:sz w:val="28"/>
          <w:szCs w:val="28"/>
          <w:rtl w:val="true"/>
          <w:lang w:bidi="ar-SA"/>
        </w:rPr>
        <w:t xml:space="preserve">بعض كتبه فيها، وكان أواخر عمره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صاحب الروضات أنّ معظم توطنه بالديار المصريّة،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ظاهر من طرق رواياته المذكورة 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قول صاحب مجمع البحرين في مادة سلّار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 قرأ عليه، وهو من ديار مصر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15865013_1280447820"/>
      <w:bookmarkStart w:id="28" w:name="_Toc9"/>
      <w:bookmarkEnd w:id="27"/>
      <w:r>
        <w:rPr>
          <w:rtl w:val="true"/>
        </w:rPr>
        <w:t>إطراء العلماء عليه</w:t>
      </w:r>
      <w:r>
        <w:rPr>
          <w:rtl w:val="true"/>
        </w:rPr>
        <w:t>:</w:t>
      </w:r>
      <w:bookmarkEnd w:id="28"/>
    </w:p>
    <w:p>
      <w:pPr>
        <w:pStyle w:val="BookText"/>
        <w:rPr/>
      </w:pPr>
      <w:r>
        <w:rPr>
          <w:rFonts w:ascii="Amiri" w:hAnsi="Amiri" w:eastAsia="Amiri" w:cs="Amiri"/>
          <w:color w:val="111111"/>
          <w:sz w:val="28"/>
          <w:sz w:val="28"/>
          <w:szCs w:val="28"/>
          <w:rtl w:val="true"/>
          <w:lang w:bidi="ar-SA"/>
        </w:rPr>
        <w:t>أطراه أكثر أرباب التراجم والسير من الخاصة والعامة، ووصفوه بأبلغ الصفات العلميّة، وصرّحوا بمهارته في أكثر العلوم والفنون، حسن ذوقه في تدوين المعارف وعبّر عنه الشيخ الشهيد محمّد ابن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تعبيره عن العلّامة الحلّيّ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العالم الثقة أبو الفتح محمد بن علي الكراجكي، فقيه الأصحاب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فاضل، متكلّم، فقيه، محدّث، ثقة، جليل القدر</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بعض </w:t>
      </w:r>
      <w:bookmarkStart w:id="29" w:name="pg19151_180544"/>
    </w:p>
    <w:p>
      <w:pPr>
        <w:pStyle w:val="Heading2"/>
        <w:numPr>
          <w:ilvl w:val="1"/>
          <w:numId w:val="1"/>
        </w:numPr>
        <w:rPr/>
      </w:pPr>
      <w:bookmarkStart w:id="30" w:name="__RefHeading___Toc15865015_1280447820"/>
      <w:bookmarkStart w:id="31" w:name="_Toc10"/>
      <w:bookmarkEnd w:id="29"/>
      <w:bookmarkEnd w:id="30"/>
      <w:r>
        <w:rPr>
          <w:rtl w:val="true"/>
        </w:rPr>
        <w:t>تصانيفه</w:t>
      </w:r>
      <w:r>
        <w:rPr>
          <w:rtl w:val="true"/>
        </w:rPr>
        <w:t>.</w:t>
      </w:r>
      <w:bookmarkEnd w:id="31"/>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الكراجكيّ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أجلّة العلماء والفقهاء والمتكلّمين، وأسند إليه جميع أرباب الإجازات، وكتابه كنز الفوائد من الكتب المشهورة التي أخذ عنه جلّ من أتى بعده، وسائر كتبه في غاية المتانة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فاضل، متكلّم، فقيه، محدث، ثقة، جليل القدر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وصفه المترجمون من الخاصة فيه، وأمّا العامة، فقد وصفوه وأثنوا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الرافضة وعالمهم أبو الفتح محمد بن علي، صاحب التصانيف</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الشيعة وصاحب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نحويّاً، لغويّاً، منجماً، طبيباً، متكلّماً، متفنناً، من كبار أصحاب الشريف المرتضى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قال في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أبوالفتح الكراجكي شيخ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عدة مصنّفات، وكان من فحول الرافضة بارع في فقههم وأصولهم، نحوي، لغوي، منجم، طبيب، رحل إلى العراق ولقي الكبار كالمرتضى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الكراجكيّ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فحول الرافضة بارعاً في فقههم، لقي الكبار مثل المرتضى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 ابن طيّ في الثناء عليه في ذكر الإمامية، وذكر أن له تصانيف في ذاك</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رأس الشيعة وصاحب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نحويّاً، لغويّاً، منجماً، طبيباً، متكلّماً، متفنّناً، من كبار أصحاب الشريف المرتضى</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باحث إمامي، من كبار أصحاب الشريف المرتضى، له كتب</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2" w:name="pg19151_180546"/>
    </w:p>
    <w:p>
      <w:pPr>
        <w:pStyle w:val="Heading2"/>
        <w:numPr>
          <w:ilvl w:val="1"/>
          <w:numId w:val="1"/>
        </w:numPr>
        <w:rPr/>
      </w:pPr>
      <w:bookmarkStart w:id="33" w:name="__RefHeading___Toc15865017_1280447820"/>
      <w:bookmarkStart w:id="34" w:name="_Toc11"/>
      <w:bookmarkEnd w:id="32"/>
      <w:bookmarkEnd w:id="33"/>
      <w:r>
        <w:rPr>
          <w:rtl w:val="true"/>
        </w:rPr>
        <w:t>أساتذته ومشايخه</w:t>
      </w:r>
      <w:bookmarkEnd w:id="34"/>
    </w:p>
    <w:p>
      <w:pPr>
        <w:pStyle w:val="BookText"/>
        <w:rPr/>
      </w:pPr>
      <w:r>
        <w:rPr>
          <w:rFonts w:ascii="Amiri" w:hAnsi="Amiri" w:eastAsia="Amiri" w:cs="Amiri"/>
          <w:color w:val="111111"/>
          <w:sz w:val="28"/>
          <w:sz w:val="28"/>
          <w:szCs w:val="28"/>
          <w:rtl w:val="true"/>
          <w:lang w:bidi="ar-SA"/>
        </w:rPr>
        <w:t>تتلمذ شيخنا أبو الفتح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أساطين العلم وكبار علماء العلماء، وروى عن شيوخ الرواية والحديث من وجوه الخاصّة والعامة 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المرتضى علي بن الحسين الموسوي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 يعلى سلّار بن عبدالعزيز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والشريف أبا الحسن طاهر بن موسى بن جعفر الحسيني الآويّ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 الحسن محمد بن أحمد بن علي بن الحسن ابن شاذان الفامي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 عبدالله الحسين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وأبا العباس أحمد بن نوح بن محمد الحنبلي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وأبا الحسن علي بن الحسن بن</w:t>
      </w:r>
    </w:p>
    <w:p>
      <w:pPr>
        <w:pStyle w:val="BookText"/>
        <w:rPr/>
      </w:pPr>
      <w:r>
        <w:rPr>
          <w:rFonts w:ascii="Amiri" w:hAnsi="Amiri" w:eastAsia="Amiri" w:cs="Amiri"/>
          <w:color w:val="111111"/>
          <w:sz w:val="28"/>
          <w:sz w:val="28"/>
          <w:szCs w:val="28"/>
          <w:rtl w:val="true"/>
          <w:lang w:bidi="ar-SA"/>
        </w:rPr>
        <w:t xml:space="preserve">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Heading2"/>
        <w:numPr>
          <w:ilvl w:val="1"/>
          <w:numId w:val="1"/>
        </w:numPr>
        <w:rPr/>
      </w:pPr>
      <w:bookmarkStart w:id="35" w:name="__RefHeading___Toc15865019_1280447820"/>
      <w:bookmarkStart w:id="36" w:name="_Toc12"/>
      <w:bookmarkEnd w:id="35"/>
      <w:r>
        <w:rPr>
          <w:rtl w:val="true"/>
        </w:rPr>
        <w:t>تلامذته، ومن روى عنه</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وتتلمذ عليه عدة من الفطاحل،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محمد الحسن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الفقيه أبو عبدالله الحسين بن هبة الله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العزيز بن أبي كامل القاضي عزّ الدين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أبو الفضل ظفر بن الداعي بن مهدي العلوي المصري ّ </w:t>
      </w:r>
      <w:bookmarkStart w:id="37" w:name="pg19151_180547"/>
    </w:p>
    <w:p>
      <w:pPr>
        <w:pStyle w:val="BookText"/>
        <w:rPr/>
      </w:pPr>
      <w:bookmarkEnd w:id="37"/>
      <w:r>
        <w:rPr>
          <w:rFonts w:ascii="Amiri" w:hAnsi="Amiri" w:eastAsia="Amiri" w:cs="Amiri"/>
          <w:color w:val="111111"/>
          <w:sz w:val="28"/>
          <w:sz w:val="28"/>
          <w:szCs w:val="28"/>
          <w:rtl w:val="true"/>
          <w:lang w:bidi="ar-SA"/>
        </w:rPr>
        <w:t xml:space="preserve">العمريّ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الرحمن بن أحمد بن الحسين الخزاعي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عم والد الشيخ 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 الجنان وروح الجنان وأبو محمّد ريحان بن عبدالله الحبشي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5865021_1280447820"/>
      <w:bookmarkStart w:id="39" w:name="_Toc13"/>
      <w:bookmarkEnd w:id="38"/>
      <w:r>
        <w:rPr>
          <w:rtl w:val="true"/>
        </w:rPr>
        <w:t>مؤلّفاته وآثاره العلمية</w:t>
      </w:r>
      <w:r>
        <w:rPr>
          <w:rtl w:val="true"/>
        </w:rPr>
        <w:t>:</w:t>
      </w:r>
      <w:bookmarkEnd w:id="39"/>
    </w:p>
    <w:p>
      <w:pPr>
        <w:pStyle w:val="BookText"/>
        <w:rPr/>
      </w:pPr>
      <w:r>
        <w:rPr>
          <w:rFonts w:ascii="Amiri" w:hAnsi="Amiri" w:eastAsia="Amiri" w:cs="Amiri"/>
          <w:color w:val="111111"/>
          <w:sz w:val="28"/>
          <w:sz w:val="28"/>
          <w:szCs w:val="28"/>
          <w:rtl w:val="true"/>
          <w:lang w:bidi="ar-SA"/>
        </w:rPr>
        <w:t xml:space="preserve">له مصنّفات كثيرة في فنون مختلفة، حيث كان ملماً بعلوم عصره من الطب، والرياضيات والنجوم والكلام، والحديث والتفسير، والفقه، والأدب،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المترجمين من استوفى مؤلّفاته</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ولكثرتها عمل بعض تلامذته رسالةً في فهرسة مصنّفاته ذكر فيها نحواً من تسعين مؤلّفاً</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 بعضها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في الإمامة من أغلاط العامّة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الاستنصار في النصّ على الأئمة الأطهار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ورياضة الخواطر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العابدين ونزهة الزاهدين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العلويّة في 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البريّة سوى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وهو أشهر مؤلّفاته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0" w:name="pg19151_180549"/>
    </w:p>
    <w:p>
      <w:pPr>
        <w:pStyle w:val="BookText"/>
        <w:rPr/>
      </w:pPr>
      <w:bookmarkEnd w:id="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عن المماثلة في الاستدلال بين طريق النبوة والإمامة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بوجوب حقّ الوالدين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5865023_1280447820"/>
      <w:bookmarkStart w:id="42" w:name="_Toc14"/>
      <w:bookmarkEnd w:id="41"/>
      <w:r>
        <w:rPr>
          <w:rtl w:val="true"/>
        </w:rPr>
        <w:t>وفاته</w:t>
      </w:r>
      <w:bookmarkEnd w:id="42"/>
    </w:p>
    <w:p>
      <w:pPr>
        <w:pStyle w:val="BookText"/>
        <w:rPr/>
      </w:pPr>
      <w:r>
        <w:rPr>
          <w:rFonts w:ascii="Amiri" w:hAnsi="Amiri" w:eastAsia="Amiri" w:cs="Amiri"/>
          <w:color w:val="111111"/>
          <w:sz w:val="28"/>
          <w:sz w:val="28"/>
          <w:szCs w:val="28"/>
          <w:rtl w:val="true"/>
          <w:lang w:bidi="ar-SA"/>
        </w:rPr>
        <w:t xml:space="preserve">اتفقت كلمة مترجميه على أن وفاته في صور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 ، لكنّهم اختلفوا في تعيين اليوم والشهر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أبي طي الإمامي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في ثاني ربيع الآخر سنة تسع وأربعين وأربعمائة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بصور في أربع</w:t>
      </w:r>
    </w:p>
    <w:p>
      <w:pPr>
        <w:pStyle w:val="BookText"/>
        <w:rPr/>
      </w:pPr>
      <w:r>
        <w:rPr>
          <w:rFonts w:ascii="Amiri" w:hAnsi="Amiri" w:eastAsia="Amiri" w:cs="Amiri"/>
          <w:color w:val="111111"/>
          <w:sz w:val="28"/>
          <w:sz w:val="28"/>
          <w:szCs w:val="28"/>
          <w:rtl w:val="true"/>
          <w:lang w:bidi="ar-SA"/>
        </w:rPr>
        <w:t>ربيع الآخر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الميرزا عبد الله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مات يوم الجمعة لثمان خلون من شهر ربيع خر</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الصفدي في 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بصور في شهر ربيع </w:t>
      </w:r>
      <w:bookmarkStart w:id="43" w:name="pg19151_180550"/>
    </w:p>
    <w:p>
      <w:pPr>
        <w:pStyle w:val="BookText"/>
        <w:rPr/>
      </w:pPr>
      <w:bookmarkEnd w:id="43"/>
      <w:r>
        <w:rPr>
          <w:rFonts w:ascii="Amiri" w:hAnsi="Amiri" w:eastAsia="Amiri" w:cs="Amiri"/>
          <w:color w:val="111111"/>
          <w:sz w:val="28"/>
          <w:sz w:val="28"/>
          <w:szCs w:val="28"/>
          <w:rtl w:val="true"/>
          <w:lang w:bidi="ar-SA"/>
        </w:rPr>
        <w:t>الأول سنة تسع وأربعين وأربعمائة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5865025_1280447820"/>
      <w:bookmarkStart w:id="45" w:name="_Toc15"/>
      <w:bookmarkEnd w:id="44"/>
      <w:r>
        <w:rPr>
          <w:rtl w:val="true"/>
        </w:rPr>
        <w:t>نسبة الكتاب إلى الكراجكيّ</w:t>
      </w:r>
      <w:r>
        <w:rPr>
          <w:rtl w:val="true"/>
        </w:rPr>
        <w:t>:</w:t>
      </w:r>
      <w:bookmarkEnd w:id="45"/>
    </w:p>
    <w:p>
      <w:pPr>
        <w:pStyle w:val="BookText"/>
        <w:rPr/>
      </w:pPr>
      <w:r>
        <w:rPr>
          <w:rFonts w:ascii="Amiri" w:hAnsi="Amiri" w:eastAsia="Amiri" w:cs="Amiri"/>
          <w:color w:val="111111"/>
          <w:sz w:val="28"/>
          <w:sz w:val="28"/>
          <w:szCs w:val="28"/>
          <w:rtl w:val="true"/>
          <w:lang w:bidi="ar-SA"/>
        </w:rPr>
        <w:t xml:space="preserve">لا شك في انتساب هذا الكتاب الى العلامة الكراجكي؛ فقد جاء ذكره في ضمن رسالة في فهرس مصنّفات الكراجكي، عملها بعض تلامذته من أولاد العلماء المعاصرين له؛ كما جاءت هذه الرسالة أي 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الأسباب الصادّة عن معرفة الصواب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لطيف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قطع العلامة الطهراني في ذريعته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الأسباب الصادة عن معرفة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لطيف للعلّامة الكراجكي الشيخ أبي الفتح محمد بن علي بن عثمان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الرسالة التي ذكر فيها مصنفات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لطيف في معناه وبيّن في إيضاحه للموضوع بحيث تأتلف وتستأنس نفس القارئ معها ويؤدّي إلى إدراكه لجوانب العلل التي تمنعه من نيل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نلمس وجود هذه العلل ومصاديقها في زماننا هذا بشكل أقوى وأتم، وذلك يدلّ على سعة وعي المؤلّف وبصيرته وقوّة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ثلاثة فصول، وفي كلّ فصل منها استعمل لتمييز المطالب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وعطف الباقي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من المحتمل كون هذا الكتاب قد وقع بيد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وأودع أكثر مطالبه ملخّصة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 ذكره للأسباب الصادة في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لو ترك من هوى صاد، ومألف معتاد، وأنفة من انقياد لساق المرء إلى الرشاد، وهجم به على الصلاح والسداد، ولكن تعوّق عن إدراك الحق أُمور يجب أن يحذرها العاقل النحرير،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التعلّم، وتقليد الآباء والمربين، واتباع السادة المنعمين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في صفحتين في اثنى عشر مطلباً كلّها مصدّرة بقول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وعطف الباقي عليه كما في هذه الرسالة، 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الأخطار، وفقك الله وسدّدك، وهداك وأرشدك، ولا تأنس بشيء منها عن إدراك الحقائق، وكن فطناً متيقظاً حذراً متحفّظاً، ناظراً متأملاً، حاكماً عادلاً، متفطّناً للمحبة والبغضة، هاجراً للهوى والعصبية باحثاً عن الحقّ، غير مراع لأحد من الخلق، </w:t>
      </w:r>
      <w:bookmarkStart w:id="46" w:name="pg19151_180552"/>
    </w:p>
    <w:p>
      <w:pPr>
        <w:pStyle w:val="BookText"/>
        <w:rPr/>
      </w:pPr>
      <w:bookmarkEnd w:id="46"/>
      <w:r>
        <w:rPr>
          <w:rFonts w:ascii="Amiri" w:hAnsi="Amiri" w:eastAsia="Amiri" w:cs="Amiri"/>
          <w:color w:val="111111"/>
          <w:sz w:val="28"/>
          <w:sz w:val="28"/>
          <w:szCs w:val="28"/>
          <w:rtl w:val="true"/>
          <w:lang w:bidi="ar-SA"/>
        </w:rPr>
        <w:t>ناصحاً لنفسك في الاجتهاد، سائلاً الله تعالى في</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للسداد، فعلت ذلك اتضحت لك سبل رشادك، وسهل عليك فإنك متى صعب مرادك، وانفتحت لك الأبواب، وظهر لك الحق والصواب، ففزت بمنزلة العارفين، وعملت حينئذٍ عمل المحقين، فإن الله تعالى يقول في الذكر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15865027_1280447820"/>
      <w:bookmarkStart w:id="48" w:name="_Toc16"/>
      <w:bookmarkEnd w:id="47"/>
      <w:r>
        <w:rPr>
          <w:rtl w:val="true"/>
        </w:rPr>
        <w:t>نسخة الكتاب وطريقتنا في التحقيق</w:t>
      </w:r>
      <w:bookmarkEnd w:id="48"/>
    </w:p>
    <w:p>
      <w:pPr>
        <w:pStyle w:val="BookText"/>
        <w:rPr/>
      </w:pPr>
      <w:r>
        <w:rPr>
          <w:rFonts w:ascii="Amiri" w:hAnsi="Amiri" w:eastAsia="Amiri" w:cs="Amiri"/>
          <w:color w:val="111111"/>
          <w:sz w:val="28"/>
          <w:sz w:val="28"/>
          <w:szCs w:val="28"/>
          <w:rtl w:val="true"/>
          <w:lang w:bidi="ar-SA"/>
        </w:rPr>
        <w:t>اعتمدنا في تحقيق هذه الرسالة الشريفة على مصوّرة نسخة فريدة تفضّل بها علينا سماحة صديقنا المحقق السيد حسين الموسوي البروجردي، وقد حصل عليها من مكتبة مجلس الشورى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صفحاتها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في كل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حسين الشهير بالصاعد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السادس عشر من جمادي الأُولى سنة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اثنتين وثمانين وتسع مائة للهجرة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كاملة مصححة، لها بداية ونهاية بخط جيّد مقروء، مكتوب عليها قراءة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قوبل مواجهاً للقبّة المقدّسة المنوّرة العليّة العلوية للحضرة الرضيّة المرضيّة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شرائف الصلاة والسلام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بنسختين إحداهما بخط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الكامل عبدالله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تعالى أعلى فراديس الجنان وعطر نفسه من روائح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هو صبيحة يوم الأربعاء ليومين بقيا من أوّل الجمادي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على من هاجر فيها وآله الأطهار شرائف الصلوات من الله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مراحل العمل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النص إلى فقرات ومقاطع وتزيينه بعلامات التنقيط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الآيات الكريمة والروايات الشريفة وترجمة الأعلام المذكورين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حروف الرسالة بالآلة الكاتبة ومقابلتها مع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وضبطه مع إعادة النظر في رفع ما زاغ عن البصر في المراحل السابقة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أُقدّم هذه الرسالة الشريفة للقراء الكرام بهذه الصورة الجميلة، داعياً المولى جل وعلا أن يوفق أهل العلم لسعي حثيث </w:t>
      </w:r>
    </w:p>
    <w:p>
      <w:pPr>
        <w:pStyle w:val="BookText"/>
        <w:rPr/>
      </w:pPr>
      <w:r>
        <w:rPr>
          <w:rFonts w:ascii="Amiri" w:hAnsi="Amiri" w:eastAsia="Amiri" w:cs="Amiri"/>
          <w:color w:val="111111"/>
          <w:sz w:val="28"/>
          <w:sz w:val="28"/>
          <w:szCs w:val="28"/>
          <w:rtl w:val="true"/>
          <w:lang w:bidi="ar-SA"/>
        </w:rPr>
        <w:t>مبارك يظهر كنوز هذه الأمة وتراثها، وأن يتقبل أعمالنا وأن يختم أُمورنا وعواقبنا بخير، وهو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وأُكرّر شكري وتقديري وامتناني للمحقق السيد حسين الموسوي البروجردي الذي أتحفنى بالنسخة الفريدة لهذه الرسالة، مشاركةً منه في إحياء آثار علماء أمتنا الإسلامية وكتبنا المهجورة ومصادرنا القيمة التي لم ينقل عنها العلّامة النحرير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لها شأنيّة المصدريّة لهذا الكتاب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 الرسل محمّد وأهل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الحليم عوض الحلّيّ</w:t>
      </w:r>
    </w:p>
    <w:p>
      <w:pPr>
        <w:pStyle w:val="BookText"/>
        <w:rPr/>
      </w:pPr>
      <w:r>
        <w:rPr>
          <w:rFonts w:ascii="Amiri" w:hAnsi="Amiri" w:eastAsia="Amiri" w:cs="Amiri"/>
          <w:color w:val="111111"/>
          <w:sz w:val="28"/>
          <w:sz w:val="28"/>
          <w:szCs w:val="28"/>
          <w:rtl w:val="true"/>
          <w:lang w:bidi="ar-SA"/>
        </w:rPr>
        <w:t>مشهد المقدسة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bookmarkStart w:id="49" w:name="pg19151_1805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5865029_1280447820"/>
      <w:bookmarkStart w:id="51" w:name="_Toc17"/>
      <w:bookmarkEnd w:id="49"/>
      <w:bookmarkEnd w:id="50"/>
      <w:r>
        <w:rPr>
          <w:rtl w:val="true"/>
        </w:rPr>
        <w:t>نماذج من النسخة</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وفق بحق وليك الرضا عليّ بن موسى عليهما الصلاة والثناء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وليّ المحامد ومولى المراشد، وصلواته على أفضل منذر وشاهد، وأكرم عامل وعابد، سيدنا محمد المصطفى ورسوله القائد إلى أجمل المقاصد، والسائق إلى أسعد الموارد، وعلى آله الأئمة؛ معادن الحكم والفوائد، والحجج على كلّ مُفْتَرٍ وجاحد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وقفت على ما رغب فيه الإخوان ثبتهم الله على الإيمان مِن ذِكْرِ الأسباب الصادة عن إدراك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رغبة تدلّ على فضل، وطلبة شاهدة بشريف عقل، قد بلغ المراد من أحكم الاعتقاد، وأدرك النجاح من أجاد 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والنفع بمعرفة هذه الأسباب كثير، والضرر بجهلها خطب خطير؛ إذ كانت المهالك على طريق المسالك ؛ مَن عَرَفها توقّاها، ومَن جهلها تلقاها، والخبر المأثور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 في أربع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تعرف المراد منك،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تحيط بأصول المعارف، فبمعرفة</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يصح له شكره وطاعته وبمعرفته صنعته يعرف نعمه، وبمعرفته</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منه يصحّح له أن يمتثل أمره ، وبمعرفته ما يُخرجه عن دينه يصح منه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صائرٌ إلى ما أثروه، ومُخبرٌ ما استخبروه، والله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هذه الأسباب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ما يختص بالعامّة الجهال، ومَن هَجَر النظر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يدخل على المقلدين وبعض المستدلين ويعظم المضرة به على الفريقين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يختص بذوي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فيقود من اعترضه إلى الضلال </w:t>
      </w:r>
      <w:r>
        <w:rPr>
          <w:rFonts w:eastAsia="Amiri" w:cs="Amiri" w:ascii="Amiri" w:hAnsi="Amiri"/>
          <w:color w:val="111111"/>
          <w:sz w:val="28"/>
          <w:szCs w:val="28"/>
          <w:rtl w:val="true"/>
          <w:lang w:bidi="ar-SA"/>
        </w:rPr>
        <w:t xml:space="preserve">. </w:t>
      </w:r>
      <w:bookmarkStart w:id="52" w:name="pg19151_180563"/>
    </w:p>
    <w:p>
      <w:pPr>
        <w:pStyle w:val="Heading2"/>
        <w:numPr>
          <w:ilvl w:val="1"/>
          <w:numId w:val="1"/>
        </w:numPr>
        <w:rPr/>
      </w:pPr>
      <w:bookmarkStart w:id="53" w:name="__RefHeading___Toc15865031_1280447820"/>
      <w:bookmarkStart w:id="54" w:name="_Toc18"/>
      <w:bookmarkEnd w:id="52"/>
      <w:bookmarkEnd w:id="53"/>
      <w:r>
        <w:rPr>
          <w:rtl w:val="true"/>
        </w:rPr>
        <w:t>فصل في ذكر ما يختص به العامة ومَن هَجَر النظر من الأمة فيصدهم عن إدراك الصواب</w:t>
      </w:r>
      <w:bookmarkEnd w:id="54"/>
    </w:p>
    <w:p>
      <w:pPr>
        <w:pStyle w:val="BookText"/>
        <w:rPr/>
      </w:pPr>
      <w:r>
        <w:rPr>
          <w:rFonts w:ascii="Amiri" w:hAnsi="Amiri" w:eastAsia="Amiri" w:cs="Amiri"/>
          <w:color w:val="111111"/>
          <w:sz w:val="28"/>
          <w:sz w:val="28"/>
          <w:szCs w:val="28"/>
          <w:rtl w:val="true"/>
          <w:lang w:bidi="ar-SA"/>
        </w:rPr>
        <w:t>وهي أسباب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سلوك منهج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والمربين، واتباع الأهل والأعزّين واستعظام مفارقتهم مع عدم العلم بصحة طريقتهم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الوجه أقوى دواعي العصيان، وأشدّ علل الحميان، وبه ضل الأكثر، وتضاعف الضرر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أحكام البلد والنشوء بين أهله على فاسد المعتقد، فمعه ينعقد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للأنفس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 لازمٌ وخُلْقٌ دائم، يترادف مزيده ولا يَخْلُقُ جديده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اتباع الأكثر ، والكون في جملة السواد الأعظم استيحاشاً من القلّة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ضلّت به الحشوية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الاشتغال بأمور المكاسب عن الدين، والاغتراق في مخالطة التجار والمتكسبين حتى تُلهى الإنسان دنياه عن النظر في أخراه، لا يجعل لنفسه وقتاً من زمانه يهتم فيه بأمور دينه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الانهماك في اللذات والتهالك على عاجل المسرات التي توقع من نفس المنقطع إليها أن يغتنم عاجل أوقاته، ويربح حاضر لذاته، ويأخذ من عمره ما خلا وصفا، ويترك آخره ما أمر وجفا، وهذا يُخرجه عن حيّز الإنسانية، ويُدخله في حيّزالبهيمية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هجر مجالسة العلماء </w:t>
      </w:r>
      <w:r>
        <w:rPr>
          <w:rStyle w:val="FootnoteAnchor"/>
          <w:rtl w:val="true"/>
        </w:rPr>
        <w:footnoteReference w:id="64"/>
      </w:r>
      <w:r>
        <w:rPr>
          <w:rFonts w:ascii="Amiri" w:hAnsi="Amiri" w:eastAsia="Amiri" w:cs="Amiri"/>
          <w:color w:val="111111"/>
          <w:sz w:val="28"/>
          <w:sz w:val="28"/>
          <w:szCs w:val="28"/>
          <w:rtl w:val="true"/>
          <w:lang w:bidi="ar-SA"/>
        </w:rPr>
        <w:t>، ومواصلة استماع أقوال الجهلاء</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الأغبياء</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الاطلاع في الصادّة عن الدين والموحشة عن الحق، والانقطاع إلى فنّ من رسوم الأدبيات أو نوع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 الرياضيات من غير أن يخلط بشيء من علوم الديانات، فإنّ ذلك ربما أوقع في نفس الإنسان أنّه قد أكمل المعارف وأدرك الحقائق، ويعتقد أنّ الشرائع محال وعلماءها جهال؛ فيصير ما حفظه من هذه الآداب أعظم صاد له عن الصواب، وهذه الفنون آلات، وليست أُصولاً منجيات، فإذا اجتمعت بعلوم الدين أعانت ونفعت، وإذا انفردت عنها هلكت وأهلكت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من انفرد بعلوم العربيّة جحد معجزات القرآن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انفرد بعلم الطب أضاف إلى الطبائع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القديم 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انفرد بعلم النجوم نَسَب تدبير العالم إلى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انفرد بالهندسة استضعف علوم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انفرد بالمنطق أو بشيء من كلام الفلاسفة ظَنَّ أنّه قد أكمل المعرفة ثم عشق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ذكرناه موجود معلوم لم نَحُلْ فيه على أمر معدوم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ما يدخل على الطائفتين يشترك فيه المقلّدون وبعض المستدلّينوهي أسباب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قبول أوّل قولٍ وَرَد على السمع ودخل على القلب؛ لأنه يكون قد طرق سمعاً نكراً، ونزل قلباً خِلُواً فتسرّ به النفس، وتميل إليه، وتعتمد عليه</w:t>
      </w:r>
      <w:r>
        <w:rPr>
          <w:rStyle w:val="FootnoteAnchor"/>
          <w:rtl w:val="true"/>
        </w:rPr>
        <w:footnoteReference w:id="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المقلّد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فینتفع به بالفتوى ويرضى منه بمجرّد الدعوى فيتمسك به تمسك المحقق، ويسكن إليه سكون الواثق المصدق حتى يُمازج قلبه </w:t>
      </w:r>
    </w:p>
    <w:p>
      <w:pPr>
        <w:pStyle w:val="BookText"/>
        <w:rPr/>
      </w:pPr>
      <w:r>
        <w:rPr>
          <w:rFonts w:ascii="Amiri" w:hAnsi="Amiri" w:eastAsia="Amiri" w:cs="Amiri"/>
          <w:color w:val="111111"/>
          <w:sz w:val="28"/>
          <w:sz w:val="28"/>
          <w:szCs w:val="28"/>
          <w:rtl w:val="true"/>
          <w:lang w:bidi="ar-SA"/>
        </w:rPr>
        <w:t>ويخالطه ويُخالط لُبّه، ويصير له خُلْقاً باقياً وطبعاً ثانيا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المستدل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فيدخل ذلك عليه من سماعه لابتداء طريقه من الاستدلال، لم يسمع غيرها، ووقوفه على شبهة لم يقف قبلها على سواها، فيتشبث بها تشبّث المتربّص ، ويعتمد عليها اعتماد المخلص، ويعتاد نصرتها وتألّفها، ويَلْهَج بذم من خالفها، ويجهد نفسه في استخراج ما قوّاها، ويكد خاطره في تضعيف ما سواها، حتى أنه إذا سمع قول خصمه تَوَثَّبت نفسه إلى القدح فيه، وسارعت إلى الطعن عليه، سواء فهم مقاله أو لم يفهمه، وعلم غرضه أو لم يعلمه، وقد رأينا من هو على هذه الطريقة خلقاً فيجب أن يتوقاها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المنافع الدنيوية إذا انتشرت أسرت، وإذا أمكنت ملكت، وكم من نَفْس ترك ما في يده وقلّد في دينه المفضّل عليه، وهذا وجه أشهر من أن يُنْكَر، وضَلَّ به كثيرٌ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اعتراضه لمقلّد الاستدلال حتّى يُخرجه من الهدى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الضلال فهو أيضاً واضح، وتأثيره قوي لائح؛ لأنّ منافع الدنيا كما أنّها تجوش إلى تقليد المذهب فكذلك تجوش إلى الاجتهاد في نصرة المذهب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بَلَغَنا أنّ الصاحب إسماعيل بن عبّاد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يهوى طريقة أبي هاشم الجبائي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وإنّه اجترى على من يقرأها الجرايات، وتوصلهم بالصلات فانصرف أكثر المستدلّين إليها، وتوفّروا عليها، فصارت لهم مذهباً سائراً وديناً ظاهراً، حتى كثر </w:t>
      </w:r>
    </w:p>
    <w:p>
      <w:pPr>
        <w:pStyle w:val="BookText"/>
        <w:rPr/>
      </w:pPr>
      <w:r>
        <w:rPr>
          <w:rFonts w:ascii="IRNazanin" w:hAnsi="IRNazanin" w:eastAsia="IRNazanin"/>
          <w:color w:val="111111"/>
          <w:sz w:val="28"/>
          <w:sz w:val="28"/>
          <w:szCs w:val="28"/>
          <w:rtl w:val="true"/>
          <w:lang w:bidi="fa-IR"/>
        </w:rPr>
        <w:t>معتقدوه، وتضاعف قاصدوه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p>
    <w:p>
      <w:pPr>
        <w:pStyle w:val="BookText"/>
        <w:rPr/>
      </w:pPr>
      <w:r>
        <w:rPr>
          <w:rFonts w:ascii="Amiri" w:hAnsi="Amiri" w:eastAsia="Amiri" w:cs="Amiri"/>
          <w:color w:val="111111"/>
          <w:sz w:val="28"/>
          <w:sz w:val="28"/>
          <w:szCs w:val="28"/>
          <w:rtl w:val="true"/>
          <w:lang w:bidi="ar-SA"/>
        </w:rPr>
        <w:t>خبر طرفة غريبة ونادرة عجيبة، وهو أن رجلاً من العرب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يقرأ الكلام ببغداد على شيخ كبير من الأشعرية</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لازم مجلسه عدة، فلقيه في بعض الأيام جماعة من أهل الاعتزال</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أحدهم عن سؤال يضعف عن جوابه، ولم ينهض 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على كثرة درسك يضعف عن جواب هذا السؤال ويظهر منه العجز والاختلال؟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مقيم الفكر لما أنا عليه من الإفاقة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شيخك لا يصلك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ترتاح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 مدرّساً يفعل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على وجه اللعب والسخرية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شيخنا فيحمل عنا أثقالنا، ويجري من ماله علينا ما يكفينا، ولهذا ينتظم أمرنا، ولو كنت معنا تحصلت كأحدنا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وقد انحل عقده وضعف في مذهبه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يدفع إليكم شيخكم في كل يوم لأنقل إليكم؟</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يضمن لي هذا؟</w:t>
      </w:r>
    </w:p>
    <w:p>
      <w:pPr>
        <w:pStyle w:val="BookText"/>
        <w:rPr/>
      </w:pPr>
      <w:r>
        <w:rPr>
          <w:rFonts w:ascii="Amiri" w:hAnsi="Amiri" w:eastAsia="Amiri" w:cs="Amiri"/>
          <w:color w:val="111111"/>
          <w:sz w:val="28"/>
          <w:sz w:val="28"/>
          <w:szCs w:val="28"/>
          <w:rtl w:val="true"/>
          <w:lang w:bidi="ar-SA"/>
        </w:rPr>
        <w:t>فقال أحدهم أنا الضامن وهذه عشرة دراهم أسلفها عنه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معي إلى منزلي لأحمل خُرْجي، ففعلوا ما أراد ونقلوه إليهم، وأسكنوه معهم، وأخبروا بحديثه شيخهم، فعجب من قولهم ورضي فعلهم، فأقام مدّة يلازمهم، ويقرأ على شيخهم مذهبهم إلى أن افتقده شيخه الأشعري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ما كان عليه واعتزل وقرأ على فلان بسبب أنه أجرى عليه كل يوم درهماً، فصعب على الشيخ انتقاله وشانه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به وأعزلوه واضمنوا له ضعف ما بذلوه، فلمّا اجتمعوا به وسألوه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انتقلت إلى الاقتداء بالشيخ الكريم والحبر العليم؛ مراعي أصحابه ومواصل تلاميذه، وكنت بينكم محتاجاً لا أُسْعد، وفقيراً لا أرفد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لم يعلم بحاجتك، وتوهم كفايتك، والآن فعد إليه ولك ما تؤثره وترضيه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درهماً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شيخك يدفع إليك كل يوم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يضمن هذا عنه؟</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أسلفوني عشرة دراهم كما فعلوا معي، وسيروا معي إلى منزلي لأحمل خُرْجي، ففعلوا ما طلب وعاد إلى قراءة مذهبه، فعلم به أصحابه المعتزلة فلقوه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ووبخوه ولاموه على مفارقتهم،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شيخي لم يعلم بحاجتي، فلمّا عَلِمَ أضعف ما بذلتموه فأنا أستفيد من الحق اليقين، وأخذ كل يوم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في أمرك ولم تستشر الناصح لك، جعل لك شيخنا في الابتداء درهماً واحداً لينظر إن كنت مجتهداً فإن حسنت طريقتك أضعف جائزتك، والآن لك منه كل يوم ثلاثة دراهم؛ فإن أحببت فانتقل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أسلفوه ومضوا معه فحملوا خُرجه ونقلوه، وذاع خبره في البلد، وصار ضُحكة على لسان كل أحد، وخاف الشيخان أن يصير خبره قَدْحاً فيهما ووخيمةً عليهما، وأن يُنسبا إلى اللعب والمَجَانة فتراسلا بأن الصواب حسم</w:t>
      </w:r>
    </w:p>
    <w:p>
      <w:pPr>
        <w:pStyle w:val="BookText"/>
        <w:rPr/>
      </w:pP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الحكاية وإن استغرب أمرها واستبعد، إنما يتفق نظيرها، فمثلها يذكر، وقد ثبت على من لا يلتمس النظر، وليس ينكر تأثير </w:t>
      </w:r>
    </w:p>
    <w:p>
      <w:pPr>
        <w:pStyle w:val="BookText"/>
        <w:rPr/>
      </w:pPr>
      <w:r>
        <w:rPr>
          <w:rFonts w:ascii="Amiri" w:hAnsi="Amiri" w:eastAsia="Amiri" w:cs="Amiri"/>
          <w:color w:val="111111"/>
          <w:sz w:val="28"/>
          <w:sz w:val="28"/>
          <w:szCs w:val="28"/>
          <w:rtl w:val="true"/>
          <w:lang w:bidi="ar-SA"/>
        </w:rPr>
        <w:t>الدنيا في قلوب كثير من ذوي الاستدلال، وجذبها لهم في المذاهب من حال إلى حال حتّى أنّها تحملهم على نصرة خلاف ما يعتقدون، والعمل بضد ما يضمرون، إلّا مَن لم يقف على أحوال الناس، ولم يتأمل تصرّف الزمان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محبّة العزة والقدرة وعشق عالي الكلام والإمْرَة؛ فهذا ما يميل الطباع إليه وتشتهيه النفوس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تأثيره في قلب العامي فهو أن يكون في مدينة، الحق فيها مستتر مقهور، والباطل ظاهر منصور، فيُسْرِع إلى اعتقاد ما عَلَتْ كلمته، وقويت نصرته، وتسلّط لسانه، وكثر أعوانه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ذلك من وجه آخر، وهو أن يتفق للجاهل تقدّم في ضلال يرأس به على طائفة من الجهال فيرى نفسه بينهم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ظماً، </w:t>
      </w:r>
    </w:p>
    <w:p>
      <w:pPr>
        <w:pStyle w:val="BookText"/>
        <w:rPr/>
      </w:pPr>
      <w:r>
        <w:rPr>
          <w:rFonts w:ascii="Amiri" w:hAnsi="Amiri" w:eastAsia="Amiri" w:cs="Amiri"/>
          <w:color w:val="111111"/>
          <w:sz w:val="28"/>
          <w:sz w:val="28"/>
          <w:szCs w:val="28"/>
          <w:rtl w:val="true"/>
          <w:lang w:bidi="ar-SA"/>
        </w:rPr>
        <w:t>وشأنه مفخماً، فيتعجب</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فيه، ويعمل بالتلبس على بغيته حتى يستخرج لهم الأقوال، ويأتيهم بضروب الضلال، وبمثل هذا تولّدت المذاهب الخسيسة بين الجهال وكثرت الأخبار الباطلة بالضلال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اعتراض معجز هذه الكلمة هو لمن استدل استدلّ بمن يظهر أمره ويبسط ذكره ويكثر في المذاهب اتباعه، ويزدحم عليه أشياعه، ویری نفسه مقدّماً رئيساً، ومتجبلاً عزيزاً، فلو ظهر له بعد ذلك الحق فيما أنكره والباطل فيما شيّده ونصره لم يكد يتفطن إليه ولا تتركه محبّة الرئاسة أن يزول عما هو عليه، بل يرى أن يتعب في نفسه </w:t>
      </w:r>
    </w:p>
    <w:p>
      <w:pPr>
        <w:pStyle w:val="BookText"/>
        <w:rPr/>
      </w:pPr>
      <w:r>
        <w:rPr>
          <w:rFonts w:ascii="Amiri" w:hAnsi="Amiri" w:eastAsia="Amiri" w:cs="Amiri"/>
          <w:color w:val="111111"/>
          <w:sz w:val="28"/>
          <w:sz w:val="28"/>
          <w:szCs w:val="28"/>
          <w:rtl w:val="true"/>
          <w:lang w:bidi="ar-SA"/>
        </w:rPr>
        <w:t xml:space="preserve">الكلام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ادعى خاطره في تقوية ما سرّ أصحابه، وبذلك قويت الشُّبَه واختلط الأمر واشتبه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w:t>
      </w:r>
    </w:p>
    <w:p>
      <w:pPr>
        <w:pStyle w:val="BookText"/>
        <w:rPr/>
      </w:pPr>
      <w:r>
        <w:rPr>
          <w:rFonts w:ascii="Amiri" w:hAnsi="Amiri" w:eastAsia="Amiri" w:cs="Amiri"/>
          <w:color w:val="111111"/>
          <w:sz w:val="28"/>
          <w:sz w:val="28"/>
          <w:szCs w:val="28"/>
          <w:rtl w:val="true"/>
          <w:lang w:bidi="ar-SA"/>
        </w:rPr>
        <w:t xml:space="preserve">اعتبار الحق بالرجال، وهذا مفتاح الضلال، وإنّما يجب أن الرجال بالحقِّ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يَعْرِفُ الصادق من لا يعرف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 هذه للمقلّدين واضح بين حدوده، وهو أنهم يرون رجلاً قد يتميّز بنقل حديث، لا يعرف الباطل من الصحيح، أو كثرت دعواه وطال لسانه بانتحال ممّا ليس فيه فيحسنون الظن به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هذا يضلّ في مذهبه، ويقلدونه أمرهم، ويأخذون عنه دينهم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اعتراضه للمستدلّين فمعلوم في الكتب، وهو أن يحصل لبعض العلماء صيت</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وجلالة قدرٍ ويذيع تصنيفه، ويشتهر تأليفه، فيجعل ذلك دلالة على صوابه في جميع ما يأتي به، ويستبعد </w:t>
      </w:r>
    </w:p>
    <w:p>
      <w:pPr>
        <w:pStyle w:val="BookText"/>
        <w:rPr/>
      </w:pPr>
      <w:r>
        <w:rPr>
          <w:rFonts w:ascii="Amiri" w:hAnsi="Amiri" w:eastAsia="Amiri" w:cs="Amiri"/>
          <w:color w:val="111111"/>
          <w:sz w:val="28"/>
          <w:sz w:val="28"/>
          <w:szCs w:val="28"/>
          <w:rtl w:val="true"/>
          <w:lang w:bidi="ar-SA"/>
        </w:rPr>
        <w:t xml:space="preserve">تخطئته ويعظم مقامه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أكثر المستدلين إذا سلكوا طريق أحد من المتكلمين وافوا في ذلك أصلاً وفرعاً، ولم يخالفوه في مسألة عقل ولا نقل حتى أنّ الحجّة إذا ثبتت على أحد من أصحابه، وتبين له بطلان مذهبه لم تسمح نفسه بالإقرار، ولم يزل على الجحد والإنكار، وكان الصادّ له عن قبول الصواب ظنّه أنّ الحجة التي وردت عليه كانت صحيحة لم تخف على شيخه ودبّ</w:t>
      </w:r>
    </w:p>
    <w:p>
      <w:pPr>
        <w:pStyle w:val="BookText"/>
        <w:rPr/>
      </w:pPr>
      <w:r>
        <w:rPr>
          <w:rFonts w:ascii="IRNazanin" w:hAnsi="IRNazanin" w:eastAsia="IRNazanin"/>
          <w:color w:val="111111"/>
          <w:sz w:val="28"/>
          <w:sz w:val="28"/>
          <w:szCs w:val="28"/>
          <w:rtl w:val="true"/>
          <w:lang w:bidi="fa-IR"/>
        </w:rPr>
        <w:t>مقالته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كلّمتُ معتزليّاً مرّةً في مسألة من المسائل الإمامية فاستظهرتُ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حَضَرَه العي</w:t>
      </w:r>
      <w:r>
        <w:rPr>
          <w:rStyle w:val="FootnoteAnchor"/>
          <w:rtl w:val="true"/>
        </w:rPr>
        <w:footnoteReference w:id="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أترى خفي مثل هذا على الشيخين أبي عليّ وأبي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يُخرج المستدلّ إلى التقليد، بل يكون أَسْوَءَ حالاً ممن قلّد على التحقيق، لأنّ المقلّد لم يناقض فى قوله إن كان اعتمد على التقليد ودان به وهذا المستدلّ قد ناقض في فعله لأنه قد ذم التقليد واستعمله، وهَرَب منه ورجع إليه؛ هذا مع خسارة راحة المقلّد وربح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التقليد الذي لم يدر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حضرت يوماً مجلساً وفيه جماعة من أهل النظر، فجرت مسألة استعظمها أحدهم، وأنكر الخوض فيما بينهم، فبعد أن حَمِي في إنكارها وادعى أن العقل يشهد بقبحها،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شيخك أبا هاشم قد ذكرها في بعض كتبه وأجازها، فانكسرت حينئذ حدته وسهل عليه ما كان استصعبه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عكس الصواب باعتبار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أن يكون قول الشيخ عند الناظر كقول غيره، ثمّ يَزِنُ القولين باعتباره وفكره، فإذا ظفر بالراجح منها تشبّث به، ويحصل له بمعرفة الحق معرفة أهله، وكذلك قال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الحق بالرجال ولكن من عرف الحق عرف أهله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الأسباب الصادة عن الصواب والأُمور الصادّة لأولى الألباب، وجميعها معهود ،بالوقت، ليس منها إلا ما يحول بين المرء والرشاد، ويسوقه إلى الضلال سوق القياد، فإذا اجتمع منها سببان أو أسباب عظمت محنته في البعد عن الصواب</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العادة هي الآفة الكبرى وهي الطبع الثاني والخُلق الثابت،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العقل بغير هوىً صاد ولا مألوف معتاد ولا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الانقياد سَاقَ المرء إلى السداد ، وهَجَمَ به على الرشاد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55" w:name="pg19151_180581"/>
    </w:p>
    <w:p>
      <w:pPr>
        <w:pStyle w:val="Heading2"/>
        <w:numPr>
          <w:ilvl w:val="1"/>
          <w:numId w:val="1"/>
        </w:numPr>
        <w:rPr/>
      </w:pPr>
      <w:bookmarkStart w:id="56" w:name="__RefHeading___Toc15865033_1280447820"/>
      <w:bookmarkStart w:id="57" w:name="_Toc19"/>
      <w:bookmarkEnd w:id="55"/>
      <w:bookmarkEnd w:id="56"/>
      <w:r>
        <w:rPr>
          <w:rtl w:val="true"/>
        </w:rPr>
        <w:t>فصلٌ في ذكر ما يختص المستدلّين</w:t>
      </w:r>
      <w:bookmarkEnd w:id="57"/>
    </w:p>
    <w:p>
      <w:pPr>
        <w:pStyle w:val="BookText"/>
        <w:rPr/>
      </w:pPr>
      <w:r>
        <w:rPr>
          <w:rFonts w:ascii="Amiri" w:hAnsi="Amiri" w:eastAsia="Amiri" w:cs="Amiri"/>
          <w:color w:val="111111"/>
          <w:sz w:val="28"/>
          <w:sz w:val="28"/>
          <w:szCs w:val="28"/>
          <w:rtl w:val="true"/>
          <w:lang w:bidi="ar-SA"/>
        </w:rPr>
        <w:t>وهو أُمور يجب أن يحترزها المحترز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كثيراً من أهل النظر لا يريدون بنظرهم وجه الله عزّ وجل، وإنّما يقصدون العصبيّة، والمراد الحميّة للأهواء، ويحرصون على الرتب بين العامة، ونصرة كل بدعة للتقدّم والرئاسة والافتخار والنفاسة، لا يوقظون في فعال، ولا يسددون في مقال، ولا يقتدون إلى فعال، ولا يرشدون في مسألة وجواب ، ولو أنّهم لا يريدون بنظرهم غير وجه الله تعالى، ولا يقصدون غير العصبية لما أخرجوا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اختلاف الأمة، وادعوا في الاختلاف قول الشافعي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w:t>
      </w:r>
    </w:p>
    <w:p>
      <w:pPr>
        <w:pStyle w:val="BookText"/>
        <w:rPr/>
      </w:pPr>
      <w:r>
        <w:rPr>
          <w:rFonts w:ascii="Amiri" w:hAnsi="Amiri" w:eastAsia="Amiri" w:cs="Amiri"/>
          <w:color w:val="111111"/>
          <w:sz w:val="28"/>
          <w:sz w:val="28"/>
          <w:szCs w:val="28"/>
          <w:rtl w:val="true"/>
          <w:lang w:bidi="ar-SA"/>
        </w:rPr>
        <w:t xml:space="preserve">حنيفة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يقتصر الناظر في نظره وقطعه له دون بلوغ غايته، مثل أن تكون المسألة تحتاج إلى إمعان الفكر وغوص الذهن فلا يبلغ هذا الحدّ، ويقصر من النظر في طريقها على البعض؛ إما لتناقض خاطره، أو لتزايد ضجره، فيقف دون الغاية، ويظنّ أنّه قد أدرك البغية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تجاوز الناظر الحدّ في نظره، وتركه الحق وراء ظهره، مثل أن تكون المسألة تدرك من قريب ويطلبها من بعيد، ويكدّ خاطره ويعسّف فكره، والحق قد تخطاه وتجاوزه إلى ما سواه</w:t>
      </w:r>
      <w:r>
        <w:rPr>
          <w:rFonts w:eastAsia="Amiri" w:cs="Amiri" w:ascii="Amiri" w:hAnsi="Amiri"/>
          <w:color w:val="111111"/>
          <w:sz w:val="28"/>
          <w:szCs w:val="28"/>
          <w:rtl w:val="true"/>
          <w:lang w:bidi="ar-SA"/>
        </w:rPr>
        <w:t xml:space="preserve">. </w:t>
      </w:r>
      <w:bookmarkStart w:id="58" w:name="pg19151_180583"/>
    </w:p>
    <w:p>
      <w:pPr>
        <w:pStyle w:val="Heading2"/>
        <w:numPr>
          <w:ilvl w:val="1"/>
          <w:numId w:val="1"/>
        </w:numPr>
        <w:rPr/>
      </w:pPr>
      <w:bookmarkStart w:id="59" w:name="__RefHeading___Toc15865035_1280447820"/>
      <w:bookmarkStart w:id="60" w:name="_Toc20"/>
      <w:bookmarkEnd w:id="58"/>
      <w:bookmarkEnd w:id="59"/>
      <w:r>
        <w:rPr>
          <w:rtl w:val="true"/>
        </w:rPr>
        <w:t xml:space="preserve">فصل في ذكر ما يختص المستدلّين </w:t>
      </w:r>
      <w:r>
        <w:rPr>
          <w:rtl w:val="true"/>
        </w:rPr>
        <w:t>..</w:t>
      </w:r>
      <w:bookmarkEnd w:id="60"/>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يسلك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المستدل في نظره عن السنن وينتهي إلى طريق آخر، ولا يعتبر الحق من قرب ولا بعد؛ سواء قصر واقتصد أو طال واجتهد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الناظر في الشيء قاطعاً على بطلانه غير مجوز له، ومن شرط النظر المولد للعلم أن يُقارنه التجويز للمنظور فيه، فإذا ارتفع التجويز لم يولّد النظر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الاطّلاع في مختلف الأقوال، والاقتصار على العلم بمذهب واحد في الاستدلال، حتى لا يكون الإنسان لا يعرف مذهب خصمه إلا ما أخذه من شيوخه، ولا يعلم منه حجّة مخالفة أكثر مما وجد في كتب أصحابه، وتعريفه عن قراءة مذهبه والاختلاف بغير أصحابه، وليست هذه صفة من نصح نفسه، وعدل في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 المستدلّ العلوم التي يفتقر في بعض المسائل إليها، ويحتاج في خاطر من أمور الدين إلى الاستعانة بها كحاجته في موضع إلى مقدار من علم العربيّة، وافتقاره في موضع آخر إلى </w:t>
      </w:r>
    </w:p>
    <w:p>
      <w:pPr>
        <w:pStyle w:val="BookText"/>
        <w:rPr/>
      </w:pPr>
      <w:r>
        <w:rPr>
          <w:rFonts w:ascii="Amiri" w:hAnsi="Amiri" w:eastAsia="Amiri" w:cs="Amiri"/>
          <w:color w:val="111111"/>
          <w:sz w:val="28"/>
          <w:sz w:val="28"/>
          <w:szCs w:val="28"/>
          <w:rtl w:val="true"/>
          <w:lang w:bidi="ar-SA"/>
        </w:rPr>
        <w:t>الاطلاع على الأخبار والسير، فإنّا رأينا قوماً ممن يتعاطى النظر عدموا العلم بكيفية كلام العرب، فحملوا آيات القرآن كلها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ظاهرها، وأسقطوا المجازات منها، فأداهم ذلك إلى قبيح الغلط في كلامهم، وعرفوا عادتهم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 عَلَيْهِمْ بِخَيْلِكَ وَرَجِلِكَ﴾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وليس بأمر، 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وليس فى الحقيقة بأمر، ولم ننكر فيما تقدم على من أشرف على قوانين كلام العرب وتهذب وتأدب، إنّما أنكرنا على من اشتغل بكلامهم عن الدين، وهجر بمواصلة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أوجب عليه ربّ العالمين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العلم بالأخبار والاطلاع في السير والآثار قد تركه كثير ممن تعاطى الاستدلال، فتواترت فيهم الأغلاط ، ولهذا ادعى بعض المخالفين 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سببه كلاماً جرى بين أمير المؤمنين وبين زيد ابن حارثة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زيداً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مولاي أنا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إنكاراً على زيد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اطّلع ذلك على السير ووقف على الأخبار المأثورة يعلم أنّ زيداً قُتِلَ قبل يوم الغدير بسنتين في غزوة مؤتة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أمثال ذلك في أغلاطهم كثير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يلي قول المسترشدين من المتكلمين لا يتوقّون ربّ العالمين، يعتمدون نصرة الأقوال الصادرة، ويقعون في قود مقالة تقودهم من حق وباطل ومستحيل وجائز مثل الحافظ وابن الدوسري وغيرهما ليظهروا بذلك تقواهم ويثبتوا معرفتهم وفهمهم حتى انتشرت كتبهم في البلاد فضل بها كثير من الناس، وخبطت بعض الأسباب المعترضة ذوي الصواب، وغير ذلك من الأمور التي تضل كثيراً من أهل النظر عن إدراك الحق فتختلف أقوالهم، وتشتّت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احترز هذه العوارض وأراد بنظره وجه الله واليوم الآخر لم يكن بينه وبين الحق ساتر ولا مانع والواجب أن يكون في جميع أُموره فَطِناً متيقناً ناظراً متأملاً حاكماً عادلاً باحثاً عن الحق، طالباً ، للنجاة راغباً عن الافتخار والمماراة، وقد أدرك بعقله الصواب إن شاء الله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التمستموه من بيان هذه الأشياء ما في العلم به نفع لأُولي الألباب، والحمد لله الموفق للصواب، وصلواته على النبي الداعي إلى أكرم المآب، وعلى أهل بيته السادة الأنجاب والحُجج يوم الحساب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نسخة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 مداد كاتبها ومالكها حين انتهى بنهاية مسالكها، مواجهاً للقبّة المقدّسة القدسيّة المنوّرة المطهرة العليّة العالية العلوية الرضيّة المرضيّة الرضويّة، على مُشرفها وآبائه الأطهار وأبنائه المنتجبين الأخيار شرائف الصلاة والسلام، والثناء والتحيّة يوم الأحد، سادس عشر جمادى الأولى سنة اثنتين وثمانين وتسعمائة الهجرية، على من هاجر فيها وآله النجباء الأمناء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صلوات الله ولطائف التحيّة والثناء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عبد الله الفقير إلى الله، الغني بالله، الراجي عفو مولاه، في أُولاه وأُخراه، تاج الدين حسين الشهي بالصاعد</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الأفواه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غفر الله له ولأسلافه ولجميع المؤمنين والمؤمنات، وبدل سيئاتهم حسنات</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9151_180589"/>
      <w:bookmarkStart w:id="62" w:name="pg19151_180589"/>
      <w:bookmarkEnd w:id="62"/>
    </w:p>
    <w:p>
      <w:pPr>
        <w:pStyle w:val="Heading2"/>
        <w:numPr>
          <w:ilvl w:val="1"/>
          <w:numId w:val="1"/>
        </w:numPr>
        <w:rPr/>
      </w:pPr>
      <w:bookmarkStart w:id="63" w:name="pg19151_180589"/>
      <w:bookmarkStart w:id="64" w:name="__RefHeading___Toc15865037_1280447820"/>
      <w:bookmarkStart w:id="65" w:name="_Toc21"/>
      <w:bookmarkEnd w:id="63"/>
      <w:bookmarkEnd w:id="64"/>
      <w:r>
        <w:rPr>
          <w:rtl w:val="true"/>
        </w:rPr>
        <w:t>فهرس مصادر التحقيق</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للماحوزي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في صفات المؤمنين للشيخ الحسن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للشيخ الطبر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سي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ريم بن محمد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في المذاهب والمختارات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للفضل بن شاذان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لمحمّد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والأعلام 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 في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للمزيّ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لابن عبد البر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الاشتبهات عن الطرق والاسناد لمحمد بن عليّ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لابن أبي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لمحمّد بن مكي العاملي المستشهد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النص بخبر الغدير للكراجكي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w:t>
      </w:r>
    </w:p>
    <w:p>
      <w:pPr>
        <w:pStyle w:val="BookText"/>
        <w:rPr/>
      </w:pP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السيّد بحر العلوم للسيّد محمد مهدي بحر 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باقر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الفتّال النيسابوري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للميرزا عبد 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للسيّد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لابن العماد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لمحمّد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للسيّد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تاريخ علماء النجوم للسيّد علي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فى أصول الأئمة لمحمد بن الحسن الحر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معارف إسلامي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علماء الشيعة ومصنّفيهم لابن بابويه الرازي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للإربليّ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اللباب في تهذيب الأنساب لابن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لليافعي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لابن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والأمم لابن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جمع وترتيب 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لصلاح الدين الصفدي </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النشر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شتانیز بقيسبادن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للحر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151_180595"/>
      <w:bookmarkStart w:id="67" w:name="pg19151_180595"/>
      <w:bookmarkEnd w:id="67"/>
    </w:p>
    <w:p>
      <w:pPr>
        <w:pStyle w:val="Heading2"/>
        <w:numPr>
          <w:ilvl w:val="1"/>
          <w:numId w:val="1"/>
        </w:numPr>
        <w:rPr/>
      </w:pPr>
      <w:bookmarkStart w:id="68" w:name="pg19151_180595"/>
      <w:bookmarkStart w:id="69" w:name="__RefHeading___Toc15865039_1280447820"/>
      <w:bookmarkStart w:id="70" w:name="_Toc22"/>
      <w:bookmarkEnd w:id="68"/>
      <w:bookmarkEnd w:id="69"/>
      <w:r>
        <w:rPr>
          <w:rtl w:val="true"/>
        </w:rPr>
        <w:t>فهرس المحتويات</w:t>
      </w:r>
      <w:bookmarkEnd w:id="70"/>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نسبته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ونسبته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رحلاته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إطراء العلماء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أساتذته ومشايخه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تلامذته، ومن روى عنه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مؤلّفاته وآثاره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نسبة الكتاب إلى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نسخة الكتاب وطريقتنا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يختص به العامة ومَن هَجر النظر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إدراك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يدخل على الطائفتين يشترك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قلّدون وبعض المستدلّين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يختص المستدلّين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نهاية نسخة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منشوراتنا 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 بنشر العناوين الآتية بعد العمل بها تحقيقاً أو مراجعة أو إعداداً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الرزاق الموس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المق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آل كاشف الغط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الشيخ شير محمد ابن صفر علي</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علي مجيد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ووضع فهارسه 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ابن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عوض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وحدة التحقيق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أخلاق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حسين الموسوي البروجردي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السيّد محمّد رضا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مخطوطات العتبة القصيدة البغدادية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الصولة العلوية على القصیدة البغدادیة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وحدة التحقيق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عن وجه الغائب عن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الميرزا المحدث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علي مجيد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وضبطه ووضع فهارسه وحدة التحقيق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المیلانی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مجالي اللط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الشيخ محمد بن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عبدالنبی الزییدی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آداب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مجاورة مشاهد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حررها ونقلها إلى العربية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محمد حسن الوكيل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الأستاذ محمَد المجذوب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الشيخ حمزة السلامي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وضبطه ووض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فهارس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التأليف والدراسات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الأطاريح والرسائل الجامعية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وحدة التحقيق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مسألة في شأن 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w:t>
      </w:r>
    </w:p>
    <w:p>
      <w:pPr>
        <w:pStyle w:val="BookText"/>
        <w:rPr/>
      </w:pPr>
      <w:r>
        <w:rPr>
          <w:rFonts w:ascii="IRNazanin" w:hAnsi="IRNazanin" w:eastAsia="IRNazanin"/>
          <w:color w:val="111111"/>
          <w:sz w:val="28"/>
          <w:sz w:val="28"/>
          <w:szCs w:val="28"/>
          <w:rtl w:val="true"/>
          <w:lang w:bidi="fa-IR"/>
        </w:rPr>
        <w:t xml:space="preserve">الخالص الكاظمی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السيد مهدي الخطيب مراجعة وحدة التحقيق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المظفر ابن أبي بكر أحمد بن</w:t>
      </w:r>
    </w:p>
    <w:p>
      <w:pPr>
        <w:pStyle w:val="BookText"/>
        <w:rPr/>
      </w:pPr>
      <w:r>
        <w:rPr>
          <w:rFonts w:ascii="IRNazanin" w:hAnsi="IRNazanin" w:eastAsia="IRNazanin"/>
          <w:color w:val="111111"/>
          <w:sz w:val="28"/>
          <w:sz w:val="28"/>
          <w:szCs w:val="28"/>
          <w:rtl w:val="true"/>
          <w:lang w:bidi="fa-IR"/>
        </w:rPr>
        <w:t xml:space="preserve">محمد ابن المختار الحنفي الرازي ت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مهدي السیّد حسن الموسوی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وحدة التحقيق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مكتبة الكونغرس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آسيا، أفريقيا، استراليا، نيوزلندا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العامة،</w:t>
      </w:r>
    </w:p>
    <w:p>
      <w:pPr>
        <w:pStyle w:val="BookText"/>
        <w:rPr/>
      </w:pPr>
      <w:r>
        <w:rPr>
          <w:rFonts w:ascii="Amiri" w:hAnsi="Amiri" w:eastAsia="Amiri" w:cs="Amiri"/>
          <w:color w:val="111111"/>
          <w:sz w:val="28"/>
          <w:sz w:val="28"/>
          <w:szCs w:val="28"/>
          <w:rtl w:val="true"/>
          <w:lang w:bidi="ar-SA"/>
        </w:rPr>
        <w:t>المنطق الفلسفة التأملية، علم النفس، علم الجمال،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الملحقة بالتاريخ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الترجمة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محمد رضا الجلالی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وحدة التأليف والدراسات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ما قيل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 العيساوي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الكتب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أعلام الناس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ثوى عند أبي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مشاهير علماء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نقي النقوي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مركز 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المطالب وبحر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ولي بن نعمة الله الحسيني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احیاء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التأليف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الأسباب الصادة عن إدراك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تراثيات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الذي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عوض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مركز إحياء التراث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قيد الإنجاز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مكتبة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إصدار مركز تصویر المخطوطات وفهرستها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مجلة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اخترنا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زين العابدين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والإعلام العالمي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علي فاخر</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العلّامة ، الأوردبادی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علي الأوردبادي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وتحقيق السيد مهدي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مركز 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صدى الفؤاد إلى حمى الكاظم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الشيخ محمد بن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شرحه وضبطه ووضع فهارسه 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محمد صادق آل بحر العلوم 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إجازات الرواية والاجتهاد للعلّامة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الرازي إلى المج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آغا بزرك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الحلة الفيحاء ومراقد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موسى وتوت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ومرقده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العربية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lang w:val="en-US" w:bidi="en-US"/>
        </w:rPr>
        <w:t>The book is a message that has verified relying on a</w:t>
      </w:r>
    </w:p>
    <w:p>
      <w:pPr>
        <w:pStyle w:val="BookText"/>
        <w:rPr/>
      </w:pPr>
      <w:r>
        <w:rPr>
          <w:rFonts w:eastAsia="Times New Roman" w:cs="Times New Roman" w:ascii="Times New Roman" w:hAnsi="Times New Roman"/>
          <w:color w:val="111111"/>
          <w:sz w:val="28"/>
          <w:szCs w:val="28"/>
          <w:lang w:val="en-US" w:bidi="en-US"/>
        </w:rPr>
        <w:t>unique copy in the library of the advisory council in Tahran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one of the valuable message due to referring to the</w:t>
      </w:r>
    </w:p>
    <w:p>
      <w:pPr>
        <w:pStyle w:val="BookText"/>
        <w:rPr/>
      </w:pPr>
      <w:r>
        <w:rPr>
          <w:rFonts w:eastAsia="Times New Roman" w:cs="Times New Roman" w:ascii="Times New Roman" w:hAnsi="Times New Roman"/>
          <w:color w:val="111111"/>
          <w:sz w:val="28"/>
          <w:szCs w:val="28"/>
          <w:lang w:val="en-US" w:bidi="en-US"/>
        </w:rPr>
        <w:t>obstructing reasons of reaching to the truth in all fields of</w:t>
      </w:r>
    </w:p>
    <w:p>
      <w:pPr>
        <w:pStyle w:val="BookText"/>
        <w:rPr/>
      </w:pPr>
      <w:r>
        <w:rPr>
          <w:rFonts w:eastAsia="Times New Roman" w:cs="Times New Roman" w:ascii="Times New Roman" w:hAnsi="Times New Roman"/>
          <w:color w:val="111111"/>
          <w:sz w:val="28"/>
          <w:szCs w:val="28"/>
          <w:lang w:val="en-US" w:bidi="en-US"/>
        </w:rPr>
        <w:t>debate and argumentation and exposing them. If any person</w:t>
      </w:r>
    </w:p>
    <w:p>
      <w:pPr>
        <w:pStyle w:val="BookText"/>
        <w:rPr/>
      </w:pPr>
      <w:r>
        <w:rPr>
          <w:rFonts w:eastAsia="Times New Roman" w:cs="Times New Roman" w:ascii="Times New Roman" w:hAnsi="Times New Roman"/>
          <w:color w:val="111111"/>
          <w:sz w:val="28"/>
          <w:szCs w:val="28"/>
          <w:lang w:val="en-US" w:bidi="en-US"/>
        </w:rPr>
        <w:t>recognize those reasons he or she will be aware of those</w:t>
      </w:r>
    </w:p>
    <w:p>
      <w:pPr>
        <w:pStyle w:val="BookText"/>
        <w:rPr/>
      </w:pPr>
      <w:r>
        <w:rPr>
          <w:rFonts w:eastAsia="Times New Roman" w:cs="Times New Roman" w:ascii="Times New Roman" w:hAnsi="Times New Roman"/>
          <w:color w:val="111111"/>
          <w:sz w:val="28"/>
          <w:szCs w:val="28"/>
          <w:lang w:val="en-US" w:bidi="en-US"/>
        </w:rPr>
        <w:t>obstacles and avoid them. The author (may Allah rest his</w:t>
      </w:r>
    </w:p>
    <w:p>
      <w:pPr>
        <w:pStyle w:val="BookText"/>
        <w:rPr/>
      </w:pPr>
      <w:r>
        <w:rPr>
          <w:rFonts w:eastAsia="Times New Roman" w:cs="Times New Roman" w:ascii="Times New Roman" w:hAnsi="Times New Roman"/>
          <w:color w:val="111111"/>
          <w:sz w:val="28"/>
          <w:szCs w:val="28"/>
          <w:lang w:val="en-US" w:bidi="en-US"/>
        </w:rPr>
        <w:t>soul) wrote it in compliance to the request of some brothers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he divided those reasons into three chapters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1st- About the distinctive feature of the public and</w:t>
      </w:r>
    </w:p>
    <w:p>
      <w:pPr>
        <w:pStyle w:val="BookText"/>
        <w:rPr/>
      </w:pPr>
      <w:r>
        <w:rPr>
          <w:rFonts w:eastAsia="Times New Roman" w:cs="Times New Roman" w:ascii="Times New Roman" w:hAnsi="Times New Roman"/>
          <w:color w:val="111111"/>
          <w:sz w:val="28"/>
          <w:szCs w:val="28"/>
          <w:lang w:val="en-US" w:bidi="en-US"/>
        </w:rPr>
        <w:t>ignorant persons and those who abandon foresight and</w:t>
      </w:r>
    </w:p>
    <w:p>
      <w:pPr>
        <w:pStyle w:val="BookText"/>
        <w:rPr/>
      </w:pPr>
      <w:r>
        <w:rPr>
          <w:rFonts w:eastAsia="Times New Roman" w:cs="Times New Roman" w:ascii="Times New Roman" w:hAnsi="Times New Roman"/>
          <w:color w:val="111111"/>
          <w:sz w:val="28"/>
          <w:szCs w:val="28"/>
          <w:lang w:val="en-US" w:bidi="en-US"/>
        </w:rPr>
        <w:t>reasoning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2nd- About what comes upon the adherents and some of</w:t>
      </w:r>
    </w:p>
    <w:p>
      <w:pPr>
        <w:pStyle w:val="BookText"/>
        <w:rPr/>
      </w:pPr>
      <w:r>
        <w:rPr>
          <w:rFonts w:eastAsia="Times New Roman" w:cs="Times New Roman" w:ascii="Times New Roman" w:hAnsi="Times New Roman"/>
          <w:color w:val="111111"/>
          <w:sz w:val="28"/>
          <w:szCs w:val="28"/>
          <w:lang w:val="en-US" w:bidi="en-US"/>
        </w:rPr>
        <w:t>the concluders that magnifies harm to both parties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3rd- Relating to the concluders who raise such doubt</w:t>
      </w:r>
    </w:p>
    <w:p>
      <w:pPr>
        <w:pStyle w:val="BookText"/>
        <w:rPr/>
      </w:pPr>
      <w:r>
        <w:rPr>
          <w:rFonts w:eastAsia="Times New Roman" w:cs="Times New Roman" w:ascii="Times New Roman" w:hAnsi="Times New Roman"/>
          <w:color w:val="111111"/>
          <w:sz w:val="28"/>
          <w:szCs w:val="28"/>
          <w:lang w:val="en-US" w:bidi="en-US"/>
        </w:rPr>
        <w:t>leads to straying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perceive the presence of such restraining reasons of</w:t>
      </w:r>
    </w:p>
    <w:p>
      <w:pPr>
        <w:pStyle w:val="BookText"/>
        <w:rPr/>
      </w:pPr>
      <w:r>
        <w:rPr>
          <w:rFonts w:eastAsia="Times New Roman" w:cs="Times New Roman" w:ascii="Times New Roman" w:hAnsi="Times New Roman"/>
          <w:color w:val="111111"/>
          <w:sz w:val="28"/>
          <w:szCs w:val="28"/>
          <w:lang w:val="en-US" w:bidi="en-US"/>
        </w:rPr>
        <w:t>recognizing the right and its confirmations in our time in a powerful and perfect way. This is demonstrated the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awareness of the author, his foresight and power of intellect</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Thikr al-Asba'b</w:t>
      </w:r>
    </w:p>
    <w:p>
      <w:pPr>
        <w:pStyle w:val="BookText"/>
        <w:rPr/>
      </w:pPr>
      <w:r>
        <w:rPr>
          <w:rFonts w:eastAsia="Times New Roman" w:cs="Times New Roman" w:ascii="Times New Roman" w:hAnsi="Times New Roman"/>
          <w:color w:val="111111"/>
          <w:sz w:val="28"/>
          <w:szCs w:val="28"/>
          <w:lang w:val="en-US" w:bidi="en-US"/>
        </w:rPr>
        <w:t>aş-Şa'dah an Idra'k aş-Şawab</w:t>
      </w:r>
    </w:p>
    <w:p>
      <w:pPr>
        <w:pStyle w:val="BookText"/>
        <w:rPr/>
      </w:pPr>
      <w:r>
        <w:rPr>
          <w:rFonts w:eastAsia="Times New Roman" w:cs="Times New Roman" w:ascii="Times New Roman" w:hAnsi="Times New Roman"/>
          <w:color w:val="111111"/>
          <w:sz w:val="28"/>
          <w:szCs w:val="28"/>
          <w:lang w:val="en-US" w:bidi="en-US"/>
        </w:rPr>
        <w:t>Reference to the reasons impede the awareness of rightness</w:t>
      </w:r>
    </w:p>
    <w:p>
      <w:pPr>
        <w:pStyle w:val="BookText"/>
        <w:rPr/>
      </w:pPr>
      <w:r>
        <w:rPr>
          <w:rFonts w:eastAsia="Times New Roman" w:cs="Times New Roman" w:ascii="Times New Roman" w:hAnsi="Times New Roman"/>
          <w:color w:val="111111"/>
          <w:sz w:val="28"/>
          <w:szCs w:val="28"/>
          <w:lang w:val="en-US" w:bidi="en-US"/>
        </w:rPr>
        <w:t>Author</w:t>
      </w:r>
    </w:p>
    <w:p>
      <w:pPr>
        <w:pStyle w:val="BookText"/>
        <w:rPr/>
      </w:pPr>
      <w:r>
        <w:rPr>
          <w:rFonts w:eastAsia="Times New Roman" w:cs="Times New Roman" w:ascii="Times New Roman" w:hAnsi="Times New Roman"/>
          <w:color w:val="111111"/>
          <w:sz w:val="28"/>
          <w:szCs w:val="28"/>
          <w:lang w:val="en-US" w:bidi="en-US"/>
        </w:rPr>
        <w:t>Abu al-Fatih al-Karaji</w:t>
      </w:r>
    </w:p>
    <w:p>
      <w:pPr>
        <w:pStyle w:val="BookText"/>
        <w:rPr/>
      </w:pPr>
      <w:r>
        <w:rPr>
          <w:rFonts w:eastAsia="Times New Roman" w:cs="Times New Roman" w:ascii="Times New Roman" w:hAnsi="Times New Roman"/>
          <w:color w:val="111111"/>
          <w:sz w:val="28"/>
          <w:szCs w:val="28"/>
          <w:lang w:val="en-US" w:bidi="en-US"/>
        </w:rPr>
        <w:t>d. 449A.H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Verified by</w:t>
      </w:r>
    </w:p>
    <w:p>
      <w:pPr>
        <w:pStyle w:val="BookText"/>
        <w:rPr/>
      </w:pPr>
      <w:r>
        <w:rPr>
          <w:rFonts w:eastAsia="Times New Roman" w:cs="Times New Roman" w:ascii="Times New Roman" w:hAnsi="Times New Roman"/>
          <w:color w:val="111111"/>
          <w:sz w:val="28"/>
          <w:szCs w:val="28"/>
          <w:lang w:val="en-US" w:bidi="en-US"/>
        </w:rPr>
        <w:t>Abdul Halim Awadh al-Hilli</w:t>
      </w:r>
    </w:p>
    <w:p>
      <w:pPr>
        <w:pStyle w:val="BookText"/>
        <w:rPr/>
      </w:pPr>
      <w:r>
        <w:rPr>
          <w:rFonts w:eastAsia="Times New Roman" w:cs="Times New Roman" w:ascii="Times New Roman" w:hAnsi="Times New Roman"/>
          <w:color w:val="111111"/>
          <w:sz w:val="28"/>
          <w:szCs w:val="28"/>
          <w:lang w:val="en-US" w:bidi="en-US"/>
        </w:rPr>
        <w:t>Reviewed by</w:t>
      </w:r>
    </w:p>
    <w:p>
      <w:pPr>
        <w:pStyle w:val="BookText"/>
        <w:rPr/>
      </w:pPr>
      <w:r>
        <w:rPr>
          <w:rFonts w:eastAsia="Times New Roman" w:cs="Times New Roman" w:ascii="Times New Roman" w:hAnsi="Times New Roman"/>
          <w:color w:val="111111"/>
          <w:sz w:val="28"/>
          <w:szCs w:val="28"/>
          <w:lang w:val="en-US" w:bidi="en-US"/>
        </w:rPr>
        <w:t>The Heritage Revival Centre in</w:t>
      </w:r>
    </w:p>
    <w:p>
      <w:pPr>
        <w:pStyle w:val="BookText"/>
        <w:rPr/>
      </w:pPr>
      <w:r>
        <w:rPr>
          <w:rFonts w:eastAsia="Times New Roman" w:cs="Times New Roman" w:ascii="Times New Roman" w:hAnsi="Times New Roman"/>
          <w:color w:val="111111"/>
          <w:sz w:val="28"/>
          <w:szCs w:val="28"/>
          <w:lang w:val="en-US" w:bidi="en-US"/>
        </w:rPr>
        <w:t>The Library and House of manuscripts of al-Abbas Holy</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Shrine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 في المصادر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الفهرست لمنتجب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الفضل المعروف بالحوزي ، الملقب بقوام السنة، ولد في سنة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هـ، له رحلة إلى بغداد ونيسابور ومكة، صنف التصانيف وأملى، وتكلم في الجرح والتعديل، ومات سنة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عيسى بن يزيد الكراجكي، حدث عن شجاع بن الوليد، وروى عنه أبو عبد الله الحسين بن إسماعيل المحامليّ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بن يزيد البغدادي الكراجكي،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الكراشكي أيضاً، ذكره ابن حبان في الثقات، وقال الخطيب ما علمت من حاله إلا خيراً، مات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عمل الخيم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أدرجها المحدث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طبعتها مؤسسة آل البيت في مجلة تراثنا عدد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بتحقيق العلّامة المحقق السيد الا عبد العزيز الطباطبائي على نسخة المكتبة المركزية في جامعة طهران،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واستدرك عليها السيّد المحقق نحواً من عشرين كتاباً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قم المقدسة في انتشارات دار الغدير بتحقيق فارس حسّون كريم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بیروت فی دار الأضواء</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مرّة في مجلة الهادي الصادرة عن دار التبليغ في قم، ومرة الأُخرى مستقلّاً في مطبعة مهر استوار في قم المقدّسة، وأيضاً طبع بتحقيق عليّ رضا هزار في قم المقدسة في انتشارات دليل ما ، وأيضاً طبع بشكل أتم بتحقيق صديقنا السيد حسين الموسوي البروجردي في ضمن منشورات مكتبة العلّامة المجلسي له، وقد ترجمه المحدّث الشيخ عبّاس القمي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في ترجمة معدن الجواهر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 حكى لنا الشيخ محمد جواد ابن الشيخ موسى ابن الشيخ حسين محفوظ العاملي الساكن بهرمل أنه رأى النسخة وفيها أعمال السنة كانت في الشام عند الحسن اللحام الساكن في محلّة الخراب، أخذها منه وطابقها مع ما ينقل عنه الكفعمي، وهو كتاب كبير، انتهى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غير مطبوع وغير موجود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مرتين إحداهما في 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المحدّث الأُرم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بوجوب حق الوالدين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والأخرى في قم المقدسة في انتشارات دليل ما بتحقيق السيّد عبد العزيز الكريمي في ضمن منشورات مكتبة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مرتين إحداهما حجرية في قم المقدسة في مكتبة المصطفوي، والأخرى في بيروت في دار الأضواء بتحقيق الشيخ عبد الله نعمة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مجلة تراثنا الصادرة في قم المقدّسة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أوّلاً بتحقيق المحدّث الأُرموي في طهران في دار الكتب الإسلامية مع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وثانياً في مجلة تراثنا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حامد الطائي، وبعده بتحقيق صديقنا السيّد حسين الموسوي البروجردي في انتشارات دليل 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الفهرس المذكور، أما ما في أصل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إدراك الصواب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معاني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وعنهما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أمور ذهنيّة للتوصل إلى أمر مجهول، هكذا عرفه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الفهم في شرح النظم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الكلام في الاستدلال وشروطه وأنواعه تجده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عندنا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استدلّ مشركو قريش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وَجَدْنَا آبَاءَنَا عَلَى أُمَّةٍ وَإِنَّا عَلَى آثَارِهِمْ مُقْتَدُونَ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بِهذا فِي آبَائِنَا الأَوَّلِينَ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كأنفس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الكثرة ليس لها دخل في صحة الاعتقاد أو سقمه، ولقد صرّح القرآن في عدة آيات ببطلان أخذ الكثرة؛ منها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لا يُؤْمِنُونَ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أَكْثَرُهُمْ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أَكْثَرُهُمْ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الآيات، وجاء أيضاً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يَتَّبِعُ أَكْثَرُهُمْ إِلَّا ظَنّاً إِنَّ الظَّنَّ لا يُغْنِي مِنَ الْحَقِّ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وكما جاء في قضية طالوت وجالوت لما نزلت عليهم خيفة لقلة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 فِئَةٍ قَلِيلَةٍ غَلَبَتْ فِئَةٌ كَثِيرَةً بِإِذْنِ اللهِ وَاللَّهُ مَعَ 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تملأ به الوسادة ونحوها، وفي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الزائد الذي لا طائل تحته، وسمي الحشوية حشوية لأنهم يحشون الأحاديث التي لا أصل لها في الأحاديث المروية عن 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يدخلونها فيها، وهي ليست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 يقولون بالجبر والتشبيه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الإيضاح وجميع لابن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أمير المؤمنين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ثلاث ساعات؛ فساعة يناجي فيها ربّه، وساعة يرمّ معاشه، وساعة يخلّي بين نفسه وبين لذتها يحلّ ويجمل، وليس للعاقل أن يكون شاخصاً إلّا في ثلاث؛ مرقة المعاش أو خطوة في معاد، أو لذة في غير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معلول للمتغافل ثمّ الغفلة عن مبدئه ،ومعاده، وهو معلول للاشتغال بما عنده من اللذات المادية وما في الدنيا من الأمور الفانية وتوهم أنها مطلوبة نافعة بما هي هي، وأحسن القول ما قال إمام العارفين وزين العابدين في زبور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إلهي، أنا الذي لم أعقل عند الذنوب نهيك، ولم أراقب عند اللذَّات زجرك، ولم أقبل عند الشهوة نصيحتك، ركبت الجهل بعد الحلم وغدوت إلى الظلم بعد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عرفة،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236/95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الكليني روايات عديدة في باب مجالسة العلماء وصحبتهم، منها رواية إبراهيم بن عبد الحميد، عن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محادثة العالم على المزابل خير من محادثة الجاهل على الزرابي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سيّد الأوصياء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احذر مجالسة الجاهل كما تأمن مصاحبة العاقل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ينظر في العلوم الآلية إلا من حيث هي آلة للغير، ولا يوسع فيها الكلام، لأنّ ذلك يخرج بها عن المقصود، وصار الاشتغال بها لغواً، مع ما فيه من صعوبة الحصول على ملكتها بطولها وكثرة فروعها، وربّما يكون ذلك عائقاً عن تحصيل العلوم المقصودة بالذات لطول وسائلها، فيكون الاشتغال بهذه العلوم الآلية تضييعاً للعمر، وشغلاً بما لا يعني، وهذا ما فعله المتأخّرون في النحو والمنطق وأصول الفقه، فإنّهم أوسعوا دائرة الكلام فيها نقلاً واستدلالاً وأكثروا من التفاريع والمسائل بما أخرجها عن كونها آلة وصيرها مقصودة بذاتها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روى ابن إدريس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جعفر بن محمد بن سنان الدهقان بسنده عن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انهمك في طلب النحو سلب الخشوع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بيان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المراد علم النحو، ولا ينافي تجدّد هذا العلم والاسم لعلمه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سيجدّد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الحرّ 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ليس فيه ذمّ للنحو بل للانهماك فيه، أعني الإفراط والزيادة على قدر الحاجة، وقد ورد النهي عن الإفراط في العبادة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يَسْتَمِعُونَ الْقَولَ فَيَتَّبِعُونَ أَحْسَنَه أُولَئكَ هَدَاهُمُ اللَّهُ وَأُولئكَ هُم أُولُو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وقع ذلك في كثير من الأمم السابقة فينجر إلى ضلالهم عن طريق الحق،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الحكيم في كتابه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إِتَّخَذُوا أَحْبَارَهُمْ وَرُهْبَانَهُمْ أَرْبَاباً مِنْ دُونِ اللَّهِ وَالمَسِيحَ ابن مريم وَما أُمِرُوا إِلَّا لِيَعْبُدُوا إِلهاً وَاحِداً لا إلهَ إلّا هُو سُبْحَانَهُ عَمَّا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كتب الأخبار أبواب في ذمّ المستأكل بعلمه، فلاحظ هناك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إسماعيل بن أبي الحسن عباد بن عبّاس الطالقاني، نادرة الزمان وشقائق النعمان، ولد 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هـ  وسمع العلم والحديث عن أبيه، وأخذ الأدب عن أبى الحسين أحمد بن فارس اللغوي وعن أبي الفضل العبّاس بن محمد النحوي، وعن الوزير الأعظم أبي الفضل بن العميد، ولأجل صحبته إيّاه لقب بالصاحب،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الصاحب لأنّ أوّل من استوزره هو مؤيّد الدولة أبو منصور بن ركن الدولة بن بويه الديلمي، فصحبه كثيراً من زمن صباه، وهو سمّاه الصاحب، فغلب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أشعار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شُقُّ عَنْ قَلْبِي يُرَى وَسَطه قطرانٍ قَدْ خُطا بِلا كَاتِبِ العَدْلُ وَالتَّوحِيدُ فِي جَانِب وَحُبُّ أَهْلِ البَيْتِ فِي جَانِبِ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بالري ثمّ نقل إلى إصفهان بمحلة تعرف ببدرية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ابن الشيخ أبي عليّ محمّد بن عبد الوهاب شيخ المعتزلة أبو هاشم الجبائي له تصانيف، مات سنة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سبعاً وأربعين سنة غير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الأشعرية أصحاب أبي الحسن بن إسماعيل الأشعري المنتسب إلى أبي م الأشعري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الاعتزال مذهب اعتقادي كان يتزعمه واصل بن عطاء وأبو علي وأبو هاشم الجبائيان، وبلغ ذروته أيّام العباسيين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الإضافة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وقع ذلك من عبيد الله بن العباس فإنّه أمير عسك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وفة وقد ضمن له معاوية ألف ألف درهم فانسل عبيد الله إلى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حبّ العزّة والقدرة متأصلة في صنف البشر أكثر من غيره بحيث يحب أن يرى له مكانة في المجتمع، فبعض طلبوه في كسب الثروة والجاه والمناصب أو في تأسيس مذاهب فاسدة غافلين أنّ العزّة للعزيز الحقيقى وهو ربّ العالمين؛ كما يفصح عن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العِزَّةَ لِلهِ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عزّ وجلّ جعل عبده عزيزاً في أعين الناس، كما جعله عزيزاً في عين نبيته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السبب في إحداث المذاهب الأربعة أنّ الصادق اجتمع عليه في المنصور أربعة آلاف راعٍ يأخذون منه العلم، من جملتهم أبو حنيفة النعمان بن ثابت ومالك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 أبو حنيفة عن الصادق ، وأحدث مذهباً غير مذهبه وعمل فيه بالرأي والقياس والاستحسان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اعتزل مالك عن الصادق ، وكان يقرأ عليه وعلى ربيعة الرأي، فأحدث مذهباً غير مذهبهما وغير مذهب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بعدهما الشافعي محمد بن إدريس، فقرأ على مالك وعلى محمد بن الحسن الشيباني صاحب أبي حنيفة، فأحدث مذهباً غير مذهبهما، ثمّ جاء بعده أحمد بن حنبل فقرأ على الشافعى فأحدث مذهباً غير مذهبه، ثم استقرت مذاهب السنة في الفروع على المذاهب الأربعة الحادثة أيّام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النواصب لمفلح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طرائف المقال للبروجردي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لا يعرف بالرجال، اعرف الحق تعرف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يعرف بالرجال، بل بآية الحق، فاعرف الحق تعرف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دین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الجميل الذي ينشر في الناس دون القبيح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واضحة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الأمر واضح لمن خاض في كتب الفقه، فإنّك تجد بعضاً من العلماء مسيره وجده واجتهاده في الدفاع عن مسلك معيّن لأجل التزام فلان 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السيّد ابن طاوس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للغزالي عن سيّد العقلاء عليّ بن أبي طالب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الحق بالرجال، اعرف الحق تعرف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العقل لو ترك من هوى صاد ومألف معتاد وأنفة من انقياد لساق المرء إلى الرشاد، وهجم به على الصلاح والسداد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العباس بن عثمان بن شافع، أبو عبدالله الشافعي، إمام المذهب الشافعيولد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بفلسطين، ثمّ حُمل إلى مكة وهو ابن سنتين فنشأ بها، حفظ القرآن الكريم ثم طلب الفقه والحديث، رحل إلى المدينة ولازم مالك بن أنس وأخذ عنه وعن غيره،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مؤلّفات عديدة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الكوفي، إمام المذهب الحنفي، ولد بالكوفة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بها، اختص بحماد بن أبي سليمان ولازمه وتفقه به، وروى عنه وعن الحكم بن عتيبة، ومحمد بن علي الباقر وغيرهما،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ضمن المؤلّف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ولذلك عداه بحرف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بن شراحيل مولى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قتل في عهد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كنا ندعوه إلا زيد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أدْعُوهُمْ لِآبَائِهِمْ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المصنف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النحاس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ذالك الكلام أسامة بن زيد وليس زيد بن حارثة،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أيضاً الشريف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ومؤتة قرية من قرى البلقاء في حدود الشام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كثير مثل ما عن المسور بن مخرمة أنه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بني هشام بن المغيرة استأذنوني أن ينكحوا ابنتهم عليّ بن أبي طالب فلا آذن لهم ثمّ لا آذن لهم ثمّ لا آذن لهم إلّا أن يحب ابن أبي طالب أن يطلق ابنتي وينكح ابنتهم؛ فإنّما ابنتي بضعة منّي يريبني ما رابها ويؤذيني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كتاب البخاري وزاد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وأنا محتلم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غير صحيحة فإنّها وردت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السمع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مشكل المأخذ لأنّ المؤرّخين لم يختلفوا في أنّ مولده كان بعد الهجرة وقضيّة الخطبة كانت بعد مولد المسور بنحوست سنين فكيف يسمّى محتلماً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وللمؤلّف في هذا المجال كتاب مستقل لطيف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 من أغلاط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أراد زيادة في الموضوع فليراجعه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تاج الدين حسين بن شمس الدين الصاعدي من أهل أواخر المائة العاشرة أو أوائل المائة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فقيهاً واعظاً يروي عنه السيد حسين بن حيدر الحسيني الكركي، وله منه إجازة ووصفه الكركي في بعض إجازاته بالمولى الفاضل الواعظ الفقيه، ويروي هو عن الشيخ منصور الشيرازي الشهير براست گوي قائل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المولى عبد الله بن محمود الشوشتري الملقب بالشهيد الثالث المقتول بيد الأزبكية حين استيلائهم على المشهد المقدس الرضوي والمحرقة جنّنه بميدان بخارى سنة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الشيخ حسين بن عبد الصمد الحارثي، وعن ولده الشيخ البهائي وعن السيد حسين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image" Target="media/image4.jpeg"/><Relationship Id="rId39" Type="http://schemas.openxmlformats.org/officeDocument/2006/relationships/image" Target="media/image4.jpeg"/><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10245</Words>
  <Characters>47631</Characters>
  <CharactersWithSpaces>57423</CharactersWithSpaces>
  <Paragraphs>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2026-08-25T19:33:42Z</dcterms:created>
  <dc:creator>ghaemiyeh.com</dc:creator>
  <dc:description/>
  <dc:language>en-US</dc:language>
  <cp:lastModifiedBy/>
  <dcterms:modified xsi:type="dcterms:W3CDTF">2026-08-25T23:03:45Z</dcterms:modified>
  <cp:revision>1</cp:revision>
  <dc:subject/>
  <dc:title>ذکرة الاسباب الصادة عن ادراک الصواب</dc:title>
</cp:coreProperties>
</file>

<file path=docProps/custom.xml><?xml version="1.0" encoding="utf-8"?>
<Properties xmlns="http://schemas.openxmlformats.org/officeDocument/2006/custom-properties" xmlns:vt="http://schemas.openxmlformats.org/officeDocument/2006/docPropsVTypes"/>
</file>