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1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فقهی مسئله حضور کودکان در مسجد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65051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5165053_12804478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5165055_128044782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5165057_1280447820">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15165059_1280447820">
            <w:r>
              <w:rPr>
                <w:webHidden/>
                <w:rStyle w:val="IndexLink"/>
                <w:rtl w:val="true"/>
              </w:rPr>
              <w:t>پیشگفتار</w:t>
            </w:r>
            <w:r>
              <w:rPr>
                <w:rStyle w:val="IndexLink"/>
                <w:rtl w:val="true"/>
              </w:rPr>
              <w:tab/>
            </w:r>
            <w:r>
              <w:rPr>
                <w:rStyle w:val="IndexLink"/>
              </w:rPr>
              <w:t>22</w:t>
            </w:r>
          </w:hyperlink>
        </w:p>
        <w:p>
          <w:pPr>
            <w:pStyle w:val="Contents2"/>
            <w:tabs>
              <w:tab w:val="clear" w:pos="8743"/>
              <w:tab w:val="right" w:pos="9026" w:leader="dot"/>
            </w:tabs>
            <w:rPr/>
          </w:pPr>
          <w:hyperlink w:anchor="__RefHeading___Toc15165061_1280447820">
            <w:r>
              <w:rPr>
                <w:webHidden/>
                <w:rStyle w:val="IndexLink"/>
                <w:rtl w:val="true"/>
              </w:rPr>
              <w:t>بیان مسئله</w:t>
            </w:r>
            <w:r>
              <w:rPr>
                <w:rStyle w:val="IndexLink"/>
                <w:rtl w:val="true"/>
              </w:rPr>
              <w:tab/>
            </w:r>
            <w:r>
              <w:rPr>
                <w:rStyle w:val="IndexLink"/>
              </w:rPr>
              <w:t>24</w:t>
            </w:r>
          </w:hyperlink>
        </w:p>
        <w:p>
          <w:pPr>
            <w:pStyle w:val="Contents2"/>
            <w:tabs>
              <w:tab w:val="clear" w:pos="8743"/>
              <w:tab w:val="right" w:pos="9026" w:leader="dot"/>
            </w:tabs>
            <w:rPr/>
          </w:pPr>
          <w:hyperlink w:anchor="__RefHeading___Toc15165063_1280447820">
            <w:r>
              <w:rPr>
                <w:webHidden/>
                <w:rStyle w:val="IndexLink"/>
                <w:rtl w:val="true"/>
              </w:rPr>
              <w:t>ضرورت بررسی مسئله</w:t>
            </w:r>
            <w:r>
              <w:rPr>
                <w:rStyle w:val="IndexLink"/>
                <w:rtl w:val="true"/>
              </w:rPr>
              <w:tab/>
            </w:r>
            <w:r>
              <w:rPr>
                <w:rStyle w:val="IndexLink"/>
              </w:rPr>
              <w:t>25</w:t>
            </w:r>
          </w:hyperlink>
        </w:p>
        <w:p>
          <w:pPr>
            <w:pStyle w:val="Contents2"/>
            <w:tabs>
              <w:tab w:val="clear" w:pos="8743"/>
              <w:tab w:val="right" w:pos="9026" w:leader="dot"/>
            </w:tabs>
            <w:rPr/>
          </w:pPr>
          <w:hyperlink w:anchor="__RefHeading___Toc15165065_1280447820">
            <w:r>
              <w:rPr>
                <w:webHidden/>
                <w:rStyle w:val="IndexLink"/>
                <w:rtl w:val="true"/>
              </w:rPr>
              <w:t>الف</w:t>
            </w:r>
            <w:r>
              <w:rPr>
                <w:rStyle w:val="IndexLink"/>
                <w:rtl w:val="true"/>
              </w:rPr>
              <w:t xml:space="preserve">) </w:t>
            </w:r>
            <w:r>
              <w:rPr>
                <w:rStyle w:val="IndexLink"/>
                <w:rtl w:val="true"/>
              </w:rPr>
              <w:t>ضرورت فقهی</w:t>
            </w:r>
            <w:r>
              <w:rPr>
                <w:rStyle w:val="IndexLink"/>
                <w:rtl w:val="true"/>
              </w:rPr>
              <w:tab/>
            </w:r>
            <w:r>
              <w:rPr>
                <w:rStyle w:val="IndexLink"/>
              </w:rPr>
              <w:t>25</w:t>
            </w:r>
          </w:hyperlink>
        </w:p>
        <w:p>
          <w:pPr>
            <w:pStyle w:val="Contents2"/>
            <w:tabs>
              <w:tab w:val="clear" w:pos="8743"/>
              <w:tab w:val="right" w:pos="9026" w:leader="dot"/>
            </w:tabs>
            <w:rPr/>
          </w:pPr>
          <w:hyperlink w:anchor="__RefHeading___Toc15165067_1280447820">
            <w:r>
              <w:rPr>
                <w:webHidden/>
                <w:rStyle w:val="IndexLink"/>
                <w:rtl w:val="true"/>
              </w:rPr>
              <w:t>ب</w:t>
            </w:r>
            <w:r>
              <w:rPr>
                <w:rStyle w:val="IndexLink"/>
                <w:rtl w:val="true"/>
              </w:rPr>
              <w:t xml:space="preserve">) </w:t>
            </w:r>
            <w:r>
              <w:rPr>
                <w:rStyle w:val="IndexLink"/>
                <w:rtl w:val="true"/>
              </w:rPr>
              <w:t>ضرورت تربیتی</w:t>
            </w:r>
            <w:r>
              <w:rPr>
                <w:rStyle w:val="IndexLink"/>
                <w:rtl w:val="true"/>
              </w:rPr>
              <w:tab/>
            </w:r>
            <w:r>
              <w:rPr>
                <w:rStyle w:val="IndexLink"/>
              </w:rPr>
              <w:t>26</w:t>
            </w:r>
          </w:hyperlink>
        </w:p>
        <w:p>
          <w:pPr>
            <w:pStyle w:val="Contents2"/>
            <w:tabs>
              <w:tab w:val="clear" w:pos="8743"/>
              <w:tab w:val="right" w:pos="9026" w:leader="dot"/>
            </w:tabs>
            <w:rPr/>
          </w:pPr>
          <w:hyperlink w:anchor="__RefHeading___Toc15165069_1280447820">
            <w:r>
              <w:rPr>
                <w:webHidden/>
                <w:rStyle w:val="IndexLink"/>
                <w:rtl w:val="true"/>
              </w:rPr>
              <w:t>ج</w:t>
            </w:r>
            <w:r>
              <w:rPr>
                <w:rStyle w:val="IndexLink"/>
                <w:rtl w:val="true"/>
              </w:rPr>
              <w:t xml:space="preserve">) </w:t>
            </w:r>
            <w:r>
              <w:rPr>
                <w:rStyle w:val="IndexLink"/>
                <w:rtl w:val="true"/>
              </w:rPr>
              <w:t>ضرورت فرهنگی</w:t>
            </w:r>
            <w:r>
              <w:rPr>
                <w:rStyle w:val="IndexLink"/>
                <w:rtl w:val="true"/>
              </w:rPr>
              <w:t xml:space="preserve">- </w:t>
            </w:r>
            <w:r>
              <w:rPr>
                <w:rStyle w:val="IndexLink"/>
                <w:rtl w:val="true"/>
              </w:rPr>
              <w:t>اجتماعی</w:t>
            </w:r>
            <w:r>
              <w:rPr>
                <w:rStyle w:val="IndexLink"/>
                <w:rtl w:val="true"/>
              </w:rPr>
              <w:tab/>
            </w:r>
            <w:r>
              <w:rPr>
                <w:rStyle w:val="IndexLink"/>
              </w:rPr>
              <w:t>27</w:t>
            </w:r>
          </w:hyperlink>
        </w:p>
        <w:p>
          <w:pPr>
            <w:pStyle w:val="Contents2"/>
            <w:tabs>
              <w:tab w:val="clear" w:pos="8743"/>
              <w:tab w:val="right" w:pos="9026" w:leader="dot"/>
            </w:tabs>
            <w:rPr/>
          </w:pPr>
          <w:hyperlink w:anchor="__RefHeading___Toc15165071_1280447820">
            <w:r>
              <w:rPr>
                <w:webHidden/>
                <w:rStyle w:val="IndexLink"/>
                <w:rtl w:val="true"/>
              </w:rPr>
              <w:t>بخش اول</w:t>
            </w:r>
            <w:r>
              <w:rPr>
                <w:rStyle w:val="IndexLink"/>
                <w:rtl w:val="true"/>
              </w:rPr>
              <w:t xml:space="preserve">: </w:t>
            </w:r>
            <w:r>
              <w:rPr>
                <w:rStyle w:val="IndexLink"/>
                <w:rtl w:val="true"/>
              </w:rPr>
              <w:t>گزارشی از سیر فتوایی و پیشینه فقهی مساله</w:t>
            </w:r>
            <w:r>
              <w:rPr>
                <w:rStyle w:val="IndexLink"/>
                <w:rtl w:val="true"/>
              </w:rPr>
              <w:tab/>
            </w:r>
            <w:r>
              <w:rPr>
                <w:rStyle w:val="IndexLink"/>
              </w:rPr>
              <w:t>30</w:t>
            </w:r>
          </w:hyperlink>
        </w:p>
        <w:p>
          <w:pPr>
            <w:pStyle w:val="Contents3"/>
            <w:tabs>
              <w:tab w:val="clear" w:pos="8459"/>
              <w:tab w:val="right" w:pos="9026" w:leader="dot"/>
            </w:tabs>
            <w:rPr/>
          </w:pPr>
          <w:hyperlink w:anchor="__RefHeading___Toc15165073_128044782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5165075_1280447820">
            <w:r>
              <w:rPr>
                <w:webHidden/>
                <w:rStyle w:val="IndexLink"/>
                <w:rtl w:val="true"/>
              </w:rPr>
              <w:t>فصل اول</w:t>
            </w:r>
            <w:r>
              <w:rPr>
                <w:rStyle w:val="IndexLink"/>
                <w:rtl w:val="true"/>
              </w:rPr>
              <w:t xml:space="preserve">: </w:t>
            </w:r>
            <w:r>
              <w:rPr>
                <w:rStyle w:val="IndexLink"/>
                <w:rtl w:val="true"/>
              </w:rPr>
              <w:t>دیدگاه فقهی اهل تسنن در مساله</w:t>
            </w:r>
            <w:r>
              <w:rPr>
                <w:rStyle w:val="IndexLink"/>
                <w:rtl w:val="true"/>
              </w:rPr>
              <w:tab/>
            </w:r>
            <w:r>
              <w:rPr>
                <w:rStyle w:val="IndexLink"/>
              </w:rPr>
              <w:t>32</w:t>
            </w:r>
          </w:hyperlink>
        </w:p>
        <w:p>
          <w:pPr>
            <w:pStyle w:val="Contents4"/>
            <w:tabs>
              <w:tab w:val="clear" w:pos="8176"/>
              <w:tab w:val="right" w:pos="9026" w:leader="dot"/>
            </w:tabs>
            <w:rPr/>
          </w:pPr>
          <w:hyperlink w:anchor="__RefHeading___Toc15165077_128044782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5165079_1280447820">
            <w:r>
              <w:rPr>
                <w:webHidden/>
                <w:rStyle w:val="IndexLink"/>
                <w:rtl w:val="true"/>
              </w:rPr>
              <w:t>گفتار اول</w:t>
            </w:r>
            <w:r>
              <w:rPr>
                <w:rStyle w:val="IndexLink"/>
                <w:rtl w:val="true"/>
              </w:rPr>
              <w:t xml:space="preserve">: </w:t>
            </w:r>
            <w:r>
              <w:rPr>
                <w:rStyle w:val="IndexLink"/>
                <w:rtl w:val="true"/>
              </w:rPr>
              <w:t>لزوم بررسی دیدگاه اهل تسنن</w:t>
            </w:r>
            <w:r>
              <w:rPr>
                <w:rStyle w:val="IndexLink"/>
                <w:rtl w:val="true"/>
              </w:rPr>
              <w:tab/>
            </w:r>
            <w:r>
              <w:rPr>
                <w:rStyle w:val="IndexLink"/>
              </w:rPr>
              <w:t>32</w:t>
            </w:r>
          </w:hyperlink>
        </w:p>
        <w:p>
          <w:pPr>
            <w:pStyle w:val="Contents4"/>
            <w:tabs>
              <w:tab w:val="clear" w:pos="8176"/>
              <w:tab w:val="right" w:pos="9026" w:leader="dot"/>
            </w:tabs>
            <w:rPr/>
          </w:pPr>
          <w:hyperlink w:anchor="__RefHeading___Toc15165081_1280447820">
            <w:r>
              <w:rPr>
                <w:webHidden/>
                <w:rStyle w:val="IndexLink"/>
                <w:rtl w:val="true"/>
              </w:rPr>
              <w:t>گفتار دوم</w:t>
            </w:r>
            <w:r>
              <w:rPr>
                <w:rStyle w:val="IndexLink"/>
                <w:rtl w:val="true"/>
              </w:rPr>
              <w:t xml:space="preserve">: </w:t>
            </w:r>
            <w:r>
              <w:rPr>
                <w:rStyle w:val="IndexLink"/>
                <w:rtl w:val="true"/>
              </w:rPr>
              <w:t>دیدگاه مذاهب چهارگانه اهل تسنن در مساله</w:t>
            </w:r>
            <w:r>
              <w:rPr>
                <w:rStyle w:val="IndexLink"/>
                <w:rtl w:val="true"/>
              </w:rPr>
              <w:tab/>
            </w:r>
            <w:r>
              <w:rPr>
                <w:rStyle w:val="IndexLink"/>
              </w:rPr>
              <w:t>34</w:t>
            </w:r>
          </w:hyperlink>
        </w:p>
        <w:p>
          <w:pPr>
            <w:pStyle w:val="Contents5"/>
            <w:tabs>
              <w:tab w:val="clear" w:pos="7892"/>
              <w:tab w:val="right" w:pos="9026" w:leader="dot"/>
            </w:tabs>
            <w:rPr/>
          </w:pPr>
          <w:hyperlink w:anchor="__RefHeading___Toc15165083_1280447820">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15165085_1280447820">
            <w:r>
              <w:rPr>
                <w:webHidden/>
                <w:rStyle w:val="IndexLink"/>
              </w:rPr>
              <w:t>1</w:t>
            </w:r>
            <w:r>
              <w:rPr>
                <w:rStyle w:val="IndexLink"/>
                <w:rtl w:val="true"/>
              </w:rPr>
              <w:t xml:space="preserve">- </w:t>
            </w:r>
            <w:r>
              <w:rPr>
                <w:rStyle w:val="IndexLink"/>
                <w:rtl w:val="true"/>
              </w:rPr>
              <w:t>مذهب حنفیه</w:t>
            </w:r>
            <w:r>
              <w:rPr>
                <w:rStyle w:val="IndexLink"/>
                <w:rtl w:val="true"/>
              </w:rPr>
              <w:t xml:space="preserve">: </w:t>
            </w:r>
            <w:r>
              <w:rPr>
                <w:rStyle w:val="IndexLink"/>
                <w:rtl w:val="true"/>
              </w:rPr>
              <w:t>تفصیل بین حرمت و کراهت</w:t>
            </w:r>
            <w:r>
              <w:rPr>
                <w:rStyle w:val="IndexLink"/>
                <w:rtl w:val="true"/>
              </w:rPr>
              <w:tab/>
            </w:r>
            <w:r>
              <w:rPr>
                <w:rStyle w:val="IndexLink"/>
              </w:rPr>
              <w:t>35</w:t>
            </w:r>
          </w:hyperlink>
        </w:p>
        <w:p>
          <w:pPr>
            <w:pStyle w:val="Contents5"/>
            <w:tabs>
              <w:tab w:val="clear" w:pos="7892"/>
              <w:tab w:val="right" w:pos="9026" w:leader="dot"/>
            </w:tabs>
            <w:rPr/>
          </w:pPr>
          <w:hyperlink w:anchor="__RefHeading___Toc15165087_1280447820">
            <w:r>
              <w:rPr>
                <w:webHidden/>
                <w:rStyle w:val="IndexLink"/>
              </w:rPr>
              <w:t>2</w:t>
            </w:r>
            <w:r>
              <w:rPr>
                <w:rStyle w:val="IndexLink"/>
                <w:rtl w:val="true"/>
              </w:rPr>
              <w:t xml:space="preserve">- </w:t>
            </w:r>
            <w:r>
              <w:rPr>
                <w:rStyle w:val="IndexLink"/>
                <w:rtl w:val="true"/>
              </w:rPr>
              <w:t>مذهب مالکیه</w:t>
            </w:r>
            <w:r>
              <w:rPr>
                <w:rStyle w:val="IndexLink"/>
                <w:rtl w:val="true"/>
              </w:rPr>
              <w:t xml:space="preserve">: </w:t>
            </w:r>
            <w:r>
              <w:rPr>
                <w:rStyle w:val="IndexLink"/>
                <w:rtl w:val="true"/>
              </w:rPr>
              <w:t>تفصیل بین عدم جواز و اباحه</w:t>
            </w:r>
            <w:r>
              <w:rPr>
                <w:rStyle w:val="IndexLink"/>
                <w:rtl w:val="true"/>
              </w:rPr>
              <w:tab/>
            </w:r>
            <w:r>
              <w:rPr>
                <w:rStyle w:val="IndexLink"/>
              </w:rPr>
              <w:t>36</w:t>
            </w:r>
          </w:hyperlink>
        </w:p>
        <w:p>
          <w:pPr>
            <w:pStyle w:val="Contents5"/>
            <w:tabs>
              <w:tab w:val="clear" w:pos="7892"/>
              <w:tab w:val="right" w:pos="9026" w:leader="dot"/>
            </w:tabs>
            <w:rPr/>
          </w:pPr>
          <w:hyperlink w:anchor="__RefHeading___Toc15165089_1280447820">
            <w:r>
              <w:rPr>
                <w:webHidden/>
                <w:rStyle w:val="IndexLink"/>
              </w:rPr>
              <w:t>3</w:t>
            </w:r>
            <w:r>
              <w:rPr>
                <w:rStyle w:val="IndexLink"/>
                <w:rtl w:val="true"/>
              </w:rPr>
              <w:t xml:space="preserve">- </w:t>
            </w:r>
            <w:r>
              <w:rPr>
                <w:rStyle w:val="IndexLink"/>
                <w:rtl w:val="true"/>
              </w:rPr>
              <w:t>مذهب شافعیه</w:t>
            </w:r>
            <w:r>
              <w:rPr>
                <w:rStyle w:val="IndexLink"/>
                <w:rtl w:val="true"/>
              </w:rPr>
              <w:t xml:space="preserve">: </w:t>
            </w:r>
            <w:r>
              <w:rPr>
                <w:rStyle w:val="IndexLink"/>
                <w:rtl w:val="true"/>
              </w:rPr>
              <w:t>تفصیل بین کراهت و اباحه یا تفصیل بین حرمت و کراهت</w:t>
            </w:r>
            <w:r>
              <w:rPr>
                <w:rStyle w:val="IndexLink"/>
                <w:rtl w:val="true"/>
              </w:rPr>
              <w:tab/>
            </w:r>
            <w:r>
              <w:rPr>
                <w:rStyle w:val="IndexLink"/>
              </w:rPr>
              <w:t>37</w:t>
            </w:r>
          </w:hyperlink>
        </w:p>
        <w:p>
          <w:pPr>
            <w:pStyle w:val="Contents5"/>
            <w:tabs>
              <w:tab w:val="clear" w:pos="7892"/>
              <w:tab w:val="right" w:pos="9026" w:leader="dot"/>
            </w:tabs>
            <w:rPr/>
          </w:pPr>
          <w:hyperlink w:anchor="__RefHeading___Toc15165091_1280447820">
            <w:r>
              <w:rPr>
                <w:webHidden/>
                <w:rStyle w:val="IndexLink"/>
              </w:rPr>
              <w:t>4</w:t>
            </w:r>
            <w:r>
              <w:rPr>
                <w:rStyle w:val="IndexLink"/>
                <w:rtl w:val="true"/>
              </w:rPr>
              <w:t xml:space="preserve">- </w:t>
            </w:r>
            <w:r>
              <w:rPr>
                <w:rStyle w:val="IndexLink"/>
                <w:rtl w:val="true"/>
              </w:rPr>
              <w:t>مذهب حنبلیه</w:t>
            </w:r>
            <w:r>
              <w:rPr>
                <w:rStyle w:val="IndexLink"/>
                <w:rtl w:val="true"/>
              </w:rPr>
              <w:t xml:space="preserve">: </w:t>
            </w:r>
            <w:r>
              <w:rPr>
                <w:rStyle w:val="IndexLink"/>
                <w:rtl w:val="true"/>
              </w:rPr>
              <w:t>تفصیل بین اباحه و کراهت</w:t>
            </w:r>
            <w:r>
              <w:rPr>
                <w:rStyle w:val="IndexLink"/>
                <w:rtl w:val="true"/>
              </w:rPr>
              <w:tab/>
            </w:r>
            <w:r>
              <w:rPr>
                <w:rStyle w:val="IndexLink"/>
              </w:rPr>
              <w:t>39</w:t>
            </w:r>
          </w:hyperlink>
        </w:p>
        <w:p>
          <w:pPr>
            <w:pStyle w:val="Contents3"/>
            <w:tabs>
              <w:tab w:val="clear" w:pos="8459"/>
              <w:tab w:val="right" w:pos="9026" w:leader="dot"/>
            </w:tabs>
            <w:rPr/>
          </w:pPr>
          <w:hyperlink w:anchor="__RefHeading___Toc15165093_1280447820">
            <w:r>
              <w:rPr>
                <w:webHidden/>
                <w:rStyle w:val="IndexLink"/>
                <w:rtl w:val="true"/>
              </w:rPr>
              <w:t>فصل دوم</w:t>
            </w:r>
            <w:r>
              <w:rPr>
                <w:rStyle w:val="IndexLink"/>
                <w:rtl w:val="true"/>
              </w:rPr>
              <w:t xml:space="preserve">: </w:t>
            </w:r>
            <w:r>
              <w:rPr>
                <w:rStyle w:val="IndexLink"/>
                <w:rtl w:val="true"/>
              </w:rPr>
              <w:t>دیدگاه فقهای شیعه در مساله</w:t>
            </w:r>
            <w:r>
              <w:rPr>
                <w:rStyle w:val="IndexLink"/>
                <w:rtl w:val="true"/>
              </w:rPr>
              <w:tab/>
            </w:r>
            <w:r>
              <w:rPr>
                <w:rStyle w:val="IndexLink"/>
              </w:rPr>
              <w:t>40</w:t>
            </w:r>
          </w:hyperlink>
        </w:p>
        <w:p>
          <w:pPr>
            <w:pStyle w:val="Contents4"/>
            <w:tabs>
              <w:tab w:val="clear" w:pos="8176"/>
              <w:tab w:val="right" w:pos="9026" w:leader="dot"/>
            </w:tabs>
            <w:rPr/>
          </w:pPr>
          <w:hyperlink w:anchor="__RefHeading___Toc15165095_128044782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5165097_1280447820">
            <w:r>
              <w:rPr>
                <w:webHidden/>
                <w:rStyle w:val="IndexLink"/>
                <w:rtl w:val="true"/>
              </w:rPr>
              <w:t>دیدگاه اول</w:t>
            </w:r>
            <w:r>
              <w:rPr>
                <w:rStyle w:val="IndexLink"/>
                <w:rtl w:val="true"/>
              </w:rPr>
              <w:t xml:space="preserve">: </w:t>
            </w:r>
            <w:r>
              <w:rPr>
                <w:rStyle w:val="IndexLink"/>
                <w:rtl w:val="true"/>
              </w:rPr>
              <w:t>کراهت</w:t>
            </w:r>
            <w:r>
              <w:rPr>
                <w:rStyle w:val="IndexLink"/>
                <w:rtl w:val="true"/>
              </w:rPr>
              <w:tab/>
            </w:r>
            <w:r>
              <w:rPr>
                <w:rStyle w:val="IndexLink"/>
              </w:rPr>
              <w:t>40</w:t>
            </w:r>
          </w:hyperlink>
        </w:p>
        <w:p>
          <w:pPr>
            <w:pStyle w:val="Contents4"/>
            <w:tabs>
              <w:tab w:val="clear" w:pos="8176"/>
              <w:tab w:val="right" w:pos="9026" w:leader="dot"/>
            </w:tabs>
            <w:rPr/>
          </w:pPr>
          <w:hyperlink w:anchor="__RefHeading___Toc15165099_1280447820">
            <w:r>
              <w:rPr>
                <w:webHidden/>
                <w:rStyle w:val="IndexLink"/>
                <w:rtl w:val="true"/>
              </w:rPr>
              <w:t>دیدگاه دوم</w:t>
            </w:r>
            <w:r>
              <w:rPr>
                <w:rStyle w:val="IndexLink"/>
                <w:rtl w:val="true"/>
              </w:rPr>
              <w:t xml:space="preserve">: </w:t>
            </w:r>
            <w:r>
              <w:rPr>
                <w:rStyle w:val="IndexLink"/>
                <w:rtl w:val="true"/>
              </w:rPr>
              <w:t>اباحه</w:t>
            </w:r>
            <w:r>
              <w:rPr>
                <w:rStyle w:val="IndexLink"/>
                <w:rtl w:val="true"/>
              </w:rPr>
              <w:tab/>
            </w:r>
            <w:r>
              <w:rPr>
                <w:rStyle w:val="IndexLink"/>
              </w:rPr>
              <w:t>48</w:t>
            </w:r>
          </w:hyperlink>
        </w:p>
        <w:p>
          <w:pPr>
            <w:pStyle w:val="Contents4"/>
            <w:tabs>
              <w:tab w:val="clear" w:pos="8176"/>
              <w:tab w:val="right" w:pos="9026" w:leader="dot"/>
            </w:tabs>
            <w:rPr/>
          </w:pPr>
          <w:hyperlink w:anchor="__RefHeading___Toc15165101_1280447820">
            <w:r>
              <w:rPr>
                <w:webHidden/>
                <w:rStyle w:val="IndexLink"/>
                <w:rtl w:val="true"/>
              </w:rPr>
              <w:t>دیدگاه سوم</w:t>
            </w:r>
            <w:r>
              <w:rPr>
                <w:rStyle w:val="IndexLink"/>
                <w:rtl w:val="true"/>
              </w:rPr>
              <w:t xml:space="preserve">: </w:t>
            </w:r>
            <w:r>
              <w:rPr>
                <w:rStyle w:val="IndexLink"/>
                <w:rtl w:val="true"/>
              </w:rPr>
              <w:t>تفصیل بین کراهت و اباحه</w:t>
            </w:r>
            <w:r>
              <w:rPr>
                <w:rStyle w:val="IndexLink"/>
                <w:rtl w:val="true"/>
              </w:rPr>
              <w:tab/>
            </w:r>
            <w:r>
              <w:rPr>
                <w:rStyle w:val="IndexLink"/>
              </w:rPr>
              <w:t>51</w:t>
            </w:r>
          </w:hyperlink>
        </w:p>
        <w:p>
          <w:pPr>
            <w:pStyle w:val="Contents4"/>
            <w:tabs>
              <w:tab w:val="clear" w:pos="8176"/>
              <w:tab w:val="right" w:pos="9026" w:leader="dot"/>
            </w:tabs>
            <w:rPr/>
          </w:pPr>
          <w:hyperlink w:anchor="__RefHeading___Toc15165103_1280447820">
            <w:r>
              <w:rPr>
                <w:webHidden/>
                <w:rStyle w:val="IndexLink"/>
                <w:rtl w:val="true"/>
              </w:rPr>
              <w:t>دیدگاه چهارم</w:t>
            </w:r>
            <w:r>
              <w:rPr>
                <w:rStyle w:val="IndexLink"/>
                <w:rtl w:val="true"/>
              </w:rPr>
              <w:t xml:space="preserve">: </w:t>
            </w:r>
            <w:r>
              <w:rPr>
                <w:rStyle w:val="IndexLink"/>
                <w:rtl w:val="true"/>
              </w:rPr>
              <w:t>تفصیل بین کراهت، اباحه و استحباب</w:t>
            </w:r>
            <w:r>
              <w:rPr>
                <w:rStyle w:val="IndexLink"/>
                <w:rtl w:val="true"/>
              </w:rPr>
              <w:tab/>
            </w:r>
            <w:r>
              <w:rPr>
                <w:rStyle w:val="IndexLink"/>
              </w:rPr>
              <w:t>54</w:t>
            </w:r>
          </w:hyperlink>
        </w:p>
        <w:p>
          <w:pPr>
            <w:pStyle w:val="Contents2"/>
            <w:tabs>
              <w:tab w:val="clear" w:pos="8743"/>
              <w:tab w:val="right" w:pos="9026" w:leader="dot"/>
            </w:tabs>
            <w:rPr/>
          </w:pPr>
          <w:hyperlink w:anchor="__RefHeading___Toc15165105_1280447820">
            <w:r>
              <w:rPr>
                <w:webHidden/>
                <w:rStyle w:val="IndexLink"/>
                <w:rtl w:val="true"/>
              </w:rPr>
              <w:t>بخش دوم</w:t>
            </w:r>
            <w:r>
              <w:rPr>
                <w:rStyle w:val="IndexLink"/>
                <w:rtl w:val="true"/>
              </w:rPr>
              <w:t xml:space="preserve">: </w:t>
            </w:r>
            <w:r>
              <w:rPr>
                <w:rStyle w:val="IndexLink"/>
                <w:rtl w:val="true"/>
              </w:rPr>
              <w:t>بررسی ادله قول به کراهت</w:t>
            </w:r>
            <w:r>
              <w:rPr>
                <w:rStyle w:val="IndexLink"/>
                <w:rtl w:val="true"/>
              </w:rPr>
              <w:tab/>
            </w:r>
            <w:r>
              <w:rPr>
                <w:rStyle w:val="IndexLink"/>
              </w:rPr>
              <w:t>64</w:t>
            </w:r>
          </w:hyperlink>
        </w:p>
        <w:p>
          <w:pPr>
            <w:pStyle w:val="Contents3"/>
            <w:tabs>
              <w:tab w:val="clear" w:pos="8459"/>
              <w:tab w:val="right" w:pos="9026" w:leader="dot"/>
            </w:tabs>
            <w:rPr/>
          </w:pPr>
          <w:hyperlink w:anchor="__RefHeading___Toc15165107_128044782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5165109_1280447820">
            <w:r>
              <w:rPr>
                <w:webHidden/>
                <w:rStyle w:val="IndexLink"/>
                <w:rtl w:val="true"/>
              </w:rPr>
              <w:t>فصل اول</w:t>
            </w:r>
            <w:r>
              <w:rPr>
                <w:rStyle w:val="IndexLink"/>
                <w:rtl w:val="true"/>
              </w:rPr>
              <w:t xml:space="preserve">: </w:t>
            </w:r>
            <w:r>
              <w:rPr>
                <w:rStyle w:val="IndexLink"/>
                <w:rtl w:val="true"/>
              </w:rPr>
              <w:t>روایات ناهیه</w:t>
            </w:r>
            <w:r>
              <w:rPr>
                <w:rStyle w:val="IndexLink"/>
                <w:rtl w:val="true"/>
              </w:rPr>
              <w:tab/>
            </w:r>
            <w:r>
              <w:rPr>
                <w:rStyle w:val="IndexLink"/>
              </w:rPr>
              <w:t>66</w:t>
            </w:r>
          </w:hyperlink>
        </w:p>
        <w:p>
          <w:pPr>
            <w:pStyle w:val="Contents4"/>
            <w:tabs>
              <w:tab w:val="clear" w:pos="8176"/>
              <w:tab w:val="right" w:pos="9026" w:leader="dot"/>
            </w:tabs>
            <w:rPr/>
          </w:pPr>
          <w:hyperlink w:anchor="__RefHeading___Toc15165111_128044782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5165113_1280447820">
            <w:r>
              <w:rPr>
                <w:webHidden/>
                <w:rStyle w:val="IndexLink"/>
                <w:rtl w:val="true"/>
              </w:rPr>
              <w:t>گفتار اول</w:t>
            </w:r>
            <w:r>
              <w:rPr>
                <w:rStyle w:val="IndexLink"/>
                <w:rtl w:val="true"/>
              </w:rPr>
              <w:t xml:space="preserve">: </w:t>
            </w:r>
            <w:r>
              <w:rPr>
                <w:rStyle w:val="IndexLink"/>
                <w:rtl w:val="true"/>
              </w:rPr>
              <w:t>متن روایات نهی و بررسی سندی این دسته از روایات</w:t>
            </w:r>
            <w:r>
              <w:rPr>
                <w:rStyle w:val="IndexLink"/>
                <w:rtl w:val="true"/>
              </w:rPr>
              <w:tab/>
            </w:r>
            <w:r>
              <w:rPr>
                <w:rStyle w:val="IndexLink"/>
              </w:rPr>
              <w:t>66</w:t>
            </w:r>
          </w:hyperlink>
        </w:p>
        <w:p>
          <w:pPr>
            <w:pStyle w:val="Contents5"/>
            <w:tabs>
              <w:tab w:val="clear" w:pos="7892"/>
              <w:tab w:val="right" w:pos="9026" w:leader="dot"/>
            </w:tabs>
            <w:rPr/>
          </w:pPr>
          <w:hyperlink w:anchor="__RefHeading___Toc15165115_1280447820">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15165117_1280447820">
            <w:r>
              <w:rPr>
                <w:webHidden/>
                <w:rStyle w:val="IndexLink"/>
                <w:rtl w:val="true"/>
              </w:rPr>
              <w:t>روایت اول</w:t>
            </w:r>
            <w:r>
              <w:rPr>
                <w:rStyle w:val="IndexLink"/>
                <w:rtl w:val="true"/>
              </w:rPr>
              <w:t xml:space="preserve">: </w:t>
            </w:r>
            <w:r>
              <w:rPr>
                <w:rStyle w:val="IndexLink"/>
                <w:rtl w:val="true"/>
              </w:rPr>
              <w:t>از امام صادق علیه السلام</w:t>
            </w:r>
            <w:r>
              <w:rPr>
                <w:rStyle w:val="IndexLink"/>
                <w:rtl w:val="true"/>
              </w:rPr>
              <w:tab/>
            </w:r>
            <w:r>
              <w:rPr>
                <w:rStyle w:val="IndexLink"/>
              </w:rPr>
              <w:t>66</w:t>
            </w:r>
          </w:hyperlink>
        </w:p>
        <w:p>
          <w:pPr>
            <w:pStyle w:val="Contents5"/>
            <w:tabs>
              <w:tab w:val="clear" w:pos="7892"/>
              <w:tab w:val="right" w:pos="9026" w:leader="dot"/>
            </w:tabs>
            <w:rPr/>
          </w:pPr>
          <w:hyperlink w:anchor="__RefHeading___Toc15165119_1280447820">
            <w:r>
              <w:rPr>
                <w:webHidden/>
                <w:rStyle w:val="IndexLink"/>
                <w:rtl w:val="true"/>
              </w:rPr>
              <w:t>روایت دوم</w:t>
            </w:r>
            <w:r>
              <w:rPr>
                <w:rStyle w:val="IndexLink"/>
                <w:rtl w:val="true"/>
              </w:rPr>
              <w:t xml:space="preserve">: </w:t>
            </w:r>
            <w:r>
              <w:rPr>
                <w:rStyle w:val="IndexLink"/>
                <w:rtl w:val="true"/>
              </w:rPr>
              <w:t>از پیامبر صلی الله علیه و اله به نقل از امام کاظم علیه السلام</w:t>
            </w:r>
            <w:r>
              <w:rPr>
                <w:rStyle w:val="IndexLink"/>
                <w:rtl w:val="true"/>
              </w:rPr>
              <w:tab/>
            </w:r>
            <w:r>
              <w:rPr>
                <w:rStyle w:val="IndexLink"/>
              </w:rPr>
              <w:t>69</w:t>
            </w:r>
          </w:hyperlink>
        </w:p>
        <w:p>
          <w:pPr>
            <w:pStyle w:val="Contents6"/>
            <w:tabs>
              <w:tab w:val="clear" w:pos="7609"/>
              <w:tab w:val="right" w:pos="9026" w:leader="dot"/>
            </w:tabs>
            <w:rPr/>
          </w:pPr>
          <w:hyperlink w:anchor="__RefHeading___Toc15165121_1280447820">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15165123_1280447820">
            <w:r>
              <w:rPr>
                <w:webHidden/>
                <w:rStyle w:val="IndexLink"/>
                <w:rtl w:val="true"/>
              </w:rPr>
              <w:t>تفاوت های نقل</w:t>
            </w:r>
            <w:r>
              <w:rPr>
                <w:rStyle w:val="IndexLink"/>
                <w:rtl w:val="true"/>
              </w:rPr>
              <w:tab/>
            </w:r>
            <w:r>
              <w:rPr>
                <w:rStyle w:val="IndexLink"/>
              </w:rPr>
              <w:t>70</w:t>
            </w:r>
          </w:hyperlink>
        </w:p>
        <w:p>
          <w:pPr>
            <w:pStyle w:val="Contents6"/>
            <w:tabs>
              <w:tab w:val="clear" w:pos="7609"/>
              <w:tab w:val="right" w:pos="9026" w:leader="dot"/>
            </w:tabs>
            <w:rPr/>
          </w:pPr>
          <w:hyperlink w:anchor="__RefHeading___Toc15165125_1280447820">
            <w:r>
              <w:rPr>
                <w:webHidden/>
                <w:rStyle w:val="IndexLink"/>
                <w:rtl w:val="true"/>
              </w:rPr>
              <w:t>تفاوت های نقل</w:t>
            </w:r>
            <w:r>
              <w:rPr>
                <w:rStyle w:val="IndexLink"/>
                <w:rtl w:val="true"/>
              </w:rPr>
              <w:tab/>
            </w:r>
            <w:r>
              <w:rPr>
                <w:rStyle w:val="IndexLink"/>
              </w:rPr>
              <w:t>74</w:t>
            </w:r>
          </w:hyperlink>
        </w:p>
        <w:p>
          <w:pPr>
            <w:pStyle w:val="Contents4"/>
            <w:tabs>
              <w:tab w:val="clear" w:pos="8176"/>
              <w:tab w:val="right" w:pos="9026" w:leader="dot"/>
            </w:tabs>
            <w:rPr/>
          </w:pPr>
          <w:hyperlink w:anchor="__RefHeading___Toc15165127_1280447820">
            <w:r>
              <w:rPr>
                <w:webHidden/>
                <w:rStyle w:val="IndexLink"/>
                <w:rtl w:val="true"/>
              </w:rPr>
              <w:t>گفتار دوم</w:t>
            </w:r>
            <w:r>
              <w:rPr>
                <w:rStyle w:val="IndexLink"/>
                <w:rtl w:val="true"/>
              </w:rPr>
              <w:t xml:space="preserve">: </w:t>
            </w:r>
            <w:r>
              <w:rPr>
                <w:rStyle w:val="IndexLink"/>
                <w:rtl w:val="true"/>
              </w:rPr>
              <w:t>بررسی امکان جبران ضعف سند روایات ناهیه</w:t>
            </w:r>
            <w:r>
              <w:rPr>
                <w:rStyle w:val="IndexLink"/>
                <w:rtl w:val="true"/>
              </w:rPr>
              <w:tab/>
            </w:r>
            <w:r>
              <w:rPr>
                <w:rStyle w:val="IndexLink"/>
              </w:rPr>
              <w:t>75</w:t>
            </w:r>
          </w:hyperlink>
        </w:p>
        <w:p>
          <w:pPr>
            <w:pStyle w:val="Contents5"/>
            <w:tabs>
              <w:tab w:val="clear" w:pos="7892"/>
              <w:tab w:val="right" w:pos="9026" w:leader="dot"/>
            </w:tabs>
            <w:rPr/>
          </w:pPr>
          <w:hyperlink w:anchor="__RefHeading___Toc15165129_1280447820">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15165131_1280447820">
            <w:r>
              <w:rPr>
                <w:webHidden/>
                <w:rStyle w:val="IndexLink"/>
              </w:rPr>
              <w:t>1</w:t>
            </w:r>
            <w:r>
              <w:rPr>
                <w:rStyle w:val="IndexLink"/>
                <w:rtl w:val="true"/>
              </w:rPr>
              <w:t xml:space="preserve">- </w:t>
            </w:r>
            <w:r>
              <w:rPr>
                <w:rStyle w:val="IndexLink"/>
                <w:rtl w:val="true"/>
              </w:rPr>
              <w:t>معنای شهرت روایی و حجیت آن</w:t>
            </w:r>
            <w:r>
              <w:rPr>
                <w:rStyle w:val="IndexLink"/>
                <w:rtl w:val="true"/>
              </w:rPr>
              <w:tab/>
            </w:r>
            <w:r>
              <w:rPr>
                <w:rStyle w:val="IndexLink"/>
              </w:rPr>
              <w:t>76</w:t>
            </w:r>
          </w:hyperlink>
        </w:p>
        <w:p>
          <w:pPr>
            <w:pStyle w:val="Contents5"/>
            <w:tabs>
              <w:tab w:val="clear" w:pos="7892"/>
              <w:tab w:val="right" w:pos="9026" w:leader="dot"/>
            </w:tabs>
            <w:rPr/>
          </w:pPr>
          <w:hyperlink w:anchor="__RefHeading___Toc15165133_1280447820">
            <w:r>
              <w:rPr>
                <w:webHidden/>
                <w:rStyle w:val="IndexLink"/>
              </w:rPr>
              <w:t>2</w:t>
            </w:r>
            <w:r>
              <w:rPr>
                <w:rStyle w:val="IndexLink"/>
                <w:rtl w:val="true"/>
              </w:rPr>
              <w:t xml:space="preserve">- </w:t>
            </w:r>
            <w:r>
              <w:rPr>
                <w:rStyle w:val="IndexLink"/>
                <w:rtl w:val="true"/>
              </w:rPr>
              <w:t>معنای شهرت فتوایی و حجیت آن</w:t>
            </w:r>
            <w:r>
              <w:rPr>
                <w:rStyle w:val="IndexLink"/>
                <w:rtl w:val="true"/>
              </w:rPr>
              <w:tab/>
            </w:r>
            <w:r>
              <w:rPr>
                <w:rStyle w:val="IndexLink"/>
              </w:rPr>
              <w:t>78</w:t>
            </w:r>
          </w:hyperlink>
        </w:p>
        <w:p>
          <w:pPr>
            <w:pStyle w:val="Contents5"/>
            <w:tabs>
              <w:tab w:val="clear" w:pos="7892"/>
              <w:tab w:val="right" w:pos="9026" w:leader="dot"/>
            </w:tabs>
            <w:rPr/>
          </w:pPr>
          <w:hyperlink w:anchor="__RefHeading___Toc15165135_1280447820">
            <w:r>
              <w:rPr>
                <w:webHidden/>
                <w:rStyle w:val="IndexLink"/>
              </w:rPr>
              <w:t>3</w:t>
            </w:r>
            <w:r>
              <w:rPr>
                <w:rStyle w:val="IndexLink"/>
                <w:rtl w:val="true"/>
              </w:rPr>
              <w:t xml:space="preserve">- </w:t>
            </w:r>
            <w:r>
              <w:rPr>
                <w:rStyle w:val="IndexLink"/>
                <w:rtl w:val="true"/>
              </w:rPr>
              <w:t>معنای شهرت عملی و حجیت آن</w:t>
            </w:r>
            <w:r>
              <w:rPr>
                <w:rStyle w:val="IndexLink"/>
                <w:rtl w:val="true"/>
              </w:rPr>
              <w:tab/>
            </w:r>
            <w:r>
              <w:rPr>
                <w:rStyle w:val="IndexLink"/>
              </w:rPr>
              <w:t>79</w:t>
            </w:r>
          </w:hyperlink>
        </w:p>
        <w:p>
          <w:pPr>
            <w:pStyle w:val="Contents6"/>
            <w:tabs>
              <w:tab w:val="clear" w:pos="7609"/>
              <w:tab w:val="right" w:pos="9026" w:leader="dot"/>
            </w:tabs>
            <w:rPr/>
          </w:pPr>
          <w:hyperlink w:anchor="__RefHeading___Toc15165137_1280447820">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15165139_1280447820">
            <w:r>
              <w:rPr>
                <w:webHidden/>
                <w:rStyle w:val="IndexLink"/>
                <w:rtl w:val="true"/>
              </w:rPr>
              <w:t>بررسی وجود شهرت عملی در مورد این روایات</w:t>
            </w:r>
            <w:r>
              <w:rPr>
                <w:rStyle w:val="IndexLink"/>
                <w:rtl w:val="true"/>
              </w:rPr>
              <w:tab/>
            </w:r>
            <w:r>
              <w:rPr>
                <w:rStyle w:val="IndexLink"/>
              </w:rPr>
              <w:t>80</w:t>
            </w:r>
          </w:hyperlink>
        </w:p>
        <w:p>
          <w:pPr>
            <w:pStyle w:val="Contents6"/>
            <w:tabs>
              <w:tab w:val="clear" w:pos="7609"/>
              <w:tab w:val="right" w:pos="9026" w:leader="dot"/>
            </w:tabs>
            <w:rPr/>
          </w:pPr>
          <w:hyperlink w:anchor="__RefHeading___Toc15165141_1280447820">
            <w:r>
              <w:rPr>
                <w:webHidden/>
                <w:rStyle w:val="IndexLink"/>
                <w:rtl w:val="true"/>
              </w:rPr>
              <w:t>بررسی فتوای شیخ صدوق در مساله</w:t>
            </w:r>
            <w:r>
              <w:rPr>
                <w:rStyle w:val="IndexLink"/>
                <w:rtl w:val="true"/>
              </w:rPr>
              <w:tab/>
            </w:r>
            <w:r>
              <w:rPr>
                <w:rStyle w:val="IndexLink"/>
              </w:rPr>
              <w:t>80</w:t>
            </w:r>
          </w:hyperlink>
        </w:p>
        <w:p>
          <w:pPr>
            <w:pStyle w:val="Contents5"/>
            <w:tabs>
              <w:tab w:val="clear" w:pos="7892"/>
              <w:tab w:val="right" w:pos="9026" w:leader="dot"/>
            </w:tabs>
            <w:rPr/>
          </w:pPr>
          <w:hyperlink w:anchor="__RefHeading___Toc15165143_1280447820">
            <w:r>
              <w:rPr>
                <w:webHidden/>
                <w:rStyle w:val="IndexLink"/>
              </w:rPr>
              <w:t>4</w:t>
            </w:r>
            <w:r>
              <w:rPr>
                <w:rStyle w:val="IndexLink"/>
                <w:rtl w:val="true"/>
              </w:rPr>
              <w:t xml:space="preserve">- </w:t>
            </w:r>
            <w:r>
              <w:rPr>
                <w:rStyle w:val="IndexLink"/>
                <w:rtl w:val="true"/>
              </w:rPr>
              <w:t xml:space="preserve">فتوای به کراهت بر پایه قاعده </w:t>
            </w:r>
            <w:r>
              <w:rPr>
                <w:rStyle w:val="IndexLink"/>
                <w:rtl w:val="true"/>
              </w:rPr>
              <w:t>«</w:t>
            </w:r>
            <w:r>
              <w:rPr>
                <w:rStyle w:val="IndexLink"/>
                <w:rtl w:val="true"/>
              </w:rPr>
              <w:t>تسامح در ادله سنن</w:t>
            </w:r>
            <w:r>
              <w:rPr>
                <w:rStyle w:val="IndexLink"/>
                <w:rtl w:val="true"/>
              </w:rPr>
              <w:t>»</w:t>
              <w:tab/>
            </w:r>
            <w:r>
              <w:rPr>
                <w:rStyle w:val="IndexLink"/>
              </w:rPr>
              <w:t>82</w:t>
            </w:r>
          </w:hyperlink>
        </w:p>
        <w:p>
          <w:pPr>
            <w:pStyle w:val="Contents6"/>
            <w:tabs>
              <w:tab w:val="clear" w:pos="7609"/>
              <w:tab w:val="right" w:pos="9026" w:leader="dot"/>
            </w:tabs>
            <w:rPr/>
          </w:pPr>
          <w:hyperlink w:anchor="__RefHeading___Toc15165145_1280447820">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15165147_1280447820">
            <w:r>
              <w:rPr>
                <w:webHidden/>
                <w:rStyle w:val="IndexLink"/>
                <w:rtl w:val="true"/>
              </w:rPr>
              <w:t>شهرت قاعده تسامح در ادله سنن در میان فقها</w:t>
            </w:r>
            <w:r>
              <w:rPr>
                <w:rStyle w:val="IndexLink"/>
                <w:rtl w:val="true"/>
              </w:rPr>
              <w:tab/>
            </w:r>
            <w:r>
              <w:rPr>
                <w:rStyle w:val="IndexLink"/>
              </w:rPr>
              <w:t>83</w:t>
            </w:r>
          </w:hyperlink>
        </w:p>
        <w:p>
          <w:pPr>
            <w:pStyle w:val="Contents6"/>
            <w:tabs>
              <w:tab w:val="clear" w:pos="7609"/>
              <w:tab w:val="right" w:pos="9026" w:leader="dot"/>
            </w:tabs>
            <w:rPr/>
          </w:pPr>
          <w:hyperlink w:anchor="__RefHeading___Toc15165149_1280447820">
            <w:r>
              <w:rPr>
                <w:webHidden/>
                <w:rStyle w:val="IndexLink"/>
                <w:rtl w:val="true"/>
              </w:rPr>
              <w:t>گستره قاعده تسامح از استحباب به کراهت</w:t>
            </w:r>
            <w:r>
              <w:rPr>
                <w:rStyle w:val="IndexLink"/>
                <w:rtl w:val="true"/>
              </w:rPr>
              <w:tab/>
            </w:r>
            <w:r>
              <w:rPr>
                <w:rStyle w:val="IndexLink"/>
              </w:rPr>
              <w:t>84</w:t>
            </w:r>
          </w:hyperlink>
        </w:p>
        <w:p>
          <w:pPr>
            <w:pStyle w:val="Contents6"/>
            <w:tabs>
              <w:tab w:val="clear" w:pos="7609"/>
              <w:tab w:val="right" w:pos="9026" w:leader="dot"/>
            </w:tabs>
            <w:rPr/>
          </w:pPr>
          <w:hyperlink w:anchor="__RefHeading___Toc15165151_1280447820">
            <w:r>
              <w:rPr>
                <w:webHidden/>
                <w:rStyle w:val="IndexLink"/>
                <w:rtl w:val="true"/>
              </w:rPr>
              <w:t>فتوای به استحباب اجتناب</w:t>
            </w:r>
            <w:r>
              <w:rPr>
                <w:rStyle w:val="IndexLink"/>
                <w:rtl w:val="true"/>
              </w:rPr>
              <w:tab/>
            </w:r>
            <w:r>
              <w:rPr>
                <w:rStyle w:val="IndexLink"/>
              </w:rPr>
              <w:t>84</w:t>
            </w:r>
          </w:hyperlink>
        </w:p>
        <w:p>
          <w:pPr>
            <w:pStyle w:val="Contents4"/>
            <w:tabs>
              <w:tab w:val="clear" w:pos="8176"/>
              <w:tab w:val="right" w:pos="9026" w:leader="dot"/>
            </w:tabs>
            <w:rPr/>
          </w:pPr>
          <w:hyperlink w:anchor="__RefHeading___Toc15165153_1280447820">
            <w:r>
              <w:rPr>
                <w:webHidden/>
                <w:rStyle w:val="IndexLink"/>
                <w:rtl w:val="true"/>
              </w:rPr>
              <w:t>گفتار سوم</w:t>
            </w:r>
            <w:r>
              <w:rPr>
                <w:rStyle w:val="IndexLink"/>
                <w:rtl w:val="true"/>
              </w:rPr>
              <w:t xml:space="preserve">: </w:t>
            </w:r>
            <w:r>
              <w:rPr>
                <w:rStyle w:val="IndexLink"/>
                <w:rtl w:val="true"/>
              </w:rPr>
              <w:t>بررسی دلالی روایات ناهیه</w:t>
            </w:r>
            <w:r>
              <w:rPr>
                <w:rStyle w:val="IndexLink"/>
                <w:rtl w:val="true"/>
              </w:rPr>
              <w:tab/>
            </w:r>
            <w:r>
              <w:rPr>
                <w:rStyle w:val="IndexLink"/>
              </w:rPr>
              <w:t>85</w:t>
            </w:r>
          </w:hyperlink>
        </w:p>
        <w:p>
          <w:pPr>
            <w:pStyle w:val="Contents5"/>
            <w:tabs>
              <w:tab w:val="clear" w:pos="7892"/>
              <w:tab w:val="right" w:pos="9026" w:leader="dot"/>
            </w:tabs>
            <w:rPr/>
          </w:pPr>
          <w:hyperlink w:anchor="__RefHeading___Toc15165155_128044782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5165157_1280447820">
            <w:r>
              <w:rPr>
                <w:webHidden/>
                <w:rStyle w:val="IndexLink"/>
                <w:rtl w:val="true"/>
              </w:rPr>
              <w:t xml:space="preserve">واژه شناسی </w:t>
            </w:r>
            <w:r>
              <w:rPr>
                <w:rStyle w:val="IndexLink"/>
                <w:rtl w:val="true"/>
              </w:rPr>
              <w:t>«</w:t>
            </w:r>
            <w:r>
              <w:rPr>
                <w:rStyle w:val="IndexLink"/>
                <w:rtl w:val="true"/>
              </w:rPr>
              <w:t>جنّبوا</w:t>
            </w:r>
            <w:r>
              <w:rPr>
                <w:rStyle w:val="IndexLink"/>
                <w:rtl w:val="true"/>
              </w:rPr>
              <w:t xml:space="preserve">» </w:t>
            </w:r>
            <w:r>
              <w:rPr>
                <w:rStyle w:val="IndexLink"/>
                <w:rtl w:val="true"/>
              </w:rPr>
              <w:t>و دلالت آن بر کراهت</w:t>
            </w:r>
            <w:r>
              <w:rPr>
                <w:rStyle w:val="IndexLink"/>
                <w:rtl w:val="true"/>
              </w:rPr>
              <w:tab/>
            </w:r>
            <w:r>
              <w:rPr>
                <w:rStyle w:val="IndexLink"/>
              </w:rPr>
              <w:t>86</w:t>
            </w:r>
          </w:hyperlink>
        </w:p>
        <w:p>
          <w:pPr>
            <w:pStyle w:val="Contents5"/>
            <w:tabs>
              <w:tab w:val="clear" w:pos="7892"/>
              <w:tab w:val="right" w:pos="9026" w:leader="dot"/>
            </w:tabs>
            <w:rPr/>
          </w:pPr>
          <w:hyperlink w:anchor="__RefHeading___Toc15165159_1280447820">
            <w:r>
              <w:rPr>
                <w:webHidden/>
                <w:rStyle w:val="IndexLink"/>
                <w:rtl w:val="true"/>
              </w:rPr>
              <w:t xml:space="preserve">واژه </w:t>
            </w:r>
            <w:r>
              <w:rPr>
                <w:rStyle w:val="IndexLink"/>
                <w:rtl w:val="true"/>
              </w:rPr>
              <w:t>«</w:t>
            </w:r>
            <w:r>
              <w:rPr>
                <w:rStyle w:val="IndexLink"/>
                <w:rtl w:val="true"/>
              </w:rPr>
              <w:t>لتَمنَعُنّ</w:t>
            </w:r>
            <w:r>
              <w:rPr>
                <w:rStyle w:val="IndexLink"/>
                <w:rtl w:val="true"/>
              </w:rPr>
              <w:t>»</w:t>
              <w:tab/>
            </w:r>
            <w:r>
              <w:rPr>
                <w:rStyle w:val="IndexLink"/>
              </w:rPr>
              <w:t>87</w:t>
            </w:r>
          </w:hyperlink>
        </w:p>
        <w:p>
          <w:pPr>
            <w:pStyle w:val="Contents3"/>
            <w:tabs>
              <w:tab w:val="clear" w:pos="8459"/>
              <w:tab w:val="right" w:pos="9026" w:leader="dot"/>
            </w:tabs>
            <w:rPr/>
          </w:pPr>
          <w:hyperlink w:anchor="__RefHeading___Toc15165161_1280447820">
            <w:r>
              <w:rPr>
                <w:webHidden/>
                <w:rStyle w:val="IndexLink"/>
                <w:rtl w:val="true"/>
              </w:rPr>
              <w:t>فصل دوم</w:t>
            </w:r>
            <w:r>
              <w:rPr>
                <w:rStyle w:val="IndexLink"/>
                <w:rtl w:val="true"/>
              </w:rPr>
              <w:t xml:space="preserve">: </w:t>
            </w:r>
            <w:r>
              <w:rPr>
                <w:rStyle w:val="IndexLink"/>
                <w:rtl w:val="true"/>
              </w:rPr>
              <w:t>مخالفت با کاربری مسجد</w:t>
            </w:r>
            <w:r>
              <w:rPr>
                <w:rStyle w:val="IndexLink"/>
                <w:rtl w:val="true"/>
              </w:rPr>
              <w:tab/>
            </w:r>
            <w:r>
              <w:rPr>
                <w:rStyle w:val="IndexLink"/>
              </w:rPr>
              <w:t>90</w:t>
            </w:r>
          </w:hyperlink>
        </w:p>
        <w:p>
          <w:pPr>
            <w:pStyle w:val="Contents4"/>
            <w:tabs>
              <w:tab w:val="clear" w:pos="8176"/>
              <w:tab w:val="right" w:pos="9026" w:leader="dot"/>
            </w:tabs>
            <w:rPr/>
          </w:pPr>
          <w:hyperlink w:anchor="__RefHeading___Toc15165163_1280447820">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5165165_1280447820">
            <w:r>
              <w:rPr>
                <w:webHidden/>
                <w:rStyle w:val="IndexLink"/>
                <w:rtl w:val="true"/>
              </w:rPr>
              <w:t>گفتار اول</w:t>
            </w:r>
            <w:r>
              <w:rPr>
                <w:rStyle w:val="IndexLink"/>
                <w:rtl w:val="true"/>
              </w:rPr>
              <w:t xml:space="preserve">: </w:t>
            </w:r>
            <w:r>
              <w:rPr>
                <w:rStyle w:val="IndexLink"/>
                <w:rtl w:val="true"/>
              </w:rPr>
              <w:t>دیدگاه فقها و طرفداران این استدلال</w:t>
            </w:r>
            <w:r>
              <w:rPr>
                <w:rStyle w:val="IndexLink"/>
                <w:rtl w:val="true"/>
              </w:rPr>
              <w:tab/>
            </w:r>
            <w:r>
              <w:rPr>
                <w:rStyle w:val="IndexLink"/>
              </w:rPr>
              <w:t>90</w:t>
            </w:r>
          </w:hyperlink>
        </w:p>
        <w:p>
          <w:pPr>
            <w:pStyle w:val="Contents4"/>
            <w:tabs>
              <w:tab w:val="clear" w:pos="8176"/>
              <w:tab w:val="right" w:pos="9026" w:leader="dot"/>
            </w:tabs>
            <w:rPr/>
          </w:pPr>
          <w:hyperlink w:anchor="__RefHeading___Toc15165167_1280447820">
            <w:r>
              <w:rPr>
                <w:webHidden/>
                <w:rStyle w:val="IndexLink"/>
                <w:rtl w:val="true"/>
              </w:rPr>
              <w:t>گفتار دوم</w:t>
            </w:r>
            <w:r>
              <w:rPr>
                <w:rStyle w:val="IndexLink"/>
                <w:rtl w:val="true"/>
              </w:rPr>
              <w:t xml:space="preserve">: </w:t>
            </w:r>
            <w:r>
              <w:rPr>
                <w:rStyle w:val="IndexLink"/>
                <w:rtl w:val="true"/>
              </w:rPr>
              <w:t>به دست آوردن ملاک از دیگر روایات</w:t>
            </w:r>
            <w:r>
              <w:rPr>
                <w:rStyle w:val="IndexLink"/>
                <w:rtl w:val="true"/>
              </w:rPr>
              <w:tab/>
            </w:r>
            <w:r>
              <w:rPr>
                <w:rStyle w:val="IndexLink"/>
              </w:rPr>
              <w:t>91</w:t>
            </w:r>
          </w:hyperlink>
        </w:p>
        <w:p>
          <w:pPr>
            <w:pStyle w:val="Contents4"/>
            <w:tabs>
              <w:tab w:val="clear" w:pos="8176"/>
              <w:tab w:val="right" w:pos="9026" w:leader="dot"/>
            </w:tabs>
            <w:rPr/>
          </w:pPr>
          <w:hyperlink w:anchor="__RefHeading___Toc15165169_1280447820">
            <w:r>
              <w:rPr>
                <w:webHidden/>
                <w:rStyle w:val="IndexLink"/>
                <w:rtl w:val="true"/>
              </w:rPr>
              <w:t>گفتار سوم</w:t>
            </w:r>
            <w:r>
              <w:rPr>
                <w:rStyle w:val="IndexLink"/>
                <w:rtl w:val="true"/>
              </w:rPr>
              <w:t xml:space="preserve">: </w:t>
            </w:r>
            <w:r>
              <w:rPr>
                <w:rStyle w:val="IndexLink"/>
                <w:rtl w:val="true"/>
              </w:rPr>
              <w:t>نقد این دلیل</w:t>
            </w:r>
            <w:r>
              <w:rPr>
                <w:rStyle w:val="IndexLink"/>
                <w:rtl w:val="true"/>
              </w:rPr>
              <w:tab/>
            </w:r>
            <w:r>
              <w:rPr>
                <w:rStyle w:val="IndexLink"/>
              </w:rPr>
              <w:t>93</w:t>
            </w:r>
          </w:hyperlink>
        </w:p>
        <w:p>
          <w:pPr>
            <w:pStyle w:val="Contents3"/>
            <w:tabs>
              <w:tab w:val="clear" w:pos="8459"/>
              <w:tab w:val="right" w:pos="9026" w:leader="dot"/>
            </w:tabs>
            <w:rPr/>
          </w:pPr>
          <w:hyperlink w:anchor="__RefHeading___Toc15165171_1280447820">
            <w:r>
              <w:rPr>
                <w:webHidden/>
                <w:rStyle w:val="IndexLink"/>
                <w:rtl w:val="true"/>
              </w:rPr>
              <w:t>فصل سوم</w:t>
            </w:r>
            <w:r>
              <w:rPr>
                <w:rStyle w:val="IndexLink"/>
                <w:rtl w:val="true"/>
              </w:rPr>
              <w:t xml:space="preserve">: </w:t>
            </w:r>
            <w:r>
              <w:rPr>
                <w:rStyle w:val="IndexLink"/>
                <w:rtl w:val="true"/>
              </w:rPr>
              <w:t>ایمنی از نجاست احتمالی</w:t>
            </w:r>
            <w:r>
              <w:rPr>
                <w:rStyle w:val="IndexLink"/>
                <w:rtl w:val="true"/>
              </w:rPr>
              <w:tab/>
            </w:r>
            <w:r>
              <w:rPr>
                <w:rStyle w:val="IndexLink"/>
              </w:rPr>
              <w:t>94</w:t>
            </w:r>
          </w:hyperlink>
        </w:p>
        <w:p>
          <w:pPr>
            <w:pStyle w:val="Contents4"/>
            <w:tabs>
              <w:tab w:val="clear" w:pos="8176"/>
              <w:tab w:val="right" w:pos="9026" w:leader="dot"/>
            </w:tabs>
            <w:rPr/>
          </w:pPr>
          <w:hyperlink w:anchor="__RefHeading___Toc15165173_128044782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5165175_1280447820">
            <w:r>
              <w:rPr>
                <w:webHidden/>
                <w:rStyle w:val="IndexLink"/>
                <w:rtl w:val="true"/>
              </w:rPr>
              <w:t>گفتار اول</w:t>
            </w:r>
            <w:r>
              <w:rPr>
                <w:rStyle w:val="IndexLink"/>
                <w:rtl w:val="true"/>
              </w:rPr>
              <w:t xml:space="preserve">: </w:t>
            </w:r>
            <w:r>
              <w:rPr>
                <w:rStyle w:val="IndexLink"/>
                <w:rtl w:val="true"/>
              </w:rPr>
              <w:t>سخن فقها در این باره</w:t>
            </w:r>
            <w:r>
              <w:rPr>
                <w:rStyle w:val="IndexLink"/>
                <w:rtl w:val="true"/>
              </w:rPr>
              <w:tab/>
            </w:r>
            <w:r>
              <w:rPr>
                <w:rStyle w:val="IndexLink"/>
              </w:rPr>
              <w:t>94</w:t>
            </w:r>
          </w:hyperlink>
        </w:p>
        <w:p>
          <w:pPr>
            <w:pStyle w:val="Contents4"/>
            <w:tabs>
              <w:tab w:val="clear" w:pos="8176"/>
              <w:tab w:val="right" w:pos="9026" w:leader="dot"/>
            </w:tabs>
            <w:rPr/>
          </w:pPr>
          <w:hyperlink w:anchor="__RefHeading___Toc15165177_1280447820">
            <w:r>
              <w:rPr>
                <w:webHidden/>
                <w:rStyle w:val="IndexLink"/>
                <w:rtl w:val="true"/>
              </w:rPr>
              <w:t>گفتار دوم</w:t>
            </w:r>
            <w:r>
              <w:rPr>
                <w:rStyle w:val="IndexLink"/>
                <w:rtl w:val="true"/>
              </w:rPr>
              <w:t xml:space="preserve">: </w:t>
            </w:r>
            <w:r>
              <w:rPr>
                <w:rStyle w:val="IndexLink"/>
                <w:rtl w:val="true"/>
              </w:rPr>
              <w:t>وجه استدلال</w:t>
            </w:r>
            <w:r>
              <w:rPr>
                <w:rStyle w:val="IndexLink"/>
                <w:rtl w:val="true"/>
              </w:rPr>
              <w:tab/>
            </w:r>
            <w:r>
              <w:rPr>
                <w:rStyle w:val="IndexLink"/>
              </w:rPr>
              <w:t>95</w:t>
            </w:r>
          </w:hyperlink>
        </w:p>
        <w:p>
          <w:pPr>
            <w:pStyle w:val="Contents4"/>
            <w:tabs>
              <w:tab w:val="clear" w:pos="8176"/>
              <w:tab w:val="right" w:pos="9026" w:leader="dot"/>
            </w:tabs>
            <w:rPr/>
          </w:pPr>
          <w:hyperlink w:anchor="__RefHeading___Toc15165179_1280447820">
            <w:r>
              <w:rPr>
                <w:webHidden/>
                <w:rStyle w:val="IndexLink"/>
                <w:rtl w:val="true"/>
              </w:rPr>
              <w:t>گفتار سوم</w:t>
            </w:r>
            <w:r>
              <w:rPr>
                <w:rStyle w:val="IndexLink"/>
                <w:rtl w:val="true"/>
              </w:rPr>
              <w:t xml:space="preserve">: </w:t>
            </w:r>
            <w:r>
              <w:rPr>
                <w:rStyle w:val="IndexLink"/>
                <w:rtl w:val="true"/>
              </w:rPr>
              <w:t>نقد این دلیل</w:t>
            </w:r>
            <w:r>
              <w:rPr>
                <w:rStyle w:val="IndexLink"/>
                <w:rtl w:val="true"/>
              </w:rPr>
              <w:tab/>
            </w:r>
            <w:r>
              <w:rPr>
                <w:rStyle w:val="IndexLink"/>
              </w:rPr>
              <w:t>97</w:t>
            </w:r>
          </w:hyperlink>
        </w:p>
        <w:p>
          <w:pPr>
            <w:pStyle w:val="Contents3"/>
            <w:tabs>
              <w:tab w:val="clear" w:pos="8459"/>
              <w:tab w:val="right" w:pos="9026" w:leader="dot"/>
            </w:tabs>
            <w:rPr/>
          </w:pPr>
          <w:hyperlink w:anchor="__RefHeading___Toc15165181_1280447820">
            <w:r>
              <w:rPr>
                <w:webHidden/>
                <w:rStyle w:val="IndexLink"/>
                <w:rtl w:val="true"/>
              </w:rPr>
              <w:t>فصل چهارم</w:t>
            </w:r>
            <w:r>
              <w:rPr>
                <w:rStyle w:val="IndexLink"/>
                <w:rtl w:val="true"/>
              </w:rPr>
              <w:t xml:space="preserve">: </w:t>
            </w:r>
            <w:r>
              <w:rPr>
                <w:rStyle w:val="IndexLink"/>
                <w:rtl w:val="true"/>
              </w:rPr>
              <w:t>انصراف دیدگاه کراهت به کودکان غیر ممیّز</w:t>
            </w:r>
            <w:r>
              <w:rPr>
                <w:rStyle w:val="IndexLink"/>
                <w:rtl w:val="true"/>
              </w:rPr>
              <w:tab/>
            </w:r>
            <w:r>
              <w:rPr>
                <w:rStyle w:val="IndexLink"/>
              </w:rPr>
              <w:t>99</w:t>
            </w:r>
          </w:hyperlink>
        </w:p>
        <w:p>
          <w:pPr>
            <w:pStyle w:val="Contents4"/>
            <w:tabs>
              <w:tab w:val="clear" w:pos="8176"/>
              <w:tab w:val="right" w:pos="9026" w:leader="dot"/>
            </w:tabs>
            <w:rPr/>
          </w:pPr>
          <w:hyperlink w:anchor="__RefHeading___Toc15165183_128044782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5165185_1280447820">
            <w:r>
              <w:rPr>
                <w:webHidden/>
                <w:rStyle w:val="IndexLink"/>
                <w:rtl w:val="true"/>
              </w:rPr>
              <w:t>گفتار اول</w:t>
            </w:r>
            <w:r>
              <w:rPr>
                <w:rStyle w:val="IndexLink"/>
                <w:rtl w:val="true"/>
              </w:rPr>
              <w:t xml:space="preserve">: </w:t>
            </w:r>
            <w:r>
              <w:rPr>
                <w:rStyle w:val="IndexLink"/>
                <w:rtl w:val="true"/>
              </w:rPr>
              <w:t>معنا شناسی انصراف</w:t>
            </w:r>
            <w:r>
              <w:rPr>
                <w:rStyle w:val="IndexLink"/>
                <w:rtl w:val="true"/>
              </w:rPr>
              <w:tab/>
            </w:r>
            <w:r>
              <w:rPr>
                <w:rStyle w:val="IndexLink"/>
              </w:rPr>
              <w:t>99</w:t>
            </w:r>
          </w:hyperlink>
        </w:p>
        <w:p>
          <w:pPr>
            <w:pStyle w:val="Contents4"/>
            <w:tabs>
              <w:tab w:val="clear" w:pos="8176"/>
              <w:tab w:val="right" w:pos="9026" w:leader="dot"/>
            </w:tabs>
            <w:rPr/>
          </w:pPr>
          <w:hyperlink w:anchor="__RefHeading___Toc15165187_1280447820">
            <w:r>
              <w:rPr>
                <w:webHidden/>
                <w:rStyle w:val="IndexLink"/>
                <w:rtl w:val="true"/>
              </w:rPr>
              <w:t>گفتار دوم</w:t>
            </w:r>
            <w:r>
              <w:rPr>
                <w:rStyle w:val="IndexLink"/>
                <w:rtl w:val="true"/>
              </w:rPr>
              <w:t xml:space="preserve">: </w:t>
            </w:r>
            <w:r>
              <w:rPr>
                <w:rStyle w:val="IndexLink"/>
                <w:rtl w:val="true"/>
              </w:rPr>
              <w:t>انصراف موجود در مساله آوردن کودکان به مسجد</w:t>
            </w:r>
            <w:r>
              <w:rPr>
                <w:rStyle w:val="IndexLink"/>
                <w:rtl w:val="true"/>
              </w:rPr>
              <w:tab/>
            </w:r>
            <w:r>
              <w:rPr>
                <w:rStyle w:val="IndexLink"/>
              </w:rPr>
              <w:t>100</w:t>
            </w:r>
          </w:hyperlink>
        </w:p>
        <w:p>
          <w:pPr>
            <w:pStyle w:val="Contents2"/>
            <w:tabs>
              <w:tab w:val="clear" w:pos="8743"/>
              <w:tab w:val="right" w:pos="9026" w:leader="dot"/>
            </w:tabs>
            <w:rPr/>
          </w:pPr>
          <w:hyperlink w:anchor="__RefHeading___Toc15165189_1280447820">
            <w:r>
              <w:rPr>
                <w:webHidden/>
                <w:rStyle w:val="IndexLink"/>
                <w:rtl w:val="true"/>
              </w:rPr>
              <w:t>بخش سوم</w:t>
            </w:r>
            <w:r>
              <w:rPr>
                <w:rStyle w:val="IndexLink"/>
                <w:rtl w:val="true"/>
              </w:rPr>
              <w:t xml:space="preserve">: </w:t>
            </w:r>
            <w:r>
              <w:rPr>
                <w:rStyle w:val="IndexLink"/>
                <w:rtl w:val="true"/>
              </w:rPr>
              <w:t>بررسی ادله قول به اباحه</w:t>
            </w:r>
            <w:r>
              <w:rPr>
                <w:rStyle w:val="IndexLink"/>
                <w:rtl w:val="true"/>
              </w:rPr>
              <w:tab/>
            </w:r>
            <w:r>
              <w:rPr>
                <w:rStyle w:val="IndexLink"/>
              </w:rPr>
              <w:t>104</w:t>
            </w:r>
          </w:hyperlink>
        </w:p>
        <w:p>
          <w:pPr>
            <w:pStyle w:val="Contents3"/>
            <w:tabs>
              <w:tab w:val="clear" w:pos="8459"/>
              <w:tab w:val="right" w:pos="9026" w:leader="dot"/>
            </w:tabs>
            <w:rPr/>
          </w:pPr>
          <w:hyperlink w:anchor="__RefHeading___Toc15165191_1280447820">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15165193_1280447820">
            <w:r>
              <w:rPr>
                <w:webHidden/>
                <w:rStyle w:val="IndexLink"/>
                <w:rtl w:val="true"/>
              </w:rPr>
              <w:t>فصل اول</w:t>
            </w:r>
            <w:r>
              <w:rPr>
                <w:rStyle w:val="IndexLink"/>
                <w:rtl w:val="true"/>
              </w:rPr>
              <w:t xml:space="preserve">: </w:t>
            </w:r>
            <w:r>
              <w:rPr>
                <w:rStyle w:val="IndexLink"/>
                <w:rtl w:val="true"/>
              </w:rPr>
              <w:t>تعارض میان اخبار ناهیه و دیگر روایات</w:t>
            </w:r>
            <w:r>
              <w:rPr>
                <w:rStyle w:val="IndexLink"/>
                <w:rtl w:val="true"/>
              </w:rPr>
              <w:tab/>
            </w:r>
            <w:r>
              <w:rPr>
                <w:rStyle w:val="IndexLink"/>
              </w:rPr>
              <w:t>106</w:t>
            </w:r>
          </w:hyperlink>
        </w:p>
        <w:p>
          <w:pPr>
            <w:pStyle w:val="Contents4"/>
            <w:tabs>
              <w:tab w:val="clear" w:pos="8176"/>
              <w:tab w:val="right" w:pos="9026" w:leader="dot"/>
            </w:tabs>
            <w:rPr/>
          </w:pPr>
          <w:hyperlink w:anchor="__RefHeading___Toc15165195_128044782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5165197_1280447820">
            <w:r>
              <w:rPr>
                <w:webHidden/>
                <w:rStyle w:val="IndexLink"/>
                <w:rtl w:val="true"/>
              </w:rPr>
              <w:t>گفتار اول</w:t>
            </w:r>
            <w:r>
              <w:rPr>
                <w:rStyle w:val="IndexLink"/>
                <w:rtl w:val="true"/>
              </w:rPr>
              <w:t xml:space="preserve">: </w:t>
            </w:r>
            <w:r>
              <w:rPr>
                <w:rStyle w:val="IndexLink"/>
                <w:rtl w:val="true"/>
              </w:rPr>
              <w:t>میزان پایبندی فقها به دیگر فرازهای روایت</w:t>
            </w:r>
            <w:r>
              <w:rPr>
                <w:rStyle w:val="IndexLink"/>
                <w:rtl w:val="true"/>
              </w:rPr>
              <w:tab/>
            </w:r>
            <w:r>
              <w:rPr>
                <w:rStyle w:val="IndexLink"/>
              </w:rPr>
              <w:t>107</w:t>
            </w:r>
          </w:hyperlink>
        </w:p>
        <w:p>
          <w:pPr>
            <w:pStyle w:val="Contents4"/>
            <w:tabs>
              <w:tab w:val="clear" w:pos="8176"/>
              <w:tab w:val="right" w:pos="9026" w:leader="dot"/>
            </w:tabs>
            <w:rPr/>
          </w:pPr>
          <w:hyperlink w:anchor="__RefHeading___Toc15165199_1280447820">
            <w:r>
              <w:rPr>
                <w:webHidden/>
                <w:rStyle w:val="IndexLink"/>
                <w:rtl w:val="true"/>
              </w:rPr>
              <w:t>گفتار دوم</w:t>
            </w:r>
            <w:r>
              <w:rPr>
                <w:rStyle w:val="IndexLink"/>
                <w:rtl w:val="true"/>
              </w:rPr>
              <w:t xml:space="preserve">: </w:t>
            </w:r>
            <w:r>
              <w:rPr>
                <w:rStyle w:val="IndexLink"/>
                <w:rtl w:val="true"/>
              </w:rPr>
              <w:t>دلایل فقها در حکم به اباحه</w:t>
            </w:r>
            <w:r>
              <w:rPr>
                <w:rStyle w:val="IndexLink"/>
                <w:rtl w:val="true"/>
              </w:rPr>
              <w:tab/>
            </w:r>
            <w:r>
              <w:rPr>
                <w:rStyle w:val="IndexLink"/>
              </w:rPr>
              <w:t>109</w:t>
            </w:r>
          </w:hyperlink>
        </w:p>
        <w:p>
          <w:pPr>
            <w:pStyle w:val="Contents3"/>
            <w:tabs>
              <w:tab w:val="clear" w:pos="8459"/>
              <w:tab w:val="right" w:pos="9026" w:leader="dot"/>
            </w:tabs>
            <w:rPr/>
          </w:pPr>
          <w:hyperlink w:anchor="__RefHeading___Toc15165201_1280447820">
            <w:r>
              <w:rPr>
                <w:webHidden/>
                <w:rStyle w:val="IndexLink"/>
                <w:rtl w:val="true"/>
              </w:rPr>
              <w:t>فصل دوم</w:t>
            </w:r>
            <w:r>
              <w:rPr>
                <w:rStyle w:val="IndexLink"/>
                <w:rtl w:val="true"/>
              </w:rPr>
              <w:t xml:space="preserve">: </w:t>
            </w:r>
            <w:r>
              <w:rPr>
                <w:rStyle w:val="IndexLink"/>
                <w:rtl w:val="true"/>
              </w:rPr>
              <w:t xml:space="preserve">سیره پیامبر صلی الله علیه و آله وسلم در آوردن حسنین </w:t>
            </w:r>
            <w:r>
              <w:rPr>
                <w:rStyle w:val="IndexLink"/>
                <w:rtl w:val="true"/>
              </w:rPr>
              <w:t>(</w:t>
            </w:r>
            <w:r>
              <w:rPr>
                <w:rStyle w:val="IndexLink"/>
                <w:rtl w:val="true"/>
              </w:rPr>
              <w:t>علیهما السلام</w:t>
            </w:r>
            <w:r>
              <w:rPr>
                <w:rStyle w:val="IndexLink"/>
                <w:rtl w:val="true"/>
              </w:rPr>
              <w:t xml:space="preserve">) </w:t>
            </w:r>
            <w:r>
              <w:rPr>
                <w:rStyle w:val="IndexLink"/>
                <w:rtl w:val="true"/>
              </w:rPr>
              <w:t>به مسجد</w:t>
            </w:r>
            <w:r>
              <w:rPr>
                <w:rStyle w:val="IndexLink"/>
                <w:rtl w:val="true"/>
              </w:rPr>
              <w:tab/>
            </w:r>
            <w:r>
              <w:rPr>
                <w:rStyle w:val="IndexLink"/>
              </w:rPr>
              <w:t>111</w:t>
            </w:r>
          </w:hyperlink>
        </w:p>
        <w:p>
          <w:pPr>
            <w:pStyle w:val="Contents4"/>
            <w:tabs>
              <w:tab w:val="clear" w:pos="8176"/>
              <w:tab w:val="right" w:pos="9026" w:leader="dot"/>
            </w:tabs>
            <w:rPr/>
          </w:pPr>
          <w:hyperlink w:anchor="__RefHeading___Toc15165203_1280447820">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5165205_1280447820">
            <w:r>
              <w:rPr>
                <w:webHidden/>
                <w:rStyle w:val="IndexLink"/>
                <w:rtl w:val="true"/>
              </w:rPr>
              <w:t>گفتار اول</w:t>
            </w:r>
            <w:r>
              <w:rPr>
                <w:rStyle w:val="IndexLink"/>
                <w:rtl w:val="true"/>
              </w:rPr>
              <w:t xml:space="preserve">: </w:t>
            </w:r>
            <w:r>
              <w:rPr>
                <w:rStyle w:val="IndexLink"/>
                <w:rtl w:val="true"/>
              </w:rPr>
              <w:t>نمایی از روایات و گزارشات تاریخی مرتبط</w:t>
            </w:r>
            <w:r>
              <w:rPr>
                <w:rStyle w:val="IndexLink"/>
                <w:rtl w:val="true"/>
              </w:rPr>
              <w:tab/>
            </w:r>
            <w:r>
              <w:rPr>
                <w:rStyle w:val="IndexLink"/>
              </w:rPr>
              <w:t>111</w:t>
            </w:r>
          </w:hyperlink>
        </w:p>
        <w:p>
          <w:pPr>
            <w:pStyle w:val="Contents4"/>
            <w:tabs>
              <w:tab w:val="clear" w:pos="8176"/>
              <w:tab w:val="right" w:pos="9026" w:leader="dot"/>
            </w:tabs>
            <w:rPr/>
          </w:pPr>
          <w:hyperlink w:anchor="__RefHeading___Toc15165207_1280447820">
            <w:r>
              <w:rPr>
                <w:webHidden/>
                <w:rStyle w:val="IndexLink"/>
                <w:rtl w:val="true"/>
              </w:rPr>
              <w:t>گفتار دوم</w:t>
            </w:r>
            <w:r>
              <w:rPr>
                <w:rStyle w:val="IndexLink"/>
                <w:rtl w:val="true"/>
              </w:rPr>
              <w:t xml:space="preserve">: </w:t>
            </w:r>
            <w:r>
              <w:rPr>
                <w:rStyle w:val="IndexLink"/>
                <w:rtl w:val="true"/>
              </w:rPr>
              <w:t>اعتبار سنجی این دسته از روایات</w:t>
            </w:r>
            <w:r>
              <w:rPr>
                <w:rStyle w:val="IndexLink"/>
                <w:rtl w:val="true"/>
              </w:rPr>
              <w:tab/>
            </w:r>
            <w:r>
              <w:rPr>
                <w:rStyle w:val="IndexLink"/>
              </w:rPr>
              <w:t>114</w:t>
            </w:r>
          </w:hyperlink>
        </w:p>
        <w:p>
          <w:pPr>
            <w:pStyle w:val="Contents5"/>
            <w:tabs>
              <w:tab w:val="clear" w:pos="7892"/>
              <w:tab w:val="right" w:pos="9026" w:leader="dot"/>
            </w:tabs>
            <w:rPr/>
          </w:pPr>
          <w:hyperlink w:anchor="__RefHeading___Toc15165209_1280447820">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15165211_1280447820">
            <w:r>
              <w:rPr>
                <w:webHidden/>
                <w:rStyle w:val="IndexLink"/>
                <w:rtl w:val="true"/>
              </w:rPr>
              <w:t xml:space="preserve">الف </w:t>
            </w:r>
            <w:r>
              <w:rPr>
                <w:rStyle w:val="IndexLink"/>
                <w:rtl w:val="true"/>
              </w:rPr>
              <w:t xml:space="preserve">- </w:t>
            </w:r>
            <w:r>
              <w:rPr>
                <w:rStyle w:val="IndexLink"/>
                <w:rtl w:val="true"/>
              </w:rPr>
              <w:t>چیستی تواتر و انواع آن</w:t>
            </w:r>
            <w:r>
              <w:rPr>
                <w:rStyle w:val="IndexLink"/>
                <w:rtl w:val="true"/>
              </w:rPr>
              <w:tab/>
            </w:r>
            <w:r>
              <w:rPr>
                <w:rStyle w:val="IndexLink"/>
              </w:rPr>
              <w:t>115</w:t>
            </w:r>
          </w:hyperlink>
        </w:p>
        <w:p>
          <w:pPr>
            <w:pStyle w:val="Contents6"/>
            <w:tabs>
              <w:tab w:val="clear" w:pos="7609"/>
              <w:tab w:val="right" w:pos="9026" w:leader="dot"/>
            </w:tabs>
            <w:rPr/>
          </w:pPr>
          <w:hyperlink w:anchor="__RefHeading___Toc15165213_1280447820">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15165215_1280447820">
            <w:r>
              <w:rPr>
                <w:webHidden/>
                <w:rStyle w:val="IndexLink"/>
                <w:rtl w:val="true"/>
              </w:rPr>
              <w:t>شروط ناقلان</w:t>
            </w:r>
            <w:r>
              <w:rPr>
                <w:rStyle w:val="IndexLink"/>
                <w:rtl w:val="true"/>
              </w:rPr>
              <w:tab/>
            </w:r>
            <w:r>
              <w:rPr>
                <w:rStyle w:val="IndexLink"/>
              </w:rPr>
              <w:t>115</w:t>
            </w:r>
          </w:hyperlink>
        </w:p>
        <w:p>
          <w:pPr>
            <w:pStyle w:val="Contents6"/>
            <w:tabs>
              <w:tab w:val="clear" w:pos="7609"/>
              <w:tab w:val="right" w:pos="9026" w:leader="dot"/>
            </w:tabs>
            <w:rPr/>
          </w:pPr>
          <w:hyperlink w:anchor="__RefHeading___Toc15165217_1280447820">
            <w:r>
              <w:rPr>
                <w:webHidden/>
                <w:rStyle w:val="IndexLink"/>
                <w:rtl w:val="true"/>
              </w:rPr>
              <w:t>متواتر لفظی و معنوی</w:t>
            </w:r>
            <w:r>
              <w:rPr>
                <w:rStyle w:val="IndexLink"/>
                <w:rtl w:val="true"/>
              </w:rPr>
              <w:tab/>
            </w:r>
            <w:r>
              <w:rPr>
                <w:rStyle w:val="IndexLink"/>
              </w:rPr>
              <w:t>116</w:t>
            </w:r>
          </w:hyperlink>
        </w:p>
        <w:p>
          <w:pPr>
            <w:pStyle w:val="Contents6"/>
            <w:tabs>
              <w:tab w:val="clear" w:pos="7609"/>
              <w:tab w:val="right" w:pos="9026" w:leader="dot"/>
            </w:tabs>
            <w:rPr/>
          </w:pPr>
          <w:hyperlink w:anchor="__RefHeading___Toc15165219_1280447820">
            <w:r>
              <w:rPr>
                <w:webHidden/>
                <w:rStyle w:val="IndexLink"/>
                <w:rtl w:val="true"/>
              </w:rPr>
              <w:t>متواتر تفصیلی و متواتر اجمالی</w:t>
            </w:r>
            <w:r>
              <w:rPr>
                <w:rStyle w:val="IndexLink"/>
                <w:rtl w:val="true"/>
              </w:rPr>
              <w:tab/>
            </w:r>
            <w:r>
              <w:rPr>
                <w:rStyle w:val="IndexLink"/>
              </w:rPr>
              <w:t>116</w:t>
            </w:r>
          </w:hyperlink>
        </w:p>
        <w:p>
          <w:pPr>
            <w:pStyle w:val="Contents5"/>
            <w:tabs>
              <w:tab w:val="clear" w:pos="7892"/>
              <w:tab w:val="right" w:pos="9026" w:leader="dot"/>
            </w:tabs>
            <w:rPr/>
          </w:pPr>
          <w:hyperlink w:anchor="__RefHeading___Toc15165221_1280447820">
            <w:r>
              <w:rPr>
                <w:webHidden/>
                <w:rStyle w:val="IndexLink"/>
                <w:rtl w:val="true"/>
              </w:rPr>
              <w:t xml:space="preserve">ب </w:t>
            </w:r>
            <w:r>
              <w:rPr>
                <w:rStyle w:val="IndexLink"/>
                <w:rtl w:val="true"/>
              </w:rPr>
              <w:t xml:space="preserve">- </w:t>
            </w:r>
            <w:r>
              <w:rPr>
                <w:rStyle w:val="IndexLink"/>
                <w:rtl w:val="true"/>
              </w:rPr>
              <w:t>بررسی بحث تواتر در موضوع کودکان و مسجد</w:t>
            </w:r>
            <w:r>
              <w:rPr>
                <w:rStyle w:val="IndexLink"/>
                <w:rtl w:val="true"/>
              </w:rPr>
              <w:tab/>
            </w:r>
            <w:r>
              <w:rPr>
                <w:rStyle w:val="IndexLink"/>
              </w:rPr>
              <w:t>117</w:t>
            </w:r>
          </w:hyperlink>
        </w:p>
        <w:p>
          <w:pPr>
            <w:pStyle w:val="Contents6"/>
            <w:tabs>
              <w:tab w:val="clear" w:pos="7609"/>
              <w:tab w:val="right" w:pos="9026" w:leader="dot"/>
            </w:tabs>
            <w:rPr/>
          </w:pPr>
          <w:hyperlink w:anchor="__RefHeading___Toc15165223_1280447820">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15165225_1280447820">
            <w:r>
              <w:rPr>
                <w:webHidden/>
                <w:rStyle w:val="IndexLink"/>
                <w:rtl w:val="true"/>
              </w:rPr>
              <w:t>تواتر معنوی و تواتر اجمالی در سیره پیامبر صلی الله علیه و آله وسلم با کودکان در مسجد</w:t>
            </w:r>
            <w:r>
              <w:rPr>
                <w:rStyle w:val="IndexLink"/>
                <w:rtl w:val="true"/>
              </w:rPr>
              <w:tab/>
            </w:r>
            <w:r>
              <w:rPr>
                <w:rStyle w:val="IndexLink"/>
              </w:rPr>
              <w:t>118</w:t>
            </w:r>
          </w:hyperlink>
        </w:p>
        <w:p>
          <w:pPr>
            <w:pStyle w:val="Contents6"/>
            <w:tabs>
              <w:tab w:val="clear" w:pos="7609"/>
              <w:tab w:val="right" w:pos="9026" w:leader="dot"/>
            </w:tabs>
            <w:rPr/>
          </w:pPr>
          <w:hyperlink w:anchor="__RefHeading___Toc15165227_1280447820">
            <w:r>
              <w:rPr>
                <w:webHidden/>
                <w:rStyle w:val="IndexLink"/>
                <w:rtl w:val="true"/>
              </w:rPr>
              <w:t>نتیجه بر آمده از تواتر معنوی و اجمالی</w:t>
            </w:r>
            <w:r>
              <w:rPr>
                <w:rStyle w:val="IndexLink"/>
                <w:rtl w:val="true"/>
              </w:rPr>
              <w:tab/>
            </w:r>
            <w:r>
              <w:rPr>
                <w:rStyle w:val="IndexLink"/>
              </w:rPr>
              <w:t>118</w:t>
            </w:r>
          </w:hyperlink>
        </w:p>
        <w:p>
          <w:pPr>
            <w:pStyle w:val="Contents4"/>
            <w:tabs>
              <w:tab w:val="clear" w:pos="8176"/>
              <w:tab w:val="right" w:pos="9026" w:leader="dot"/>
            </w:tabs>
            <w:rPr/>
          </w:pPr>
          <w:hyperlink w:anchor="__RefHeading___Toc15165229_1280447820">
            <w:r>
              <w:rPr>
                <w:webHidden/>
                <w:rStyle w:val="IndexLink"/>
                <w:rtl w:val="true"/>
              </w:rPr>
              <w:t>گفتار سوم</w:t>
            </w:r>
            <w:r>
              <w:rPr>
                <w:rStyle w:val="IndexLink"/>
                <w:rtl w:val="true"/>
              </w:rPr>
              <w:t xml:space="preserve">: </w:t>
            </w:r>
            <w:r>
              <w:rPr>
                <w:rStyle w:val="IndexLink"/>
                <w:rtl w:val="true"/>
              </w:rPr>
              <w:t>دلالت این دسته از روایات</w:t>
            </w:r>
            <w:r>
              <w:rPr>
                <w:rStyle w:val="IndexLink"/>
                <w:rtl w:val="true"/>
              </w:rPr>
              <w:tab/>
            </w:r>
            <w:r>
              <w:rPr>
                <w:rStyle w:val="IndexLink"/>
              </w:rPr>
              <w:t>119</w:t>
            </w:r>
          </w:hyperlink>
        </w:p>
        <w:p>
          <w:pPr>
            <w:pStyle w:val="Contents4"/>
            <w:tabs>
              <w:tab w:val="clear" w:pos="8176"/>
              <w:tab w:val="right" w:pos="9026" w:leader="dot"/>
            </w:tabs>
            <w:rPr/>
          </w:pPr>
          <w:hyperlink w:anchor="__RefHeading___Toc15165231_1280447820">
            <w:r>
              <w:rPr>
                <w:webHidden/>
                <w:rStyle w:val="IndexLink"/>
                <w:rtl w:val="true"/>
              </w:rPr>
              <w:t>گفتار چهارم</w:t>
            </w:r>
            <w:r>
              <w:rPr>
                <w:rStyle w:val="IndexLink"/>
                <w:rtl w:val="true"/>
              </w:rPr>
              <w:t xml:space="preserve">: </w:t>
            </w:r>
            <w:r>
              <w:rPr>
                <w:rStyle w:val="IndexLink"/>
                <w:rtl w:val="true"/>
              </w:rPr>
              <w:t>عمومیت حکم یا اختصاص آن به حسنین علیه السلام</w:t>
            </w:r>
            <w:r>
              <w:rPr>
                <w:rStyle w:val="IndexLink"/>
                <w:rtl w:val="true"/>
              </w:rPr>
              <w:tab/>
            </w:r>
            <w:r>
              <w:rPr>
                <w:rStyle w:val="IndexLink"/>
              </w:rPr>
              <w:t>120</w:t>
            </w:r>
          </w:hyperlink>
        </w:p>
        <w:p>
          <w:pPr>
            <w:pStyle w:val="Contents5"/>
            <w:tabs>
              <w:tab w:val="clear" w:pos="7892"/>
              <w:tab w:val="right" w:pos="9026" w:leader="dot"/>
            </w:tabs>
            <w:rPr/>
          </w:pPr>
          <w:hyperlink w:anchor="__RefHeading___Toc15165233_1280447820">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5165235_1280447820">
            <w:r>
              <w:rPr>
                <w:webHidden/>
                <w:rStyle w:val="IndexLink"/>
                <w:rtl w:val="true"/>
              </w:rPr>
              <w:t xml:space="preserve">الف </w:t>
            </w:r>
            <w:r>
              <w:rPr>
                <w:rStyle w:val="IndexLink"/>
                <w:rtl w:val="true"/>
              </w:rPr>
              <w:t xml:space="preserve">) </w:t>
            </w:r>
            <w:r>
              <w:rPr>
                <w:rStyle w:val="IndexLink"/>
                <w:rtl w:val="true"/>
              </w:rPr>
              <w:t>وجود نداشتن دلیل قاطع برای اختصاص حکم به حسنین علیهما السلام</w:t>
            </w:r>
            <w:r>
              <w:rPr>
                <w:rStyle w:val="IndexLink"/>
                <w:rtl w:val="true"/>
              </w:rPr>
              <w:tab/>
            </w:r>
            <w:r>
              <w:rPr>
                <w:rStyle w:val="IndexLink"/>
              </w:rPr>
              <w:t>120</w:t>
            </w:r>
          </w:hyperlink>
        </w:p>
        <w:p>
          <w:pPr>
            <w:pStyle w:val="Contents5"/>
            <w:tabs>
              <w:tab w:val="clear" w:pos="7892"/>
              <w:tab w:val="right" w:pos="9026" w:leader="dot"/>
            </w:tabs>
            <w:rPr/>
          </w:pPr>
          <w:hyperlink w:anchor="__RefHeading___Toc15165237_1280447820">
            <w:r>
              <w:rPr>
                <w:webHidden/>
                <w:rStyle w:val="IndexLink"/>
                <w:rtl w:val="true"/>
              </w:rPr>
              <w:t>ب</w:t>
            </w:r>
            <w:r>
              <w:rPr>
                <w:rStyle w:val="IndexLink"/>
                <w:rtl w:val="true"/>
              </w:rPr>
              <w:t xml:space="preserve">) </w:t>
            </w:r>
            <w:r>
              <w:rPr>
                <w:rStyle w:val="IndexLink"/>
                <w:rtl w:val="true"/>
              </w:rPr>
              <w:t>اصل یکسان بودن احکام برای اولیای خدا و دیگران</w:t>
            </w:r>
            <w:r>
              <w:rPr>
                <w:rStyle w:val="IndexLink"/>
                <w:rtl w:val="true"/>
              </w:rPr>
              <w:tab/>
            </w:r>
            <w:r>
              <w:rPr>
                <w:rStyle w:val="IndexLink"/>
              </w:rPr>
              <w:t>121</w:t>
            </w:r>
          </w:hyperlink>
        </w:p>
        <w:p>
          <w:pPr>
            <w:pStyle w:val="Contents5"/>
            <w:tabs>
              <w:tab w:val="clear" w:pos="7892"/>
              <w:tab w:val="right" w:pos="9026" w:leader="dot"/>
            </w:tabs>
            <w:rPr/>
          </w:pPr>
          <w:hyperlink w:anchor="__RefHeading___Toc15165239_1280447820">
            <w:r>
              <w:rPr>
                <w:webHidden/>
                <w:rStyle w:val="IndexLink"/>
                <w:rtl w:val="true"/>
              </w:rPr>
              <w:t xml:space="preserve">ج </w:t>
            </w:r>
            <w:r>
              <w:rPr>
                <w:rStyle w:val="IndexLink"/>
                <w:rtl w:val="true"/>
              </w:rPr>
              <w:t xml:space="preserve">) </w:t>
            </w:r>
            <w:r>
              <w:rPr>
                <w:rStyle w:val="IndexLink"/>
                <w:rtl w:val="true"/>
              </w:rPr>
              <w:t>بردن دیگر کودکان به مسجد</w:t>
            </w:r>
            <w:r>
              <w:rPr>
                <w:rStyle w:val="IndexLink"/>
                <w:rtl w:val="true"/>
              </w:rPr>
              <w:tab/>
            </w:r>
            <w:r>
              <w:rPr>
                <w:rStyle w:val="IndexLink"/>
              </w:rPr>
              <w:t>121</w:t>
            </w:r>
          </w:hyperlink>
        </w:p>
        <w:p>
          <w:pPr>
            <w:pStyle w:val="Contents5"/>
            <w:tabs>
              <w:tab w:val="clear" w:pos="7892"/>
              <w:tab w:val="right" w:pos="9026" w:leader="dot"/>
            </w:tabs>
            <w:rPr/>
          </w:pPr>
          <w:hyperlink w:anchor="__RefHeading___Toc15165241_1280447820">
            <w:r>
              <w:rPr>
                <w:webHidden/>
                <w:rStyle w:val="IndexLink"/>
                <w:rtl w:val="true"/>
              </w:rPr>
              <w:t>د</w:t>
            </w:r>
            <w:r>
              <w:rPr>
                <w:rStyle w:val="IndexLink"/>
                <w:rtl w:val="true"/>
              </w:rPr>
              <w:t xml:space="preserve">) </w:t>
            </w:r>
            <w:r>
              <w:rPr>
                <w:rStyle w:val="IndexLink"/>
                <w:rtl w:val="true"/>
              </w:rPr>
              <w:t>برداشت دو حکم مجزا از این روایات</w:t>
            </w:r>
            <w:r>
              <w:rPr>
                <w:rStyle w:val="IndexLink"/>
                <w:rtl w:val="true"/>
              </w:rPr>
              <w:tab/>
            </w:r>
            <w:r>
              <w:rPr>
                <w:rStyle w:val="IndexLink"/>
              </w:rPr>
              <w:t>121</w:t>
            </w:r>
          </w:hyperlink>
        </w:p>
        <w:p>
          <w:pPr>
            <w:pStyle w:val="Contents5"/>
            <w:tabs>
              <w:tab w:val="clear" w:pos="7892"/>
              <w:tab w:val="right" w:pos="9026" w:leader="dot"/>
            </w:tabs>
            <w:rPr/>
          </w:pPr>
          <w:hyperlink w:anchor="__RefHeading___Toc15165243_1280447820">
            <w:r>
              <w:rPr>
                <w:webHidden/>
                <w:rStyle w:val="IndexLink"/>
                <w:rtl w:val="true"/>
              </w:rPr>
              <w:t xml:space="preserve">ه </w:t>
            </w:r>
            <w:r>
              <w:rPr>
                <w:rStyle w:val="IndexLink"/>
                <w:rtl w:val="true"/>
              </w:rPr>
              <w:t xml:space="preserve">) </w:t>
            </w:r>
            <w:r>
              <w:rPr>
                <w:rStyle w:val="IndexLink"/>
                <w:rtl w:val="true"/>
              </w:rPr>
              <w:t>عدم منافات تکریم حسنین با حکم مدارا با کودکان در مسجد</w:t>
            </w:r>
            <w:r>
              <w:rPr>
                <w:rStyle w:val="IndexLink"/>
                <w:rtl w:val="true"/>
              </w:rPr>
              <w:tab/>
            </w:r>
            <w:r>
              <w:rPr>
                <w:rStyle w:val="IndexLink"/>
              </w:rPr>
              <w:t>122</w:t>
            </w:r>
          </w:hyperlink>
        </w:p>
        <w:p>
          <w:pPr>
            <w:pStyle w:val="Contents5"/>
            <w:tabs>
              <w:tab w:val="clear" w:pos="7892"/>
              <w:tab w:val="right" w:pos="9026" w:leader="dot"/>
            </w:tabs>
            <w:rPr/>
          </w:pPr>
          <w:hyperlink w:anchor="__RefHeading___Toc15165245_1280447820">
            <w:r>
              <w:rPr>
                <w:webHidden/>
                <w:rStyle w:val="IndexLink"/>
                <w:rtl w:val="true"/>
              </w:rPr>
              <w:t>ز</w:t>
            </w:r>
            <w:r>
              <w:rPr>
                <w:rStyle w:val="IndexLink"/>
                <w:rtl w:val="true"/>
              </w:rPr>
              <w:t xml:space="preserve">) </w:t>
            </w:r>
            <w:r>
              <w:rPr>
                <w:rStyle w:val="IndexLink"/>
                <w:rtl w:val="true"/>
              </w:rPr>
              <w:t>هم راستا بودن هر دو برداشت و عدم تعارض میان آنها</w:t>
            </w:r>
            <w:r>
              <w:rPr>
                <w:rStyle w:val="IndexLink"/>
                <w:rtl w:val="true"/>
              </w:rPr>
              <w:tab/>
            </w:r>
            <w:r>
              <w:rPr>
                <w:rStyle w:val="IndexLink"/>
              </w:rPr>
              <w:t>123</w:t>
            </w:r>
          </w:hyperlink>
        </w:p>
        <w:p>
          <w:pPr>
            <w:pStyle w:val="Contents5"/>
            <w:tabs>
              <w:tab w:val="clear" w:pos="7892"/>
              <w:tab w:val="right" w:pos="9026" w:leader="dot"/>
            </w:tabs>
            <w:rPr/>
          </w:pPr>
          <w:hyperlink w:anchor="__RefHeading___Toc15165247_1280447820">
            <w:r>
              <w:rPr>
                <w:webHidden/>
                <w:rStyle w:val="IndexLink"/>
                <w:rtl w:val="true"/>
              </w:rPr>
              <w:t>ح</w:t>
            </w:r>
            <w:r>
              <w:rPr>
                <w:rStyle w:val="IndexLink"/>
                <w:rtl w:val="true"/>
              </w:rPr>
              <w:t xml:space="preserve">) </w:t>
            </w:r>
            <w:r>
              <w:rPr>
                <w:rStyle w:val="IndexLink"/>
                <w:rtl w:val="true"/>
              </w:rPr>
              <w:t>تکریم حسنین مصداقی اتم و اکمل از حکم کلی تکریم کودکان</w:t>
            </w:r>
            <w:r>
              <w:rPr>
                <w:rStyle w:val="IndexLink"/>
                <w:rtl w:val="true"/>
              </w:rPr>
              <w:tab/>
            </w:r>
            <w:r>
              <w:rPr>
                <w:rStyle w:val="IndexLink"/>
              </w:rPr>
              <w:t>123</w:t>
            </w:r>
          </w:hyperlink>
        </w:p>
        <w:p>
          <w:pPr>
            <w:pStyle w:val="Contents5"/>
            <w:tabs>
              <w:tab w:val="clear" w:pos="7892"/>
              <w:tab w:val="right" w:pos="9026" w:leader="dot"/>
            </w:tabs>
            <w:rPr/>
          </w:pPr>
          <w:hyperlink w:anchor="__RefHeading___Toc15165249_1280447820">
            <w:r>
              <w:rPr>
                <w:webHidden/>
                <w:rStyle w:val="IndexLink"/>
                <w:rtl w:val="true"/>
              </w:rPr>
              <w:t>ط</w:t>
            </w:r>
            <w:r>
              <w:rPr>
                <w:rStyle w:val="IndexLink"/>
                <w:rtl w:val="true"/>
              </w:rPr>
              <w:t xml:space="preserve">) </w:t>
            </w:r>
            <w:r>
              <w:rPr>
                <w:rStyle w:val="IndexLink"/>
                <w:rtl w:val="true"/>
              </w:rPr>
              <w:t>سیره مستمره پیامبر صلی الله علیه و اله در مواجهه با کودکان</w:t>
            </w:r>
            <w:r>
              <w:rPr>
                <w:rStyle w:val="IndexLink"/>
                <w:rtl w:val="true"/>
              </w:rPr>
              <w:tab/>
            </w:r>
            <w:r>
              <w:rPr>
                <w:rStyle w:val="IndexLink"/>
              </w:rPr>
              <w:t>124</w:t>
            </w:r>
          </w:hyperlink>
        </w:p>
        <w:p>
          <w:pPr>
            <w:pStyle w:val="Contents5"/>
            <w:tabs>
              <w:tab w:val="clear" w:pos="7892"/>
              <w:tab w:val="right" w:pos="9026" w:leader="dot"/>
            </w:tabs>
            <w:rPr/>
          </w:pPr>
          <w:hyperlink w:anchor="__RefHeading___Toc15165251_1280447820">
            <w:r>
              <w:rPr>
                <w:webHidden/>
                <w:rStyle w:val="IndexLink"/>
                <w:rtl w:val="true"/>
              </w:rPr>
              <w:t>ی</w:t>
            </w:r>
            <w:r>
              <w:rPr>
                <w:rStyle w:val="IndexLink"/>
                <w:rtl w:val="true"/>
              </w:rPr>
              <w:t xml:space="preserve">) </w:t>
            </w:r>
            <w:r>
              <w:rPr>
                <w:rStyle w:val="IndexLink"/>
                <w:rtl w:val="true"/>
              </w:rPr>
              <w:t>استفاده پیامبر صلی الله علیه و اله از این جریانات برای بیان منزلت حسنین</w:t>
            </w:r>
            <w:r>
              <w:rPr>
                <w:rStyle w:val="IndexLink"/>
                <w:rtl w:val="true"/>
              </w:rPr>
              <w:tab/>
            </w:r>
            <w:r>
              <w:rPr>
                <w:rStyle w:val="IndexLink"/>
              </w:rPr>
              <w:t>124</w:t>
            </w:r>
          </w:hyperlink>
        </w:p>
        <w:p>
          <w:pPr>
            <w:pStyle w:val="Contents5"/>
            <w:tabs>
              <w:tab w:val="clear" w:pos="7892"/>
              <w:tab w:val="right" w:pos="9026" w:leader="dot"/>
            </w:tabs>
            <w:rPr/>
          </w:pPr>
          <w:hyperlink w:anchor="__RefHeading___Toc15165253_1280447820">
            <w:r>
              <w:rPr>
                <w:webHidden/>
                <w:rStyle w:val="IndexLink"/>
                <w:rtl w:val="true"/>
              </w:rPr>
              <w:t>ک</w:t>
            </w:r>
            <w:r>
              <w:rPr>
                <w:rStyle w:val="IndexLink"/>
                <w:rtl w:val="true"/>
              </w:rPr>
              <w:t xml:space="preserve">) </w:t>
            </w:r>
            <w:r>
              <w:rPr>
                <w:rStyle w:val="IndexLink"/>
                <w:rtl w:val="true"/>
              </w:rPr>
              <w:t>اسوه و الگو بودن پیامبر صلی الله علیه و اله برای مسلمانان</w:t>
            </w:r>
            <w:r>
              <w:rPr>
                <w:rStyle w:val="IndexLink"/>
                <w:rtl w:val="true"/>
              </w:rPr>
              <w:tab/>
            </w:r>
            <w:r>
              <w:rPr>
                <w:rStyle w:val="IndexLink"/>
              </w:rPr>
              <w:t>124</w:t>
            </w:r>
          </w:hyperlink>
        </w:p>
        <w:p>
          <w:pPr>
            <w:pStyle w:val="Contents5"/>
            <w:tabs>
              <w:tab w:val="clear" w:pos="7892"/>
              <w:tab w:val="right" w:pos="9026" w:leader="dot"/>
            </w:tabs>
            <w:rPr/>
          </w:pPr>
          <w:hyperlink w:anchor="__RefHeading___Toc15165255_1280447820">
            <w:r>
              <w:rPr>
                <w:webHidden/>
                <w:rStyle w:val="IndexLink"/>
                <w:rtl w:val="true"/>
              </w:rPr>
              <w:t>ل</w:t>
            </w:r>
            <w:r>
              <w:rPr>
                <w:rStyle w:val="IndexLink"/>
                <w:rtl w:val="true"/>
              </w:rPr>
              <w:t xml:space="preserve">) </w:t>
            </w:r>
            <w:r>
              <w:rPr>
                <w:rStyle w:val="IndexLink"/>
                <w:rtl w:val="true"/>
              </w:rPr>
              <w:t>حکم عمومی ترحم به کودکان و اعلام آن در مسجد</w:t>
            </w:r>
            <w:r>
              <w:rPr>
                <w:rStyle w:val="IndexLink"/>
                <w:rtl w:val="true"/>
              </w:rPr>
              <w:tab/>
            </w:r>
            <w:r>
              <w:rPr>
                <w:rStyle w:val="IndexLink"/>
              </w:rPr>
              <w:t>125</w:t>
            </w:r>
          </w:hyperlink>
        </w:p>
        <w:p>
          <w:pPr>
            <w:pStyle w:val="Contents3"/>
            <w:tabs>
              <w:tab w:val="clear" w:pos="8459"/>
              <w:tab w:val="right" w:pos="9026" w:leader="dot"/>
            </w:tabs>
            <w:rPr/>
          </w:pPr>
          <w:hyperlink w:anchor="__RefHeading___Toc15165257_1280447820">
            <w:r>
              <w:rPr>
                <w:webHidden/>
                <w:rStyle w:val="IndexLink"/>
                <w:rtl w:val="true"/>
              </w:rPr>
              <w:t>فصل سوم</w:t>
            </w:r>
            <w:r>
              <w:rPr>
                <w:rStyle w:val="IndexLink"/>
                <w:rtl w:val="true"/>
              </w:rPr>
              <w:t xml:space="preserve">: </w:t>
            </w:r>
            <w:r>
              <w:rPr>
                <w:rStyle w:val="IndexLink"/>
                <w:rtl w:val="true"/>
              </w:rPr>
              <w:t xml:space="preserve">آوردن دیگر کودکان </w:t>
            </w:r>
            <w:r>
              <w:rPr>
                <w:rStyle w:val="IndexLink"/>
                <w:rtl w:val="true"/>
              </w:rPr>
              <w:t>(</w:t>
            </w:r>
            <w:r>
              <w:rPr>
                <w:rStyle w:val="IndexLink"/>
                <w:rtl w:val="true"/>
              </w:rPr>
              <w:t>به جز حسنین</w:t>
            </w:r>
            <w:r>
              <w:rPr>
                <w:rStyle w:val="IndexLink"/>
                <w:rtl w:val="true"/>
              </w:rPr>
              <w:t xml:space="preserve">) </w:t>
            </w:r>
            <w:r>
              <w:rPr>
                <w:rStyle w:val="IndexLink"/>
                <w:rtl w:val="true"/>
              </w:rPr>
              <w:t>به مسجد توسط پیامبر صلی الله علیه و آله وسلم</w:t>
            </w:r>
            <w:r>
              <w:rPr>
                <w:rStyle w:val="IndexLink"/>
                <w:rtl w:val="true"/>
              </w:rPr>
              <w:tab/>
            </w:r>
            <w:r>
              <w:rPr>
                <w:rStyle w:val="IndexLink"/>
              </w:rPr>
              <w:t>126</w:t>
            </w:r>
          </w:hyperlink>
        </w:p>
        <w:p>
          <w:pPr>
            <w:pStyle w:val="Contents4"/>
            <w:tabs>
              <w:tab w:val="clear" w:pos="8176"/>
              <w:tab w:val="right" w:pos="9026" w:leader="dot"/>
            </w:tabs>
            <w:rPr/>
          </w:pPr>
          <w:hyperlink w:anchor="__RefHeading___Toc15165259_128044782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5165261_1280447820">
            <w:r>
              <w:rPr>
                <w:webHidden/>
                <w:rStyle w:val="IndexLink"/>
                <w:rtl w:val="true"/>
              </w:rPr>
              <w:t>گفتار اول</w:t>
            </w:r>
            <w:r>
              <w:rPr>
                <w:rStyle w:val="IndexLink"/>
                <w:rtl w:val="true"/>
              </w:rPr>
              <w:t xml:space="preserve">: </w:t>
            </w:r>
            <w:r>
              <w:rPr>
                <w:rStyle w:val="IndexLink"/>
                <w:rtl w:val="true"/>
              </w:rPr>
              <w:t>آوردن دیگر نوادگان به مسجد توسط پیامبر صلی الله علیه و آله وسلم</w:t>
            </w:r>
            <w:r>
              <w:rPr>
                <w:rStyle w:val="IndexLink"/>
                <w:rtl w:val="true"/>
              </w:rPr>
              <w:tab/>
            </w:r>
            <w:r>
              <w:rPr>
                <w:rStyle w:val="IndexLink"/>
              </w:rPr>
              <w:t>126</w:t>
            </w:r>
          </w:hyperlink>
        </w:p>
        <w:p>
          <w:pPr>
            <w:pStyle w:val="Contents4"/>
            <w:tabs>
              <w:tab w:val="clear" w:pos="8176"/>
              <w:tab w:val="right" w:pos="9026" w:leader="dot"/>
            </w:tabs>
            <w:rPr/>
          </w:pPr>
          <w:hyperlink w:anchor="__RefHeading___Toc15165263_1280447820">
            <w:r>
              <w:rPr>
                <w:webHidden/>
                <w:rStyle w:val="IndexLink"/>
                <w:rtl w:val="true"/>
              </w:rPr>
              <w:t>نقل محتوا در منابع شیعی</w:t>
            </w:r>
            <w:r>
              <w:rPr>
                <w:rStyle w:val="IndexLink"/>
                <w:rtl w:val="true"/>
              </w:rPr>
              <w:tab/>
            </w:r>
            <w:r>
              <w:rPr>
                <w:rStyle w:val="IndexLink"/>
              </w:rPr>
              <w:t>128</w:t>
            </w:r>
          </w:hyperlink>
        </w:p>
        <w:p>
          <w:pPr>
            <w:pStyle w:val="Contents4"/>
            <w:tabs>
              <w:tab w:val="clear" w:pos="8176"/>
              <w:tab w:val="right" w:pos="9026" w:leader="dot"/>
            </w:tabs>
            <w:rPr/>
          </w:pPr>
          <w:hyperlink w:anchor="__RefHeading___Toc15165265_1280447820">
            <w:r>
              <w:rPr>
                <w:webHidden/>
                <w:rStyle w:val="IndexLink"/>
                <w:rtl w:val="true"/>
              </w:rPr>
              <w:t>گفتار دوم</w:t>
            </w:r>
            <w:r>
              <w:rPr>
                <w:rStyle w:val="IndexLink"/>
                <w:rtl w:val="true"/>
              </w:rPr>
              <w:t xml:space="preserve">: </w:t>
            </w:r>
            <w:r>
              <w:rPr>
                <w:rStyle w:val="IndexLink"/>
                <w:rtl w:val="true"/>
              </w:rPr>
              <w:t>آوردن دیگر کودکان به مسجد توسط پیامبر صلی الله علیه و آله وسلم</w:t>
            </w:r>
            <w:r>
              <w:rPr>
                <w:rStyle w:val="IndexLink"/>
                <w:rtl w:val="true"/>
              </w:rPr>
              <w:tab/>
            </w:r>
            <w:r>
              <w:rPr>
                <w:rStyle w:val="IndexLink"/>
              </w:rPr>
              <w:t>131</w:t>
            </w:r>
          </w:hyperlink>
        </w:p>
        <w:p>
          <w:pPr>
            <w:pStyle w:val="Contents4"/>
            <w:tabs>
              <w:tab w:val="clear" w:pos="8176"/>
              <w:tab w:val="right" w:pos="9026" w:leader="dot"/>
            </w:tabs>
            <w:rPr/>
          </w:pPr>
          <w:hyperlink w:anchor="__RefHeading___Toc15165267_1280447820">
            <w:r>
              <w:rPr>
                <w:webHidden/>
                <w:rStyle w:val="IndexLink"/>
                <w:rtl w:val="true"/>
              </w:rPr>
              <w:t>سن جعفر بن عبدالله در زمان شهادت پدر</w:t>
            </w:r>
            <w:r>
              <w:rPr>
                <w:rStyle w:val="IndexLink"/>
                <w:rtl w:val="true"/>
              </w:rPr>
              <w:tab/>
            </w:r>
            <w:r>
              <w:rPr>
                <w:rStyle w:val="IndexLink"/>
              </w:rPr>
              <w:t>133</w:t>
            </w:r>
          </w:hyperlink>
        </w:p>
        <w:p>
          <w:pPr>
            <w:pStyle w:val="Contents3"/>
            <w:tabs>
              <w:tab w:val="clear" w:pos="8459"/>
              <w:tab w:val="right" w:pos="9026" w:leader="dot"/>
            </w:tabs>
            <w:rPr/>
          </w:pPr>
          <w:hyperlink w:anchor="__RefHeading___Toc15165269_1280447820">
            <w:r>
              <w:rPr>
                <w:webHidden/>
                <w:rStyle w:val="IndexLink"/>
                <w:rtl w:val="true"/>
              </w:rPr>
              <w:t>فصل چهارم</w:t>
            </w:r>
            <w:r>
              <w:rPr>
                <w:rStyle w:val="IndexLink"/>
                <w:rtl w:val="true"/>
              </w:rPr>
              <w:t xml:space="preserve">: </w:t>
            </w:r>
            <w:r>
              <w:rPr>
                <w:rStyle w:val="IndexLink"/>
                <w:rtl w:val="true"/>
              </w:rPr>
              <w:t>حضور کودکان در مساجد دوران پیامبر صلی الله علیه و اله و عدم نهی از سوی ایشان</w:t>
            </w:r>
            <w:r>
              <w:rPr>
                <w:rStyle w:val="IndexLink"/>
                <w:rtl w:val="true"/>
              </w:rPr>
              <w:tab/>
            </w:r>
            <w:r>
              <w:rPr>
                <w:rStyle w:val="IndexLink"/>
              </w:rPr>
              <w:t>134</w:t>
            </w:r>
          </w:hyperlink>
        </w:p>
        <w:p>
          <w:pPr>
            <w:pStyle w:val="Contents4"/>
            <w:tabs>
              <w:tab w:val="clear" w:pos="8176"/>
              <w:tab w:val="right" w:pos="9026" w:leader="dot"/>
            </w:tabs>
            <w:rPr/>
          </w:pPr>
          <w:hyperlink w:anchor="__RefHeading___Toc15165271_1280447820">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15165273_1280447820">
            <w:r>
              <w:rPr>
                <w:webHidden/>
                <w:rStyle w:val="IndexLink"/>
                <w:rtl w:val="true"/>
              </w:rPr>
              <w:t>گفتار اول</w:t>
            </w:r>
            <w:r>
              <w:rPr>
                <w:rStyle w:val="IndexLink"/>
                <w:rtl w:val="true"/>
              </w:rPr>
              <w:t xml:space="preserve">: </w:t>
            </w:r>
            <w:r>
              <w:rPr>
                <w:rStyle w:val="IndexLink"/>
                <w:rtl w:val="true"/>
              </w:rPr>
              <w:t>حضور کودکان در مسجد النبی صلی الله علیه و اله وسلم</w:t>
            </w:r>
            <w:r>
              <w:rPr>
                <w:rStyle w:val="IndexLink"/>
                <w:rtl w:val="true"/>
              </w:rPr>
              <w:tab/>
            </w:r>
            <w:r>
              <w:rPr>
                <w:rStyle w:val="IndexLink"/>
              </w:rPr>
              <w:t>135</w:t>
            </w:r>
          </w:hyperlink>
        </w:p>
        <w:p>
          <w:pPr>
            <w:pStyle w:val="Contents4"/>
            <w:tabs>
              <w:tab w:val="clear" w:pos="8176"/>
              <w:tab w:val="right" w:pos="9026" w:leader="dot"/>
            </w:tabs>
            <w:rPr/>
          </w:pPr>
          <w:hyperlink w:anchor="__RefHeading___Toc15165275_1280447820">
            <w:r>
              <w:rPr>
                <w:webHidden/>
                <w:rStyle w:val="IndexLink"/>
                <w:rtl w:val="true"/>
              </w:rPr>
              <w:t>گفتار دوم</w:t>
            </w:r>
            <w:r>
              <w:rPr>
                <w:rStyle w:val="IndexLink"/>
                <w:rtl w:val="true"/>
              </w:rPr>
              <w:t xml:space="preserve">: </w:t>
            </w:r>
            <w:r>
              <w:rPr>
                <w:rStyle w:val="IndexLink"/>
                <w:rtl w:val="true"/>
              </w:rPr>
              <w:t>مدارای پیامبر صلی الله علیه و آله وسلم در برابر آوردن کودک شیرخواره به مسجد</w:t>
            </w:r>
            <w:r>
              <w:rPr>
                <w:rStyle w:val="IndexLink"/>
                <w:rtl w:val="true"/>
              </w:rPr>
              <w:tab/>
            </w:r>
            <w:r>
              <w:rPr>
                <w:rStyle w:val="IndexLink"/>
              </w:rPr>
              <w:t>137</w:t>
            </w:r>
          </w:hyperlink>
        </w:p>
        <w:p>
          <w:pPr>
            <w:pStyle w:val="Contents5"/>
            <w:tabs>
              <w:tab w:val="clear" w:pos="7892"/>
              <w:tab w:val="right" w:pos="9026" w:leader="dot"/>
            </w:tabs>
            <w:rPr/>
          </w:pPr>
          <w:hyperlink w:anchor="__RefHeading___Toc15165277_1280447820">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15165279_1280447820">
            <w:r>
              <w:rPr>
                <w:webHidden/>
                <w:rStyle w:val="IndexLink"/>
                <w:rtl w:val="true"/>
              </w:rPr>
              <w:t>منابع حدیث و نقل های مشابه آن</w:t>
            </w:r>
            <w:r>
              <w:rPr>
                <w:rStyle w:val="IndexLink"/>
                <w:rtl w:val="true"/>
              </w:rPr>
              <w:tab/>
            </w:r>
            <w:r>
              <w:rPr>
                <w:rStyle w:val="IndexLink"/>
              </w:rPr>
              <w:t>138</w:t>
            </w:r>
          </w:hyperlink>
        </w:p>
        <w:p>
          <w:pPr>
            <w:pStyle w:val="Contents5"/>
            <w:tabs>
              <w:tab w:val="clear" w:pos="7892"/>
              <w:tab w:val="right" w:pos="9026" w:leader="dot"/>
            </w:tabs>
            <w:rPr/>
          </w:pPr>
          <w:hyperlink w:anchor="__RefHeading___Toc15165281_1280447820">
            <w:r>
              <w:rPr>
                <w:webHidden/>
                <w:rStyle w:val="IndexLink"/>
                <w:rtl w:val="true"/>
              </w:rPr>
              <w:t>بررسی سند روایت در کتاب الکافی</w:t>
            </w:r>
            <w:r>
              <w:rPr>
                <w:rStyle w:val="IndexLink"/>
                <w:rtl w:val="true"/>
              </w:rPr>
              <w:tab/>
            </w:r>
            <w:r>
              <w:rPr>
                <w:rStyle w:val="IndexLink"/>
              </w:rPr>
              <w:t>138</w:t>
            </w:r>
          </w:hyperlink>
        </w:p>
        <w:p>
          <w:pPr>
            <w:pStyle w:val="Contents5"/>
            <w:tabs>
              <w:tab w:val="clear" w:pos="7892"/>
              <w:tab w:val="right" w:pos="9026" w:leader="dot"/>
            </w:tabs>
            <w:rPr/>
          </w:pPr>
          <w:hyperlink w:anchor="__RefHeading___Toc15165283_1280447820">
            <w:r>
              <w:rPr>
                <w:webHidden/>
                <w:rStyle w:val="IndexLink"/>
                <w:rtl w:val="true"/>
              </w:rPr>
              <w:t>بررسی سند روایت در کتاب من لا یحضره الفقیه</w:t>
            </w:r>
            <w:r>
              <w:rPr>
                <w:rStyle w:val="IndexLink"/>
                <w:rtl w:val="true"/>
              </w:rPr>
              <w:tab/>
            </w:r>
            <w:r>
              <w:rPr>
                <w:rStyle w:val="IndexLink"/>
              </w:rPr>
              <w:t>140</w:t>
            </w:r>
          </w:hyperlink>
        </w:p>
        <w:p>
          <w:pPr>
            <w:pStyle w:val="Contents5"/>
            <w:tabs>
              <w:tab w:val="clear" w:pos="7892"/>
              <w:tab w:val="right" w:pos="9026" w:leader="dot"/>
            </w:tabs>
            <w:rPr/>
          </w:pPr>
          <w:hyperlink w:anchor="__RefHeading___Toc15165285_1280447820">
            <w:r>
              <w:rPr>
                <w:webHidden/>
                <w:rStyle w:val="IndexLink"/>
                <w:rtl w:val="true"/>
              </w:rPr>
              <w:t>نقل مشابه در منابع اهل تسنن</w:t>
            </w:r>
            <w:r>
              <w:rPr>
                <w:rStyle w:val="IndexLink"/>
                <w:rtl w:val="true"/>
              </w:rPr>
              <w:tab/>
            </w:r>
            <w:r>
              <w:rPr>
                <w:rStyle w:val="IndexLink"/>
              </w:rPr>
              <w:t>142</w:t>
            </w:r>
          </w:hyperlink>
        </w:p>
        <w:p>
          <w:pPr>
            <w:pStyle w:val="Contents5"/>
            <w:tabs>
              <w:tab w:val="clear" w:pos="7892"/>
              <w:tab w:val="right" w:pos="9026" w:leader="dot"/>
            </w:tabs>
            <w:rPr/>
          </w:pPr>
          <w:hyperlink w:anchor="__RefHeading___Toc15165287_1280447820">
            <w:r>
              <w:rPr>
                <w:webHidden/>
                <w:rStyle w:val="IndexLink"/>
                <w:rtl w:val="true"/>
              </w:rPr>
              <w:t>منابع نقل اهل تسنن</w:t>
            </w:r>
            <w:r>
              <w:rPr>
                <w:rStyle w:val="IndexLink"/>
                <w:rtl w:val="true"/>
              </w:rPr>
              <w:tab/>
            </w:r>
            <w:r>
              <w:rPr>
                <w:rStyle w:val="IndexLink"/>
              </w:rPr>
              <w:t>143</w:t>
            </w:r>
          </w:hyperlink>
        </w:p>
        <w:p>
          <w:pPr>
            <w:pStyle w:val="Contents5"/>
            <w:tabs>
              <w:tab w:val="clear" w:pos="7892"/>
              <w:tab w:val="right" w:pos="9026" w:leader="dot"/>
            </w:tabs>
            <w:rPr/>
          </w:pPr>
          <w:hyperlink w:anchor="__RefHeading___Toc15165289_1280447820">
            <w:r>
              <w:rPr>
                <w:webHidden/>
                <w:rStyle w:val="IndexLink"/>
                <w:rtl w:val="true"/>
              </w:rPr>
              <w:t>نکات و دلالت</w:t>
            </w:r>
            <w:r>
              <w:rPr>
                <w:rStyle w:val="IndexLink"/>
                <w:rtl w:val="true"/>
              </w:rPr>
              <w:tab/>
            </w:r>
            <w:r>
              <w:rPr>
                <w:rStyle w:val="IndexLink"/>
              </w:rPr>
              <w:t>143</w:t>
            </w:r>
          </w:hyperlink>
        </w:p>
        <w:p>
          <w:pPr>
            <w:pStyle w:val="Contents3"/>
            <w:tabs>
              <w:tab w:val="clear" w:pos="8459"/>
              <w:tab w:val="right" w:pos="9026" w:leader="dot"/>
            </w:tabs>
            <w:rPr/>
          </w:pPr>
          <w:hyperlink w:anchor="__RefHeading___Toc15165291_1280447820">
            <w:r>
              <w:rPr>
                <w:webHidden/>
                <w:rStyle w:val="IndexLink"/>
                <w:rtl w:val="true"/>
              </w:rPr>
              <w:t>فصل پنجم</w:t>
            </w:r>
            <w:r>
              <w:rPr>
                <w:rStyle w:val="IndexLink"/>
                <w:rtl w:val="true"/>
              </w:rPr>
              <w:t xml:space="preserve">: </w:t>
            </w:r>
            <w:r>
              <w:rPr>
                <w:rStyle w:val="IndexLink"/>
                <w:rtl w:val="true"/>
              </w:rPr>
              <w:t>کنار نهادن روایات ناهیه به دلیل تعارض با دیگر روایات</w:t>
            </w:r>
            <w:r>
              <w:rPr>
                <w:rStyle w:val="IndexLink"/>
                <w:rtl w:val="true"/>
              </w:rPr>
              <w:tab/>
            </w:r>
            <w:r>
              <w:rPr>
                <w:rStyle w:val="IndexLink"/>
              </w:rPr>
              <w:t>149</w:t>
            </w:r>
          </w:hyperlink>
        </w:p>
        <w:p>
          <w:pPr>
            <w:pStyle w:val="Contents4"/>
            <w:tabs>
              <w:tab w:val="clear" w:pos="8176"/>
              <w:tab w:val="right" w:pos="9026" w:leader="dot"/>
            </w:tabs>
            <w:rPr/>
          </w:pPr>
          <w:hyperlink w:anchor="__RefHeading___Toc15165293_1280447820">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5165295_1280447820">
            <w:r>
              <w:rPr>
                <w:webHidden/>
                <w:rStyle w:val="IndexLink"/>
                <w:rtl w:val="true"/>
              </w:rPr>
              <w:t>گفتار اول</w:t>
            </w:r>
            <w:r>
              <w:rPr>
                <w:rStyle w:val="IndexLink"/>
                <w:rtl w:val="true"/>
              </w:rPr>
              <w:t xml:space="preserve">: </w:t>
            </w:r>
            <w:r>
              <w:rPr>
                <w:rStyle w:val="IndexLink"/>
                <w:rtl w:val="true"/>
              </w:rPr>
              <w:t>گستره روایات سیره در سنین مختلف کودکان</w:t>
            </w:r>
            <w:r>
              <w:rPr>
                <w:rStyle w:val="IndexLink"/>
                <w:rtl w:val="true"/>
              </w:rPr>
              <w:tab/>
            </w:r>
            <w:r>
              <w:rPr>
                <w:rStyle w:val="IndexLink"/>
              </w:rPr>
              <w:t>149</w:t>
            </w:r>
          </w:hyperlink>
        </w:p>
        <w:p>
          <w:pPr>
            <w:pStyle w:val="Contents5"/>
            <w:tabs>
              <w:tab w:val="clear" w:pos="7892"/>
              <w:tab w:val="right" w:pos="9026" w:leader="dot"/>
            </w:tabs>
            <w:rPr/>
          </w:pPr>
          <w:hyperlink w:anchor="__RefHeading___Toc15165297_1280447820">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15165299_1280447820">
            <w:r>
              <w:rPr>
                <w:webHidden/>
                <w:rStyle w:val="IndexLink"/>
              </w:rPr>
              <w:t>1</w:t>
            </w:r>
            <w:r>
              <w:rPr>
                <w:rStyle w:val="IndexLink"/>
                <w:rtl w:val="true"/>
              </w:rPr>
              <w:t xml:space="preserve">- </w:t>
            </w:r>
            <w:r>
              <w:rPr>
                <w:rStyle w:val="IndexLink"/>
                <w:rtl w:val="true"/>
              </w:rPr>
              <w:t>کودک شیرخواره</w:t>
            </w:r>
            <w:r>
              <w:rPr>
                <w:rStyle w:val="IndexLink"/>
                <w:rtl w:val="true"/>
              </w:rPr>
              <w:tab/>
            </w:r>
            <w:r>
              <w:rPr>
                <w:rStyle w:val="IndexLink"/>
              </w:rPr>
              <w:t>150</w:t>
            </w:r>
          </w:hyperlink>
        </w:p>
        <w:p>
          <w:pPr>
            <w:pStyle w:val="Contents5"/>
            <w:tabs>
              <w:tab w:val="clear" w:pos="7892"/>
              <w:tab w:val="right" w:pos="9026" w:leader="dot"/>
            </w:tabs>
            <w:rPr/>
          </w:pPr>
          <w:hyperlink w:anchor="__RefHeading___Toc15165301_1280447820">
            <w:r>
              <w:rPr>
                <w:webHidden/>
                <w:rStyle w:val="IndexLink"/>
              </w:rPr>
              <w:t>2</w:t>
            </w:r>
            <w:r>
              <w:rPr>
                <w:rStyle w:val="IndexLink"/>
                <w:rtl w:val="true"/>
              </w:rPr>
              <w:t xml:space="preserve">- </w:t>
            </w:r>
            <w:r>
              <w:rPr>
                <w:rStyle w:val="IndexLink"/>
                <w:rtl w:val="true"/>
              </w:rPr>
              <w:t xml:space="preserve">کودک غیر ممیز که وابسته به دیگران است </w:t>
            </w:r>
            <w:r>
              <w:rPr>
                <w:rStyle w:val="IndexLink"/>
                <w:rtl w:val="true"/>
              </w:rPr>
              <w:t>(</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 xml:space="preserve"> </w:t>
            </w:r>
            <w:r>
              <w:rPr>
                <w:rStyle w:val="IndexLink"/>
                <w:rtl w:val="true"/>
              </w:rPr>
              <w:t>سالگی</w:t>
            </w:r>
            <w:r>
              <w:rPr>
                <w:rStyle w:val="IndexLink"/>
                <w:rtl w:val="true"/>
              </w:rPr>
              <w:t>)</w:t>
              <w:tab/>
            </w:r>
            <w:r>
              <w:rPr>
                <w:rStyle w:val="IndexLink"/>
              </w:rPr>
              <w:t>150</w:t>
            </w:r>
          </w:hyperlink>
        </w:p>
        <w:p>
          <w:pPr>
            <w:pStyle w:val="Contents5"/>
            <w:tabs>
              <w:tab w:val="clear" w:pos="7892"/>
              <w:tab w:val="right" w:pos="9026" w:leader="dot"/>
            </w:tabs>
            <w:rPr/>
          </w:pPr>
          <w:hyperlink w:anchor="__RefHeading___Toc15165303_1280447820">
            <w:r>
              <w:rPr>
                <w:webHidden/>
                <w:rStyle w:val="IndexLink"/>
              </w:rPr>
              <w:t>3</w:t>
            </w:r>
            <w:r>
              <w:rPr>
                <w:rStyle w:val="IndexLink"/>
                <w:rtl w:val="true"/>
              </w:rPr>
              <w:t xml:space="preserve">- </w:t>
            </w:r>
            <w:r>
              <w:rPr>
                <w:rStyle w:val="IndexLink"/>
                <w:rtl w:val="true"/>
              </w:rPr>
              <w:t xml:space="preserve">کودک غیر ممیز مستقل </w:t>
            </w:r>
            <w:r>
              <w:rPr>
                <w:rStyle w:val="IndexLink"/>
                <w:rtl w:val="true"/>
              </w:rPr>
              <w:t>(</w:t>
            </w:r>
            <w:r>
              <w:rPr>
                <w:rStyle w:val="IndexLink"/>
              </w:rPr>
              <w:t>3</w:t>
            </w:r>
            <w:r>
              <w:rPr>
                <w:rStyle w:val="IndexLink"/>
                <w:rtl w:val="true"/>
              </w:rPr>
              <w:t xml:space="preserve"> </w:t>
            </w:r>
            <w:r>
              <w:rPr>
                <w:rStyle w:val="IndexLink"/>
                <w:rtl w:val="true"/>
              </w:rPr>
              <w:t xml:space="preserve">تا </w:t>
            </w:r>
            <w:r>
              <w:rPr>
                <w:rStyle w:val="IndexLink"/>
              </w:rPr>
              <w:t>7</w:t>
            </w:r>
            <w:r>
              <w:rPr>
                <w:rStyle w:val="IndexLink"/>
                <w:rtl w:val="true"/>
              </w:rPr>
              <w:t xml:space="preserve"> </w:t>
            </w:r>
            <w:r>
              <w:rPr>
                <w:rStyle w:val="IndexLink"/>
                <w:rtl w:val="true"/>
              </w:rPr>
              <w:t>سالگی</w:t>
            </w:r>
            <w:r>
              <w:rPr>
                <w:rStyle w:val="IndexLink"/>
                <w:rtl w:val="true"/>
              </w:rPr>
              <w:t>)</w:t>
              <w:tab/>
            </w:r>
            <w:r>
              <w:rPr>
                <w:rStyle w:val="IndexLink"/>
              </w:rPr>
              <w:t>150</w:t>
            </w:r>
          </w:hyperlink>
        </w:p>
        <w:p>
          <w:pPr>
            <w:pStyle w:val="Contents5"/>
            <w:tabs>
              <w:tab w:val="clear" w:pos="7892"/>
              <w:tab w:val="right" w:pos="9026" w:leader="dot"/>
            </w:tabs>
            <w:rPr/>
          </w:pPr>
          <w:hyperlink w:anchor="__RefHeading___Toc15165305_1280447820">
            <w:r>
              <w:rPr>
                <w:webHidden/>
                <w:rStyle w:val="IndexLink"/>
              </w:rPr>
              <w:t>4</w:t>
            </w:r>
            <w:r>
              <w:rPr>
                <w:rStyle w:val="IndexLink"/>
                <w:rtl w:val="true"/>
              </w:rPr>
              <w:t xml:space="preserve">- </w:t>
            </w:r>
            <w:r>
              <w:rPr>
                <w:rStyle w:val="IndexLink"/>
                <w:rtl w:val="true"/>
              </w:rPr>
              <w:t>کودک ممیز</w:t>
            </w:r>
            <w:r>
              <w:rPr>
                <w:rStyle w:val="IndexLink"/>
                <w:rtl w:val="true"/>
              </w:rPr>
              <w:tab/>
            </w:r>
            <w:r>
              <w:rPr>
                <w:rStyle w:val="IndexLink"/>
              </w:rPr>
              <w:t>150</w:t>
            </w:r>
          </w:hyperlink>
        </w:p>
        <w:p>
          <w:pPr>
            <w:pStyle w:val="Contents4"/>
            <w:tabs>
              <w:tab w:val="clear" w:pos="8176"/>
              <w:tab w:val="right" w:pos="9026" w:leader="dot"/>
            </w:tabs>
            <w:rPr/>
          </w:pPr>
          <w:hyperlink w:anchor="__RefHeading___Toc15165307_1280447820">
            <w:r>
              <w:rPr>
                <w:webHidden/>
                <w:rStyle w:val="IndexLink"/>
                <w:rtl w:val="true"/>
              </w:rPr>
              <w:t>گفتار دوم</w:t>
            </w:r>
            <w:r>
              <w:rPr>
                <w:rStyle w:val="IndexLink"/>
                <w:rtl w:val="true"/>
              </w:rPr>
              <w:t xml:space="preserve">: </w:t>
            </w:r>
            <w:r>
              <w:rPr>
                <w:rStyle w:val="IndexLink"/>
                <w:rtl w:val="true"/>
              </w:rPr>
              <w:t>ترجیح روایات سیره بر روایات کراهت</w:t>
            </w:r>
            <w:r>
              <w:rPr>
                <w:rStyle w:val="IndexLink"/>
                <w:rtl w:val="true"/>
              </w:rPr>
              <w:tab/>
            </w:r>
            <w:r>
              <w:rPr>
                <w:rStyle w:val="IndexLink"/>
              </w:rPr>
              <w:t>151</w:t>
            </w:r>
          </w:hyperlink>
        </w:p>
        <w:p>
          <w:pPr>
            <w:pStyle w:val="Contents4"/>
            <w:tabs>
              <w:tab w:val="clear" w:pos="8176"/>
              <w:tab w:val="right" w:pos="9026" w:leader="dot"/>
            </w:tabs>
            <w:rPr/>
          </w:pPr>
          <w:hyperlink w:anchor="__RefHeading___Toc15165309_1280447820">
            <w:r>
              <w:rPr>
                <w:webHidden/>
                <w:rStyle w:val="IndexLink"/>
                <w:rtl w:val="true"/>
              </w:rPr>
              <w:t>گفتار سوم</w:t>
            </w:r>
            <w:r>
              <w:rPr>
                <w:rStyle w:val="IndexLink"/>
                <w:rtl w:val="true"/>
              </w:rPr>
              <w:t xml:space="preserve">: </w:t>
            </w:r>
            <w:r>
              <w:rPr>
                <w:rStyle w:val="IndexLink"/>
                <w:rtl w:val="true"/>
              </w:rPr>
              <w:t>تعارض سیره با دیگر دلایل کراهت</w:t>
            </w:r>
            <w:r>
              <w:rPr>
                <w:rStyle w:val="IndexLink"/>
                <w:rtl w:val="true"/>
              </w:rPr>
              <w:tab/>
            </w:r>
            <w:r>
              <w:rPr>
                <w:rStyle w:val="IndexLink"/>
              </w:rPr>
              <w:t>152</w:t>
            </w:r>
          </w:hyperlink>
        </w:p>
        <w:p>
          <w:pPr>
            <w:pStyle w:val="Contents4"/>
            <w:tabs>
              <w:tab w:val="clear" w:pos="8176"/>
              <w:tab w:val="right" w:pos="9026" w:leader="dot"/>
            </w:tabs>
            <w:rPr/>
          </w:pPr>
          <w:hyperlink w:anchor="__RefHeading___Toc15165311_1280447820">
            <w:r>
              <w:rPr>
                <w:webHidden/>
                <w:rStyle w:val="IndexLink"/>
                <w:rtl w:val="true"/>
              </w:rPr>
              <w:t>گفتار چهارم</w:t>
            </w:r>
            <w:r>
              <w:rPr>
                <w:rStyle w:val="IndexLink"/>
                <w:rtl w:val="true"/>
              </w:rPr>
              <w:t xml:space="preserve">: </w:t>
            </w:r>
            <w:r>
              <w:rPr>
                <w:rStyle w:val="IndexLink"/>
                <w:rtl w:val="true"/>
              </w:rPr>
              <w:t>نتیجه برآمده از تعارض</w:t>
            </w:r>
            <w:r>
              <w:rPr>
                <w:rStyle w:val="IndexLink"/>
                <w:rtl w:val="true"/>
              </w:rPr>
              <w:tab/>
            </w:r>
            <w:r>
              <w:rPr>
                <w:rStyle w:val="IndexLink"/>
              </w:rPr>
              <w:t>153</w:t>
            </w:r>
          </w:hyperlink>
        </w:p>
        <w:p>
          <w:pPr>
            <w:pStyle w:val="Contents3"/>
            <w:tabs>
              <w:tab w:val="clear" w:pos="8459"/>
              <w:tab w:val="right" w:pos="9026" w:leader="dot"/>
            </w:tabs>
            <w:rPr/>
          </w:pPr>
          <w:hyperlink w:anchor="__RefHeading___Toc15165313_1280447820">
            <w:r>
              <w:rPr>
                <w:webHidden/>
                <w:rStyle w:val="IndexLink"/>
                <w:rtl w:val="true"/>
              </w:rPr>
              <w:t>فصل ششم</w:t>
            </w:r>
            <w:r>
              <w:rPr>
                <w:rStyle w:val="IndexLink"/>
                <w:rtl w:val="true"/>
              </w:rPr>
              <w:t xml:space="preserve">: </w:t>
            </w:r>
            <w:r>
              <w:rPr>
                <w:rStyle w:val="IndexLink"/>
                <w:rtl w:val="true"/>
              </w:rPr>
              <w:t>ارائه وجه جمع میان روایات در صورت عدم پذیرش رجحان روایات سیره</w:t>
            </w:r>
            <w:r>
              <w:rPr>
                <w:rStyle w:val="IndexLink"/>
                <w:rtl w:val="true"/>
              </w:rPr>
              <w:tab/>
            </w:r>
            <w:r>
              <w:rPr>
                <w:rStyle w:val="IndexLink"/>
              </w:rPr>
              <w:t>154</w:t>
            </w:r>
          </w:hyperlink>
        </w:p>
        <w:p>
          <w:pPr>
            <w:pStyle w:val="Contents4"/>
            <w:tabs>
              <w:tab w:val="clear" w:pos="8176"/>
              <w:tab w:val="right" w:pos="9026" w:leader="dot"/>
            </w:tabs>
            <w:rPr/>
          </w:pPr>
          <w:hyperlink w:anchor="__RefHeading___Toc15165315_1280447820">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5165317_1280447820">
            <w:r>
              <w:rPr>
                <w:webHidden/>
                <w:rStyle w:val="IndexLink"/>
                <w:rtl w:val="true"/>
              </w:rPr>
              <w:t>گفتار اول</w:t>
            </w:r>
            <w:r>
              <w:rPr>
                <w:rStyle w:val="IndexLink"/>
                <w:rtl w:val="true"/>
              </w:rPr>
              <w:t xml:space="preserve">: </w:t>
            </w:r>
            <w:r>
              <w:rPr>
                <w:rStyle w:val="IndexLink"/>
                <w:rtl w:val="true"/>
              </w:rPr>
              <w:t xml:space="preserve">قاعده </w:t>
            </w:r>
            <w:r>
              <w:rPr>
                <w:rStyle w:val="IndexLink"/>
                <w:rtl w:val="true"/>
              </w:rPr>
              <w:t>«</w:t>
            </w:r>
            <w:r>
              <w:rPr>
                <w:rStyle w:val="IndexLink"/>
                <w:rtl w:val="true"/>
              </w:rPr>
              <w:t>الجمع بین المتعارضین</w:t>
            </w:r>
            <w:r>
              <w:rPr>
                <w:rStyle w:val="IndexLink"/>
                <w:rtl w:val="true"/>
              </w:rPr>
              <w:t>»</w:t>
              <w:tab/>
            </w:r>
            <w:r>
              <w:rPr>
                <w:rStyle w:val="IndexLink"/>
              </w:rPr>
              <w:t>154</w:t>
            </w:r>
          </w:hyperlink>
        </w:p>
        <w:p>
          <w:pPr>
            <w:pStyle w:val="Contents5"/>
            <w:tabs>
              <w:tab w:val="clear" w:pos="7892"/>
              <w:tab w:val="right" w:pos="9026" w:leader="dot"/>
            </w:tabs>
            <w:rPr/>
          </w:pPr>
          <w:hyperlink w:anchor="__RefHeading___Toc15165319_1280447820">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15165321_1280447820">
            <w:r>
              <w:rPr>
                <w:webHidden/>
                <w:rStyle w:val="IndexLink"/>
                <w:rtl w:val="true"/>
              </w:rPr>
              <w:t>شرایط جمع عرفی</w:t>
            </w:r>
            <w:r>
              <w:rPr>
                <w:rStyle w:val="IndexLink"/>
                <w:rtl w:val="true"/>
              </w:rPr>
              <w:tab/>
            </w:r>
            <w:r>
              <w:rPr>
                <w:rStyle w:val="IndexLink"/>
              </w:rPr>
              <w:t>155</w:t>
            </w:r>
          </w:hyperlink>
        </w:p>
        <w:p>
          <w:pPr>
            <w:pStyle w:val="Contents5"/>
            <w:tabs>
              <w:tab w:val="clear" w:pos="7892"/>
              <w:tab w:val="right" w:pos="9026" w:leader="dot"/>
            </w:tabs>
            <w:rPr/>
          </w:pPr>
          <w:hyperlink w:anchor="__RefHeading___Toc15165323_1280447820">
            <w:r>
              <w:rPr>
                <w:webHidden/>
                <w:rStyle w:val="IndexLink"/>
                <w:rtl w:val="true"/>
              </w:rPr>
              <w:t>تحلیل وجه جمع در مورد مساله</w:t>
            </w:r>
            <w:r>
              <w:rPr>
                <w:rStyle w:val="IndexLink"/>
                <w:rtl w:val="true"/>
              </w:rPr>
              <w:tab/>
            </w:r>
            <w:r>
              <w:rPr>
                <w:rStyle w:val="IndexLink"/>
              </w:rPr>
              <w:t>156</w:t>
            </w:r>
          </w:hyperlink>
        </w:p>
        <w:p>
          <w:pPr>
            <w:pStyle w:val="Contents5"/>
            <w:tabs>
              <w:tab w:val="clear" w:pos="7892"/>
              <w:tab w:val="right" w:pos="9026" w:leader="dot"/>
            </w:tabs>
            <w:rPr/>
          </w:pPr>
          <w:hyperlink w:anchor="__RefHeading___Toc15165325_1280447820">
            <w:r>
              <w:rPr>
                <w:webHidden/>
                <w:rStyle w:val="IndexLink"/>
                <w:rtl w:val="true"/>
              </w:rPr>
              <w:t>ارائه وجه جمع با استفاده از اصول برداشت شده از هر دو دسته از روایات</w:t>
            </w:r>
            <w:r>
              <w:rPr>
                <w:rStyle w:val="IndexLink"/>
                <w:rtl w:val="true"/>
              </w:rPr>
              <w:tab/>
            </w:r>
            <w:r>
              <w:rPr>
                <w:rStyle w:val="IndexLink"/>
              </w:rPr>
              <w:t>156</w:t>
            </w:r>
          </w:hyperlink>
        </w:p>
        <w:p>
          <w:pPr>
            <w:pStyle w:val="Contents6"/>
            <w:tabs>
              <w:tab w:val="clear" w:pos="7609"/>
              <w:tab w:val="right" w:pos="9026" w:leader="dot"/>
            </w:tabs>
            <w:rPr/>
          </w:pPr>
          <w:hyperlink w:anchor="__RefHeading___Toc15165327_1280447820">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15165329_1280447820">
            <w:r>
              <w:rPr>
                <w:webHidden/>
                <w:rStyle w:val="IndexLink"/>
              </w:rPr>
              <w:t>1</w:t>
            </w:r>
            <w:r>
              <w:rPr>
                <w:rStyle w:val="IndexLink"/>
                <w:rtl w:val="true"/>
              </w:rPr>
              <w:t xml:space="preserve">- </w:t>
            </w:r>
            <w:r>
              <w:rPr>
                <w:rStyle w:val="IndexLink"/>
                <w:rtl w:val="true"/>
              </w:rPr>
              <w:t>اباحه آوردن کودکان به مسجد</w:t>
            </w:r>
            <w:r>
              <w:rPr>
                <w:rStyle w:val="IndexLink"/>
                <w:rtl w:val="true"/>
              </w:rPr>
              <w:tab/>
            </w:r>
            <w:r>
              <w:rPr>
                <w:rStyle w:val="IndexLink"/>
              </w:rPr>
              <w:t>157</w:t>
            </w:r>
          </w:hyperlink>
        </w:p>
        <w:p>
          <w:pPr>
            <w:pStyle w:val="Contents6"/>
            <w:tabs>
              <w:tab w:val="clear" w:pos="7609"/>
              <w:tab w:val="right" w:pos="9026" w:leader="dot"/>
            </w:tabs>
            <w:rPr/>
          </w:pPr>
          <w:hyperlink w:anchor="__RefHeading___Toc15165331_1280447820">
            <w:r>
              <w:rPr>
                <w:webHidden/>
                <w:rStyle w:val="IndexLink"/>
              </w:rPr>
              <w:t>2</w:t>
            </w:r>
            <w:r>
              <w:rPr>
                <w:rStyle w:val="IndexLink"/>
                <w:rtl w:val="true"/>
              </w:rPr>
              <w:t xml:space="preserve">- </w:t>
            </w:r>
            <w:r>
              <w:rPr>
                <w:rStyle w:val="IndexLink"/>
                <w:rtl w:val="true"/>
              </w:rPr>
              <w:t>پرهیز از آوردن کودکان مشکل ساز</w:t>
            </w:r>
            <w:r>
              <w:rPr>
                <w:rStyle w:val="IndexLink"/>
                <w:rtl w:val="true"/>
              </w:rPr>
              <w:tab/>
            </w:r>
            <w:r>
              <w:rPr>
                <w:rStyle w:val="IndexLink"/>
              </w:rPr>
              <w:t>157</w:t>
            </w:r>
          </w:hyperlink>
        </w:p>
        <w:p>
          <w:pPr>
            <w:pStyle w:val="Contents6"/>
            <w:tabs>
              <w:tab w:val="clear" w:pos="7609"/>
              <w:tab w:val="right" w:pos="9026" w:leader="dot"/>
            </w:tabs>
            <w:rPr/>
          </w:pPr>
          <w:hyperlink w:anchor="__RefHeading___Toc15165333_1280447820">
            <w:r>
              <w:rPr>
                <w:webHidden/>
                <w:rStyle w:val="IndexLink"/>
              </w:rPr>
              <w:t>3</w:t>
            </w:r>
            <w:r>
              <w:rPr>
                <w:rStyle w:val="IndexLink"/>
                <w:rtl w:val="true"/>
              </w:rPr>
              <w:t xml:space="preserve">- </w:t>
            </w:r>
            <w:r>
              <w:rPr>
                <w:rStyle w:val="IndexLink"/>
                <w:rtl w:val="true"/>
              </w:rPr>
              <w:t>لزوم برخورد صبورانه با کودکان حتی در صورت مزاحمت عادی</w:t>
            </w:r>
            <w:r>
              <w:rPr>
                <w:rStyle w:val="IndexLink"/>
                <w:rtl w:val="true"/>
              </w:rPr>
              <w:tab/>
            </w:r>
            <w:r>
              <w:rPr>
                <w:rStyle w:val="IndexLink"/>
              </w:rPr>
              <w:t>158</w:t>
            </w:r>
          </w:hyperlink>
        </w:p>
        <w:p>
          <w:pPr>
            <w:pStyle w:val="Contents2"/>
            <w:tabs>
              <w:tab w:val="clear" w:pos="8743"/>
              <w:tab w:val="right" w:pos="9026" w:leader="dot"/>
            </w:tabs>
            <w:rPr/>
          </w:pPr>
          <w:hyperlink w:anchor="__RefHeading___Toc15165335_1280447820">
            <w:r>
              <w:rPr>
                <w:webHidden/>
                <w:rStyle w:val="IndexLink"/>
                <w:rtl w:val="true"/>
              </w:rPr>
              <w:t>بخش چهارم</w:t>
            </w:r>
            <w:r>
              <w:rPr>
                <w:rStyle w:val="IndexLink"/>
                <w:rtl w:val="true"/>
              </w:rPr>
              <w:t xml:space="preserve">: </w:t>
            </w:r>
            <w:r>
              <w:rPr>
                <w:rStyle w:val="IndexLink"/>
                <w:rtl w:val="true"/>
              </w:rPr>
              <w:t>بررسی ادله قول به تفصیل بین کراهت و اباحه</w:t>
            </w:r>
            <w:r>
              <w:rPr>
                <w:rStyle w:val="IndexLink"/>
                <w:rtl w:val="true"/>
              </w:rPr>
              <w:tab/>
            </w:r>
            <w:r>
              <w:rPr>
                <w:rStyle w:val="IndexLink"/>
              </w:rPr>
              <w:t>160</w:t>
            </w:r>
          </w:hyperlink>
        </w:p>
        <w:p>
          <w:pPr>
            <w:pStyle w:val="Contents3"/>
            <w:tabs>
              <w:tab w:val="clear" w:pos="8459"/>
              <w:tab w:val="right" w:pos="9026" w:leader="dot"/>
            </w:tabs>
            <w:rPr/>
          </w:pPr>
          <w:hyperlink w:anchor="__RefHeading___Toc15165337_1280447820">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15165339_1280447820">
            <w:r>
              <w:rPr>
                <w:webHidden/>
                <w:rStyle w:val="IndexLink"/>
                <w:rtl w:val="true"/>
              </w:rPr>
              <w:t>فصل اول</w:t>
            </w:r>
            <w:r>
              <w:rPr>
                <w:rStyle w:val="IndexLink"/>
                <w:rtl w:val="true"/>
              </w:rPr>
              <w:t xml:space="preserve">: </w:t>
            </w:r>
            <w:r>
              <w:rPr>
                <w:rStyle w:val="IndexLink"/>
                <w:rtl w:val="true"/>
              </w:rPr>
              <w:t xml:space="preserve">ظهور واژه </w:t>
            </w:r>
            <w:r>
              <w:rPr>
                <w:rStyle w:val="IndexLink"/>
                <w:rtl w:val="true"/>
              </w:rPr>
              <w:t>«</w:t>
            </w:r>
            <w:r>
              <w:rPr>
                <w:rStyle w:val="IndexLink"/>
                <w:rtl w:val="true"/>
              </w:rPr>
              <w:t>صبیان</w:t>
            </w:r>
            <w:r>
              <w:rPr>
                <w:rStyle w:val="IndexLink"/>
                <w:rtl w:val="true"/>
              </w:rPr>
              <w:t xml:space="preserve">» </w:t>
            </w:r>
            <w:r>
              <w:rPr>
                <w:rStyle w:val="IndexLink"/>
                <w:rtl w:val="true"/>
              </w:rPr>
              <w:t>در کودکان غیر ممیز</w:t>
            </w:r>
            <w:r>
              <w:rPr>
                <w:rStyle w:val="IndexLink"/>
                <w:rtl w:val="true"/>
              </w:rPr>
              <w:tab/>
            </w:r>
            <w:r>
              <w:rPr>
                <w:rStyle w:val="IndexLink"/>
              </w:rPr>
              <w:t>162</w:t>
            </w:r>
          </w:hyperlink>
        </w:p>
        <w:p>
          <w:pPr>
            <w:pStyle w:val="Contents4"/>
            <w:tabs>
              <w:tab w:val="clear" w:pos="8176"/>
              <w:tab w:val="right" w:pos="9026" w:leader="dot"/>
            </w:tabs>
            <w:rPr/>
          </w:pPr>
          <w:hyperlink w:anchor="__RefHeading___Toc15165341_128044782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15165343_1280447820">
            <w:r>
              <w:rPr>
                <w:webHidden/>
                <w:rStyle w:val="IndexLink"/>
                <w:rtl w:val="true"/>
              </w:rPr>
              <w:t xml:space="preserve">معنا شناسی واژه </w:t>
            </w:r>
            <w:r>
              <w:rPr>
                <w:rStyle w:val="IndexLink"/>
                <w:rtl w:val="true"/>
              </w:rPr>
              <w:t>«</w:t>
            </w:r>
            <w:r>
              <w:rPr>
                <w:rStyle w:val="IndexLink"/>
                <w:rtl w:val="true"/>
              </w:rPr>
              <w:t>صبیان</w:t>
            </w:r>
            <w:r>
              <w:rPr>
                <w:rStyle w:val="IndexLink"/>
                <w:rtl w:val="true"/>
              </w:rPr>
              <w:t>»</w:t>
              <w:tab/>
            </w:r>
            <w:r>
              <w:rPr>
                <w:rStyle w:val="IndexLink"/>
              </w:rPr>
              <w:t>163</w:t>
            </w:r>
          </w:hyperlink>
        </w:p>
        <w:p>
          <w:pPr>
            <w:pStyle w:val="Contents4"/>
            <w:tabs>
              <w:tab w:val="clear" w:pos="8176"/>
              <w:tab w:val="right" w:pos="9026" w:leader="dot"/>
            </w:tabs>
            <w:rPr/>
          </w:pPr>
          <w:hyperlink w:anchor="__RefHeading___Toc15165345_1280447820">
            <w:r>
              <w:rPr>
                <w:webHidden/>
                <w:rStyle w:val="IndexLink"/>
                <w:rtl w:val="true"/>
              </w:rPr>
              <w:t>استعمالات واژه صبیان</w:t>
            </w:r>
            <w:r>
              <w:rPr>
                <w:rStyle w:val="IndexLink"/>
                <w:rtl w:val="true"/>
              </w:rPr>
              <w:tab/>
            </w:r>
            <w:r>
              <w:rPr>
                <w:rStyle w:val="IndexLink"/>
              </w:rPr>
              <w:t>163</w:t>
            </w:r>
          </w:hyperlink>
        </w:p>
        <w:p>
          <w:pPr>
            <w:pStyle w:val="Contents4"/>
            <w:tabs>
              <w:tab w:val="clear" w:pos="8176"/>
              <w:tab w:val="right" w:pos="9026" w:leader="dot"/>
            </w:tabs>
            <w:rPr/>
          </w:pPr>
          <w:hyperlink w:anchor="__RefHeading___Toc15165347_1280447820">
            <w:r>
              <w:rPr>
                <w:webHidden/>
                <w:rStyle w:val="IndexLink"/>
                <w:rtl w:val="true"/>
              </w:rPr>
              <w:t>معنای اصلی واژه در کتب کهن لغوی</w:t>
            </w:r>
            <w:r>
              <w:rPr>
                <w:rStyle w:val="IndexLink"/>
                <w:rtl w:val="true"/>
              </w:rPr>
              <w:tab/>
            </w:r>
            <w:r>
              <w:rPr>
                <w:rStyle w:val="IndexLink"/>
              </w:rPr>
              <w:t>164</w:t>
            </w:r>
          </w:hyperlink>
        </w:p>
        <w:p>
          <w:pPr>
            <w:pStyle w:val="Contents4"/>
            <w:tabs>
              <w:tab w:val="clear" w:pos="8176"/>
              <w:tab w:val="right" w:pos="9026" w:leader="dot"/>
            </w:tabs>
            <w:rPr/>
          </w:pPr>
          <w:hyperlink w:anchor="__RefHeading___Toc15165349_1280447820">
            <w:r>
              <w:rPr>
                <w:webHidden/>
                <w:rStyle w:val="IndexLink"/>
                <w:rtl w:val="true"/>
              </w:rPr>
              <w:t>استعمالات قرآنی واژه صبیان</w:t>
            </w:r>
            <w:r>
              <w:rPr>
                <w:rStyle w:val="IndexLink"/>
                <w:rtl w:val="true"/>
              </w:rPr>
              <w:tab/>
            </w:r>
            <w:r>
              <w:rPr>
                <w:rStyle w:val="IndexLink"/>
              </w:rPr>
              <w:t>165</w:t>
            </w:r>
          </w:hyperlink>
        </w:p>
        <w:p>
          <w:pPr>
            <w:pStyle w:val="Contents4"/>
            <w:tabs>
              <w:tab w:val="clear" w:pos="8176"/>
              <w:tab w:val="right" w:pos="9026" w:leader="dot"/>
            </w:tabs>
            <w:rPr/>
          </w:pPr>
          <w:hyperlink w:anchor="__RefHeading___Toc15165351_1280447820">
            <w:r>
              <w:rPr>
                <w:webHidden/>
                <w:rStyle w:val="IndexLink"/>
                <w:rtl w:val="true"/>
              </w:rPr>
              <w:t xml:space="preserve">ظهور معنایی واژه </w:t>
            </w:r>
            <w:r>
              <w:rPr>
                <w:rStyle w:val="IndexLink"/>
                <w:rtl w:val="true"/>
              </w:rPr>
              <w:t>«</w:t>
            </w:r>
            <w:r>
              <w:rPr>
                <w:rStyle w:val="IndexLink"/>
                <w:rtl w:val="true"/>
              </w:rPr>
              <w:t>صبی</w:t>
            </w:r>
            <w:r>
              <w:rPr>
                <w:rStyle w:val="IndexLink"/>
                <w:rtl w:val="true"/>
              </w:rPr>
              <w:t xml:space="preserve">» </w:t>
            </w:r>
            <w:r>
              <w:rPr>
                <w:rStyle w:val="IndexLink"/>
                <w:rtl w:val="true"/>
              </w:rPr>
              <w:t>در کودک غیر ممیز</w:t>
            </w:r>
            <w:r>
              <w:rPr>
                <w:rStyle w:val="IndexLink"/>
                <w:rtl w:val="true"/>
              </w:rPr>
              <w:tab/>
            </w:r>
            <w:r>
              <w:rPr>
                <w:rStyle w:val="IndexLink"/>
              </w:rPr>
              <w:t>166</w:t>
            </w:r>
          </w:hyperlink>
        </w:p>
        <w:p>
          <w:pPr>
            <w:pStyle w:val="Contents3"/>
            <w:tabs>
              <w:tab w:val="clear" w:pos="8459"/>
              <w:tab w:val="right" w:pos="9026" w:leader="dot"/>
            </w:tabs>
            <w:rPr/>
          </w:pPr>
          <w:hyperlink w:anchor="__RefHeading___Toc15165353_1280447820">
            <w:r>
              <w:rPr>
                <w:webHidden/>
                <w:rStyle w:val="IndexLink"/>
                <w:rtl w:val="true"/>
              </w:rPr>
              <w:t>فصل دوم</w:t>
            </w:r>
            <w:r>
              <w:rPr>
                <w:rStyle w:val="IndexLink"/>
                <w:rtl w:val="true"/>
              </w:rPr>
              <w:t xml:space="preserve">: </w:t>
            </w:r>
            <w:r>
              <w:rPr>
                <w:rStyle w:val="IndexLink"/>
                <w:rtl w:val="true"/>
              </w:rPr>
              <w:t>اطلاق روایات ناهیه و عدم اشتمال آن بر تمامی کودکان</w:t>
            </w:r>
            <w:r>
              <w:rPr>
                <w:rStyle w:val="IndexLink"/>
                <w:rtl w:val="true"/>
              </w:rPr>
              <w:tab/>
            </w:r>
            <w:r>
              <w:rPr>
                <w:rStyle w:val="IndexLink"/>
              </w:rPr>
              <w:t>168</w:t>
            </w:r>
          </w:hyperlink>
        </w:p>
        <w:p>
          <w:pPr>
            <w:pStyle w:val="Contents4"/>
            <w:tabs>
              <w:tab w:val="clear" w:pos="8176"/>
              <w:tab w:val="right" w:pos="9026" w:leader="dot"/>
            </w:tabs>
            <w:rPr/>
          </w:pPr>
          <w:hyperlink w:anchor="__RefHeading___Toc15165355_1280447820">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5165357_1280447820">
            <w:r>
              <w:rPr>
                <w:webHidden/>
                <w:rStyle w:val="IndexLink"/>
                <w:rtl w:val="true"/>
              </w:rPr>
              <w:t>گفتار اول</w:t>
            </w:r>
            <w:r>
              <w:rPr>
                <w:rStyle w:val="IndexLink"/>
                <w:rtl w:val="true"/>
              </w:rPr>
              <w:t xml:space="preserve">: </w:t>
            </w:r>
            <w:r>
              <w:rPr>
                <w:rStyle w:val="IndexLink"/>
                <w:rtl w:val="true"/>
              </w:rPr>
              <w:t xml:space="preserve">معنا شناسی مساله </w:t>
            </w:r>
            <w:r>
              <w:rPr>
                <w:rStyle w:val="IndexLink"/>
                <w:rtl w:val="true"/>
              </w:rPr>
              <w:t>«</w:t>
            </w:r>
            <w:r>
              <w:rPr>
                <w:rStyle w:val="IndexLink"/>
                <w:rtl w:val="true"/>
              </w:rPr>
              <w:t>اطلاق</w:t>
            </w:r>
            <w:r>
              <w:rPr>
                <w:rStyle w:val="IndexLink"/>
                <w:rtl w:val="true"/>
              </w:rPr>
              <w:t xml:space="preserve">» </w:t>
            </w:r>
            <w:r>
              <w:rPr>
                <w:rStyle w:val="IndexLink"/>
                <w:rtl w:val="true"/>
              </w:rPr>
              <w:t>و ارتباط آن با موضوع بحث</w:t>
            </w:r>
            <w:r>
              <w:rPr>
                <w:rStyle w:val="IndexLink"/>
                <w:rtl w:val="true"/>
              </w:rPr>
              <w:tab/>
            </w:r>
            <w:r>
              <w:rPr>
                <w:rStyle w:val="IndexLink"/>
              </w:rPr>
              <w:t>168</w:t>
            </w:r>
          </w:hyperlink>
        </w:p>
        <w:p>
          <w:pPr>
            <w:pStyle w:val="Contents5"/>
            <w:tabs>
              <w:tab w:val="clear" w:pos="7892"/>
              <w:tab w:val="right" w:pos="9026" w:leader="dot"/>
            </w:tabs>
            <w:rPr/>
          </w:pPr>
          <w:hyperlink w:anchor="__RefHeading___Toc15165359_1280447820">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15165361_1280447820">
            <w:r>
              <w:rPr>
                <w:webHidden/>
                <w:rStyle w:val="IndexLink"/>
                <w:rtl w:val="true"/>
              </w:rPr>
              <w:t>وضع الفاظ مطلق برای ماهیت مهمله</w:t>
            </w:r>
            <w:r>
              <w:rPr>
                <w:rStyle w:val="IndexLink"/>
                <w:rtl w:val="true"/>
              </w:rPr>
              <w:tab/>
            </w:r>
            <w:r>
              <w:rPr>
                <w:rStyle w:val="IndexLink"/>
              </w:rPr>
              <w:t>169</w:t>
            </w:r>
          </w:hyperlink>
        </w:p>
        <w:p>
          <w:pPr>
            <w:pStyle w:val="Contents5"/>
            <w:tabs>
              <w:tab w:val="clear" w:pos="7892"/>
              <w:tab w:val="right" w:pos="9026" w:leader="dot"/>
            </w:tabs>
            <w:rPr/>
          </w:pPr>
          <w:hyperlink w:anchor="__RefHeading___Toc15165363_1280447820">
            <w:r>
              <w:rPr>
                <w:webHidden/>
                <w:rStyle w:val="IndexLink"/>
                <w:rtl w:val="true"/>
              </w:rPr>
              <w:t>شمول افراد مطلق به شرط استفاده از مقدمات حکمت</w:t>
            </w:r>
            <w:r>
              <w:rPr>
                <w:rStyle w:val="IndexLink"/>
                <w:rtl w:val="true"/>
              </w:rPr>
              <w:tab/>
            </w:r>
            <w:r>
              <w:rPr>
                <w:rStyle w:val="IndexLink"/>
              </w:rPr>
              <w:t>170</w:t>
            </w:r>
          </w:hyperlink>
        </w:p>
        <w:p>
          <w:pPr>
            <w:pStyle w:val="Contents4"/>
            <w:tabs>
              <w:tab w:val="clear" w:pos="8176"/>
              <w:tab w:val="right" w:pos="9026" w:leader="dot"/>
            </w:tabs>
            <w:rPr/>
          </w:pPr>
          <w:hyperlink w:anchor="__RefHeading___Toc15165365_1280447820">
            <w:r>
              <w:rPr>
                <w:webHidden/>
                <w:rStyle w:val="IndexLink"/>
                <w:rtl w:val="true"/>
              </w:rPr>
              <w:t>گفتار دوم</w:t>
            </w:r>
            <w:r>
              <w:rPr>
                <w:rStyle w:val="IndexLink"/>
                <w:rtl w:val="true"/>
              </w:rPr>
              <w:t xml:space="preserve">: </w:t>
            </w:r>
            <w:r>
              <w:rPr>
                <w:rStyle w:val="IndexLink"/>
                <w:rtl w:val="true"/>
              </w:rPr>
              <w:t>بررسی مقدمات حکمت در اطلاق روایات ناهیه</w:t>
            </w:r>
            <w:r>
              <w:rPr>
                <w:rStyle w:val="IndexLink"/>
                <w:rtl w:val="true"/>
              </w:rPr>
              <w:tab/>
            </w:r>
            <w:r>
              <w:rPr>
                <w:rStyle w:val="IndexLink"/>
              </w:rPr>
              <w:t>171</w:t>
            </w:r>
          </w:hyperlink>
        </w:p>
        <w:p>
          <w:pPr>
            <w:pStyle w:val="Contents5"/>
            <w:tabs>
              <w:tab w:val="clear" w:pos="7892"/>
              <w:tab w:val="right" w:pos="9026" w:leader="dot"/>
            </w:tabs>
            <w:rPr/>
          </w:pPr>
          <w:hyperlink w:anchor="__RefHeading___Toc15165367_1280447820">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15165369_1280447820">
            <w:r>
              <w:rPr>
                <w:webHidden/>
                <w:rStyle w:val="IndexLink"/>
                <w:rtl w:val="true"/>
              </w:rPr>
              <w:t>وجود قرینه منفصل برای تقیید حکم</w:t>
            </w:r>
            <w:r>
              <w:rPr>
                <w:rStyle w:val="IndexLink"/>
                <w:rtl w:val="true"/>
              </w:rPr>
              <w:tab/>
            </w:r>
            <w:r>
              <w:rPr>
                <w:rStyle w:val="IndexLink"/>
              </w:rPr>
              <w:t>171</w:t>
            </w:r>
          </w:hyperlink>
        </w:p>
        <w:p>
          <w:pPr>
            <w:pStyle w:val="Contents5"/>
            <w:tabs>
              <w:tab w:val="clear" w:pos="7892"/>
              <w:tab w:val="right" w:pos="9026" w:leader="dot"/>
            </w:tabs>
            <w:rPr/>
          </w:pPr>
          <w:hyperlink w:anchor="__RefHeading___Toc15165371_1280447820">
            <w:r>
              <w:rPr>
                <w:webHidden/>
                <w:rStyle w:val="IndexLink"/>
                <w:rtl w:val="true"/>
              </w:rPr>
              <w:t>قرار نداشتن روایت در مقام بیان حکم کلی</w:t>
            </w:r>
            <w:r>
              <w:rPr>
                <w:rStyle w:val="IndexLink"/>
                <w:rtl w:val="true"/>
              </w:rPr>
              <w:tab/>
            </w:r>
            <w:r>
              <w:rPr>
                <w:rStyle w:val="IndexLink"/>
              </w:rPr>
              <w:t>172</w:t>
            </w:r>
          </w:hyperlink>
        </w:p>
        <w:p>
          <w:pPr>
            <w:pStyle w:val="Contents4"/>
            <w:tabs>
              <w:tab w:val="clear" w:pos="8176"/>
              <w:tab w:val="right" w:pos="9026" w:leader="dot"/>
            </w:tabs>
            <w:rPr/>
          </w:pPr>
          <w:hyperlink w:anchor="__RefHeading___Toc15165373_1280447820">
            <w:r>
              <w:rPr>
                <w:webHidden/>
                <w:rStyle w:val="IndexLink"/>
                <w:rtl w:val="true"/>
              </w:rPr>
              <w:t>گفتار سوم</w:t>
            </w:r>
            <w:r>
              <w:rPr>
                <w:rStyle w:val="IndexLink"/>
                <w:rtl w:val="true"/>
              </w:rPr>
              <w:t xml:space="preserve">: </w:t>
            </w:r>
            <w:r>
              <w:rPr>
                <w:rStyle w:val="IndexLink"/>
                <w:rtl w:val="true"/>
              </w:rPr>
              <w:t>بررسی قیودات دیگر فرازهای روایت و تاثیر آن در مساله</w:t>
            </w:r>
            <w:r>
              <w:rPr>
                <w:rStyle w:val="IndexLink"/>
                <w:rtl w:val="true"/>
              </w:rPr>
              <w:tab/>
            </w:r>
            <w:r>
              <w:rPr>
                <w:rStyle w:val="IndexLink"/>
              </w:rPr>
              <w:t>172</w:t>
            </w:r>
          </w:hyperlink>
        </w:p>
        <w:p>
          <w:pPr>
            <w:pStyle w:val="Contents4"/>
            <w:tabs>
              <w:tab w:val="clear" w:pos="8176"/>
              <w:tab w:val="right" w:pos="9026" w:leader="dot"/>
            </w:tabs>
            <w:rPr/>
          </w:pPr>
          <w:hyperlink w:anchor="__RefHeading___Toc15165375_1280447820">
            <w:r>
              <w:rPr>
                <w:webHidden/>
                <w:rStyle w:val="IndexLink"/>
                <w:rtl w:val="true"/>
              </w:rPr>
              <w:t xml:space="preserve">گفتار چهارم </w:t>
            </w:r>
            <w:r>
              <w:rPr>
                <w:rStyle w:val="IndexLink"/>
                <w:rtl w:val="true"/>
              </w:rPr>
              <w:t>(</w:t>
            </w:r>
            <w:r>
              <w:rPr>
                <w:rStyle w:val="IndexLink"/>
                <w:rtl w:val="true"/>
              </w:rPr>
              <w:t>نتیجه</w:t>
            </w:r>
            <w:r>
              <w:rPr>
                <w:rStyle w:val="IndexLink"/>
                <w:rtl w:val="true"/>
              </w:rPr>
              <w:t xml:space="preserve">): </w:t>
            </w:r>
            <w:r>
              <w:rPr>
                <w:rStyle w:val="IndexLink"/>
                <w:rtl w:val="true"/>
              </w:rPr>
              <w:t>عدم شمول نهی روایت بر همه کودکان</w:t>
            </w:r>
            <w:r>
              <w:rPr>
                <w:rStyle w:val="IndexLink"/>
                <w:rtl w:val="true"/>
              </w:rPr>
              <w:tab/>
            </w:r>
            <w:r>
              <w:rPr>
                <w:rStyle w:val="IndexLink"/>
              </w:rPr>
              <w:t>173</w:t>
            </w:r>
          </w:hyperlink>
        </w:p>
        <w:p>
          <w:pPr>
            <w:pStyle w:val="Contents3"/>
            <w:tabs>
              <w:tab w:val="clear" w:pos="8459"/>
              <w:tab w:val="right" w:pos="9026" w:leader="dot"/>
            </w:tabs>
            <w:rPr/>
          </w:pPr>
          <w:hyperlink w:anchor="__RefHeading___Toc15165377_1280447820">
            <w:r>
              <w:rPr>
                <w:webHidden/>
                <w:rStyle w:val="IndexLink"/>
                <w:rtl w:val="true"/>
              </w:rPr>
              <w:t>فصل سوم</w:t>
            </w:r>
            <w:r>
              <w:rPr>
                <w:rStyle w:val="IndexLink"/>
                <w:rtl w:val="true"/>
              </w:rPr>
              <w:t xml:space="preserve">: </w:t>
            </w:r>
            <w:r>
              <w:rPr>
                <w:rStyle w:val="IndexLink"/>
                <w:rtl w:val="true"/>
              </w:rPr>
              <w:t>دستیابی به ملاک اصلی نهی در روایات ناهیه</w:t>
            </w:r>
            <w:r>
              <w:rPr>
                <w:rStyle w:val="IndexLink"/>
                <w:rtl w:val="true"/>
              </w:rPr>
              <w:tab/>
            </w:r>
            <w:r>
              <w:rPr>
                <w:rStyle w:val="IndexLink"/>
              </w:rPr>
              <w:t>175</w:t>
            </w:r>
          </w:hyperlink>
        </w:p>
        <w:p>
          <w:pPr>
            <w:pStyle w:val="Contents4"/>
            <w:tabs>
              <w:tab w:val="clear" w:pos="8176"/>
              <w:tab w:val="right" w:pos="9026" w:leader="dot"/>
            </w:tabs>
            <w:rPr/>
          </w:pPr>
          <w:hyperlink w:anchor="__RefHeading___Toc15165379_1280447820">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5165381_1280447820">
            <w:r>
              <w:rPr>
                <w:webHidden/>
                <w:rStyle w:val="IndexLink"/>
                <w:rtl w:val="true"/>
              </w:rPr>
              <w:t>گفتار اول</w:t>
            </w:r>
            <w:r>
              <w:rPr>
                <w:rStyle w:val="IndexLink"/>
                <w:rtl w:val="true"/>
              </w:rPr>
              <w:t xml:space="preserve">: </w:t>
            </w:r>
            <w:r>
              <w:rPr>
                <w:rStyle w:val="IndexLink"/>
                <w:rtl w:val="true"/>
              </w:rPr>
              <w:t>مخالفت با کاربری اصلی مسجد در کلام فقها</w:t>
            </w:r>
            <w:r>
              <w:rPr>
                <w:rStyle w:val="IndexLink"/>
                <w:rtl w:val="true"/>
              </w:rPr>
              <w:tab/>
            </w:r>
            <w:r>
              <w:rPr>
                <w:rStyle w:val="IndexLink"/>
              </w:rPr>
              <w:t>175</w:t>
            </w:r>
          </w:hyperlink>
        </w:p>
        <w:p>
          <w:pPr>
            <w:pStyle w:val="Contents4"/>
            <w:tabs>
              <w:tab w:val="clear" w:pos="8176"/>
              <w:tab w:val="right" w:pos="9026" w:leader="dot"/>
            </w:tabs>
            <w:rPr/>
          </w:pPr>
          <w:hyperlink w:anchor="__RefHeading___Toc15165383_1280447820">
            <w:r>
              <w:rPr>
                <w:webHidden/>
                <w:rStyle w:val="IndexLink"/>
                <w:rtl w:val="true"/>
              </w:rPr>
              <w:t>کلام فقها در این زمینه</w:t>
            </w:r>
            <w:r>
              <w:rPr>
                <w:rStyle w:val="IndexLink"/>
                <w:rtl w:val="true"/>
              </w:rPr>
              <w:tab/>
            </w:r>
            <w:r>
              <w:rPr>
                <w:rStyle w:val="IndexLink"/>
              </w:rPr>
              <w:t>176</w:t>
            </w:r>
          </w:hyperlink>
        </w:p>
        <w:p>
          <w:pPr>
            <w:pStyle w:val="Contents4"/>
            <w:tabs>
              <w:tab w:val="clear" w:pos="8176"/>
              <w:tab w:val="right" w:pos="9026" w:leader="dot"/>
            </w:tabs>
            <w:rPr/>
          </w:pPr>
          <w:hyperlink w:anchor="__RefHeading___Toc15165385_1280447820">
            <w:r>
              <w:rPr>
                <w:webHidden/>
                <w:rStyle w:val="IndexLink"/>
                <w:rtl w:val="true"/>
              </w:rPr>
              <w:t>گفتار دوم</w:t>
            </w:r>
            <w:r>
              <w:rPr>
                <w:rStyle w:val="IndexLink"/>
                <w:rtl w:val="true"/>
              </w:rPr>
              <w:t xml:space="preserve">: </w:t>
            </w:r>
            <w:r>
              <w:rPr>
                <w:rStyle w:val="IndexLink"/>
                <w:rtl w:val="true"/>
              </w:rPr>
              <w:t>به دست آوردن ملاک نهی</w:t>
            </w:r>
            <w:r>
              <w:rPr>
                <w:rStyle w:val="IndexLink"/>
                <w:rtl w:val="true"/>
              </w:rPr>
              <w:tab/>
            </w:r>
            <w:r>
              <w:rPr>
                <w:rStyle w:val="IndexLink"/>
              </w:rPr>
              <w:t>178</w:t>
            </w:r>
          </w:hyperlink>
        </w:p>
        <w:p>
          <w:pPr>
            <w:pStyle w:val="Contents4"/>
            <w:tabs>
              <w:tab w:val="clear" w:pos="8176"/>
              <w:tab w:val="right" w:pos="9026" w:leader="dot"/>
            </w:tabs>
            <w:rPr/>
          </w:pPr>
          <w:hyperlink w:anchor="__RefHeading___Toc15165387_1280447820">
            <w:r>
              <w:rPr>
                <w:webHidden/>
                <w:rStyle w:val="IndexLink"/>
                <w:rtl w:val="true"/>
              </w:rPr>
              <w:t xml:space="preserve">- </w:t>
            </w:r>
            <w:r>
              <w:rPr>
                <w:rStyle w:val="IndexLink"/>
                <w:rtl w:val="true"/>
              </w:rPr>
              <w:t>مزاحمت با کاربری اصلی مسجد، ملاک اصلی روایات ناهیه</w:t>
            </w:r>
            <w:r>
              <w:rPr>
                <w:rStyle w:val="IndexLink"/>
                <w:rtl w:val="true"/>
              </w:rPr>
              <w:tab/>
            </w:r>
            <w:r>
              <w:rPr>
                <w:rStyle w:val="IndexLink"/>
              </w:rPr>
              <w:t>180</w:t>
            </w:r>
          </w:hyperlink>
        </w:p>
        <w:p>
          <w:pPr>
            <w:pStyle w:val="Contents4"/>
            <w:tabs>
              <w:tab w:val="clear" w:pos="8176"/>
              <w:tab w:val="right" w:pos="9026" w:leader="dot"/>
            </w:tabs>
            <w:rPr/>
          </w:pPr>
          <w:hyperlink w:anchor="__RefHeading___Toc15165389_1280447820">
            <w:r>
              <w:rPr>
                <w:webHidden/>
                <w:rStyle w:val="IndexLink"/>
                <w:rtl w:val="true"/>
              </w:rPr>
              <w:t>گفتار سوم</w:t>
            </w:r>
            <w:r>
              <w:rPr>
                <w:rStyle w:val="IndexLink"/>
                <w:rtl w:val="true"/>
              </w:rPr>
              <w:t xml:space="preserve">: </w:t>
            </w:r>
            <w:r>
              <w:rPr>
                <w:rStyle w:val="IndexLink"/>
                <w:rtl w:val="true"/>
              </w:rPr>
              <w:t>تاثیر ملاک در محدوده مباحث نهی شده</w:t>
            </w:r>
            <w:r>
              <w:rPr>
                <w:rStyle w:val="IndexLink"/>
                <w:rtl w:val="true"/>
              </w:rPr>
              <w:tab/>
            </w:r>
            <w:r>
              <w:rPr>
                <w:rStyle w:val="IndexLink"/>
              </w:rPr>
              <w:t>181</w:t>
            </w:r>
          </w:hyperlink>
        </w:p>
        <w:p>
          <w:pPr>
            <w:pStyle w:val="Contents5"/>
            <w:tabs>
              <w:tab w:val="clear" w:pos="7892"/>
              <w:tab w:val="right" w:pos="9026" w:leader="dot"/>
            </w:tabs>
            <w:rPr/>
          </w:pPr>
          <w:hyperlink w:anchor="__RefHeading___Toc15165391_1280447820">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15165393_1280447820">
            <w:r>
              <w:rPr>
                <w:webHidden/>
                <w:rStyle w:val="IndexLink"/>
              </w:rPr>
              <w:t>1</w:t>
            </w:r>
            <w:r>
              <w:rPr>
                <w:rStyle w:val="IndexLink"/>
                <w:rtl w:val="true"/>
              </w:rPr>
              <w:t xml:space="preserve">- </w:t>
            </w:r>
            <w:r>
              <w:rPr>
                <w:rStyle w:val="IndexLink"/>
                <w:rtl w:val="true"/>
              </w:rPr>
              <w:t>توسعه و گسترش حکم به دیگر موضوعات</w:t>
            </w:r>
            <w:r>
              <w:rPr>
                <w:rStyle w:val="IndexLink"/>
                <w:rtl w:val="true"/>
              </w:rPr>
              <w:t>:</w:t>
              <w:tab/>
            </w:r>
            <w:r>
              <w:rPr>
                <w:rStyle w:val="IndexLink"/>
              </w:rPr>
              <w:t>181</w:t>
            </w:r>
          </w:hyperlink>
        </w:p>
        <w:p>
          <w:pPr>
            <w:pStyle w:val="Contents5"/>
            <w:tabs>
              <w:tab w:val="clear" w:pos="7892"/>
              <w:tab w:val="right" w:pos="9026" w:leader="dot"/>
            </w:tabs>
            <w:rPr/>
          </w:pPr>
          <w:hyperlink w:anchor="__RefHeading___Toc15165395_1280447820">
            <w:r>
              <w:rPr>
                <w:webHidden/>
                <w:rStyle w:val="IndexLink"/>
              </w:rPr>
              <w:t>2</w:t>
            </w:r>
            <w:r>
              <w:rPr>
                <w:rStyle w:val="IndexLink"/>
                <w:rtl w:val="true"/>
              </w:rPr>
              <w:t xml:space="preserve">- </w:t>
            </w:r>
            <w:r>
              <w:rPr>
                <w:rStyle w:val="IndexLink"/>
                <w:rtl w:val="true"/>
              </w:rPr>
              <w:t>محدود کردن دلالت حکم در برخی از موضوعات</w:t>
            </w:r>
            <w:r>
              <w:rPr>
                <w:rStyle w:val="IndexLink"/>
                <w:rtl w:val="true"/>
              </w:rPr>
              <w:tab/>
            </w:r>
            <w:r>
              <w:rPr>
                <w:rStyle w:val="IndexLink"/>
              </w:rPr>
              <w:t>183</w:t>
            </w:r>
          </w:hyperlink>
        </w:p>
        <w:p>
          <w:pPr>
            <w:pStyle w:val="Contents4"/>
            <w:tabs>
              <w:tab w:val="clear" w:pos="8176"/>
              <w:tab w:val="right" w:pos="9026" w:leader="dot"/>
            </w:tabs>
            <w:rPr/>
          </w:pPr>
          <w:hyperlink w:anchor="__RefHeading___Toc15165397_1280447820">
            <w:r>
              <w:rPr>
                <w:webHidden/>
                <w:rStyle w:val="IndexLink"/>
                <w:rtl w:val="true"/>
              </w:rPr>
              <w:t>گفتار چهارم</w:t>
            </w:r>
            <w:r>
              <w:rPr>
                <w:rStyle w:val="IndexLink"/>
                <w:rtl w:val="true"/>
              </w:rPr>
              <w:t xml:space="preserve">: </w:t>
            </w:r>
            <w:r>
              <w:rPr>
                <w:rStyle w:val="IndexLink"/>
                <w:rtl w:val="true"/>
              </w:rPr>
              <w:t>محدود شدن حکم کراهت با توجه به ملاک نهی</w:t>
            </w:r>
            <w:r>
              <w:rPr>
                <w:rStyle w:val="IndexLink"/>
                <w:rtl w:val="true"/>
              </w:rPr>
              <w:tab/>
            </w:r>
            <w:r>
              <w:rPr>
                <w:rStyle w:val="IndexLink"/>
              </w:rPr>
              <w:t>183</w:t>
            </w:r>
          </w:hyperlink>
        </w:p>
        <w:p>
          <w:pPr>
            <w:pStyle w:val="Contents4"/>
            <w:tabs>
              <w:tab w:val="clear" w:pos="8176"/>
              <w:tab w:val="right" w:pos="9026" w:leader="dot"/>
            </w:tabs>
            <w:rPr/>
          </w:pPr>
          <w:hyperlink w:anchor="__RefHeading___Toc15165399_1280447820">
            <w:r>
              <w:rPr>
                <w:webHidden/>
                <w:rStyle w:val="IndexLink"/>
                <w:rtl w:val="true"/>
              </w:rPr>
              <w:t>بررسی کاربری اصلی مسجد در دیگر فرازهای روایت</w:t>
            </w:r>
            <w:r>
              <w:rPr>
                <w:rStyle w:val="IndexLink"/>
                <w:rtl w:val="true"/>
              </w:rPr>
              <w:tab/>
            </w:r>
            <w:r>
              <w:rPr>
                <w:rStyle w:val="IndexLink"/>
              </w:rPr>
              <w:t>186</w:t>
            </w:r>
          </w:hyperlink>
        </w:p>
        <w:p>
          <w:pPr>
            <w:pStyle w:val="Contents3"/>
            <w:tabs>
              <w:tab w:val="clear" w:pos="8459"/>
              <w:tab w:val="right" w:pos="9026" w:leader="dot"/>
            </w:tabs>
            <w:rPr/>
          </w:pPr>
          <w:hyperlink w:anchor="__RefHeading___Toc15165401_1280447820">
            <w:r>
              <w:rPr>
                <w:webHidden/>
                <w:rStyle w:val="IndexLink"/>
                <w:rtl w:val="true"/>
              </w:rPr>
              <w:t>فصل چهارم</w:t>
            </w:r>
            <w:r>
              <w:rPr>
                <w:rStyle w:val="IndexLink"/>
                <w:rtl w:val="true"/>
              </w:rPr>
              <w:t xml:space="preserve">: </w:t>
            </w:r>
            <w:r>
              <w:rPr>
                <w:rStyle w:val="IndexLink"/>
                <w:rtl w:val="true"/>
              </w:rPr>
              <w:t>ظهور ملاک کراهت در کودکان غیر قابل اعتماد</w:t>
            </w:r>
            <w:r>
              <w:rPr>
                <w:rStyle w:val="IndexLink"/>
                <w:rtl w:val="true"/>
              </w:rPr>
              <w:tab/>
            </w:r>
            <w:r>
              <w:rPr>
                <w:rStyle w:val="IndexLink"/>
              </w:rPr>
              <w:t>189</w:t>
            </w:r>
          </w:hyperlink>
        </w:p>
        <w:p>
          <w:pPr>
            <w:pStyle w:val="Contents4"/>
            <w:tabs>
              <w:tab w:val="clear" w:pos="8176"/>
              <w:tab w:val="right" w:pos="9026" w:leader="dot"/>
            </w:tabs>
            <w:rPr/>
          </w:pPr>
          <w:hyperlink w:anchor="__RefHeading___Toc15165403_1280447820">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5165405_1280447820">
            <w:r>
              <w:rPr>
                <w:webHidden/>
                <w:rStyle w:val="IndexLink"/>
                <w:rtl w:val="true"/>
              </w:rPr>
              <w:t>گفتار اول</w:t>
            </w:r>
            <w:r>
              <w:rPr>
                <w:rStyle w:val="IndexLink"/>
                <w:rtl w:val="true"/>
              </w:rPr>
              <w:t xml:space="preserve">: </w:t>
            </w:r>
            <w:r>
              <w:rPr>
                <w:rStyle w:val="IndexLink"/>
                <w:rtl w:val="true"/>
              </w:rPr>
              <w:t>ظهور ملاک نهی در کودکان غیر قابل اعتماد</w:t>
            </w:r>
            <w:r>
              <w:rPr>
                <w:rStyle w:val="IndexLink"/>
                <w:rtl w:val="true"/>
              </w:rPr>
              <w:tab/>
            </w:r>
            <w:r>
              <w:rPr>
                <w:rStyle w:val="IndexLink"/>
              </w:rPr>
              <w:t>189</w:t>
            </w:r>
          </w:hyperlink>
        </w:p>
        <w:p>
          <w:pPr>
            <w:pStyle w:val="Contents4"/>
            <w:tabs>
              <w:tab w:val="clear" w:pos="8176"/>
              <w:tab w:val="right" w:pos="9026" w:leader="dot"/>
            </w:tabs>
            <w:rPr/>
          </w:pPr>
          <w:hyperlink w:anchor="__RefHeading___Toc15165407_1280447820">
            <w:r>
              <w:rPr>
                <w:webHidden/>
                <w:rStyle w:val="IndexLink"/>
                <w:rtl w:val="true"/>
              </w:rPr>
              <w:t>گفتار دوم</w:t>
            </w:r>
            <w:r>
              <w:rPr>
                <w:rStyle w:val="IndexLink"/>
                <w:rtl w:val="true"/>
              </w:rPr>
              <w:t xml:space="preserve">: </w:t>
            </w:r>
            <w:r>
              <w:rPr>
                <w:rStyle w:val="IndexLink"/>
                <w:rtl w:val="true"/>
              </w:rPr>
              <w:t xml:space="preserve">مصادیق کودکان </w:t>
            </w:r>
            <w:r>
              <w:rPr>
                <w:rStyle w:val="IndexLink"/>
                <w:rtl w:val="true"/>
              </w:rPr>
              <w:t>«</w:t>
            </w:r>
            <w:r>
              <w:rPr>
                <w:rStyle w:val="IndexLink"/>
                <w:rtl w:val="true"/>
              </w:rPr>
              <w:t>غیر قابل اعتماد</w:t>
            </w:r>
            <w:r>
              <w:rPr>
                <w:rStyle w:val="IndexLink"/>
                <w:rtl w:val="true"/>
              </w:rPr>
              <w:t xml:space="preserve">» </w:t>
            </w:r>
            <w:r>
              <w:rPr>
                <w:rStyle w:val="IndexLink"/>
                <w:rtl w:val="true"/>
              </w:rPr>
              <w:t>در کلام فقها</w:t>
            </w:r>
            <w:r>
              <w:rPr>
                <w:rStyle w:val="IndexLink"/>
                <w:rtl w:val="true"/>
              </w:rPr>
              <w:tab/>
            </w:r>
            <w:r>
              <w:rPr>
                <w:rStyle w:val="IndexLink"/>
              </w:rPr>
              <w:t>190</w:t>
            </w:r>
          </w:hyperlink>
        </w:p>
        <w:p>
          <w:pPr>
            <w:pStyle w:val="Contents4"/>
            <w:tabs>
              <w:tab w:val="clear" w:pos="8176"/>
              <w:tab w:val="right" w:pos="9026" w:leader="dot"/>
            </w:tabs>
            <w:rPr/>
          </w:pPr>
          <w:hyperlink w:anchor="__RefHeading___Toc15165409_1280447820">
            <w:r>
              <w:rPr>
                <w:webHidden/>
                <w:rStyle w:val="IndexLink"/>
                <w:rtl w:val="true"/>
              </w:rPr>
              <w:t>دیدگاه فقها در این زمینه</w:t>
            </w:r>
            <w:r>
              <w:rPr>
                <w:rStyle w:val="IndexLink"/>
                <w:rtl w:val="true"/>
              </w:rPr>
              <w:tab/>
            </w:r>
            <w:r>
              <w:rPr>
                <w:rStyle w:val="IndexLink"/>
              </w:rPr>
              <w:t>190</w:t>
            </w:r>
          </w:hyperlink>
        </w:p>
        <w:p>
          <w:pPr>
            <w:pStyle w:val="Contents4"/>
            <w:tabs>
              <w:tab w:val="clear" w:pos="8176"/>
              <w:tab w:val="right" w:pos="9026" w:leader="dot"/>
            </w:tabs>
            <w:rPr/>
          </w:pPr>
          <w:hyperlink w:anchor="__RefHeading___Toc15165411_1280447820">
            <w:r>
              <w:rPr>
                <w:webHidden/>
                <w:rStyle w:val="IndexLink"/>
                <w:rtl w:val="true"/>
              </w:rPr>
              <w:t>گفتار سوم</w:t>
            </w:r>
            <w:r>
              <w:rPr>
                <w:rStyle w:val="IndexLink"/>
                <w:rtl w:val="true"/>
              </w:rPr>
              <w:t xml:space="preserve">: </w:t>
            </w:r>
            <w:r>
              <w:rPr>
                <w:rStyle w:val="IndexLink"/>
                <w:rtl w:val="true"/>
              </w:rPr>
              <w:t xml:space="preserve">بررسی و تحلیل مصادیق </w:t>
            </w:r>
            <w:r>
              <w:rPr>
                <w:rStyle w:val="IndexLink"/>
                <w:rtl w:val="true"/>
              </w:rPr>
              <w:t>«</w:t>
            </w:r>
            <w:r>
              <w:rPr>
                <w:rStyle w:val="IndexLink"/>
                <w:rtl w:val="true"/>
              </w:rPr>
              <w:t>کودکان غیر قابل اعتماد</w:t>
            </w:r>
            <w:r>
              <w:rPr>
                <w:rStyle w:val="IndexLink"/>
                <w:rtl w:val="true"/>
              </w:rPr>
              <w:t>»</w:t>
              <w:tab/>
            </w:r>
            <w:r>
              <w:rPr>
                <w:rStyle w:val="IndexLink"/>
              </w:rPr>
              <w:t>194</w:t>
            </w:r>
          </w:hyperlink>
        </w:p>
        <w:p>
          <w:pPr>
            <w:pStyle w:val="Contents5"/>
            <w:tabs>
              <w:tab w:val="clear" w:pos="7892"/>
              <w:tab w:val="right" w:pos="9026" w:leader="dot"/>
            </w:tabs>
            <w:rPr/>
          </w:pPr>
          <w:hyperlink w:anchor="__RefHeading___Toc15165413_1280447820">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15165415_1280447820">
            <w:r>
              <w:rPr>
                <w:webHidden/>
                <w:rStyle w:val="IndexLink"/>
              </w:rPr>
              <w:t>1</w:t>
            </w:r>
            <w:r>
              <w:rPr>
                <w:rStyle w:val="IndexLink"/>
                <w:rtl w:val="true"/>
              </w:rPr>
              <w:t xml:space="preserve">- </w:t>
            </w:r>
            <w:r>
              <w:rPr>
                <w:rStyle w:val="IndexLink"/>
                <w:rtl w:val="true"/>
              </w:rPr>
              <w:t>عدم رعایت طهارت مسجد</w:t>
            </w:r>
            <w:r>
              <w:rPr>
                <w:rStyle w:val="IndexLink"/>
                <w:rtl w:val="true"/>
              </w:rPr>
              <w:tab/>
            </w:r>
            <w:r>
              <w:rPr>
                <w:rStyle w:val="IndexLink"/>
              </w:rPr>
              <w:t>194</w:t>
            </w:r>
          </w:hyperlink>
        </w:p>
        <w:p>
          <w:pPr>
            <w:pStyle w:val="Contents5"/>
            <w:tabs>
              <w:tab w:val="clear" w:pos="7892"/>
              <w:tab w:val="right" w:pos="9026" w:leader="dot"/>
            </w:tabs>
            <w:rPr/>
          </w:pPr>
          <w:hyperlink w:anchor="__RefHeading___Toc15165417_1280447820">
            <w:r>
              <w:rPr>
                <w:webHidden/>
                <w:rStyle w:val="IndexLink"/>
              </w:rPr>
              <w:t>2</w:t>
            </w:r>
            <w:r>
              <w:rPr>
                <w:rStyle w:val="IndexLink"/>
                <w:rtl w:val="true"/>
              </w:rPr>
              <w:t xml:space="preserve">- </w:t>
            </w:r>
            <w:r>
              <w:rPr>
                <w:rStyle w:val="IndexLink"/>
                <w:rtl w:val="true"/>
              </w:rPr>
              <w:t>عدم رعایت حریم عبادی مسجد</w:t>
            </w:r>
            <w:r>
              <w:rPr>
                <w:rStyle w:val="IndexLink"/>
                <w:rtl w:val="true"/>
              </w:rPr>
              <w:tab/>
            </w:r>
            <w:r>
              <w:rPr>
                <w:rStyle w:val="IndexLink"/>
              </w:rPr>
              <w:t>196</w:t>
            </w:r>
          </w:hyperlink>
        </w:p>
        <w:p>
          <w:pPr>
            <w:pStyle w:val="Contents5"/>
            <w:tabs>
              <w:tab w:val="clear" w:pos="7892"/>
              <w:tab w:val="right" w:pos="9026" w:leader="dot"/>
            </w:tabs>
            <w:rPr/>
          </w:pPr>
          <w:hyperlink w:anchor="__RefHeading___Toc15165419_1280447820">
            <w:r>
              <w:rPr>
                <w:webHidden/>
                <w:rStyle w:val="IndexLink"/>
              </w:rPr>
              <w:t>3</w:t>
            </w:r>
            <w:r>
              <w:rPr>
                <w:rStyle w:val="IndexLink"/>
                <w:rtl w:val="true"/>
              </w:rPr>
              <w:t xml:space="preserve">- </w:t>
            </w:r>
            <w:r>
              <w:rPr>
                <w:rStyle w:val="IndexLink"/>
                <w:rtl w:val="true"/>
              </w:rPr>
              <w:t>مزاحمت کودک برای عبادت نمازگزاران</w:t>
            </w:r>
            <w:r>
              <w:rPr>
                <w:rStyle w:val="IndexLink"/>
                <w:rtl w:val="true"/>
              </w:rPr>
              <w:tab/>
            </w:r>
            <w:r>
              <w:rPr>
                <w:rStyle w:val="IndexLink"/>
              </w:rPr>
              <w:t>198</w:t>
            </w:r>
          </w:hyperlink>
        </w:p>
        <w:p>
          <w:pPr>
            <w:pStyle w:val="Contents4"/>
            <w:tabs>
              <w:tab w:val="clear" w:pos="8176"/>
              <w:tab w:val="right" w:pos="9026" w:leader="dot"/>
            </w:tabs>
            <w:rPr/>
          </w:pPr>
          <w:hyperlink w:anchor="__RefHeading___Toc15165421_1280447820">
            <w:r>
              <w:rPr>
                <w:webHidden/>
                <w:rStyle w:val="IndexLink"/>
                <w:rtl w:val="true"/>
              </w:rPr>
              <w:t>گفتار چهارم</w:t>
            </w:r>
            <w:r>
              <w:rPr>
                <w:rStyle w:val="IndexLink"/>
                <w:rtl w:val="true"/>
              </w:rPr>
              <w:t xml:space="preserve">: </w:t>
            </w:r>
            <w:r>
              <w:rPr>
                <w:rStyle w:val="IndexLink"/>
                <w:rtl w:val="true"/>
              </w:rPr>
              <w:t xml:space="preserve">ظهور شرط </w:t>
            </w:r>
            <w:r>
              <w:rPr>
                <w:rStyle w:val="IndexLink"/>
                <w:rtl w:val="true"/>
              </w:rPr>
              <w:t>«</w:t>
            </w:r>
            <w:r>
              <w:rPr>
                <w:rStyle w:val="IndexLink"/>
                <w:rtl w:val="true"/>
              </w:rPr>
              <w:t>قابلیت اعتماد</w:t>
            </w:r>
            <w:r>
              <w:rPr>
                <w:rStyle w:val="IndexLink"/>
                <w:rtl w:val="true"/>
              </w:rPr>
              <w:t xml:space="preserve">» </w:t>
            </w:r>
            <w:r>
              <w:rPr>
                <w:rStyle w:val="IndexLink"/>
                <w:rtl w:val="true"/>
              </w:rPr>
              <w:t xml:space="preserve">در </w:t>
            </w:r>
            <w:r>
              <w:rPr>
                <w:rStyle w:val="IndexLink"/>
                <w:rtl w:val="true"/>
              </w:rPr>
              <w:t>«</w:t>
            </w:r>
            <w:r>
              <w:rPr>
                <w:rStyle w:val="IndexLink"/>
                <w:rtl w:val="true"/>
              </w:rPr>
              <w:t>کودکان ممیز</w:t>
            </w:r>
            <w:r>
              <w:rPr>
                <w:rStyle w:val="IndexLink"/>
                <w:rtl w:val="true"/>
              </w:rPr>
              <w:t>»</w:t>
              <w:tab/>
            </w:r>
            <w:r>
              <w:rPr>
                <w:rStyle w:val="IndexLink"/>
              </w:rPr>
              <w:t>199</w:t>
            </w:r>
          </w:hyperlink>
        </w:p>
        <w:p>
          <w:pPr>
            <w:pStyle w:val="Contents5"/>
            <w:tabs>
              <w:tab w:val="clear" w:pos="7892"/>
              <w:tab w:val="right" w:pos="9026" w:leader="dot"/>
            </w:tabs>
            <w:rPr/>
          </w:pPr>
          <w:hyperlink w:anchor="__RefHeading___Toc15165423_1280447820">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15165425_1280447820">
            <w:r>
              <w:rPr>
                <w:webHidden/>
                <w:rStyle w:val="IndexLink"/>
                <w:rtl w:val="true"/>
              </w:rPr>
              <w:t>اهمیت قوه تمییز</w:t>
            </w:r>
            <w:r>
              <w:rPr>
                <w:rStyle w:val="IndexLink"/>
                <w:rtl w:val="true"/>
              </w:rPr>
              <w:tab/>
            </w:r>
            <w:r>
              <w:rPr>
                <w:rStyle w:val="IndexLink"/>
              </w:rPr>
              <w:t>200</w:t>
            </w:r>
          </w:hyperlink>
        </w:p>
        <w:p>
          <w:pPr>
            <w:pStyle w:val="Contents5"/>
            <w:tabs>
              <w:tab w:val="clear" w:pos="7892"/>
              <w:tab w:val="right" w:pos="9026" w:leader="dot"/>
            </w:tabs>
            <w:rPr/>
          </w:pPr>
          <w:hyperlink w:anchor="__RefHeading___Toc15165427_1280447820">
            <w:r>
              <w:rPr>
                <w:webHidden/>
                <w:rStyle w:val="IndexLink"/>
                <w:rtl w:val="true"/>
              </w:rPr>
              <w:t>استدلال علما در این زمینه</w:t>
            </w:r>
            <w:r>
              <w:rPr>
                <w:rStyle w:val="IndexLink"/>
                <w:rtl w:val="true"/>
              </w:rPr>
              <w:tab/>
            </w:r>
            <w:r>
              <w:rPr>
                <w:rStyle w:val="IndexLink"/>
              </w:rPr>
              <w:t>200</w:t>
            </w:r>
          </w:hyperlink>
        </w:p>
        <w:p>
          <w:pPr>
            <w:pStyle w:val="Contents5"/>
            <w:tabs>
              <w:tab w:val="clear" w:pos="7892"/>
              <w:tab w:val="right" w:pos="9026" w:leader="dot"/>
            </w:tabs>
            <w:rPr/>
          </w:pPr>
          <w:hyperlink w:anchor="__RefHeading___Toc15165429_1280447820">
            <w:r>
              <w:rPr>
                <w:webHidden/>
                <w:rStyle w:val="IndexLink"/>
                <w:rtl w:val="true"/>
              </w:rPr>
              <w:t xml:space="preserve">قرینه مشترک میان </w:t>
            </w:r>
            <w:r>
              <w:rPr>
                <w:rStyle w:val="IndexLink"/>
                <w:rtl w:val="true"/>
              </w:rPr>
              <w:t>«</w:t>
            </w:r>
            <w:r>
              <w:rPr>
                <w:rStyle w:val="IndexLink"/>
                <w:rtl w:val="true"/>
              </w:rPr>
              <w:t>الصبیان</w:t>
            </w:r>
            <w:r>
              <w:rPr>
                <w:rStyle w:val="IndexLink"/>
                <w:rtl w:val="true"/>
              </w:rPr>
              <w:t xml:space="preserve">» </w:t>
            </w:r>
            <w:r>
              <w:rPr>
                <w:rStyle w:val="IndexLink"/>
                <w:rtl w:val="true"/>
              </w:rPr>
              <w:t xml:space="preserve">و </w:t>
            </w:r>
            <w:r>
              <w:rPr>
                <w:rStyle w:val="IndexLink"/>
                <w:rtl w:val="true"/>
              </w:rPr>
              <w:t>«</w:t>
            </w:r>
            <w:r>
              <w:rPr>
                <w:rStyle w:val="IndexLink"/>
                <w:rtl w:val="true"/>
              </w:rPr>
              <w:t>المجانین</w:t>
            </w:r>
            <w:r>
              <w:rPr>
                <w:rStyle w:val="IndexLink"/>
                <w:rtl w:val="true"/>
              </w:rPr>
              <w:t>»</w:t>
              <w:tab/>
            </w:r>
            <w:r>
              <w:rPr>
                <w:rStyle w:val="IndexLink"/>
              </w:rPr>
              <w:t>202</w:t>
            </w:r>
          </w:hyperlink>
        </w:p>
        <w:p>
          <w:pPr>
            <w:pStyle w:val="Contents2"/>
            <w:tabs>
              <w:tab w:val="clear" w:pos="8743"/>
              <w:tab w:val="right" w:pos="9026" w:leader="dot"/>
            </w:tabs>
            <w:rPr/>
          </w:pPr>
          <w:hyperlink w:anchor="__RefHeading___Toc15165431_1280447820">
            <w:r>
              <w:rPr>
                <w:webHidden/>
                <w:rStyle w:val="IndexLink"/>
                <w:rtl w:val="true"/>
              </w:rPr>
              <w:t>بخش پنجم</w:t>
            </w:r>
            <w:r>
              <w:rPr>
                <w:rStyle w:val="IndexLink"/>
                <w:rtl w:val="true"/>
              </w:rPr>
              <w:t xml:space="preserve">: </w:t>
            </w:r>
            <w:r>
              <w:rPr>
                <w:rStyle w:val="IndexLink"/>
                <w:rtl w:val="true"/>
              </w:rPr>
              <w:t>بررسی ادله قول به تفصیل بین کراهت، اباحه و استحباب</w:t>
            </w:r>
            <w:r>
              <w:rPr>
                <w:rStyle w:val="IndexLink"/>
                <w:rtl w:val="true"/>
              </w:rPr>
              <w:tab/>
            </w:r>
            <w:r>
              <w:rPr>
                <w:rStyle w:val="IndexLink"/>
              </w:rPr>
              <w:t>204</w:t>
            </w:r>
          </w:hyperlink>
        </w:p>
        <w:p>
          <w:pPr>
            <w:pStyle w:val="Contents3"/>
            <w:tabs>
              <w:tab w:val="clear" w:pos="8459"/>
              <w:tab w:val="right" w:pos="9026" w:leader="dot"/>
            </w:tabs>
            <w:rPr/>
          </w:pPr>
          <w:hyperlink w:anchor="__RefHeading___Toc15165433_1280447820">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15165435_1280447820">
            <w:r>
              <w:rPr>
                <w:webHidden/>
                <w:rStyle w:val="IndexLink"/>
                <w:rtl w:val="true"/>
              </w:rPr>
              <w:t>فصل اول</w:t>
            </w:r>
            <w:r>
              <w:rPr>
                <w:rStyle w:val="IndexLink"/>
                <w:rtl w:val="true"/>
              </w:rPr>
              <w:t xml:space="preserve">: </w:t>
            </w:r>
            <w:r>
              <w:rPr>
                <w:rStyle w:val="IndexLink"/>
                <w:rtl w:val="true"/>
              </w:rPr>
              <w:t>رجحان و استحباب تمرین نماز جماعت در مسجد</w:t>
            </w:r>
            <w:r>
              <w:rPr>
                <w:rStyle w:val="IndexLink"/>
                <w:rtl w:val="true"/>
              </w:rPr>
              <w:tab/>
            </w:r>
            <w:r>
              <w:rPr>
                <w:rStyle w:val="IndexLink"/>
              </w:rPr>
              <w:t>206</w:t>
            </w:r>
          </w:hyperlink>
        </w:p>
        <w:p>
          <w:pPr>
            <w:pStyle w:val="Contents4"/>
            <w:tabs>
              <w:tab w:val="clear" w:pos="8176"/>
              <w:tab w:val="right" w:pos="9026" w:leader="dot"/>
            </w:tabs>
            <w:rPr/>
          </w:pPr>
          <w:hyperlink w:anchor="__RefHeading___Toc15165437_1280447820">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15165439_1280447820">
            <w:r>
              <w:rPr>
                <w:webHidden/>
                <w:rStyle w:val="IndexLink"/>
                <w:rtl w:val="true"/>
              </w:rPr>
              <w:t>گفتار اول</w:t>
            </w:r>
            <w:r>
              <w:rPr>
                <w:rStyle w:val="IndexLink"/>
                <w:rtl w:val="true"/>
              </w:rPr>
              <w:t xml:space="preserve">: </w:t>
            </w:r>
            <w:r>
              <w:rPr>
                <w:rStyle w:val="IndexLink"/>
                <w:rtl w:val="true"/>
              </w:rPr>
              <w:t>کلام فقها در این زمینه</w:t>
            </w:r>
            <w:r>
              <w:rPr>
                <w:rStyle w:val="IndexLink"/>
                <w:rtl w:val="true"/>
              </w:rPr>
              <w:tab/>
            </w:r>
            <w:r>
              <w:rPr>
                <w:rStyle w:val="IndexLink"/>
              </w:rPr>
              <w:t>207</w:t>
            </w:r>
          </w:hyperlink>
        </w:p>
        <w:p>
          <w:pPr>
            <w:pStyle w:val="Contents4"/>
            <w:tabs>
              <w:tab w:val="clear" w:pos="8176"/>
              <w:tab w:val="right" w:pos="9026" w:leader="dot"/>
            </w:tabs>
            <w:rPr/>
          </w:pPr>
          <w:hyperlink w:anchor="__RefHeading___Toc15165441_1280447820">
            <w:r>
              <w:rPr>
                <w:webHidden/>
                <w:rStyle w:val="IndexLink"/>
                <w:rtl w:val="true"/>
              </w:rPr>
              <w:t>گفتار دوم</w:t>
            </w:r>
            <w:r>
              <w:rPr>
                <w:rStyle w:val="IndexLink"/>
                <w:rtl w:val="true"/>
              </w:rPr>
              <w:t xml:space="preserve">: </w:t>
            </w:r>
            <w:r>
              <w:rPr>
                <w:rStyle w:val="IndexLink"/>
                <w:rtl w:val="true"/>
              </w:rPr>
              <w:t>والدین و لزوم تمرین دادن کودکان به عبادت</w:t>
            </w:r>
            <w:r>
              <w:rPr>
                <w:rStyle w:val="IndexLink"/>
                <w:rtl w:val="true"/>
              </w:rPr>
              <w:tab/>
            </w:r>
            <w:r>
              <w:rPr>
                <w:rStyle w:val="IndexLink"/>
              </w:rPr>
              <w:t>210</w:t>
            </w:r>
          </w:hyperlink>
        </w:p>
        <w:p>
          <w:pPr>
            <w:pStyle w:val="Contents4"/>
            <w:tabs>
              <w:tab w:val="clear" w:pos="8176"/>
              <w:tab w:val="right" w:pos="9026" w:leader="dot"/>
            </w:tabs>
            <w:rPr/>
          </w:pPr>
          <w:hyperlink w:anchor="__RefHeading___Toc15165443_1280447820">
            <w:r>
              <w:rPr>
                <w:webHidden/>
                <w:rStyle w:val="IndexLink"/>
                <w:rtl w:val="true"/>
              </w:rPr>
              <w:t>گفتار سوم</w:t>
            </w:r>
            <w:r>
              <w:rPr>
                <w:rStyle w:val="IndexLink"/>
                <w:rtl w:val="true"/>
              </w:rPr>
              <w:t xml:space="preserve">: </w:t>
            </w:r>
            <w:r>
              <w:rPr>
                <w:rStyle w:val="IndexLink"/>
                <w:rtl w:val="true"/>
              </w:rPr>
              <w:t>دلایل قرآنی و روایی لزوم تمرین دادن کودکان به عبادت</w:t>
            </w:r>
            <w:r>
              <w:rPr>
                <w:rStyle w:val="IndexLink"/>
                <w:rtl w:val="true"/>
              </w:rPr>
              <w:tab/>
            </w:r>
            <w:r>
              <w:rPr>
                <w:rStyle w:val="IndexLink"/>
              </w:rPr>
              <w:t>211</w:t>
            </w:r>
          </w:hyperlink>
        </w:p>
        <w:p>
          <w:pPr>
            <w:pStyle w:val="Contents4"/>
            <w:tabs>
              <w:tab w:val="clear" w:pos="8176"/>
              <w:tab w:val="right" w:pos="9026" w:leader="dot"/>
            </w:tabs>
            <w:rPr/>
          </w:pPr>
          <w:hyperlink w:anchor="__RefHeading___Toc15165445_1280447820">
            <w:r>
              <w:rPr>
                <w:webHidden/>
                <w:rStyle w:val="IndexLink"/>
                <w:rtl w:val="true"/>
              </w:rPr>
              <w:t>گفتار چهارم</w:t>
            </w:r>
            <w:r>
              <w:rPr>
                <w:rStyle w:val="IndexLink"/>
                <w:rtl w:val="true"/>
              </w:rPr>
              <w:t xml:space="preserve">: </w:t>
            </w:r>
            <w:r>
              <w:rPr>
                <w:rStyle w:val="IndexLink"/>
                <w:rtl w:val="true"/>
              </w:rPr>
              <w:t>رجحان تمرین دادن کودک در خصوص نماز جماعت</w:t>
            </w:r>
            <w:r>
              <w:rPr>
                <w:rStyle w:val="IndexLink"/>
                <w:rtl w:val="true"/>
              </w:rPr>
              <w:tab/>
            </w:r>
            <w:r>
              <w:rPr>
                <w:rStyle w:val="IndexLink"/>
              </w:rPr>
              <w:t>214</w:t>
            </w:r>
          </w:hyperlink>
        </w:p>
        <w:p>
          <w:pPr>
            <w:pStyle w:val="Contents3"/>
            <w:tabs>
              <w:tab w:val="clear" w:pos="8459"/>
              <w:tab w:val="right" w:pos="9026" w:leader="dot"/>
            </w:tabs>
            <w:rPr/>
          </w:pPr>
          <w:hyperlink w:anchor="__RefHeading___Toc15165447_1280447820">
            <w:r>
              <w:rPr>
                <w:webHidden/>
                <w:rStyle w:val="IndexLink"/>
                <w:rtl w:val="true"/>
              </w:rPr>
              <w:t>فصل دوم</w:t>
            </w:r>
            <w:r>
              <w:rPr>
                <w:rStyle w:val="IndexLink"/>
                <w:rtl w:val="true"/>
              </w:rPr>
              <w:t xml:space="preserve">: </w:t>
            </w:r>
            <w:r>
              <w:rPr>
                <w:rStyle w:val="IndexLink"/>
                <w:rtl w:val="true"/>
              </w:rPr>
              <w:t>رجحان آموزش قرآن و دیگر معارف دینی به کودکان در مسجد</w:t>
            </w:r>
            <w:r>
              <w:rPr>
                <w:rStyle w:val="IndexLink"/>
                <w:rtl w:val="true"/>
              </w:rPr>
              <w:tab/>
            </w:r>
            <w:r>
              <w:rPr>
                <w:rStyle w:val="IndexLink"/>
              </w:rPr>
              <w:t>216</w:t>
            </w:r>
          </w:hyperlink>
        </w:p>
        <w:p>
          <w:pPr>
            <w:pStyle w:val="Contents4"/>
            <w:tabs>
              <w:tab w:val="clear" w:pos="8176"/>
              <w:tab w:val="right" w:pos="9026" w:leader="dot"/>
            </w:tabs>
            <w:rPr/>
          </w:pPr>
          <w:hyperlink w:anchor="__RefHeading___Toc15165449_1280447820">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15165451_1280447820">
            <w:r>
              <w:rPr>
                <w:webHidden/>
                <w:rStyle w:val="IndexLink"/>
                <w:rtl w:val="true"/>
              </w:rPr>
              <w:t>مستند این دلیل</w:t>
            </w:r>
            <w:r>
              <w:rPr>
                <w:rStyle w:val="IndexLink"/>
                <w:rtl w:val="true"/>
              </w:rPr>
              <w:tab/>
            </w:r>
            <w:r>
              <w:rPr>
                <w:rStyle w:val="IndexLink"/>
              </w:rPr>
              <w:t>216</w:t>
            </w:r>
          </w:hyperlink>
        </w:p>
        <w:p>
          <w:pPr>
            <w:pStyle w:val="Contents4"/>
            <w:tabs>
              <w:tab w:val="clear" w:pos="8176"/>
              <w:tab w:val="right" w:pos="9026" w:leader="dot"/>
            </w:tabs>
            <w:rPr/>
          </w:pPr>
          <w:hyperlink w:anchor="__RefHeading___Toc15165453_1280447820">
            <w:r>
              <w:rPr>
                <w:webHidden/>
                <w:rStyle w:val="IndexLink"/>
                <w:rtl w:val="true"/>
              </w:rPr>
              <w:t>نحوه استدلال</w:t>
            </w:r>
            <w:r>
              <w:rPr>
                <w:rStyle w:val="IndexLink"/>
                <w:rtl w:val="true"/>
              </w:rPr>
              <w:tab/>
            </w:r>
            <w:r>
              <w:rPr>
                <w:rStyle w:val="IndexLink"/>
              </w:rPr>
              <w:t>218</w:t>
            </w:r>
          </w:hyperlink>
        </w:p>
        <w:p>
          <w:pPr>
            <w:pStyle w:val="Contents4"/>
            <w:tabs>
              <w:tab w:val="clear" w:pos="8176"/>
              <w:tab w:val="right" w:pos="9026" w:leader="dot"/>
            </w:tabs>
            <w:rPr/>
          </w:pPr>
          <w:hyperlink w:anchor="__RefHeading___Toc15165455_1280447820">
            <w:r>
              <w:rPr>
                <w:webHidden/>
                <w:rStyle w:val="IndexLink"/>
                <w:rtl w:val="true"/>
              </w:rPr>
              <w:t>موید روایی</w:t>
            </w:r>
            <w:r>
              <w:rPr>
                <w:rStyle w:val="IndexLink"/>
                <w:rtl w:val="true"/>
              </w:rPr>
              <w:tab/>
            </w:r>
            <w:r>
              <w:rPr>
                <w:rStyle w:val="IndexLink"/>
              </w:rPr>
              <w:t>219</w:t>
            </w:r>
          </w:hyperlink>
        </w:p>
        <w:p>
          <w:pPr>
            <w:pStyle w:val="Contents3"/>
            <w:tabs>
              <w:tab w:val="clear" w:pos="8459"/>
              <w:tab w:val="right" w:pos="9026" w:leader="dot"/>
            </w:tabs>
            <w:rPr/>
          </w:pPr>
          <w:hyperlink w:anchor="__RefHeading___Toc15165457_1280447820">
            <w:r>
              <w:rPr>
                <w:webHidden/>
                <w:rStyle w:val="IndexLink"/>
                <w:rtl w:val="true"/>
              </w:rPr>
              <w:t>فصل سوم</w:t>
            </w:r>
            <w:r>
              <w:rPr>
                <w:rStyle w:val="IndexLink"/>
                <w:rtl w:val="true"/>
              </w:rPr>
              <w:t xml:space="preserve">: </w:t>
            </w:r>
            <w:r>
              <w:rPr>
                <w:rStyle w:val="IndexLink"/>
                <w:rtl w:val="true"/>
              </w:rPr>
              <w:t>ایجاد انگیزه و علاقه مندی کودکان به نماز</w:t>
            </w:r>
            <w:r>
              <w:rPr>
                <w:rStyle w:val="IndexLink"/>
                <w:rtl w:val="true"/>
              </w:rPr>
              <w:tab/>
            </w:r>
            <w:r>
              <w:rPr>
                <w:rStyle w:val="IndexLink"/>
              </w:rPr>
              <w:t>221</w:t>
            </w:r>
          </w:hyperlink>
        </w:p>
        <w:p>
          <w:pPr>
            <w:pStyle w:val="Contents3"/>
            <w:tabs>
              <w:tab w:val="clear" w:pos="8459"/>
              <w:tab w:val="right" w:pos="9026" w:leader="dot"/>
            </w:tabs>
            <w:rPr/>
          </w:pPr>
          <w:hyperlink w:anchor="__RefHeading___Toc15165459_1280447820">
            <w:r>
              <w:rPr>
                <w:webHidden/>
                <w:rStyle w:val="IndexLink"/>
                <w:rtl w:val="true"/>
              </w:rPr>
              <w:t>فصل چهارم</w:t>
            </w:r>
            <w:r>
              <w:rPr>
                <w:rStyle w:val="IndexLink"/>
                <w:rtl w:val="true"/>
              </w:rPr>
              <w:t xml:space="preserve">: </w:t>
            </w:r>
            <w:r>
              <w:rPr>
                <w:rStyle w:val="IndexLink"/>
                <w:rtl w:val="true"/>
              </w:rPr>
              <w:t>ملازمه صحت عبادت با استحباب عبادت در مسجد</w:t>
            </w:r>
            <w:r>
              <w:rPr>
                <w:rStyle w:val="IndexLink"/>
                <w:rtl w:val="true"/>
              </w:rPr>
              <w:tab/>
            </w:r>
            <w:r>
              <w:rPr>
                <w:rStyle w:val="IndexLink"/>
              </w:rPr>
              <w:t>223</w:t>
            </w:r>
          </w:hyperlink>
        </w:p>
        <w:p>
          <w:pPr>
            <w:pStyle w:val="Contents4"/>
            <w:tabs>
              <w:tab w:val="clear" w:pos="8176"/>
              <w:tab w:val="right" w:pos="9026" w:leader="dot"/>
            </w:tabs>
            <w:rPr/>
          </w:pPr>
          <w:hyperlink w:anchor="__RefHeading___Toc15165461_1280447820">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15165463_1280447820">
            <w:r>
              <w:rPr>
                <w:webHidden/>
                <w:rStyle w:val="IndexLink"/>
                <w:rtl w:val="true"/>
              </w:rPr>
              <w:t>مشروعیت و یا صحت عبادات کودک</w:t>
            </w:r>
            <w:r>
              <w:rPr>
                <w:rStyle w:val="IndexLink"/>
                <w:rtl w:val="true"/>
              </w:rPr>
              <w:tab/>
            </w:r>
            <w:r>
              <w:rPr>
                <w:rStyle w:val="IndexLink"/>
              </w:rPr>
              <w:t>223</w:t>
            </w:r>
          </w:hyperlink>
        </w:p>
        <w:p>
          <w:pPr>
            <w:pStyle w:val="Contents4"/>
            <w:tabs>
              <w:tab w:val="clear" w:pos="8176"/>
              <w:tab w:val="right" w:pos="9026" w:leader="dot"/>
            </w:tabs>
            <w:rPr/>
          </w:pPr>
          <w:hyperlink w:anchor="__RefHeading___Toc15165465_1280447820">
            <w:r>
              <w:rPr>
                <w:webHidden/>
                <w:rStyle w:val="IndexLink"/>
                <w:rtl w:val="true"/>
              </w:rPr>
              <w:t>نحوه استدلال</w:t>
            </w:r>
            <w:r>
              <w:rPr>
                <w:rStyle w:val="IndexLink"/>
                <w:rtl w:val="true"/>
              </w:rPr>
              <w:tab/>
            </w:r>
            <w:r>
              <w:rPr>
                <w:rStyle w:val="IndexLink"/>
              </w:rPr>
              <w:t>225</w:t>
            </w:r>
          </w:hyperlink>
        </w:p>
        <w:p>
          <w:pPr>
            <w:pStyle w:val="Contents3"/>
            <w:tabs>
              <w:tab w:val="clear" w:pos="8459"/>
              <w:tab w:val="right" w:pos="9026" w:leader="dot"/>
            </w:tabs>
            <w:rPr/>
          </w:pPr>
          <w:hyperlink w:anchor="__RefHeading___Toc15165467_1280447820">
            <w:r>
              <w:rPr>
                <w:webHidden/>
                <w:rStyle w:val="IndexLink"/>
                <w:rtl w:val="true"/>
              </w:rPr>
              <w:t>فصل پنجم</w:t>
            </w:r>
            <w:r>
              <w:rPr>
                <w:rStyle w:val="IndexLink"/>
                <w:rtl w:val="true"/>
              </w:rPr>
              <w:t xml:space="preserve">: </w:t>
            </w:r>
            <w:r>
              <w:rPr>
                <w:rStyle w:val="IndexLink"/>
                <w:rtl w:val="true"/>
              </w:rPr>
              <w:t>دفع مفاسد احتمالی</w:t>
            </w:r>
            <w:r>
              <w:rPr>
                <w:rStyle w:val="IndexLink"/>
                <w:rtl w:val="true"/>
              </w:rPr>
              <w:tab/>
            </w:r>
            <w:r>
              <w:rPr>
                <w:rStyle w:val="IndexLink"/>
              </w:rPr>
              <w:t>227</w:t>
            </w:r>
          </w:hyperlink>
        </w:p>
        <w:p>
          <w:pPr>
            <w:pStyle w:val="Contents4"/>
            <w:tabs>
              <w:tab w:val="clear" w:pos="8176"/>
              <w:tab w:val="right" w:pos="9026" w:leader="dot"/>
            </w:tabs>
            <w:rPr/>
          </w:pPr>
          <w:hyperlink w:anchor="__RefHeading___Toc15165469_1280447820">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15165471_1280447820">
            <w:r>
              <w:rPr>
                <w:webHidden/>
                <w:rStyle w:val="IndexLink"/>
                <w:rtl w:val="true"/>
              </w:rPr>
              <w:t>سخنی پیرامون احکام ثانویه</w:t>
            </w:r>
            <w:r>
              <w:rPr>
                <w:rStyle w:val="IndexLink"/>
                <w:rtl w:val="true"/>
              </w:rPr>
              <w:tab/>
            </w:r>
            <w:r>
              <w:rPr>
                <w:rStyle w:val="IndexLink"/>
              </w:rPr>
              <w:t>228</w:t>
            </w:r>
          </w:hyperlink>
        </w:p>
        <w:p>
          <w:pPr>
            <w:pStyle w:val="Contents4"/>
            <w:tabs>
              <w:tab w:val="clear" w:pos="8176"/>
              <w:tab w:val="right" w:pos="9026" w:leader="dot"/>
            </w:tabs>
            <w:rPr/>
          </w:pPr>
          <w:hyperlink w:anchor="__RefHeading___Toc15165473_1280447820">
            <w:r>
              <w:rPr>
                <w:webHidden/>
                <w:rStyle w:val="IndexLink"/>
                <w:rtl w:val="true"/>
              </w:rPr>
              <w:t>حکم ثانوی در مساله مذکور</w:t>
            </w:r>
            <w:r>
              <w:rPr>
                <w:rStyle w:val="IndexLink"/>
                <w:rtl w:val="true"/>
              </w:rPr>
              <w:tab/>
            </w:r>
            <w:r>
              <w:rPr>
                <w:rStyle w:val="IndexLink"/>
              </w:rPr>
              <w:t>229</w:t>
            </w:r>
          </w:hyperlink>
        </w:p>
        <w:p>
          <w:pPr>
            <w:pStyle w:val="Contents2"/>
            <w:tabs>
              <w:tab w:val="clear" w:pos="8743"/>
              <w:tab w:val="right" w:pos="9026" w:leader="dot"/>
            </w:tabs>
            <w:rPr/>
          </w:pPr>
          <w:hyperlink w:anchor="__RefHeading___Toc15165475_1280447820">
            <w:r>
              <w:rPr>
                <w:webHidden/>
                <w:rStyle w:val="IndexLink"/>
                <w:rtl w:val="true"/>
              </w:rPr>
              <w:t>بخش ششم</w:t>
            </w:r>
            <w:r>
              <w:rPr>
                <w:rStyle w:val="IndexLink"/>
                <w:rtl w:val="true"/>
              </w:rPr>
              <w:t xml:space="preserve">: </w:t>
            </w:r>
            <w:r>
              <w:rPr>
                <w:rStyle w:val="IndexLink"/>
                <w:rtl w:val="true"/>
              </w:rPr>
              <w:t>راهکارهای برون رفت از کراهت احتمالی</w:t>
            </w:r>
            <w:r>
              <w:rPr>
                <w:rStyle w:val="IndexLink"/>
                <w:rtl w:val="true"/>
              </w:rPr>
              <w:tab/>
            </w:r>
            <w:r>
              <w:rPr>
                <w:rStyle w:val="IndexLink"/>
              </w:rPr>
              <w:t>232</w:t>
            </w:r>
          </w:hyperlink>
        </w:p>
        <w:p>
          <w:pPr>
            <w:pStyle w:val="Contents3"/>
            <w:tabs>
              <w:tab w:val="clear" w:pos="8459"/>
              <w:tab w:val="right" w:pos="9026" w:leader="dot"/>
            </w:tabs>
            <w:rPr/>
          </w:pPr>
          <w:hyperlink w:anchor="__RefHeading___Toc15165477_1280447820">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15165479_1280447820">
            <w:r>
              <w:rPr>
                <w:webHidden/>
                <w:rStyle w:val="IndexLink"/>
                <w:rtl w:val="true"/>
              </w:rPr>
              <w:t>گام اول</w:t>
            </w:r>
            <w:r>
              <w:rPr>
                <w:rStyle w:val="IndexLink"/>
                <w:rtl w:val="true"/>
              </w:rPr>
              <w:t xml:space="preserve">: </w:t>
            </w:r>
            <w:r>
              <w:rPr>
                <w:rStyle w:val="IndexLink"/>
                <w:rtl w:val="true"/>
              </w:rPr>
              <w:t>افزایش سعه صدر نمازگزاران در برخورد با کودکان در مسجد</w:t>
            </w:r>
            <w:r>
              <w:rPr>
                <w:rStyle w:val="IndexLink"/>
                <w:rtl w:val="true"/>
              </w:rPr>
              <w:tab/>
            </w:r>
            <w:r>
              <w:rPr>
                <w:rStyle w:val="IndexLink"/>
              </w:rPr>
              <w:t>234</w:t>
            </w:r>
          </w:hyperlink>
        </w:p>
        <w:p>
          <w:pPr>
            <w:pStyle w:val="Contents3"/>
            <w:tabs>
              <w:tab w:val="clear" w:pos="8459"/>
              <w:tab w:val="right" w:pos="9026" w:leader="dot"/>
            </w:tabs>
            <w:rPr/>
          </w:pPr>
          <w:hyperlink w:anchor="__RefHeading___Toc15165481_1280447820">
            <w:r>
              <w:rPr>
                <w:webHidden/>
                <w:rStyle w:val="IndexLink"/>
                <w:rtl w:val="true"/>
              </w:rPr>
              <w:t>گام دوم</w:t>
            </w:r>
            <w:r>
              <w:rPr>
                <w:rStyle w:val="IndexLink"/>
                <w:rtl w:val="true"/>
              </w:rPr>
              <w:t xml:space="preserve">: </w:t>
            </w:r>
            <w:r>
              <w:rPr>
                <w:rStyle w:val="IndexLink"/>
                <w:rtl w:val="true"/>
              </w:rPr>
              <w:t>فرهنگ سازی عمومی برای حضور کودکان در مسجد</w:t>
            </w:r>
            <w:r>
              <w:rPr>
                <w:rStyle w:val="IndexLink"/>
                <w:rtl w:val="true"/>
              </w:rPr>
              <w:tab/>
            </w:r>
            <w:r>
              <w:rPr>
                <w:rStyle w:val="IndexLink"/>
              </w:rPr>
              <w:t>235</w:t>
            </w:r>
          </w:hyperlink>
        </w:p>
        <w:p>
          <w:pPr>
            <w:pStyle w:val="Contents3"/>
            <w:tabs>
              <w:tab w:val="clear" w:pos="8459"/>
              <w:tab w:val="right" w:pos="9026" w:leader="dot"/>
            </w:tabs>
            <w:rPr/>
          </w:pPr>
          <w:hyperlink w:anchor="__RefHeading___Toc15165483_1280447820">
            <w:r>
              <w:rPr>
                <w:webHidden/>
                <w:rStyle w:val="IndexLink"/>
                <w:rtl w:val="true"/>
              </w:rPr>
              <w:t>گام سوم</w:t>
            </w:r>
            <w:r>
              <w:rPr>
                <w:rStyle w:val="IndexLink"/>
                <w:rtl w:val="true"/>
              </w:rPr>
              <w:t xml:space="preserve">: </w:t>
            </w:r>
            <w:r>
              <w:rPr>
                <w:rStyle w:val="IndexLink"/>
                <w:rtl w:val="true"/>
              </w:rPr>
              <w:t>پراکندگی کودکان در بین نماز گزاران در قالب مشارکت عمومی</w:t>
            </w:r>
            <w:r>
              <w:rPr>
                <w:rStyle w:val="IndexLink"/>
                <w:rtl w:val="true"/>
              </w:rPr>
              <w:tab/>
            </w:r>
            <w:r>
              <w:rPr>
                <w:rStyle w:val="IndexLink"/>
              </w:rPr>
              <w:t>236</w:t>
            </w:r>
          </w:hyperlink>
        </w:p>
        <w:p>
          <w:pPr>
            <w:pStyle w:val="Contents3"/>
            <w:tabs>
              <w:tab w:val="clear" w:pos="8459"/>
              <w:tab w:val="right" w:pos="9026" w:leader="dot"/>
            </w:tabs>
            <w:rPr/>
          </w:pPr>
          <w:hyperlink w:anchor="__RefHeading___Toc15165485_1280447820">
            <w:r>
              <w:rPr>
                <w:webHidden/>
                <w:rStyle w:val="IndexLink"/>
                <w:rtl w:val="true"/>
              </w:rPr>
              <w:t>گام چهارم</w:t>
            </w:r>
            <w:r>
              <w:rPr>
                <w:rStyle w:val="IndexLink"/>
                <w:rtl w:val="true"/>
              </w:rPr>
              <w:t xml:space="preserve">: </w:t>
            </w:r>
            <w:r>
              <w:rPr>
                <w:rStyle w:val="IndexLink"/>
                <w:rtl w:val="true"/>
              </w:rPr>
              <w:t>مراقبت و مدیریت والدین از فرزندان</w:t>
            </w:r>
            <w:r>
              <w:rPr>
                <w:rStyle w:val="IndexLink"/>
                <w:rtl w:val="true"/>
              </w:rPr>
              <w:tab/>
            </w:r>
            <w:r>
              <w:rPr>
                <w:rStyle w:val="IndexLink"/>
              </w:rPr>
              <w:t>236</w:t>
            </w:r>
          </w:hyperlink>
        </w:p>
        <w:p>
          <w:pPr>
            <w:pStyle w:val="Contents3"/>
            <w:tabs>
              <w:tab w:val="clear" w:pos="8459"/>
              <w:tab w:val="right" w:pos="9026" w:leader="dot"/>
            </w:tabs>
            <w:rPr/>
          </w:pPr>
          <w:hyperlink w:anchor="__RefHeading___Toc15165487_1280447820">
            <w:r>
              <w:rPr>
                <w:webHidden/>
                <w:rStyle w:val="IndexLink"/>
                <w:rtl w:val="true"/>
              </w:rPr>
              <w:t>گام پنجم</w:t>
            </w:r>
            <w:r>
              <w:rPr>
                <w:rStyle w:val="IndexLink"/>
                <w:rtl w:val="true"/>
              </w:rPr>
              <w:t xml:space="preserve">: </w:t>
            </w:r>
            <w:r>
              <w:rPr>
                <w:rStyle w:val="IndexLink"/>
                <w:rtl w:val="true"/>
              </w:rPr>
              <w:t>قرار دادن مسئول نظم کودکان در مسجد</w:t>
            </w:r>
            <w:r>
              <w:rPr>
                <w:rStyle w:val="IndexLink"/>
                <w:rtl w:val="true"/>
              </w:rPr>
              <w:tab/>
            </w:r>
            <w:r>
              <w:rPr>
                <w:rStyle w:val="IndexLink"/>
              </w:rPr>
              <w:t>237</w:t>
            </w:r>
          </w:hyperlink>
        </w:p>
        <w:p>
          <w:pPr>
            <w:pStyle w:val="Contents3"/>
            <w:tabs>
              <w:tab w:val="clear" w:pos="8459"/>
              <w:tab w:val="right" w:pos="9026" w:leader="dot"/>
            </w:tabs>
            <w:rPr/>
          </w:pPr>
          <w:hyperlink w:anchor="__RefHeading___Toc15165489_1280447820">
            <w:r>
              <w:rPr>
                <w:webHidden/>
                <w:rStyle w:val="IndexLink"/>
                <w:rtl w:val="true"/>
              </w:rPr>
              <w:t>گام ششم</w:t>
            </w:r>
            <w:r>
              <w:rPr>
                <w:rStyle w:val="IndexLink"/>
                <w:rtl w:val="true"/>
              </w:rPr>
              <w:t xml:space="preserve">: </w:t>
            </w:r>
            <w:r>
              <w:rPr>
                <w:rStyle w:val="IndexLink"/>
                <w:rtl w:val="true"/>
              </w:rPr>
              <w:t>مدیریت و آموزش کودکان در قالب فعالیت های فرهنگی</w:t>
            </w:r>
            <w:r>
              <w:rPr>
                <w:rStyle w:val="IndexLink"/>
                <w:rtl w:val="true"/>
              </w:rPr>
              <w:tab/>
            </w:r>
            <w:r>
              <w:rPr>
                <w:rStyle w:val="IndexLink"/>
              </w:rPr>
              <w:t>237</w:t>
            </w:r>
          </w:hyperlink>
        </w:p>
        <w:p>
          <w:pPr>
            <w:pStyle w:val="Contents3"/>
            <w:tabs>
              <w:tab w:val="clear" w:pos="8459"/>
              <w:tab w:val="right" w:pos="9026" w:leader="dot"/>
            </w:tabs>
            <w:rPr/>
          </w:pPr>
          <w:hyperlink w:anchor="__RefHeading___Toc15165491_1280447820">
            <w:r>
              <w:rPr>
                <w:webHidden/>
                <w:rStyle w:val="IndexLink"/>
                <w:rtl w:val="true"/>
              </w:rPr>
              <w:t>گام هفتم</w:t>
            </w:r>
            <w:r>
              <w:rPr>
                <w:rStyle w:val="IndexLink"/>
                <w:rtl w:val="true"/>
              </w:rPr>
              <w:t xml:space="preserve">: </w:t>
            </w:r>
            <w:r>
              <w:rPr>
                <w:rStyle w:val="IndexLink"/>
                <w:rtl w:val="true"/>
              </w:rPr>
              <w:t>مسئولیت سپاري به کودکان در مسجد</w:t>
            </w:r>
            <w:r>
              <w:rPr>
                <w:rStyle w:val="IndexLink"/>
                <w:rtl w:val="true"/>
              </w:rPr>
              <w:tab/>
            </w:r>
            <w:r>
              <w:rPr>
                <w:rStyle w:val="IndexLink"/>
              </w:rPr>
              <w:t>238</w:t>
            </w:r>
          </w:hyperlink>
        </w:p>
        <w:p>
          <w:pPr>
            <w:pStyle w:val="Contents3"/>
            <w:tabs>
              <w:tab w:val="clear" w:pos="8459"/>
              <w:tab w:val="right" w:pos="9026" w:leader="dot"/>
            </w:tabs>
            <w:rPr/>
          </w:pPr>
          <w:hyperlink w:anchor="__RefHeading___Toc15165493_1280447820">
            <w:r>
              <w:rPr>
                <w:webHidden/>
                <w:rStyle w:val="IndexLink"/>
                <w:rtl w:val="true"/>
              </w:rPr>
              <w:t>گام هشتم</w:t>
            </w:r>
            <w:r>
              <w:rPr>
                <w:rStyle w:val="IndexLink"/>
                <w:rtl w:val="true"/>
              </w:rPr>
              <w:t xml:space="preserve">: </w:t>
            </w:r>
            <w:r>
              <w:rPr>
                <w:rStyle w:val="IndexLink"/>
                <w:rtl w:val="true"/>
              </w:rPr>
              <w:t>فراهم آوردن محیط بازی در کنار مسجد برای کودکان کوچکتر</w:t>
            </w:r>
            <w:r>
              <w:rPr>
                <w:rStyle w:val="IndexLink"/>
                <w:rtl w:val="true"/>
              </w:rPr>
              <w:tab/>
            </w:r>
            <w:r>
              <w:rPr>
                <w:rStyle w:val="IndexLink"/>
              </w:rPr>
              <w:t>239</w:t>
            </w:r>
          </w:hyperlink>
        </w:p>
        <w:p>
          <w:pPr>
            <w:pStyle w:val="Contents3"/>
            <w:tabs>
              <w:tab w:val="clear" w:pos="8459"/>
              <w:tab w:val="right" w:pos="9026" w:leader="dot"/>
            </w:tabs>
            <w:rPr/>
          </w:pPr>
          <w:hyperlink w:anchor="__RefHeading___Toc15165495_1280447820">
            <w:r>
              <w:rPr>
                <w:webHidden/>
                <w:rStyle w:val="IndexLink"/>
                <w:rtl w:val="true"/>
              </w:rPr>
              <w:t>گام نهم</w:t>
            </w:r>
            <w:r>
              <w:rPr>
                <w:rStyle w:val="IndexLink"/>
                <w:rtl w:val="true"/>
              </w:rPr>
              <w:t xml:space="preserve">: </w:t>
            </w:r>
            <w:r>
              <w:rPr>
                <w:rStyle w:val="IndexLink"/>
                <w:rtl w:val="true"/>
              </w:rPr>
              <w:t>حضور برخی از کودکان در یکی از نمازهای جماعت</w:t>
            </w:r>
            <w:r>
              <w:rPr>
                <w:rStyle w:val="IndexLink"/>
                <w:rtl w:val="true"/>
              </w:rPr>
              <w:tab/>
            </w:r>
            <w:r>
              <w:rPr>
                <w:rStyle w:val="IndexLink"/>
              </w:rPr>
              <w:t>240</w:t>
            </w:r>
          </w:hyperlink>
        </w:p>
        <w:p>
          <w:pPr>
            <w:pStyle w:val="Contents3"/>
            <w:tabs>
              <w:tab w:val="clear" w:pos="8459"/>
              <w:tab w:val="right" w:pos="9026" w:leader="dot"/>
            </w:tabs>
            <w:rPr/>
          </w:pPr>
          <w:hyperlink w:anchor="__RefHeading___Toc15165497_1280447820">
            <w:r>
              <w:rPr>
                <w:webHidden/>
                <w:rStyle w:val="IndexLink"/>
                <w:rtl w:val="true"/>
              </w:rPr>
              <w:t>گام دهم</w:t>
            </w:r>
            <w:r>
              <w:rPr>
                <w:rStyle w:val="IndexLink"/>
                <w:rtl w:val="true"/>
              </w:rPr>
              <w:t xml:space="preserve">: </w:t>
            </w:r>
            <w:r>
              <w:rPr>
                <w:rStyle w:val="IndexLink"/>
                <w:rtl w:val="true"/>
              </w:rPr>
              <w:t>مراقبت از طهارت مسجد</w:t>
            </w:r>
            <w:r>
              <w:rPr>
                <w:rStyle w:val="IndexLink"/>
                <w:rtl w:val="true"/>
              </w:rPr>
              <w:tab/>
            </w:r>
            <w:r>
              <w:rPr>
                <w:rStyle w:val="IndexLink"/>
              </w:rPr>
              <w:t>241</w:t>
            </w:r>
          </w:hyperlink>
        </w:p>
        <w:p>
          <w:pPr>
            <w:pStyle w:val="Contents2"/>
            <w:tabs>
              <w:tab w:val="clear" w:pos="8743"/>
              <w:tab w:val="right" w:pos="9026" w:leader="dot"/>
            </w:tabs>
            <w:rPr/>
          </w:pPr>
          <w:hyperlink w:anchor="__RefHeading___Toc15165499_1280447820">
            <w:r>
              <w:rPr>
                <w:webHidden/>
                <w:rStyle w:val="IndexLink"/>
                <w:rtl w:val="true"/>
              </w:rPr>
              <w:t>کتاب نامه</w:t>
            </w:r>
            <w:r>
              <w:rPr>
                <w:rStyle w:val="IndexLink"/>
                <w:rtl w:val="true"/>
              </w:rPr>
              <w:tab/>
            </w:r>
            <w:r>
              <w:rPr>
                <w:rStyle w:val="IndexLink"/>
              </w:rPr>
              <w:t>242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11_194805"/>
      <w:bookmarkStart w:id="1" w:name="pg19111_194805"/>
      <w:bookmarkEnd w:id="1"/>
    </w:p>
    <w:p>
      <w:pPr>
        <w:pStyle w:val="Heading2"/>
        <w:numPr>
          <w:ilvl w:val="1"/>
          <w:numId w:val="1"/>
        </w:numPr>
        <w:rPr/>
      </w:pPr>
      <w:bookmarkStart w:id="2" w:name="pg19111_194805"/>
      <w:bookmarkStart w:id="3" w:name="__RefHeading___Toc1516505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فقهی مسئله حضور کودکان در مسجد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پژوهش ها و ارتباطات حوزوی مرکز رسیدگی به امور مسجد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بهشتی</w:t>
      </w:r>
    </w:p>
    <w:p>
      <w:pPr>
        <w:pStyle w:val="BookText"/>
        <w:rPr/>
      </w:pPr>
      <w:r>
        <w:rPr>
          <w:rFonts w:ascii="IRNazanin" w:hAnsi="IRNazanin" w:eastAsia="IRNazanin"/>
          <w:color w:val="111111"/>
          <w:sz w:val="28"/>
          <w:sz w:val="28"/>
          <w:szCs w:val="28"/>
          <w:rtl w:val="true"/>
          <w:lang w:bidi="fa-IR"/>
        </w:rPr>
        <w:t>نظارت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احمد خاتمی، آیت الله عندلیب همدانی ویراستار علی ابوالمعالی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رسانه</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طراحی و گرافیک کمان</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آیت الله صدوقی رحمة الله علیه،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حضرت ابوالفضل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علیه السلام، پلاک</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32923835</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32923837</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خرداد ماه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 xml:space="preserve">نشانی اینترنتی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www.asar.masjed.ir</w:t>
      </w:r>
    </w:p>
    <w:p>
      <w:pPr>
        <w:pStyle w:val="BookText"/>
        <w:rPr/>
      </w:pPr>
      <w:r>
        <w:rPr>
          <w:rFonts w:ascii="IRNazanin" w:hAnsi="IRNazanin" w:eastAsia="IRNazanin"/>
          <w:color w:val="111111"/>
          <w:sz w:val="28"/>
          <w:sz w:val="28"/>
          <w:szCs w:val="28"/>
          <w:rtl w:val="true"/>
          <w:lang w:bidi="fa-IR"/>
        </w:rPr>
        <w:t>مرا 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آیت الله صدوقی رحمة الله علیه،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103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65053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فقهی مسئله حضور کودکان در مسجد </w:t>
      </w:r>
      <w:bookmarkStart w:id="7" w:name="pg19111_194811"/>
    </w:p>
    <w:p>
      <w:pPr>
        <w:pStyle w:val="Heading2"/>
        <w:numPr>
          <w:ilvl w:val="1"/>
          <w:numId w:val="1"/>
        </w:numPr>
        <w:rPr/>
      </w:pPr>
      <w:bookmarkStart w:id="8" w:name="__RefHeading___Toc15165055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9111_194820"/>
      <w:bookmarkStart w:id="11" w:name="pg19111_194820"/>
      <w:bookmarkEnd w:id="11"/>
    </w:p>
    <w:p>
      <w:pPr>
        <w:pStyle w:val="Heading2"/>
        <w:numPr>
          <w:ilvl w:val="1"/>
          <w:numId w:val="1"/>
        </w:numPr>
        <w:rPr/>
      </w:pPr>
      <w:bookmarkStart w:id="12" w:name="pg19111_194820"/>
      <w:bookmarkStart w:id="13" w:name="__RefHeading___Toc15165057_128044782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یکی از مهم‌ترین سرمایه‌های هر کشوری سرمایه‌های انسانی آن است به وجهی که به هر میزان به لحاظ کمی و کیفی این سرمایه‌های انسانی در سطح بالاتری باشند، بی‌تردید آن کشور از همه جهت پیشرو خواهد بود و سریع تر از رقبای دیگر می‌تواند به هدف تعیین شده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 کشورهای پیشرفته یا در حال پیشرفت برنامه‌های بسیار دقیقی برای افزایش یا کاهش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نگاه‌های ایدئولوژیک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بالا بردن سطح کارآمدی و کیفیت نیروی انسانی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نظر بسیار بالا و تمرکز علمی و عملی بر تربیت هدفمند و هوشمند و همچنین صرف هزینه‌های بسیار بالا جهت افزایش کیفیت این سبک از تربیت، همه نشان از اهمیت این موضوع در شاخص‌های توسعه هر کشوری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اسلامی ایران نیز از این قاعده مستثنی نبوده و نیست، اگر چه به دلیل برخی بی‌توجهی‌ها در سال‌های دهه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جمعیت ایران به لحاظ کمی، کاهش پیدا کرد ولی با تدبیر رهبری معظم انقلاب اسلامی در سال‌های اخیر این خلأ در حال رفع شدن است لیکن علیرغم همه‌ی توصیه‌هایی که اولاً اسلام و در ثانی علمای اسلام پیرامون اهمیت و اهتمام ویژه نسبت به تربیت دارند، بعد از گذشت سال ها از پیروزی انقلاب اسلامی، هنوز در این جهت نظام تربیت در جمهوری اسلامی با چالش‌های بسیاری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تأکیدات مکرر امام </w:t>
      </w:r>
    </w:p>
    <w:p>
      <w:pPr>
        <w:pStyle w:val="BookText"/>
        <w:rPr/>
      </w:pPr>
      <w:r>
        <w:rPr>
          <w:rFonts w:ascii="IRNazanin" w:hAnsi="IRNazanin" w:eastAsia="IRNazanin"/>
          <w:color w:val="111111"/>
          <w:sz w:val="28"/>
          <w:sz w:val="28"/>
          <w:szCs w:val="28"/>
          <w:rtl w:val="true"/>
          <w:lang w:bidi="fa-IR"/>
        </w:rPr>
        <w:t>خمینی قدس سره و مقام معظم رهبری دام ضله العالی پیرامون توجه ویژه به تربیت وآموزش اسلامی و معنوی کودک و نوجوان وکادر سازی برای آینده انقلاب اسلامی، هرچند موجب شده که کارهای بسیاری انجام شود ولی هنوز با آن نقطه مطلوب فاصله بسیاری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سیر تربیت نسل های آینده که باید اسلام را به پیش برند و پیشرو در حرکت این انقلاب اسلامی باشند، نقش روحانیت معظم و به خصوص ائمه جماعات مستقر در مساجد و خانه‌های خدا نقشی بی‌بدیل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مهم که تربیت اسلامی در مکانی اسلامی و معنوی قطعاً بهتر واقع می‌شود از بدیهیات بوده و چه مکانی بهتر و مقدس‌تر از مسجد در اسلام می‌توان برای تربیت اسلامی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مرکز رسیدگی به امور مساجد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مسجد، کودک و نوجوان نام‌گذاری نمود تا توجه روحانیت معظم را نسبت به اهمیت و نقش ایشان در کادر‌سازی و انسان‌سازی برای اسلام و انقلاب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معضلاتی که در تربیت کودک و نوجوان در مسجد هر ازچند گاهی به آن اشاره می شود و به عنوان مستمسکی جهت عدم توجه به این مهم مورد استفاده قرار می گیرد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ورود کودک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است که این مسئله را به عنوان یک حکم شرعی با استناد به برخی از فتاوا و احادیث وارده در این خصوص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حکم شرعی توسط برخی از مراجع معظم قیوداتی دارد و برخی از ایشان نیز با نقض و ابرام نسبت به حدیث مورد اشاره آن را رد کرده‌اند، لیکن به دلیل اشاعه آن در مباحث علمی مناسب دیدیم پیرامون آن بحثی علمی و متقن، تحت نظارت و اشراف علمی علمای معظم ارائه داده تا زوایای آن برای اهل تحقیق و پژوهش بهتر مشخص شود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پیش رو در همین راستا تدوین شده است و بحث مورد اشاره را در دو بخش حدیثی و فقهی به طور مجزا مورد مداقه علمی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پژوهش با نظارت علمی و دقیق حضرات آیات سید احمد خاتمی و عندلیب همدانی، به قلم حجت الاسلام و المسلمین سید مصطفی بهشتی به رشته تحریر درآمده است و جا دارد از تلاش‌های ایشان در طول یک سال گذشته برای انجام این مهم تقدیر وتشکر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این اثر، در نگاه شما گرامیان به ویژه ائمه محترم جماعات مقبول افتد و پیشنهادها و نظرهای ارزشمند خویش را از خادمان خود در دفترمطالعات، پژوهش ها و ارتباطات حوزوی مرکز دریغ نفرمایید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جعلنا الله و إیاکم من عامری مساجدالله</w:t>
      </w:r>
    </w:p>
    <w:p>
      <w:pPr>
        <w:pStyle w:val="BookText"/>
        <w:rPr/>
      </w:pPr>
      <w:r>
        <w:rPr>
          <w:rFonts w:ascii="IRNazanin" w:hAnsi="IRNazanin" w:eastAsia="IRNazanin"/>
          <w:color w:val="111111"/>
          <w:sz w:val="28"/>
          <w:sz w:val="28"/>
          <w:szCs w:val="28"/>
          <w:rtl w:val="true"/>
          <w:lang w:bidi="fa-IR"/>
        </w:rPr>
        <w:t>مرکز رسیدگی به امور مساجد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مطالعات، پژوهش‌ها و ارتباطات حوزوی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9111_194827"/>
      <w:bookmarkStart w:id="16" w:name="pg19111_194827"/>
      <w:bookmarkEnd w:id="16"/>
    </w:p>
    <w:p>
      <w:pPr>
        <w:pStyle w:val="Heading2"/>
        <w:numPr>
          <w:ilvl w:val="1"/>
          <w:numId w:val="1"/>
        </w:numPr>
        <w:rPr/>
      </w:pPr>
      <w:bookmarkStart w:id="17" w:name="pg19111_194827"/>
      <w:bookmarkStart w:id="18" w:name="__RefHeading___Toc15165059_1280447820"/>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 xml:space="preserve">مسجد مهم ترین پایگاه دینی مسلمانان و مکانی ارزشمند برای رشد معنوی همۀ اقشار جامعه به حساب می‌آید؛ به همین دلیل است که در برخی از آیات قرآن </w:t>
      </w:r>
      <w:r>
        <w:rPr>
          <w:rStyle w:val="FootnoteAnchor"/>
          <w:rtl w:val="true"/>
        </w:rPr>
        <w:footnoteReference w:id="2"/>
      </w:r>
      <w:r>
        <w:rPr>
          <w:rFonts w:ascii="IRNazanin" w:hAnsi="IRNazanin" w:eastAsia="IRNazanin"/>
          <w:color w:val="111111"/>
          <w:sz w:val="28"/>
          <w:sz w:val="28"/>
          <w:szCs w:val="28"/>
          <w:rtl w:val="true"/>
          <w:lang w:bidi="fa-IR"/>
        </w:rPr>
        <w:t xml:space="preserve">و در شمار فراوانی از روایات اهل بیت </w:t>
      </w:r>
      <w:r>
        <w:rPr>
          <w:rStyle w:val="FootnoteAnchor"/>
          <w:rtl w:val="true"/>
        </w:rPr>
        <w:footnoteReference w:id="3"/>
      </w:r>
      <w:r>
        <w:rPr>
          <w:rFonts w:ascii="IRNazanin" w:hAnsi="IRNazanin" w:eastAsia="IRNazanin"/>
          <w:color w:val="111111"/>
          <w:sz w:val="28"/>
          <w:sz w:val="28"/>
          <w:szCs w:val="28"/>
          <w:rtl w:val="true"/>
          <w:lang w:bidi="fa-IR"/>
        </w:rPr>
        <w:t>علیهم السلام به حضور در این مکان مقدس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کنکاش در منابع دینی نشان می‌دهد که مسجد از دیدگاه اسلام کانون توجه مسلمان‌ها شمرده می‌شود و به همین دلیل احکام مرتبط با این مکانِ پرکاربرد و پررفت‌و آمد، پرتعداد و مورد ابتلاست؛ به بیان دیگر کثرت روایات مرتبط با مسجد و فراوانی احکام و دستور العمل های مربوط به آن نشانگر اهمیت ویژه این مکان مقدس در دیدگاه شارع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حر عاملی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روایات مرتبط با مسجد را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احکام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و آن ها را در هفتاد باب تنظیم و تبویب </w:t>
      </w:r>
      <w:r>
        <w:rPr>
          <w:rStyle w:val="FootnoteAnchor"/>
          <w:rtl w:val="true"/>
        </w:rPr>
        <w:footnoteReference w:id="4"/>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در دیگر ابواب فقهی نیز روایات فراوانی پیرامون احکام مسجد وجود دارند که به دلیل </w:t>
      </w:r>
    </w:p>
    <w:p>
      <w:pPr>
        <w:pStyle w:val="BookText"/>
        <w:rPr/>
      </w:pPr>
      <w:r>
        <w:rPr>
          <w:rFonts w:ascii="IRNazanin" w:hAnsi="IRNazanin" w:eastAsia="IRNazanin"/>
          <w:color w:val="111111"/>
          <w:sz w:val="28"/>
          <w:sz w:val="28"/>
          <w:szCs w:val="28"/>
          <w:rtl w:val="true"/>
          <w:lang w:bidi="fa-IR"/>
        </w:rPr>
        <w:t>ارتباط بیشتر با موضوعاتی نظیر طهارت</w:t>
      </w:r>
      <w:r>
        <w:rPr>
          <w:rStyle w:val="FootnoteAnchor"/>
          <w:rtl w:val="true"/>
        </w:rPr>
        <w:footnoteReference w:id="5"/>
      </w:r>
      <w:r>
        <w:rPr>
          <w:rFonts w:ascii="IRNazanin" w:hAnsi="IRNazanin" w:eastAsia="IRNazanin"/>
          <w:color w:val="111111"/>
          <w:sz w:val="28"/>
          <w:sz w:val="28"/>
          <w:szCs w:val="28"/>
          <w:rtl w:val="true"/>
          <w:lang w:bidi="fa-IR"/>
        </w:rPr>
        <w:t>یا اعتکاف</w:t>
      </w:r>
      <w:r>
        <w:rPr>
          <w:rStyle w:val="FootnoteAnchor"/>
          <w:rtl w:val="true"/>
        </w:rPr>
        <w:footnoteReference w:id="6"/>
      </w:r>
      <w:r>
        <w:rPr>
          <w:rFonts w:ascii="IRNazanin" w:hAnsi="IRNazanin" w:eastAsia="IRNazanin"/>
          <w:color w:val="111111"/>
          <w:sz w:val="28"/>
          <w:sz w:val="28"/>
          <w:szCs w:val="28"/>
          <w:rtl w:val="true"/>
          <w:lang w:bidi="fa-IR"/>
        </w:rPr>
        <w:t>در همان ابواب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مجموعۀ این روایات می‌توان احکام مسجد را از نظر حکم تکلیفی به پنج دستۀ واجبات، محرمات، مکروهات، مستحبات و مباحات مسجد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بررسی احکام الزام آوری همچون وجوب و حرمت از جهت پیامدهای قطعی عقاب و ثواب، از اهمیت بیشتری برخوردار است، نباید به این بهانه از احکام مستحبات و مکروهات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احکام متعدد تکلیفی، حکمی وجود دارد که با توجه به شرایط امروز جامعه نیازمند بررسی و تحلیل دقیق‌تری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که در بسیاری از رساله‌های عملیه نیز مطرح شده، گویای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آوردن کودکان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برخی از فقها این حکم را مقید به گروه خاصی از کودکان دانسته، ورود دیگر کودکان را به مسجد، مستحب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دیدگاه‌های دیگری نیز در این مسئله وجود دارد که به تفصیل مورد تحلیل و بررسی قرار خواهد گرفت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اهمیت این موضوع لازم است که بررسی آن از دریچه دو علم فقه و حدیث مورد تحلیل قرار گیرد؛ به همین جهت در جلد اول از این نوشتار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فقهی مسئله آوردن کودکان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پردازیم و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حدیثی مسئله حضور کودکان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خواهد گرفت</w:t>
      </w:r>
      <w:r>
        <w:rPr>
          <w:rFonts w:eastAsia="IRNazanin" w:cs="IRNazanin"/>
          <w:color w:val="111111"/>
          <w:sz w:val="28"/>
          <w:szCs w:val="28"/>
          <w:rtl w:val="true"/>
          <w:lang w:bidi="fa-IR"/>
        </w:rPr>
        <w:t xml:space="preserve">. </w:t>
      </w:r>
      <w:bookmarkStart w:id="20" w:name="pg19111_194831"/>
    </w:p>
    <w:p>
      <w:pPr>
        <w:pStyle w:val="Heading2"/>
        <w:numPr>
          <w:ilvl w:val="1"/>
          <w:numId w:val="1"/>
        </w:numPr>
        <w:rPr/>
      </w:pPr>
      <w:bookmarkStart w:id="21" w:name="__RefHeading___Toc15165061_1280447820"/>
      <w:bookmarkStart w:id="22" w:name="_Toc6"/>
      <w:bookmarkEnd w:id="20"/>
      <w:bookmarkEnd w:id="21"/>
      <w:r>
        <w:rPr>
          <w:rtl w:val="true"/>
        </w:rPr>
        <w:t>بیان مسئله</w:t>
      </w:r>
      <w:bookmarkEnd w:id="22"/>
    </w:p>
    <w:p>
      <w:pPr>
        <w:pStyle w:val="BookText"/>
        <w:rPr/>
      </w:pPr>
      <w:r>
        <w:rPr>
          <w:rFonts w:ascii="IRNazanin" w:hAnsi="IRNazanin" w:eastAsia="IRNazanin"/>
          <w:color w:val="111111"/>
          <w:sz w:val="28"/>
          <w:sz w:val="28"/>
          <w:szCs w:val="28"/>
          <w:rtl w:val="true"/>
          <w:lang w:bidi="fa-IR"/>
        </w:rPr>
        <w:t>اقامه نماز در مسجد و حضور در اجتماع مسلمانان یکی از مستحباتی است که تأکید فراوانی بر آن شده است؛ تا آنجا که رسول خدا صلی الله علیه و 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لَم یُصَلِّ في المَسجِدِ مَع المُسلمینَ إلاّ مِن عِلَّةٍ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بدون علت و عذری، نمازش را در مسجد با مسلمانان نگزارد، نماز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دسته از روایات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أَرَادَ لَا صَلَاةَ فَاضِلَةً کامِلَةً دُونَ أَنْ یکونَ الْمُرَادُ رَفْعَ جَوَازِهَا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این روایت تنها، نماز برتر و کامل است و مراد از آن عدم جواز نماز خواندن در غیر مسجد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نحوۀ بیان که به طرق مختلف و به صورت پیاپی از زبان معصومان علیهم السلام به مردم گوشزد شده است، نشانگر جایگاه ویژه این حکم و استحباب مؤکدِ حضور در مساجد و برگزاری نماز جماعت در این مکان مقدس است</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دیگری از روایات نیز به مسئله استحباب نشستن در مسجد و انتظار کشیدن برای نماز جماعت اشاره شده است</w:t>
      </w:r>
      <w:r>
        <w:rPr>
          <w:rStyle w:val="FootnoteAnchor"/>
          <w:rtl w:val="true"/>
        </w:rPr>
        <w:footnoteReference w:id="10"/>
      </w:r>
      <w:r>
        <w:rPr>
          <w:rFonts w:ascii="IRNazanin" w:hAnsi="IRNazanin" w:eastAsia="IRNazanin"/>
          <w:color w:val="111111"/>
          <w:sz w:val="28"/>
          <w:sz w:val="28"/>
          <w:szCs w:val="28"/>
          <w:rtl w:val="true"/>
          <w:lang w:bidi="fa-IR"/>
        </w:rPr>
        <w:t>که خود حاکی از رجحان ارتباط تنگاتنگ و همیشگی مسلمانان با نهاد مسجد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یکی از سؤالات مرتبط با این مسئله این است که آیا این استحباب، به سن و سال ویژه‌ای اختصاص دارد یا اینکه درهای مسجد </w:t>
      </w:r>
      <w:bookmarkStart w:id="23" w:name="pg19111_194833"/>
    </w:p>
    <w:p>
      <w:pPr>
        <w:pStyle w:val="BookText"/>
        <w:rPr/>
      </w:pPr>
      <w:bookmarkEnd w:id="23"/>
      <w:r>
        <w:rPr>
          <w:rFonts w:ascii="IRNazanin" w:hAnsi="IRNazanin" w:eastAsia="IRNazanin"/>
          <w:color w:val="111111"/>
          <w:sz w:val="28"/>
          <w:sz w:val="28"/>
          <w:szCs w:val="28"/>
          <w:rtl w:val="true"/>
          <w:lang w:bidi="fa-IR"/>
        </w:rPr>
        <w:t>به روی همه مردم گشوده است؟ آیا مسجد فقط برای گروه خاصی از مردم طراحی شده است یا اینکه هیچ محدودیت سنی برای ورود افراد به مسجد وجود ندارد؟</w:t>
      </w:r>
    </w:p>
    <w:p>
      <w:pPr>
        <w:pStyle w:val="BookText"/>
        <w:rPr/>
      </w:pPr>
      <w:r>
        <w:rPr>
          <w:rFonts w:ascii="IRNazanin" w:hAnsi="IRNazanin" w:eastAsia="IRNazanin"/>
          <w:color w:val="111111"/>
          <w:sz w:val="28"/>
          <w:sz w:val="28"/>
          <w:szCs w:val="28"/>
          <w:rtl w:val="true"/>
          <w:lang w:bidi="fa-IR"/>
        </w:rPr>
        <w:t>اهمیت این پرسش زمانی خود را نشان می‌دهد که بدانیم بسیاری از فقیهان بر اساس روایاتی از معصوم علیهم السلام، به کراهت آوردن کودکان به مسجد فتوا داده‌اند؛ اما در مقابل، برخی دیگر از فقها این کراهت را به کودکان خاصی محدود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فتوا به استحباب یا اولویت و یا رجحانِ آوردن معمولِ کودکان به مسجد داده‌اند؛ بنابراین باید دید که آیا شارع مقدس مؤمنان را از آوردن کودکان به مسجد پرهیز داده است یا اینکه ورود آن ها را همانند دیگران می‌داند؟ اگر چنین محدودیتی وجود دارد، آیا شامل تمامی کودکان می‌شود یا اینکه قید و بند و تبصره‌ای در این مورد وجود دارد؟</w:t>
      </w:r>
    </w:p>
    <w:p>
      <w:pPr>
        <w:pStyle w:val="Heading2"/>
        <w:numPr>
          <w:ilvl w:val="1"/>
          <w:numId w:val="1"/>
        </w:numPr>
        <w:rPr/>
      </w:pPr>
      <w:bookmarkStart w:id="24" w:name="__RefHeading___Toc15165063_1280447820"/>
      <w:bookmarkStart w:id="25" w:name="_Toc7"/>
      <w:bookmarkEnd w:id="24"/>
      <w:r>
        <w:rPr>
          <w:rtl w:val="true"/>
        </w:rPr>
        <w:t>ضرورت بررسی مسئله</w:t>
      </w:r>
      <w:bookmarkEnd w:id="25"/>
    </w:p>
    <w:p>
      <w:pPr>
        <w:pStyle w:val="Heading2"/>
        <w:numPr>
          <w:ilvl w:val="1"/>
          <w:numId w:val="1"/>
        </w:numPr>
        <w:rPr/>
      </w:pPr>
      <w:bookmarkStart w:id="26" w:name="__RefHeading___Toc15165065_1280447820"/>
      <w:bookmarkStart w:id="27" w:name="_Toc8"/>
      <w:bookmarkEnd w:id="26"/>
      <w:r>
        <w:rPr>
          <w:rtl w:val="true"/>
        </w:rPr>
        <w:t>الف</w:t>
      </w:r>
      <w:r>
        <w:rPr>
          <w:rtl w:val="true"/>
        </w:rPr>
        <w:t xml:space="preserve">) </w:t>
      </w:r>
      <w:r>
        <w:rPr>
          <w:rtl w:val="true"/>
        </w:rPr>
        <w:t>ضرورت فقهی</w:t>
      </w:r>
      <w:bookmarkEnd w:id="27"/>
    </w:p>
    <w:p>
      <w:pPr>
        <w:pStyle w:val="BookText"/>
        <w:rPr/>
      </w:pPr>
      <w:r>
        <w:rPr>
          <w:rFonts w:ascii="IRNazanin" w:hAnsi="IRNazanin" w:eastAsia="IRNazanin"/>
          <w:color w:val="111111"/>
          <w:sz w:val="28"/>
          <w:sz w:val="28"/>
          <w:szCs w:val="28"/>
          <w:rtl w:val="true"/>
          <w:lang w:bidi="fa-IR"/>
        </w:rPr>
        <w:t>فتاوای فقها در این مسئله معمولاً در محدودۀ احکام الزام آور نیست و غالباً حول محور کراهت، اباحه یا استحباب می‌گردد؛ اما این نکته دلیلی بر کم اهمیت بودن این مسئله نیست؛ زیرا اهمیت و ضرورت یک مسئله به عوامل مختلفی نظیر مبتلا به بودن آن برای عموم مردم یا میزان تأثیر آن در جامعه اسلامی بستگی دارد؛ به بیان دیگر اگرچه فتوای علما در مورد این مسئله یک حکم الزام آور نیست، بررسی آن به چند دلیل از اهمیت ویژه‌ای برخوردار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گستره مساجد در جای جای جهان اسلام گویای کثرت افراد مبتلا به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پدران و مادران مسلمان و مؤمنی که به تربیت </w:t>
      </w:r>
      <w:bookmarkStart w:id="28" w:name="pg19111_194835"/>
    </w:p>
    <w:p>
      <w:pPr>
        <w:pStyle w:val="BookText"/>
        <w:rPr/>
      </w:pPr>
      <w:bookmarkEnd w:id="28"/>
      <w:r>
        <w:rPr>
          <w:rFonts w:ascii="IRNazanin" w:hAnsi="IRNazanin" w:eastAsia="IRNazanin"/>
          <w:color w:val="111111"/>
          <w:sz w:val="28"/>
          <w:sz w:val="28"/>
          <w:szCs w:val="28"/>
          <w:rtl w:val="true"/>
          <w:lang w:bidi="fa-IR"/>
        </w:rPr>
        <w:t>دینی فرزندانشان علاقه مند هستند و از سوی دیگر مسئولان اماکن دینی، به دلیل همگام سازی مسجد با احکام شرعی و برنامه ریزی متناسب با اوامر دینی، خواهان دانستن حکم شرعی این مسئله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اگرچه حکم کراهت یا استحباب در این مسئله یک حکم الزام آور نیست؛ تأثیر گذاری آن بسیار بیشتر از برخی از احکام الزام آور است؛ چراکه حکم این مسئله هر چه باشد، تأثیر فراوانی بر فرهنگ مسلمانان خواهد گذاشت و روند اجتماعی، فرهنگی، آموزشی و تربیتی جامعه مسلمین را جهت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بررسی این مسئله به ویژه در دوران کنونی، به دلیل شرایط اجتماعی، سیاسی و فرهنگی ویژه‌ای که جهان اسلام با آن روبروست، لزوم و ضرورت بیشتری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هجمه شدید فرهنگی که در عصر حاضر علیه دین مبین اسلام وجود دارد و بیش از هر کس، کودکان جامعه اسلامی را هدف خود قرار داده است، ضرورت دیگری برای بررسی این مسئله است؛ چراکه اگر به این نتیجه برسیم که شارع رضایتی به حضور کودکان در مسجد ندارد، باید در پی راه‌های دیگری برای صیانت از آیین کودکان مسلمان باشیم و چاره دیگری بیندیشیم</w:t>
      </w:r>
      <w:r>
        <w:rPr>
          <w:rFonts w:eastAsia="IRNazanin" w:cs="IRNazanin"/>
          <w:color w:val="111111"/>
          <w:sz w:val="28"/>
          <w:szCs w:val="28"/>
          <w:rtl w:val="true"/>
          <w:lang w:bidi="fa-IR"/>
        </w:rPr>
        <w:t>.</w:t>
      </w:r>
    </w:p>
    <w:p>
      <w:pPr>
        <w:pStyle w:val="Heading2"/>
        <w:numPr>
          <w:ilvl w:val="1"/>
          <w:numId w:val="1"/>
        </w:numPr>
        <w:rPr/>
      </w:pPr>
      <w:bookmarkStart w:id="29" w:name="__RefHeading___Toc15165067_1280447820"/>
      <w:bookmarkStart w:id="30" w:name="_Toc9"/>
      <w:bookmarkEnd w:id="29"/>
      <w:r>
        <w:rPr>
          <w:rtl w:val="true"/>
        </w:rPr>
        <w:t>ب</w:t>
      </w:r>
      <w:r>
        <w:rPr>
          <w:rtl w:val="true"/>
        </w:rPr>
        <w:t xml:space="preserve">) </w:t>
      </w:r>
      <w:r>
        <w:rPr>
          <w:rtl w:val="true"/>
        </w:rPr>
        <w:t>ضرورت تربیتی</w:t>
      </w:r>
      <w:bookmarkEnd w:id="3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نسل دیندار و معتقد به آموزه‌های دینی یکی از دغدغه‌های آیینی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آموزه‌های پربار و انسان ساز اسلام عزیز به نسل بعدی، وظیفه ای بس دشوار است که بنا بر روایات مختلف، بر دوش یکایک مسلمانان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شایسته نسل جدید نیازمند عوامل مختلفی است که توجه به عنصر زمان و مکان از لوازم ضروری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محیطی که ما در آن زندگی می‌کنیم و مکان هایی که روزانه به آن رفت و آمد می‌کنیم، تأثیر بسزایی در روح و روان ما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31" w:name="pg19111_194836"/>
    </w:p>
    <w:p>
      <w:pPr>
        <w:pStyle w:val="BookText"/>
        <w:rPr/>
      </w:pPr>
      <w:bookmarkEnd w:id="31"/>
      <w:r>
        <w:rPr>
          <w:rFonts w:ascii="IRNazanin" w:hAnsi="IRNazanin" w:eastAsia="IRNazanin"/>
          <w:color w:val="111111"/>
          <w:sz w:val="28"/>
          <w:sz w:val="28"/>
          <w:szCs w:val="28"/>
          <w:rtl w:val="true"/>
          <w:lang w:bidi="fa-IR"/>
        </w:rPr>
        <w:t>مسئله در مورد کودکان و نوجوانان از حساسیت بیشتری برخوردار است؛ چراکه تأثیر پذیری آن ها از محیط پیرامونی شان بسیار بیشتر از حدّ تصور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بیان شد و با در نظر داشتن شرایط حساس دنیای کنونی، ارائه یک بستر تربیت محور، برای رفت و آمد و حضور کودکان در آن امری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دورانی که هر روزمکان ها، بسترها و بسته‌های گوناگون فرهنگی به عموم مردم مسلمان عرضه می‌شود و دشمنان اسلام در پی تسلط بر افکار کودکان مسلمان هستند، باید بستری مناسب برای تربیت کودکان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با توجه به دیدگاه ارزش مدار و مقدسی که آیین اسلام درباره مسجد دارد، باید گفت که مسجد بهترین پیشنهاد برای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دید که دیدگاه شریعت دراین باره چیست و آیا آیین ما مطلب دیگری جز این به ما عرضه کرده است؟</w:t>
      </w:r>
    </w:p>
    <w:p>
      <w:pPr>
        <w:pStyle w:val="Heading2"/>
        <w:numPr>
          <w:ilvl w:val="1"/>
          <w:numId w:val="1"/>
        </w:numPr>
        <w:rPr/>
      </w:pPr>
      <w:bookmarkStart w:id="32" w:name="__RefHeading___Toc15165069_1280447820"/>
      <w:bookmarkStart w:id="33" w:name="_Toc10"/>
      <w:bookmarkEnd w:id="32"/>
      <w:r>
        <w:rPr>
          <w:rtl w:val="true"/>
        </w:rPr>
        <w:t>ج</w:t>
      </w:r>
      <w:r>
        <w:rPr>
          <w:rtl w:val="true"/>
        </w:rPr>
        <w:t xml:space="preserve">) </w:t>
      </w:r>
      <w:r>
        <w:rPr>
          <w:rtl w:val="true"/>
        </w:rPr>
        <w:t>ضرورت فرهنگی</w:t>
      </w:r>
      <w:r>
        <w:rPr>
          <w:rtl w:val="true"/>
        </w:rPr>
        <w:t xml:space="preserve">- </w:t>
      </w:r>
      <w:r>
        <w:rPr>
          <w:rtl w:val="true"/>
        </w:rPr>
        <w:t>اجتماعی</w:t>
      </w:r>
      <w:bookmarkEnd w:id="33"/>
    </w:p>
    <w:p>
      <w:pPr>
        <w:pStyle w:val="BookText"/>
        <w:rPr/>
      </w:pPr>
      <w:r>
        <w:rPr>
          <w:rFonts w:ascii="IRNazanin" w:hAnsi="IRNazanin" w:eastAsia="IRNazanin"/>
          <w:color w:val="111111"/>
          <w:sz w:val="28"/>
          <w:sz w:val="28"/>
          <w:szCs w:val="28"/>
          <w:rtl w:val="true"/>
          <w:lang w:bidi="fa-IR"/>
        </w:rPr>
        <w:t>نهاد مسجد یک سازمان چند منظوره و با کارکردهای مختلف است که در زمینه‌های گوناگون انسانی تأثیر گذار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سازمان مسجد به گونه‌ای است که هم رشد فردی و هم تعالی اجتماعی مسلمانان را درنظر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آیات و روایات و کنکاش در سیره معصومان علیهم السلام نشان می‌دهد که مسجد، افزون بر رشد معنوی و تربیتی جامعه، نهادی اجتماعی، فرهنگی و سیاسی است که می‌تواند در تمامی این عرصه‌ها تأثیر گذار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رشد فرهنگی و اجتماعی مسلمانان، مخصوص قشر خاصی از جامعه نیست، لزوم آن برای نسل جدید، بیش از دیگر اقشار جامعه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نوجوانان و جوانان هر جامعه‌ای سامان دهندۀ </w:t>
      </w:r>
    </w:p>
    <w:p>
      <w:pPr>
        <w:pStyle w:val="BookText"/>
        <w:rPr/>
      </w:pPr>
      <w:r>
        <w:rPr>
          <w:rFonts w:ascii="IRNazanin" w:hAnsi="IRNazanin" w:eastAsia="IRNazanin"/>
          <w:color w:val="111111"/>
          <w:sz w:val="28"/>
          <w:sz w:val="28"/>
          <w:szCs w:val="28"/>
          <w:rtl w:val="true"/>
          <w:lang w:bidi="fa-IR"/>
        </w:rPr>
        <w:t xml:space="preserve">فرهنگ سال‌های نه چندان دور آن جامعه خواهند بود که غفلت از آن ها، به از دست رفتن فرهنگ عمومی جامعه منتهی خواهد شد؛ بنابراین روشن است که برنامه ریزی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هر جامعه باید بیش از هر گروه بر کودکان و جوانان آن جامعه متمرکز باشد تا طی سال‌های متمادی حاصلی پربار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معمول نگارش یک برنامه جامع فرهنگی دین محور در یک جامعه اسلامی بسیار ضروری و لازم است؛ اما باید گفت که چنین ضرورتی در دوران حاکمیت دینی، دو چندان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انقلاب اسلامی و حاکمیت دین و فقاهت دینی، گستره وظایف متفکران و اندیشمندان دینی را افزوده و پژوهش و فقاهت در مسائل اجتماعی را ضروری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مسئله مذکور نیز از جمله مسائل مهم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 که در سال‌های اخیر اهمیت بیشتری به خود گرفته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گفته شد، بر می‌آید که، حضور کودکان در مسجد یکی از لوازم رشد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جامعه اسلامی است که نمی‌توان به راحتی از کنار آن گذشت؛ اما باید دید که دیدگاه فقه در این مسئله چیست و آیا حضور کودکان در مسجد مورد تأیید و پذیرش شارع هست؟ مثبت یا منفی بودنِ پاسخ این پرسش، دو مسیر مختلف را در مقابل برنامه ریزان فرهنگی قرار خواهد کرد؛ اگر رویکرد شارع، ترغیب و تحسین آوردن کودکان به مسجد، باشد روشن است که برنامه ریزی فرهنگی در یک جامعه اسلامی بر اساس مسجد محوری و فرهنگ سازی مسجد مدارانه پیش خواهد رفت؛ اما اگر شارع مقدس به هر دلیل و مصلحتی با حضور کودکان در مسجد مخالف باشد، باید برنامه ریزی فرهنگی برای کودکان را از نهادی دیگر آغاز کرد و در محیطی دیگر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مسئله خصوصاً در دوران کنونی که شاهد هجمه فرهنگی دشمن علیه کودکان، نوجوانان و جوانان مسلمان هستیم، اهمیت بیشتری یافته است</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9111_194842"/>
      <w:bookmarkStart w:id="35" w:name="pg19111_194842"/>
      <w:bookmarkEnd w:id="35"/>
    </w:p>
    <w:p>
      <w:pPr>
        <w:pStyle w:val="Heading2"/>
        <w:numPr>
          <w:ilvl w:val="1"/>
          <w:numId w:val="1"/>
        </w:numPr>
        <w:rPr/>
      </w:pPr>
      <w:bookmarkStart w:id="36" w:name="pg19111_194842"/>
      <w:bookmarkStart w:id="37" w:name="__RefHeading___Toc15165071_1280447820"/>
      <w:bookmarkStart w:id="38" w:name="_Toc11"/>
      <w:bookmarkEnd w:id="36"/>
      <w:bookmarkEnd w:id="37"/>
      <w:r>
        <w:rPr>
          <w:rtl w:val="true"/>
        </w:rPr>
        <w:t>بخش اول</w:t>
      </w:r>
      <w:r>
        <w:rPr>
          <w:rtl w:val="true"/>
        </w:rPr>
        <w:t xml:space="preserve">: </w:t>
      </w:r>
      <w:r>
        <w:rPr>
          <w:rtl w:val="true"/>
        </w:rPr>
        <w:t>گزارشی از سیر فتوایی و پیشینه فقهی مساله</w:t>
      </w:r>
      <w:bookmarkEnd w:id="3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15165073_1280447820"/>
      <w:bookmarkStart w:id="40" w:name="_Toc12"/>
      <w:bookmarkEnd w:id="39"/>
      <w:r>
        <w:rPr>
          <w:rtl w:val="true"/>
        </w:rPr>
        <w:t>اشاره</w:t>
      </w:r>
      <w:bookmarkEnd w:id="4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9111_194846"/>
      <w:bookmarkStart w:id="42" w:name="pg19111_194846"/>
      <w:bookmarkEnd w:id="42"/>
    </w:p>
    <w:p>
      <w:pPr>
        <w:pStyle w:val="BookText"/>
        <w:rPr/>
      </w:pPr>
      <w:bookmarkStart w:id="43" w:name="pg19111_194846"/>
      <w:bookmarkEnd w:id="43"/>
      <w:r>
        <w:rPr>
          <w:rFonts w:ascii="IRNazanin" w:hAnsi="IRNazanin" w:eastAsia="IRNazanin"/>
          <w:color w:val="111111"/>
          <w:sz w:val="28"/>
          <w:sz w:val="28"/>
          <w:szCs w:val="28"/>
          <w:rtl w:val="true"/>
          <w:lang w:bidi="fa-IR"/>
        </w:rPr>
        <w:t>کنکاش در کتب فقهی شیعه و اهل تسنن نشان می دهد که این مساله از دیرباز مورد توجه فقهای فریقین بوده است که در نهایت دیدگاه های مختلفی را پیرامون آن عرضه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مساله از مسائل اساسی فقه نبوده و به همین دلیل در ابتدای امر، کنکاشی جدّی و تحلیلی عمیق پیرامون آن انجام نگرفته است، اما گذر زمان اندکی بر مجموعه تحلیل ها افزوده و دیدگاه های متفاوتی را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دیدگاه های متفاوتی که از قدما و متاخران شیعه در این زمینه وجود دارد، بررسی دیدگاه فقهای اهل تسنن نیز راهگشا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کمترین ثمره آن روشن شدن فضای حاکم در مورد این مساله در دوران معصوم علیهم السلام خواهد بود</w:t>
      </w:r>
      <w:r>
        <w:rPr>
          <w:rFonts w:eastAsia="IRNazanin" w:cs="IRNazanin"/>
          <w:color w:val="111111"/>
          <w:sz w:val="28"/>
          <w:szCs w:val="28"/>
          <w:rtl w:val="true"/>
          <w:lang w:bidi="fa-IR"/>
        </w:rPr>
        <w:t>.</w:t>
      </w:r>
    </w:p>
    <w:p>
      <w:pPr>
        <w:pStyle w:val="Heading3"/>
        <w:numPr>
          <w:ilvl w:val="2"/>
          <w:numId w:val="1"/>
        </w:numPr>
        <w:rPr/>
      </w:pPr>
      <w:bookmarkStart w:id="44" w:name="__RefHeading___Toc15165075_1280447820"/>
      <w:bookmarkStart w:id="45" w:name="_Toc13"/>
      <w:bookmarkEnd w:id="44"/>
      <w:r>
        <w:rPr>
          <w:rtl w:val="true"/>
        </w:rPr>
        <w:t>فصل اول</w:t>
      </w:r>
      <w:r>
        <w:rPr>
          <w:rtl w:val="true"/>
        </w:rPr>
        <w:t xml:space="preserve">: </w:t>
      </w:r>
      <w:r>
        <w:rPr>
          <w:rtl w:val="true"/>
        </w:rPr>
        <w:t>دیدگاه فقهی اهل تسنن در مساله</w:t>
      </w:r>
      <w:bookmarkEnd w:id="45"/>
    </w:p>
    <w:p>
      <w:pPr>
        <w:pStyle w:val="Heading4"/>
        <w:numPr>
          <w:ilvl w:val="3"/>
          <w:numId w:val="1"/>
        </w:numPr>
        <w:rPr/>
      </w:pPr>
      <w:bookmarkStart w:id="46" w:name="__RefHeading___Toc15165077_1280447820"/>
      <w:bookmarkStart w:id="47" w:name="_Toc14"/>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از آنجا که فقه رایج در میان عموم مردم در دوران معصومان علیهم السلام، فقه اهل تسنن بوده است و اهل بیت علیهم السلام نیز با توجه به دیدگاه های فقهی اهل تسنن پیرامون احکام مبتلا به، سخن گفته اند، پیش از هر چیز لازم است که دیدگاه اهل تسنن پیرامون این مبحث مورد تحلیل و بررسی قرار گیرد</w:t>
      </w:r>
      <w:r>
        <w:rPr>
          <w:rFonts w:eastAsia="IRNazanin" w:cs="IRNazanin"/>
          <w:color w:val="111111"/>
          <w:sz w:val="28"/>
          <w:szCs w:val="28"/>
          <w:rtl w:val="true"/>
          <w:lang w:bidi="fa-IR"/>
        </w:rPr>
        <w:t>.</w:t>
      </w:r>
    </w:p>
    <w:p>
      <w:pPr>
        <w:pStyle w:val="Heading4"/>
        <w:numPr>
          <w:ilvl w:val="3"/>
          <w:numId w:val="1"/>
        </w:numPr>
        <w:rPr/>
      </w:pPr>
      <w:bookmarkStart w:id="48" w:name="__RefHeading___Toc15165079_1280447820"/>
      <w:bookmarkStart w:id="49" w:name="_Toc15"/>
      <w:bookmarkEnd w:id="48"/>
      <w:r>
        <w:rPr>
          <w:rtl w:val="true"/>
        </w:rPr>
        <w:t>گفتار اول</w:t>
      </w:r>
      <w:r>
        <w:rPr>
          <w:rtl w:val="true"/>
        </w:rPr>
        <w:t xml:space="preserve">: </w:t>
      </w:r>
      <w:r>
        <w:rPr>
          <w:rtl w:val="true"/>
        </w:rPr>
        <w:t>لزوم بررسی دیدگاه اهل تسنن</w:t>
      </w:r>
      <w:bookmarkEnd w:id="4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به آرای فقهی اهل تسنن از دیرباز در میان فقهای شیعه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آثاری که نشان دهنده اهمیت این موضوع در میان فقهای شیعی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تألیف این اثر بر اهتمام و توجه مؤلفان فقه امامی به آرای فقهای اهل سنّت، تاثیر قابل توجهی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پس از آن فقهای امامی، آثار مهمی در زمینه علم خلاف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می 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الخلاف و الوفاق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علی بن محمد قمی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اثر در فقه امامی نیست که به آرای فقهی مذاهب دیگر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ابن جنید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اهل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مسائل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اثر سید مرتضی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خلاف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سیدرضی به رشته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کتاب الخلاف از نظر گستره موضوعی و تفریع فروع و روش استدلال نقطه عطفی در این زمینه به شمار می‌رود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دوران معاصر نیز آیت الله بروجردی مراجعه به فتاوای اهل سنت را از مقدمات فقه دانسته و معتقد بودند در فقه و استنباط فقهی، باید آرای اهل سنت مورد تحلیل و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توجه به نظرات آنان و مقایسه با آراء فقهی شیعه و نقل ادله ایشان و در نهایت نقد دیدگاه و ادله آنها را از لوازم فقه بر می شمرد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آیت الله صافی گلپایگانی ضمن تشریح روش فقهی آیت الله بروجردی، آن را مقدمه ای برای دانستن فضای صدور روایت دانسته، چنین می 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یک روایت را بدون اطلاع از فضا و محیط صدور روایت بررسی کنیم تنها به معنای ظاهری که از لفظ استفاده می شود، آگاه </w:t>
      </w:r>
      <w:bookmarkStart w:id="50" w:name="pg19111_194851"/>
    </w:p>
    <w:p>
      <w:pPr>
        <w:pStyle w:val="BookText"/>
        <w:rPr/>
      </w:pPr>
      <w:bookmarkEnd w:id="50"/>
      <w:r>
        <w:rPr>
          <w:rFonts w:ascii="IRNazanin" w:hAnsi="IRNazanin" w:eastAsia="IRNazanin"/>
          <w:color w:val="111111"/>
          <w:sz w:val="28"/>
          <w:sz w:val="28"/>
          <w:szCs w:val="28"/>
          <w:rtl w:val="true"/>
          <w:lang w:bidi="fa-IR"/>
        </w:rPr>
        <w:t>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محیط صدور روایت و نظریات علمی و مطرح شده در آن فضا را بدانیم، چه بسا قرینه حالیه ای، فهم ما را از روایت عوض کند یا توسعه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جهت در همه اخبار محتمل نیست، ولی چون فی الجمله علم اجمالی به آن است، در هر کجا محتمل باشد باید از این قرینه فحص نمود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آیت الله محمد فاضل لنکرانی در این رابطه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معتقد بود احادیث ما شأن نزول دارند و در محیطی صادر شده اند که اقوال و نظریات فقیهان بزرگ اهل سنت، حاکم بوده است و ناظر به این فتاوا، اهل بیت سخن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آنان یا در ردّ نظریه ای است و یا در اثبات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جوّ مسأله فقهیه را بدست آورد تا فهمید مقصود از روایات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پیش از هر چیز باید به دیدگاه فقهای پیشین و معاصر و همچنین فقهای اهل تسنن بپردازیم و خلاصه ای از آراء حال و گذشته را بدست آوریم</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51" w:name="__RefHeading___Toc15165081_1280447820"/>
      <w:bookmarkStart w:id="52" w:name="_Toc16"/>
      <w:bookmarkEnd w:id="51"/>
      <w:r>
        <w:rPr>
          <w:rtl w:val="true"/>
        </w:rPr>
        <w:t>گفتار دوم</w:t>
      </w:r>
      <w:r>
        <w:rPr>
          <w:rtl w:val="true"/>
        </w:rPr>
        <w:t xml:space="preserve">: </w:t>
      </w:r>
      <w:r>
        <w:rPr>
          <w:rtl w:val="true"/>
        </w:rPr>
        <w:t>دیدگاه مذاهب چهارگانه اهل تسنن در مساله</w:t>
      </w:r>
      <w:bookmarkEnd w:id="52"/>
    </w:p>
    <w:p>
      <w:pPr>
        <w:pStyle w:val="Heading5"/>
        <w:numPr>
          <w:ilvl w:val="4"/>
          <w:numId w:val="1"/>
        </w:numPr>
        <w:rPr/>
      </w:pPr>
      <w:bookmarkStart w:id="53" w:name="__RefHeading___Toc15165083_1280447820"/>
      <w:bookmarkStart w:id="54" w:name="_Toc17"/>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با اینکه کتب فقه مقارن و خلاف نگاری از گذشته دور در میان علمای شیعه مرسوم بوده و به نگارش موارد اختلافی فقه شیعه با اهل تسنن پرداخته اما با این حال در برخی از مسائل فرعی فقه نظیر مساله مورد بحث، تحلیلی انجام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مساله را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نیز در کتب فقه مقارن خود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دیدگاه شیعه پیرامون این موضوع پرداخته و نقطه نظرات عامه را مطرح نکرده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برای یافتن دیدگاه اهل تسنن پیرامون این موضوع باید به منابع اصلی مذاهب چهارگانه </w:t>
      </w:r>
      <w:bookmarkStart w:id="55" w:name="pg19111_194853"/>
    </w:p>
    <w:p>
      <w:pPr>
        <w:pStyle w:val="BookText"/>
        <w:rPr/>
      </w:pPr>
      <w:bookmarkEnd w:id="55"/>
      <w:r>
        <w:rPr>
          <w:rFonts w:ascii="IRNazanin" w:hAnsi="IRNazanin" w:eastAsia="IRNazanin"/>
          <w:color w:val="111111"/>
          <w:sz w:val="28"/>
          <w:sz w:val="28"/>
          <w:szCs w:val="28"/>
          <w:rtl w:val="true"/>
          <w:lang w:bidi="fa-IR"/>
        </w:rPr>
        <w:t>اهل تسنن مراجعه کرد و دیدگاه هر یک را به صورت مجزا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فتاوای مذاهب چهارگانه اهل تسنن در مساله مذکور نشان می دهد که نهی و بازدارندگی فتاوای اهل تسنن نسبت به فتاوای شیعه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بسیاری از فقهای اهل تسنن در مورد حکم ورود کودکان به مسجد، پا را از محدوده کراهت فراتر گذاشته و حکم به حرمت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از این مذاهب، ورود برخی از کودکان به مسجد را حرام دانسته و یا ممنوعیت ورود آنها به مسجد را واجب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بررسی تفصیلی دیدگاه یکایک مذاهب چهارگانه اهل تسنن خواهیم پرداخت</w:t>
      </w:r>
      <w:r>
        <w:rPr>
          <w:rFonts w:eastAsia="IRNazanin" w:cs="IRNazanin"/>
          <w:color w:val="111111"/>
          <w:sz w:val="28"/>
          <w:szCs w:val="28"/>
          <w:rtl w:val="true"/>
          <w:lang w:bidi="fa-IR"/>
        </w:rPr>
        <w:t>.</w:t>
      </w:r>
    </w:p>
    <w:p>
      <w:pPr>
        <w:pStyle w:val="Heading5"/>
        <w:numPr>
          <w:ilvl w:val="4"/>
          <w:numId w:val="1"/>
        </w:numPr>
        <w:rPr/>
      </w:pPr>
      <w:bookmarkStart w:id="56" w:name="__RefHeading___Toc15165085_1280447820"/>
      <w:bookmarkStart w:id="57" w:name="_Toc18"/>
      <w:bookmarkEnd w:id="56"/>
      <w:r>
        <w:rPr/>
        <w:t>1</w:t>
      </w:r>
      <w:r>
        <w:rPr>
          <w:rtl w:val="true"/>
        </w:rPr>
        <w:t xml:space="preserve">- </w:t>
      </w:r>
      <w:r>
        <w:rPr>
          <w:rtl w:val="true"/>
        </w:rPr>
        <w:t>مذهب حنفیه</w:t>
      </w:r>
      <w:r>
        <w:rPr>
          <w:rtl w:val="true"/>
        </w:rPr>
        <w:t xml:space="preserve">: </w:t>
      </w:r>
      <w:r>
        <w:rPr>
          <w:rtl w:val="true"/>
        </w:rPr>
        <w:t>تفصیل بین حرمت و کراهت</w:t>
      </w:r>
      <w:bookmarkEnd w:id="57"/>
    </w:p>
    <w:p>
      <w:pPr>
        <w:pStyle w:val="BookText"/>
        <w:rPr/>
      </w:pPr>
      <w:r>
        <w:rPr>
          <w:rFonts w:ascii="IRNazanin" w:hAnsi="IRNazanin" w:eastAsia="IRNazanin"/>
          <w:color w:val="111111"/>
          <w:sz w:val="28"/>
          <w:sz w:val="28"/>
          <w:szCs w:val="28"/>
          <w:rtl w:val="true"/>
          <w:lang w:bidi="fa-IR"/>
        </w:rPr>
        <w:t>بنا بر فقه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غالب بر این باشد که کودک مسجد را نجس می کند، آوردن او به مسجد حرام است اما در غیر این صورت بردن او به مسجد، مکروه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حصفکی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إدخال صبیان و مجانین حیث غلب تنجیسهم و إلا فیکره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وارد کردن کودکان و دیوانگان به مسجد حرام است تا زمانی که غالبا نجاست آفرین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این صورت آوردن آنها به مسجد مکروه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نجیم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الدرس في المسجد و إن کان فیه استعمال اللبود و البواري المسبلة لأجل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الصبیان القرآن في المسجد لا یجوز و یأثم و کذا التأدیب فیه أي لا یجوز التأدیب فیه إذا کان بأجر و ینبغي أن یجوز بغیر أجر و أما الصبیان فقد قال النبي صلي الله علیه وسلم جنبوا مساجدکم صبیانکم و مجانینکم و کذا لا یجوز التعلیم في دکان في فناء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 أبي حنیفة</w:t>
      </w:r>
      <w:r>
        <w:rPr>
          <w:rFonts w:eastAsia="IRNazanin" w:cs="IRNazanin"/>
          <w:color w:val="111111"/>
          <w:sz w:val="28"/>
          <w:szCs w:val="28"/>
          <w:rtl w:val="true"/>
          <w:lang w:bidi="fa-IR"/>
        </w:rPr>
        <w:t>.</w:t>
      </w:r>
      <w:r>
        <w:rPr>
          <w:rStyle w:val="FootnoteAnchor"/>
          <w:rtl w:val="true"/>
        </w:rPr>
        <w:footnoteReference w:id="1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درس در مسجد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از فرش ها و بوریاهای </w:t>
      </w:r>
      <w:bookmarkStart w:id="58" w:name="pg19111_194855"/>
    </w:p>
    <w:p>
      <w:pPr>
        <w:pStyle w:val="BookText"/>
        <w:rPr/>
      </w:pPr>
      <w:bookmarkEnd w:id="58"/>
      <w:r>
        <w:rPr>
          <w:rFonts w:ascii="IRNazanin" w:hAnsi="IRNazanin" w:eastAsia="IRNazanin"/>
          <w:color w:val="111111"/>
          <w:sz w:val="28"/>
          <w:sz w:val="28"/>
          <w:szCs w:val="28"/>
          <w:rtl w:val="true"/>
          <w:lang w:bidi="fa-IR"/>
        </w:rPr>
        <w:t>کشیده و بلند برای مسجد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آموزش قرآن به کودکان در مسجد جایز نیست و گناه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تعلیم و تربیت و ادب آموزی در مسجد جایز نیست اگر با مزد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بدون مزد باشد شایسته است که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جواز تعلیم به کودکان به سبب آن است که پیامبر خدا فرموده است مساجدتان را از کودکان و مجانین دور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آموزش در دکانی که در حیاط مسجد است نیز جایز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که گفته شد بنابر دیدگاه ابو حنیفه بود</w:t>
      </w:r>
      <w:r>
        <w:rPr>
          <w:rFonts w:eastAsia="IRNazanin" w:cs="IRNazanin"/>
          <w:color w:val="111111"/>
          <w:sz w:val="28"/>
          <w:szCs w:val="28"/>
          <w:rtl w:val="true"/>
          <w:lang w:bidi="fa-IR"/>
        </w:rPr>
        <w:t>.</w:t>
      </w:r>
    </w:p>
    <w:p>
      <w:pPr>
        <w:pStyle w:val="Heading5"/>
        <w:numPr>
          <w:ilvl w:val="4"/>
          <w:numId w:val="1"/>
        </w:numPr>
        <w:rPr/>
      </w:pPr>
      <w:bookmarkStart w:id="59" w:name="__RefHeading___Toc15165087_1280447820"/>
      <w:bookmarkStart w:id="60" w:name="_Toc19"/>
      <w:bookmarkEnd w:id="59"/>
      <w:r>
        <w:rPr/>
        <w:t>2</w:t>
      </w:r>
      <w:r>
        <w:rPr>
          <w:rtl w:val="true"/>
        </w:rPr>
        <w:t xml:space="preserve">- </w:t>
      </w:r>
      <w:r>
        <w:rPr>
          <w:rtl w:val="true"/>
        </w:rPr>
        <w:t>مذهب مالکیه</w:t>
      </w:r>
      <w:r>
        <w:rPr>
          <w:rtl w:val="true"/>
        </w:rPr>
        <w:t xml:space="preserve">: </w:t>
      </w:r>
      <w:r>
        <w:rPr>
          <w:rtl w:val="true"/>
        </w:rPr>
        <w:t>تفصیل بین عدم جواز و اباحه</w:t>
      </w:r>
      <w:bookmarkEnd w:id="60"/>
    </w:p>
    <w:p>
      <w:pPr>
        <w:pStyle w:val="BookText"/>
        <w:rPr/>
      </w:pPr>
      <w:r>
        <w:rPr>
          <w:rFonts w:ascii="IRNazanin" w:hAnsi="IRNazanin" w:eastAsia="IRNazanin"/>
          <w:color w:val="111111"/>
          <w:sz w:val="28"/>
          <w:sz w:val="28"/>
          <w:szCs w:val="28"/>
          <w:rtl w:val="true"/>
          <w:lang w:bidi="fa-IR"/>
        </w:rPr>
        <w:t>بنا بر فقه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کودک به مسجد به شرطی جایز است که کودک در مسجد بازیگوشی نکند و یا اینکه وقتی او را از بازیگوشی نهی می کنند،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این صورت بردن کودک به مسجد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مالک عن الصبیان یؤتي بهم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کأن لا یعبث لصغره و یکف إذ نهي فلا أري بهذا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إن کان یعبث لصغره فلا أري یأن یؤتي به إلي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القاسم قلت لمالک فالصبي یؤتي به إلي أبیه و هو صغیر و هو في صلاة مکتوبة قال فلینحه عنه إذا کان في المکتوبة ولا بأس به في النافلة</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مالک بن انس در مورد آوردن کودکان به مسجد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بازیگوشی کودکانه نمی کند و هرگاه او را نهی کنند، دست از بازی برمی دارد، پس مشکلی در آوردن آنها به مسجد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بازیگوشی کودکانه دارد، آوردن آنها به مسجد را نمی پسندم و نظر به آن ندارم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قاسم از مالک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کم سن و سال را به مسجد می آورند </w:t>
      </w:r>
      <w:bookmarkStart w:id="61" w:name="pg19111_194857"/>
    </w:p>
    <w:p>
      <w:pPr>
        <w:pStyle w:val="BookText"/>
        <w:rPr/>
      </w:pPr>
      <w:bookmarkEnd w:id="61"/>
      <w:r>
        <w:rPr>
          <w:rFonts w:ascii="IRNazanin" w:hAnsi="IRNazanin" w:eastAsia="IRNazanin"/>
          <w:color w:val="111111"/>
          <w:sz w:val="28"/>
          <w:sz w:val="28"/>
          <w:szCs w:val="28"/>
          <w:rtl w:val="true"/>
          <w:lang w:bidi="fa-IR"/>
        </w:rPr>
        <w:t>تا به سوی پدرش برود در حالیکه پدر او در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واجب است، کودک را از پدرش منصرف کنند و اگر نماز نافله است،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حطاب رعینی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حکم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فالشرط في جواز إحضاره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عدم عبثه أو کونه یکف إذا نهي عن العبث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کلام المؤلف أي ابن الحاجب أن یکف عن العبث إذا وقع في المسجد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پس شرط جواز آوردن کودکان به مسجد یکی از این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کودک بازیگوشی نکند و دوم اینکه اگر هم بازیگوشی می کند وقتی او را از این کار نهی کردند از بازیگوشی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سخن مولف این است که این شرط یعنی دست برداشتن از بازیگوشی برای زمانی است که کودک در مسجد قرار می گیرد</w:t>
      </w:r>
      <w:r>
        <w:rPr>
          <w:rFonts w:eastAsia="IRNazanin" w:cs="IRNazanin"/>
          <w:color w:val="111111"/>
          <w:sz w:val="28"/>
          <w:szCs w:val="28"/>
          <w:rtl w:val="true"/>
          <w:lang w:bidi="fa-IR"/>
        </w:rPr>
        <w:t>.</w:t>
      </w:r>
    </w:p>
    <w:p>
      <w:pPr>
        <w:pStyle w:val="Heading5"/>
        <w:numPr>
          <w:ilvl w:val="4"/>
          <w:numId w:val="1"/>
        </w:numPr>
        <w:rPr/>
      </w:pPr>
      <w:bookmarkStart w:id="62" w:name="__RefHeading___Toc15165089_1280447820"/>
      <w:bookmarkStart w:id="63" w:name="_Toc20"/>
      <w:bookmarkEnd w:id="62"/>
      <w:r>
        <w:rPr/>
        <w:t>3</w:t>
      </w:r>
      <w:r>
        <w:rPr>
          <w:rtl w:val="true"/>
        </w:rPr>
        <w:t xml:space="preserve">- </w:t>
      </w:r>
      <w:r>
        <w:rPr>
          <w:rtl w:val="true"/>
        </w:rPr>
        <w:t>مذهب شافعیه</w:t>
      </w:r>
      <w:r>
        <w:rPr>
          <w:rtl w:val="true"/>
        </w:rPr>
        <w:t xml:space="preserve">: </w:t>
      </w:r>
      <w:r>
        <w:rPr>
          <w:rtl w:val="true"/>
        </w:rPr>
        <w:t>تفصیل بین کراهت و اباحه یا تفصیل بین حرمت و کراهت</w:t>
      </w:r>
      <w:bookmarkEnd w:id="63"/>
    </w:p>
    <w:p>
      <w:pPr>
        <w:pStyle w:val="BookText"/>
        <w:rPr/>
      </w:pPr>
      <w:r>
        <w:rPr>
          <w:rFonts w:ascii="IRNazanin" w:hAnsi="IRNazanin" w:eastAsia="IRNazanin"/>
          <w:color w:val="111111"/>
          <w:sz w:val="28"/>
          <w:sz w:val="28"/>
          <w:szCs w:val="28"/>
          <w:rtl w:val="true"/>
          <w:lang w:bidi="fa-IR"/>
        </w:rPr>
        <w:t>از ظاهر سخنان فقهای شافعی بر می آید که این مساله در میان آنها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قائل به حرمت و برخی قائل به کراهت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دیدگاه گروهی از فقهای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کودکان غیر ممیز به مسجد مکروه است اما آوردن کودکان ممیز به مسجد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خود بر کتاب المهذب شافعی می گوید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المتولي و غیره یکره ادخال البهائم و المجانین و الصبیان الذین لا یمیزون المسجد لأنه لا یؤمن تلویثهم إیاه و لا یحرم لک لأنه ثبت في الصحیحین أن رسول الله صلي الله علیه وسلم صلي حاملا امامة بنت زینب رضي الله عنهما و طاف علي بعیره و لا ینفي هذا الکراهة لأنه صلي الله علیه وسلم فعله لبیان الجواز فیکون حینئذ أفضل في حقه فان البیان واجب</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بسیاری از بزرگان مثل متولی و دیگران قائل به کراهت وارد کردن حیوانات و دیوانگان و همچنین کودکان غیر ممیز به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امنیتی برای آلوده و نجس کردن مسجد توسط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حکم بر تو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صحیحین از رسول خدا صلی الله علیه و اله نقل شده است که آن حضرت نواده خود امامه دختر زینب را بر دوش خود حمل می کرد و به مسجد می رفت و یا اینکه سوار بر شتر خود گرد خانه خدا طواف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روایات منافاتی با حکم به کراهتی که گفته 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 پیامبر صلی الله علیه و اله بیان گر جواز این کار است و در چنین شرایطی بر آن حضرت واجب است که مطلب را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بر دیدگاه گروه دیگری از فقهای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آوردن کودکان غیر ممیزی که غالبا ایجاد نجاست می کنند،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کودکی از نجاست و ضرر رسانی ایمن باشد، آوردن او به مسجد مکروه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 فی أحکام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تمکین الصبیان غیر الممیزین و المجانین و البهائم و الحیض و نحوهن و السکران من دخوله إن غلب تنجیسهم و إلا کره</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توانایی دادن و اجازه ورود کودکان غیر ممیز به مسجد حرام است و همچنین دیوانگان و حیوانات و زنان حائض و افراد مست به شرط آنکه غالبا ورود این افراد به مسجد سبب نجاست مسجد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این صورت تنها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مذحجی شافعی نیز می 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منع مجنون و صبی و من به اسهال یغلب تنجیسه المسجد</w:t>
      </w:r>
      <w:r>
        <w:rPr>
          <w:rFonts w:eastAsia="IRNazanin" w:cs="IRNazanin"/>
          <w:color w:val="111111"/>
          <w:sz w:val="28"/>
          <w:szCs w:val="28"/>
          <w:rtl w:val="true"/>
          <w:lang w:bidi="fa-IR"/>
        </w:rPr>
        <w:t>.</w:t>
      </w:r>
      <w:r>
        <w:rPr>
          <w:rStyle w:val="FootnoteAnchor"/>
          <w:rtl w:val="true"/>
        </w:rPr>
        <w:footnoteReference w:id="21"/>
      </w:r>
      <w:bookmarkStart w:id="64" w:name="pg19111_194861"/>
    </w:p>
    <w:p>
      <w:pPr>
        <w:pStyle w:val="BookText"/>
        <w:rPr/>
      </w:pPr>
      <w:bookmarkEnd w:id="64"/>
      <w:r>
        <w:rPr>
          <w:rFonts w:ascii="IRNazanin" w:hAnsi="IRNazanin" w:eastAsia="IRNazanin"/>
          <w:color w:val="111111"/>
          <w:sz w:val="28"/>
          <w:sz w:val="28"/>
          <w:szCs w:val="28"/>
          <w:rtl w:val="true"/>
          <w:lang w:bidi="fa-IR"/>
        </w:rPr>
        <w:t>ممنوعیت ورود این افراد به مسجد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کودک و کسی که اسهال دارد و غالبا سبب نجاست مسجد می شود</w:t>
      </w:r>
      <w:r>
        <w:rPr>
          <w:rFonts w:eastAsia="IRNazanin" w:cs="IRNazanin"/>
          <w:color w:val="111111"/>
          <w:sz w:val="28"/>
          <w:szCs w:val="28"/>
          <w:rtl w:val="true"/>
          <w:lang w:bidi="fa-IR"/>
        </w:rPr>
        <w:t>.</w:t>
      </w:r>
    </w:p>
    <w:p>
      <w:pPr>
        <w:pStyle w:val="Heading5"/>
        <w:numPr>
          <w:ilvl w:val="4"/>
          <w:numId w:val="1"/>
        </w:numPr>
        <w:rPr/>
      </w:pPr>
      <w:bookmarkStart w:id="65" w:name="__RefHeading___Toc15165091_1280447820"/>
      <w:bookmarkStart w:id="66" w:name="_Toc21"/>
      <w:bookmarkEnd w:id="65"/>
      <w:r>
        <w:rPr/>
        <w:t>4</w:t>
      </w:r>
      <w:r>
        <w:rPr>
          <w:rtl w:val="true"/>
        </w:rPr>
        <w:t xml:space="preserve">- </w:t>
      </w:r>
      <w:r>
        <w:rPr>
          <w:rtl w:val="true"/>
        </w:rPr>
        <w:t>مذهب حنبلیه</w:t>
      </w:r>
      <w:r>
        <w:rPr>
          <w:rtl w:val="true"/>
        </w:rPr>
        <w:t xml:space="preserve">: </w:t>
      </w:r>
      <w:r>
        <w:rPr>
          <w:rtl w:val="true"/>
        </w:rPr>
        <w:t>تفصیل بین اباحه و کراهت</w:t>
      </w:r>
      <w:bookmarkEnd w:id="66"/>
    </w:p>
    <w:p>
      <w:pPr>
        <w:pStyle w:val="BookText"/>
        <w:rPr/>
      </w:pPr>
      <w:r>
        <w:rPr>
          <w:rFonts w:ascii="IRNazanin" w:hAnsi="IRNazanin" w:eastAsia="IRNazanin"/>
          <w:color w:val="111111"/>
          <w:sz w:val="28"/>
          <w:sz w:val="28"/>
          <w:szCs w:val="28"/>
          <w:rtl w:val="true"/>
          <w:lang w:bidi="fa-IR"/>
        </w:rPr>
        <w:t>بنا بر فقه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کودک غیر ممیز بدون آنکه مصلحت و فایده ای بر آن مترتب باشد،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وی را برای مصلحتی مثل آموزش قرآن و یا آموزش کتابت به مسجد ببرند، کراهت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بهوتی حنبلی به تبع برخی از بزرگان حنبلی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یسنّ ان یصان المسجد عن صغیر لا یمیز لغیر مصلحه و لا فائده و ان یصان عن مجنون حال جنونه لانهم لیسوا من اهله</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حفاظت مسجد از ورود کودکان غیر ممیز به آن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ورودشان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 فایده ای نداشته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مقصود او این است که ورود کودکان به مسجد به خاطر مصلحتی همچون آموزش قرآن مباح است و مانعی ندارد</w:t>
      </w:r>
      <w:r>
        <w:rPr>
          <w:rFonts w:eastAsia="IRNazanin" w:cs="IRNazanin"/>
          <w:color w:val="111111"/>
          <w:sz w:val="28"/>
          <w:szCs w:val="28"/>
          <w:rtl w:val="true"/>
          <w:lang w:bidi="fa-IR"/>
        </w:rPr>
        <w:t xml:space="preserve">. </w:t>
      </w:r>
      <w:bookmarkStart w:id="67" w:name="pg19111_194863"/>
    </w:p>
    <w:p>
      <w:pPr>
        <w:pStyle w:val="Heading3"/>
        <w:numPr>
          <w:ilvl w:val="2"/>
          <w:numId w:val="1"/>
        </w:numPr>
        <w:rPr/>
      </w:pPr>
      <w:bookmarkStart w:id="68" w:name="__RefHeading___Toc15165093_1280447820"/>
      <w:bookmarkStart w:id="69" w:name="_Toc22"/>
      <w:bookmarkEnd w:id="67"/>
      <w:bookmarkEnd w:id="68"/>
      <w:r>
        <w:rPr>
          <w:rtl w:val="true"/>
        </w:rPr>
        <w:t>فصل دوم</w:t>
      </w:r>
      <w:r>
        <w:rPr>
          <w:rtl w:val="true"/>
        </w:rPr>
        <w:t xml:space="preserve">: </w:t>
      </w:r>
      <w:r>
        <w:rPr>
          <w:rtl w:val="true"/>
        </w:rPr>
        <w:t>دیدگاه فقهای شیعه در مساله</w:t>
      </w:r>
      <w:bookmarkEnd w:id="69"/>
    </w:p>
    <w:p>
      <w:pPr>
        <w:pStyle w:val="Heading4"/>
        <w:numPr>
          <w:ilvl w:val="3"/>
          <w:numId w:val="1"/>
        </w:numPr>
        <w:rPr/>
      </w:pPr>
      <w:bookmarkStart w:id="70" w:name="__RefHeading___Toc15165095_1280447820"/>
      <w:bookmarkStart w:id="71" w:name="_Toc23"/>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با کنکاش در کتب فقهی علمای متقدم، متاخر و معاصر و رصد دیدگاه آنها در این موضوع می توان چنین نتیجه گرفت که چهار دیدگاه اساسی در این مساله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مرحوم سید جواد عاملی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دیدگاه را در قالب سه دیدگاه مطرح کرده و به برخی از کتب فقهی گذشتگان نیز ارجاع داده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با این حال لازم است افزون بر تلاش قابل تقدیر سید عاملی، اولا اقوال قدما مورد تحلیل دقیقتری قرار گیرد و ثانیا اقوال پسینیان نیز به این مجموعه اضافه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بررسی دیدگاه های مختلف در این مساله خواهیم پرداخت</w:t>
      </w:r>
      <w:r>
        <w:rPr>
          <w:rFonts w:eastAsia="IRNazanin" w:cs="IRNazanin"/>
          <w:color w:val="111111"/>
          <w:sz w:val="28"/>
          <w:szCs w:val="28"/>
          <w:rtl w:val="true"/>
          <w:lang w:bidi="fa-IR"/>
        </w:rPr>
        <w:t>:</w:t>
      </w:r>
    </w:p>
    <w:p>
      <w:pPr>
        <w:pStyle w:val="Heading4"/>
        <w:numPr>
          <w:ilvl w:val="3"/>
          <w:numId w:val="1"/>
        </w:numPr>
        <w:rPr/>
      </w:pPr>
      <w:bookmarkStart w:id="72" w:name="__RefHeading___Toc15165097_1280447820"/>
      <w:bookmarkStart w:id="73" w:name="_Toc24"/>
      <w:bookmarkEnd w:id="72"/>
      <w:r>
        <w:rPr>
          <w:rtl w:val="true"/>
        </w:rPr>
        <w:t>دیدگاه اول</w:t>
      </w:r>
      <w:r>
        <w:rPr>
          <w:rtl w:val="true"/>
        </w:rPr>
        <w:t xml:space="preserve">: </w:t>
      </w:r>
      <w:r>
        <w:rPr>
          <w:rtl w:val="true"/>
        </w:rPr>
        <w:t>کراهت</w:t>
      </w:r>
      <w:bookmarkEnd w:id="73"/>
    </w:p>
    <w:p>
      <w:pPr>
        <w:pStyle w:val="BookText"/>
        <w:rPr/>
      </w:pPr>
      <w:r>
        <w:rPr>
          <w:rFonts w:ascii="IRNazanin" w:hAnsi="IRNazanin" w:eastAsia="IRNazanin"/>
          <w:color w:val="111111"/>
          <w:sz w:val="28"/>
          <w:sz w:val="28"/>
          <w:szCs w:val="28"/>
          <w:rtl w:val="true"/>
          <w:lang w:bidi="fa-IR"/>
        </w:rPr>
        <w:t>تعداد قابل توجهی از فقهای شیعه، در این مساله فتوای به کراهت آوردن کودکان به مسجد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ابن براج 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ادریس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متاخرین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سعید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فهد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متاخری المتاخرین</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الشیعه،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على جواهرى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فیروزآبادى یزدى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حسین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عبد الکریم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آقا ضیاء 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ابو الحسن موسوى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رضا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معاصرین</w:t>
      </w:r>
    </w:p>
    <w:p>
      <w:pPr>
        <w:pStyle w:val="BookText"/>
        <w:rPr/>
      </w:pPr>
      <w:r>
        <w:rPr>
          <w:rFonts w:ascii="IRNazanin" w:hAnsi="IRNazanin" w:eastAsia="IRNazanin"/>
          <w:color w:val="111111"/>
          <w:sz w:val="28"/>
          <w:sz w:val="28"/>
          <w:szCs w:val="28"/>
          <w:rtl w:val="true"/>
          <w:lang w:bidi="fa-IR"/>
        </w:rPr>
        <w:t xml:space="preserve">سید حسین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سید عبد الهادى حسینى شیرازى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محسن طباطبایى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احمد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سید روح الله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ابو القاسم خویى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رضا گلپایگانى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جواد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لطف الله صافی گلپایگانی، حسین وحید خراسانی، آقا موسی شبیری زنجانی، جعفر سبحانی تبریزی، حسین نوری همدانی، مجتبی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محمود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قائلین به این دیدگاه</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تجنّب المساجد البیع و الشّرى، و المجانین و الصّبیان، و الأحکام و الضّالّة، و إقامة الحدود، و إنشاد الشّعر، و رفع الأصوات فیها</w:t>
      </w:r>
      <w:r>
        <w:rPr>
          <w:rFonts w:eastAsia="IRNazanin" w:cs="IRNazanin"/>
          <w:color w:val="111111"/>
          <w:sz w:val="28"/>
          <w:szCs w:val="28"/>
          <w:rtl w:val="true"/>
          <w:lang w:bidi="fa-IR"/>
        </w:rPr>
        <w:t>.</w:t>
      </w:r>
      <w:r>
        <w:rPr>
          <w:rStyle w:val="FootnoteAnchor"/>
          <w:rtl w:val="true"/>
        </w:rPr>
        <w:footnoteReference w:id="2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تجنب المساجد البیع و الشراء و المجانین و الصبیان و الأحکام، و الضالة، و إقامة الحدود، و إنشاد الشعر، و رفع الأصوات فیها، و عمل الصنائع فیها</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قاضی ابن براج 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یجنب البیع و الشري و إنشاد الشعر، و رفع الأصوات، و دخول الصبیان و المجانین علیه، و اقامة الحدود فیه و بری‌ء النبل، و سل السیوف، و عمل الصنائع</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ابن ادریس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ینبغي أن تجنّب المساجد البیع و الشّرى، و المجانین و الصّبیان، و الأحکام و الضّالّة، و إقامة الحدود، و إنشاد الشّعر، و رفع الأصوات فیها</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تمکنوا المجانین و الصبیان منها، لقوله صلي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 مساجدکم صبیانکم و مجانینکم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محقق حلي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مشهورترین و مهمترین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به حساب می آید، همان جملات شیخ را نوشته و شرح و حاشیه ای بر آن ننگاشته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گویا که این کلام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سعید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إنشاد الشعر، و رفع الصوت و البیع و الشراء، و إدخال المجانین، و إنشاد الضالة و نشدانها، و اقامة الحدود، و الصبیان</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یجنّب البیع و الشراء، لأنّها موضع عبادة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المجانین و الصّبیان، لأنّهما مظنّتان للنجاسة لعدم توقّیهما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یجنّب الأحکام، لأنّها مظنّة التنازع المقتضي للکذب</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تجنب المجانین و الصبیان، لأنهما مظنتا النجاسة، لعدم احترازهما عنها</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علامه 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کتاب فتوایی ایشان است،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یجتنب البیع و الشراء، و تمکین المجانین و الصبیان، و الأحکام، و تعریف الضالّة، و إقامة الحدود، و إنشاد الشعر، و رفع الأصوات فیها</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و الشراء، و تمکین المجانین و الصبیان، و إنفاذ الأحکام، و تعریف الضالة و إقامة الحدود، و إنشاد الشعر، و رفع الصوت، و الدخول مع رائحة الثوم و البصل و شبهه، و التنعل قائما بل قاعدا</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البیع، و الشراء، و المجانین، و الصبیان، و الأحکام، و تعریف الضالّة، و إقامة الحدود، و رفع الصوت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البیع و الشراء، و إدخال المجانین و الصبیان، و إنفاذ الأحکام إذا کثر، و اقامة الحدود، و رفع الصوت، و تعلیق السلاح في المسجد الأکبر</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البیع، و الشراء، و المجانین، و الصبیان، و الاحکام، و الضالة، و الحدود، و رفع الصوت، رواه علي بن أسباط مرسلا عن أبي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روینا عن رسول الله صلّي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مساجدکم صبیانکم، و مجانینکم، و شراءکم، و بیعکم، و اجعلوا مطاهرکم علي أبواب مساجدکم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یستحبّ بناء المساجد و رمّها،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الصبیان بها، و عمل الصنائع و خصوصا بري النبل، و کشف العورة، و الحذف بالحصى، و البیع و الشرى، و تمکین المجانین و الصبیان، و إنفاد الأحکام، و تعریف الضالة إنشادا أو نشدانا و اقامة الحدود، و إنشاد الشعر، و رفع الصوت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یُکْرَهُ تَعْلِیَتُهَا وَ الْبُصَاقُ فِیهَا وَ رَفْعُ الصَّوْتِ وَ قَتْلُ الْقُمَّلِ وَ بَرْیُ النَّبْلِ وَ عَمَلُ الصَّنَائِعِ وَ تَمْکِینُ الْمَجَانِینِ وَ الصِّبْیَانِ وَ إِنْفَاذُ الْأَحْکَامِ وَ تَعْرِیفُ الضَّوَالِّ وَ إِنْشَادُ الشِّعْرِ وَ الْکَلَامُ فِیهَا بِأَحَادِیثِ الدُّنْیَا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ابن فهد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یکره تعلیتها، و جعلها طریقا، و تمکین الصبیان و المجانین منها، و </w:t>
      </w:r>
    </w:p>
    <w:p>
      <w:pPr>
        <w:pStyle w:val="BookText"/>
        <w:rPr/>
      </w:pPr>
      <w:r>
        <w:rPr>
          <w:rFonts w:ascii="IRNazanin" w:hAnsi="IRNazanin" w:eastAsia="IRNazanin"/>
          <w:color w:val="111111"/>
          <w:sz w:val="28"/>
          <w:sz w:val="28"/>
          <w:szCs w:val="28"/>
          <w:rtl w:val="true"/>
          <w:lang w:bidi="fa-IR"/>
        </w:rPr>
        <w:t>إنشاد الشعر، و کشف العورة، و رفع الصوت، و اقامة الحدود، و عمل الصنائع</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الشیعه که معمولا دیدگاه خود را در قالب عناوین ابواب مطرح می کند، در این باره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کَرَاهَةِ الْبَیْعِ وَ الشِّرَاءِ فِي الْمَسْجِدِ وَ تَمْکِینِ الصِّبْیَانِ وَ الْمَجَانِینِ مِنْهُ وَ إِنْفَاذِ الْأَحْکَامِ وَ إِقَامَةِ الْحُدُودِ وَ رَفْعِ الصَّوْتِ فِیهِ وَ اللَّغْوِ وَ الْخَوْضِ فِي الْبَاطِلِ</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إنشاء الشعر الا ما لا بأس به، و البیع و الشراء، و تمکین المجانین و الصبیان، و اقامة الحدود، و رفع الصوت المتجاوز عن العادة، و إنشاد الضالة، و حدیث الدنیا، و عمل الصنائع، و کشف العورة، فإنها لغیر هذه بنیت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تمکین المجانین و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للأخبار و خوف التلویث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فیمن یخاف منه، فأمّا من یوثق به من الصبیان فیستحب تمرینهم علي إتیانها</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هفده امر مکروه که به مسجد تعلّق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و دیوانه ها را گذاشتن که داخل مسجد شوند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فیها أُمور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و الشراء، و جمیع النواقل سوي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الصبیان و المجانین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إنفاذ الأحکام، إلا للإمام علیه السلام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 سید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الأطفال و المجانین من الدخول فیها و عمل الصنائع و کشف العورة و السرة و الفخذ و الرکبة و إخراج الریح</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فقیهان فراوانی بر این کتاب ارزشمند حاشیه نوشته اند و به طور معمول در هر کجا که مغایرتی با دیدگاه آنها وجود داشته به آن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وجود کنکاش در کتاب العروة الوثقی که با تعلیقات پانزده شخصیت از فقهای شیعه به رشته تحریر در آمده نشان می دهد که تنها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حسین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حکم تعلیقه نوشته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بنابراین می توان چنین نتیجه گرفت که چهارده فقیه دیگر با این حکم موافق بوده و به آن فتوی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چهارده شخصیت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على بن باقر بن محمد حسن جواهرى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محمد باقر فیروزآبادى یزدى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نائینى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الکریم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ضیاء الدین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الحسن موسوى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سید عبد الهادى حسینى شیرازى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طباطبایى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سید روح الله خمینى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القاسم خویى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گلپایگانى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فقهای شیعه یک حکم منحصر به فرد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ضیاء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تمکین 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الصبیان مع عدم تلوثهم و إلّا ففي تحریمه وجه، خصوصاً في غیر الممیز منهما، فإنه یحرم جزماً، لصدق تنجیسه تسبیباً</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البته باید گفت که وی از باب سببیت و مقدمیت حرام، این کار را حرام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چنین حکمی در میان فقهای شیعه منحصر به ایشان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رساله توضیح المسائل برخی از فقهای معاصر نیز این مساله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بروجردی</w:t>
      </w:r>
      <w:r>
        <w:rPr>
          <w:rStyle w:val="FootnoteAnchor"/>
          <w:rtl w:val="true"/>
        </w:rPr>
        <w:footnoteReference w:id="49"/>
      </w:r>
      <w:r>
        <w:rPr>
          <w:rFonts w:ascii="IRNazanin" w:hAnsi="IRNazanin" w:eastAsia="IRNazanin"/>
          <w:color w:val="111111"/>
          <w:sz w:val="28"/>
          <w:sz w:val="28"/>
          <w:szCs w:val="28"/>
          <w:rtl w:val="true"/>
          <w:lang w:bidi="fa-IR"/>
        </w:rPr>
        <w:t>، امام خمینی</w:t>
      </w:r>
      <w:r>
        <w:rPr>
          <w:rStyle w:val="FootnoteAnchor"/>
          <w:rtl w:val="true"/>
        </w:rPr>
        <w:footnoteReference w:id="50"/>
      </w:r>
      <w:r>
        <w:rPr>
          <w:rFonts w:ascii="IRNazanin" w:hAnsi="IRNazanin" w:eastAsia="IRNazanin"/>
          <w:color w:val="111111"/>
          <w:sz w:val="28"/>
          <w:sz w:val="28"/>
          <w:szCs w:val="28"/>
          <w:rtl w:val="true"/>
          <w:lang w:bidi="fa-IR"/>
        </w:rPr>
        <w:t>، خویی</w:t>
      </w:r>
      <w:r>
        <w:rPr>
          <w:rStyle w:val="FootnoteAnchor"/>
          <w:rtl w:val="true"/>
        </w:rPr>
        <w:footnoteReference w:id="51"/>
      </w:r>
      <w:r>
        <w:rPr>
          <w:rFonts w:ascii="IRNazanin" w:hAnsi="IRNazanin" w:eastAsia="IRNazanin"/>
          <w:color w:val="111111"/>
          <w:sz w:val="28"/>
          <w:sz w:val="28"/>
          <w:szCs w:val="28"/>
          <w:rtl w:val="true"/>
          <w:lang w:bidi="fa-IR"/>
        </w:rPr>
        <w:t>، گلپایگانی</w:t>
      </w:r>
      <w:r>
        <w:rPr>
          <w:rStyle w:val="FootnoteAnchor"/>
          <w:rtl w:val="true"/>
        </w:rPr>
        <w:footnoteReference w:id="52"/>
      </w:r>
      <w:r>
        <w:rPr>
          <w:rFonts w:ascii="IRNazanin" w:hAnsi="IRNazanin" w:eastAsia="IRNazanin"/>
          <w:color w:val="111111"/>
          <w:sz w:val="28"/>
          <w:sz w:val="28"/>
          <w:szCs w:val="28"/>
          <w:rtl w:val="true"/>
          <w:lang w:bidi="fa-IR"/>
        </w:rPr>
        <w:t>، اراکی</w:t>
      </w:r>
      <w:r>
        <w:rPr>
          <w:rStyle w:val="FootnoteAnchor"/>
          <w:rtl w:val="true"/>
        </w:rPr>
        <w:footnoteReference w:id="53"/>
      </w:r>
      <w:r>
        <w:rPr>
          <w:rFonts w:ascii="IRNazanin" w:hAnsi="IRNazanin" w:eastAsia="IRNazanin"/>
          <w:color w:val="111111"/>
          <w:sz w:val="28"/>
          <w:sz w:val="28"/>
          <w:szCs w:val="28"/>
          <w:rtl w:val="true"/>
          <w:lang w:bidi="fa-IR"/>
        </w:rPr>
        <w:t>، تبریزی</w:t>
      </w:r>
      <w:r>
        <w:rPr>
          <w:rStyle w:val="FootnoteAnchor"/>
          <w:rtl w:val="true"/>
        </w:rPr>
        <w:footnoteReference w:id="54"/>
      </w:r>
      <w:r>
        <w:rPr>
          <w:rFonts w:ascii="IRNazanin" w:hAnsi="IRNazanin" w:eastAsia="IRNazanin"/>
          <w:color w:val="111111"/>
          <w:sz w:val="28"/>
          <w:sz w:val="28"/>
          <w:szCs w:val="28"/>
          <w:rtl w:val="true"/>
          <w:lang w:bidi="fa-IR"/>
        </w:rPr>
        <w:t xml:space="preserve">، </w:t>
      </w:r>
      <w:bookmarkStart w:id="74" w:name="pg19111_194879"/>
    </w:p>
    <w:p>
      <w:pPr>
        <w:pStyle w:val="BookText"/>
        <w:rPr/>
      </w:pPr>
      <w:bookmarkEnd w:id="74"/>
      <w:r>
        <w:rPr>
          <w:rFonts w:ascii="IRNazanin" w:hAnsi="IRNazanin" w:eastAsia="IRNazanin"/>
          <w:color w:val="111111"/>
          <w:sz w:val="28"/>
          <w:sz w:val="28"/>
          <w:szCs w:val="28"/>
          <w:rtl w:val="true"/>
          <w:lang w:bidi="fa-IR"/>
        </w:rPr>
        <w:t>صافی گلپایگانی</w:t>
      </w:r>
      <w:r>
        <w:rPr>
          <w:rStyle w:val="FootnoteAnchor"/>
          <w:rtl w:val="true"/>
        </w:rPr>
        <w:footnoteReference w:id="55"/>
      </w:r>
      <w:r>
        <w:rPr>
          <w:rFonts w:ascii="IRNazanin" w:hAnsi="IRNazanin" w:eastAsia="IRNazanin"/>
          <w:color w:val="111111"/>
          <w:sz w:val="28"/>
          <w:sz w:val="28"/>
          <w:szCs w:val="28"/>
          <w:rtl w:val="true"/>
          <w:lang w:bidi="fa-IR"/>
        </w:rPr>
        <w:t>، وحید خراسانی</w:t>
      </w:r>
      <w:r>
        <w:rPr>
          <w:rStyle w:val="FootnoteAnchor"/>
          <w:rtl w:val="true"/>
        </w:rPr>
        <w:footnoteReference w:id="56"/>
      </w:r>
      <w:r>
        <w:rPr>
          <w:rFonts w:ascii="IRNazanin" w:hAnsi="IRNazanin" w:eastAsia="IRNazanin"/>
          <w:color w:val="111111"/>
          <w:sz w:val="28"/>
          <w:sz w:val="28"/>
          <w:szCs w:val="28"/>
          <w:rtl w:val="true"/>
          <w:lang w:bidi="fa-IR"/>
        </w:rPr>
        <w:t>، شبیری زنجانی</w:t>
      </w:r>
      <w:r>
        <w:rPr>
          <w:rStyle w:val="FootnoteAnchor"/>
          <w:rtl w:val="true"/>
        </w:rPr>
        <w:footnoteReference w:id="57"/>
      </w:r>
      <w:r>
        <w:rPr>
          <w:rFonts w:ascii="IRNazanin" w:hAnsi="IRNazanin" w:eastAsia="IRNazanin"/>
          <w:color w:val="111111"/>
          <w:sz w:val="28"/>
          <w:sz w:val="28"/>
          <w:szCs w:val="28"/>
          <w:rtl w:val="true"/>
          <w:lang w:bidi="fa-IR"/>
        </w:rPr>
        <w:t>، سبحانی</w:t>
      </w:r>
      <w:r>
        <w:rPr>
          <w:rStyle w:val="FootnoteAnchor"/>
          <w:rtl w:val="true"/>
        </w:rPr>
        <w:footnoteReference w:id="58"/>
      </w:r>
      <w:r>
        <w:rPr>
          <w:rFonts w:ascii="IRNazanin" w:hAnsi="IRNazanin" w:eastAsia="IRNazanin"/>
          <w:color w:val="111111"/>
          <w:sz w:val="28"/>
          <w:sz w:val="28"/>
          <w:szCs w:val="28"/>
          <w:rtl w:val="true"/>
          <w:lang w:bidi="fa-IR"/>
        </w:rPr>
        <w:t>، نوری همدانی</w:t>
      </w:r>
      <w:r>
        <w:rPr>
          <w:rStyle w:val="FootnoteAnchor"/>
          <w:rtl w:val="true"/>
        </w:rPr>
        <w:footnoteReference w:id="59"/>
      </w:r>
      <w:r>
        <w:rPr>
          <w:rFonts w:ascii="IRNazanin" w:hAnsi="IRNazanin" w:eastAsia="IRNazanin"/>
          <w:color w:val="111111"/>
          <w:sz w:val="28"/>
          <w:sz w:val="28"/>
          <w:szCs w:val="28"/>
          <w:rtl w:val="true"/>
          <w:lang w:bidi="fa-IR"/>
        </w:rPr>
        <w:t>، روحانی</w:t>
      </w:r>
      <w:r>
        <w:rPr>
          <w:rStyle w:val="FootnoteAnchor"/>
          <w:rtl w:val="true"/>
        </w:rPr>
        <w:footnoteReference w:id="60"/>
      </w:r>
      <w:r>
        <w:rPr>
          <w:rFonts w:ascii="IRNazanin" w:hAnsi="IRNazanin" w:eastAsia="IRNazanin"/>
          <w:color w:val="111111"/>
          <w:sz w:val="28"/>
          <w:sz w:val="28"/>
          <w:szCs w:val="28"/>
          <w:rtl w:val="true"/>
          <w:lang w:bidi="fa-IR"/>
        </w:rPr>
        <w:t>، مجتبی تهرانی</w:t>
      </w:r>
      <w:r>
        <w:rPr>
          <w:rStyle w:val="FootnoteAnchor"/>
          <w:rtl w:val="true"/>
        </w:rPr>
        <w:footnoteReference w:id="61"/>
      </w:r>
      <w:r>
        <w:rPr>
          <w:rFonts w:ascii="IRNazanin" w:hAnsi="IRNazanin" w:eastAsia="IRNazanin"/>
          <w:color w:val="111111"/>
          <w:sz w:val="28"/>
          <w:sz w:val="28"/>
          <w:szCs w:val="28"/>
          <w:rtl w:val="true"/>
          <w:lang w:bidi="fa-IR"/>
        </w:rPr>
        <w:t>و هاشمی شاهرودی</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تفاوتی اندک در تعبیرات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مکروهات مربوط به مسجد عبارتست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دادن بچه و دیوانه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تعداد قابل توجهی از فقها راه دادن بچه به مسجد را به صورت مطلق، مکروه دانسته اند و هیچ قیدی بعد از آن نیاورده اند</w:t>
      </w:r>
      <w:r>
        <w:rPr>
          <w:rFonts w:eastAsia="IRNazanin" w:cs="IRNazanin"/>
          <w:color w:val="111111"/>
          <w:sz w:val="28"/>
          <w:szCs w:val="28"/>
          <w:rtl w:val="true"/>
          <w:lang w:bidi="fa-IR"/>
        </w:rPr>
        <w:t>.</w:t>
      </w:r>
    </w:p>
    <w:p>
      <w:pPr>
        <w:pStyle w:val="Heading4"/>
        <w:numPr>
          <w:ilvl w:val="3"/>
          <w:numId w:val="1"/>
        </w:numPr>
        <w:rPr/>
      </w:pPr>
      <w:bookmarkStart w:id="75" w:name="__RefHeading___Toc15165099_1280447820"/>
      <w:bookmarkStart w:id="76" w:name="_Toc25"/>
      <w:bookmarkEnd w:id="75"/>
      <w:r>
        <w:rPr>
          <w:rtl w:val="true"/>
        </w:rPr>
        <w:t>دیدگاه دوم</w:t>
      </w:r>
      <w:r>
        <w:rPr>
          <w:rtl w:val="true"/>
        </w:rPr>
        <w:t xml:space="preserve">: </w:t>
      </w:r>
      <w:r>
        <w:rPr>
          <w:rtl w:val="true"/>
        </w:rPr>
        <w:t>اباحه</w:t>
      </w:r>
      <w:bookmarkEnd w:id="7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دیگری از فقهای شیعه با اینکه در مقام بیان مساله بوده اند، با این وجود حکم به کراهت نکرده و تنها ورود دیوانگان را مکروه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معمول فقهایی که آوردن کودکان به مسجد را مکروه دانسته اند، حکم دیوانگان را در کنار کودکان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بخشی از فقها تنها از دیوانگان یاد کرده اند و برای کودکان مطلبی را بیان نکرده اند که این خود حاکی از مباح بودن آوردن کودکان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دیدگاه این دسته از فقها حکم کراهت تنها برای دیوانگان است و ارتباطی با کودکان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عاملی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یادآور شدن این نکته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في الشرائع و النافع و الإرشاد و الکفایة الاقتصار علي المجانین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بزرگانی که این دیدگاه را برگزیده 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قائلین به این دیدگاه</w:t>
      </w:r>
    </w:p>
    <w:p>
      <w:pPr>
        <w:pStyle w:val="BookText"/>
        <w:rPr/>
      </w:pPr>
      <w:r>
        <w:rPr>
          <w:rFonts w:ascii="IRNazanin" w:hAnsi="IRNazanin" w:eastAsia="IRNazanin"/>
          <w:color w:val="111111"/>
          <w:sz w:val="28"/>
          <w:sz w:val="28"/>
          <w:szCs w:val="28"/>
          <w:rtl w:val="true"/>
          <w:lang w:bidi="fa-IR"/>
        </w:rPr>
        <w:t>حال به بررسی تفصیلی سخنان این دسته از فقها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یتجنب البیع و الشراء و تمکین المجانین و إنفاذ الأحکام و تعریف الضوال و إقامة الحدود و إنشاد الشعر و رفع الصوت و عمل الصنائع و النوم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فیها البیع و الشراء، و تمکین المجانین، و إنفاذ الأحکام، و تعریف الضوال، و إقامة الحدود، و إنشاد الشعر، و عمل الصنائع، و النوم، و دخولها و في الفم رائحة الثوم أو البصل</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البیع فیها و الشراء، و تمکین المجانین، و إنفاذ الأحکام، و تعریف الضوال، و إنشاد الشعر، و إقامة الحدود، و رفع الصوت، و عمل الصنائع</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عینا نقل کرده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در واقع این کتاب، شرح کتاب الصلاة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است که به صورت شرح مزجى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نگارش حاشیه بر این مطلب می تواند نشانه پذیرش این مطلب توسط شیخ انصاری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روایت مرتبط با موضوع را آورده و برای برخی از فقرات این روایت نیز حکم کراهت را مطرح نموده است، اما با این حال در مورد کراهت آوردن کوکان به مسجد چیزی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إنشاد الشعر فیها، و تعریف الضوال، و إقامة الحدود، و رفع الصوت، و البیع، و الشراء، قال رسول اللّه صلّي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سمعتموه ینشد الشعر في المساجد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اللّه فاک إنما نصبت المساجد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مساجدکم البیع، و الشراء، و المجانین، و الصبیان، و الأحکام، و الضالة، و الحدود، و رفع الصوت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فیها و الشراء، و التعریف، و اقامة الحدود، و إنشاد الشعر، و عمل الصنائع، و النوم، و البصاق، و تمکین المجانین، و إنفاذ الأحکام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تکره التعلیة، و الشرف، و المحاریب، و الجواز فیها، و البیع، و تمکین المجانین، و إنشاد الشعر، و إنفاذ الأحکام علي رأی، و التعریف، و الحدود، و الشّعر، و الصنعة، و سلّ السیف، و بري النبل، و النوم</w:t>
      </w:r>
      <w:r>
        <w:rPr>
          <w:rFonts w:eastAsia="IRNazanin" w:cs="IRNazanin"/>
          <w:color w:val="111111"/>
          <w:sz w:val="28"/>
          <w:szCs w:val="28"/>
          <w:rtl w:val="true"/>
          <w:lang w:bidi="fa-IR"/>
        </w:rPr>
        <w:t>.</w:t>
      </w:r>
      <w:r>
        <w:rPr>
          <w:rStyle w:val="FootnoteAnchor"/>
          <w:rtl w:val="true"/>
        </w:rPr>
        <w:footnoteReference w:id="70"/>
      </w:r>
      <w:bookmarkStart w:id="77" w:name="pg19111_194885"/>
    </w:p>
    <w:p>
      <w:pPr>
        <w:pStyle w:val="BookText"/>
        <w:rPr/>
      </w:pPr>
      <w:bookmarkEnd w:id="77"/>
      <w:r>
        <w:rPr>
          <w:rFonts w:ascii="IRNazanin" w:hAnsi="IRNazanin" w:eastAsia="IRNazanin"/>
          <w:color w:val="111111"/>
          <w:sz w:val="28"/>
          <w:sz w:val="28"/>
          <w:szCs w:val="28"/>
          <w:rtl w:val="true"/>
          <w:lang w:bidi="fa-IR"/>
        </w:rPr>
        <w:t xml:space="preserve">محقق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الشرَف، و البیع و الشراء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تمکین المجانین، و إنفاذ الأحکام، و تعریف الضوالّ و السؤال عنها، و إنشاد الشعر، و إقامة الحدود، و رفع الصوت إذا تجاوز المعتاد، و عمل الصنائع</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78" w:name="__RefHeading___Toc15165101_1280447820"/>
      <w:bookmarkStart w:id="79" w:name="_Toc26"/>
      <w:bookmarkEnd w:id="78"/>
      <w:r>
        <w:rPr>
          <w:rtl w:val="true"/>
        </w:rPr>
        <w:t>دیدگاه سوم</w:t>
      </w:r>
      <w:r>
        <w:rPr>
          <w:rtl w:val="true"/>
        </w:rPr>
        <w:t xml:space="preserve">: </w:t>
      </w:r>
      <w:r>
        <w:rPr>
          <w:rtl w:val="true"/>
        </w:rPr>
        <w:t>تفصیل بین کراهت و اباحه</w:t>
      </w:r>
      <w:bookmarkEnd w:id="79"/>
    </w:p>
    <w:p>
      <w:pPr>
        <w:pStyle w:val="BookText"/>
        <w:rPr/>
      </w:pPr>
      <w:r>
        <w:rPr>
          <w:rFonts w:ascii="IRNazanin" w:hAnsi="IRNazanin" w:eastAsia="IRNazanin"/>
          <w:color w:val="111111"/>
          <w:sz w:val="28"/>
          <w:sz w:val="28"/>
          <w:szCs w:val="28"/>
          <w:rtl w:val="true"/>
          <w:lang w:bidi="fa-IR"/>
        </w:rPr>
        <w:t>برخی از فقیهان شیعه حکم کراهت را مخصوص گروه از کودکان دانسته و آوردن گروه دیگر به مسجد را مباح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الفائده و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على مدارک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عبدالکریم موسوی اردبیلی، محمد تقی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مظاهری در رساله های عملیه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قائلین به این دیدگاه</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نفلیه شهید اول است، می نویسد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البیع و الشراء و تمکین المجانین و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لقول النبیّ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مساجدکم صبیانکم و مجانینکم و شراءکم و بیعکم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ینبغي اختصاص الحکم بصبیّ لا یوثق به في الطهارة، و لا یحصل به التمرین علي أداء الصلوات و إلّا لم یکره</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الفائده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کراهة البیع و الشراء، و تمکین المجانین و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قد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الغیر الممیز الذي یصلى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علیها و علي کراهة رفع الصوت، و الحدود، و إنفاذ الاحکام، و تعریف الضالة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الفقیه و التهذیب،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جنبوا مساجدکم صبیانکم و مجانینکم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أصواتکم، و شرائکم، و بیعکم، و الضالة، و الحدود، و الاحکام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صاحب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یستحب أن تجنب البیع و الشراء و 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الصبیان الذین لا یوثق بهم في التحفظ من النجاسات، لقوله علیه السلام في مرسلة علیّ بن أسباط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مساجدکم البیع و الشراء و المجانین و الصبیان و الأحکام و الضالة و الحدود و رفع الصوت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کراهت را مطرح کرده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البیع و الشراء و تمکین المجانین و الصبیان الذین لا یوثق بهم في التحفّظ من النجاسات و الحدود و رفع الصوت المتجاوز عن المعتاد و إنشاد الضالّة و حدیث الدنیا و عمل الصنائع، لقوله صلي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مَسَاجِدَکُمْ صِبْیَانَکُمْ وَ مَجَانِینَکُمْ وَ رَفْعَ أَصْوَاتِکُمْ وَ شِرَاءَکُمْ وَ بَیْعَکُمْ وَ الضَّالَّةَ وَ الْحُدُودَ وَ الْأَحْکَامَ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همین روایت قید دیگری را نیز مطرح کرده، می نویسد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یحتمل أن یکون النهي عن أکثر هذه الأمور مختصا بأوقاف الصلوات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على مدارک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المنع عن تمکین الصبیان و المجانین، و النهي عن دخولها إلّا طاهرا</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فیها البیع و الشراء و تمکین المجانین و الصبیان الذین لا وثوق بهم من الدخول فیها</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غنائم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البیع و الشراء، و تمکین المجانین و الصبیان، لروایة إبراهیم المتقدّمة، و قد تخصص الصبیان بغیر الممیز، و لا بأس به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میرزایی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البیع و الشراء، و تمکین المجانین و الصبیان، و قد یخصّص الصبیّ بغیر الممیّز، و لیس ببعید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سید عبد الکریم موسوی اردبیلی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دادن بچّه و دیوانه به مسجد مکروه است؛ ولی راه دادن بچّه اگر برای آموختن احکام اسلام و آشنایی با مسجد باشد، اشکال ندارد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محمد تقی بهجت می نویسد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که در مسجد از خرید و فروش و سایر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و 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عبادی خودداری شود و امّا مانند نذر و وقف و نکاح </w:t>
      </w:r>
      <w:bookmarkStart w:id="80" w:name="pg19111_194892"/>
    </w:p>
    <w:p>
      <w:pPr>
        <w:pStyle w:val="BookText"/>
        <w:rPr/>
      </w:pPr>
      <w:bookmarkEnd w:id="80"/>
      <w:r>
        <w:rPr>
          <w:rFonts w:ascii="IRNazanin" w:hAnsi="IRNazanin" w:eastAsia="IRNazanin"/>
          <w:color w:val="111111"/>
          <w:sz w:val="28"/>
          <w:sz w:val="28"/>
          <w:szCs w:val="28"/>
          <w:rtl w:val="true"/>
          <w:lang w:bidi="fa-IR"/>
        </w:rPr>
        <w:t>چون حیثیت عبادی دارند اشکالی ندارد؛ و مستحب است از ورود دیوانگان و اطفال غیر ممیز که مراعات آداب مساجد را نمی نمایند به مساجد، خودداری شود؛</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حسین مظاهری</w:t>
      </w:r>
      <w:r>
        <w:rPr>
          <w:rStyle w:val="FootnoteAnchor"/>
          <w:rtl w:val="true"/>
        </w:rPr>
        <w:footnoteReference w:id="83"/>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و حرم امامان علیهم السلام شش امر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دادن بچّه و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ایجاد مزاحمت</w:t>
      </w:r>
      <w:r>
        <w:rPr>
          <w:rFonts w:eastAsia="IRNazanin" w:cs="IRNazanin"/>
          <w:color w:val="111111"/>
          <w:sz w:val="28"/>
          <w:szCs w:val="28"/>
          <w:rtl w:val="true"/>
          <w:lang w:bidi="fa-IR"/>
        </w:rPr>
        <w:t>).</w:t>
      </w:r>
    </w:p>
    <w:p>
      <w:pPr>
        <w:pStyle w:val="Heading4"/>
        <w:numPr>
          <w:ilvl w:val="3"/>
          <w:numId w:val="1"/>
        </w:numPr>
        <w:rPr/>
      </w:pPr>
      <w:bookmarkStart w:id="81" w:name="__RefHeading___Toc15165103_1280447820"/>
      <w:bookmarkStart w:id="82" w:name="_Toc27"/>
      <w:bookmarkEnd w:id="81"/>
      <w:r>
        <w:rPr>
          <w:rtl w:val="true"/>
        </w:rPr>
        <w:t>دیدگاه چهارم</w:t>
      </w:r>
      <w:r>
        <w:rPr>
          <w:rtl w:val="true"/>
        </w:rPr>
        <w:t xml:space="preserve">: </w:t>
      </w:r>
      <w:r>
        <w:rPr>
          <w:rtl w:val="true"/>
        </w:rPr>
        <w:t>تفصیل بین کراهت، اباحه و استحباب</w:t>
      </w:r>
      <w:bookmarkEnd w:id="82"/>
    </w:p>
    <w:p>
      <w:pPr>
        <w:pStyle w:val="BookText"/>
        <w:rPr/>
      </w:pPr>
      <w:r>
        <w:rPr>
          <w:rFonts w:ascii="IRNazanin" w:hAnsi="IRNazanin" w:eastAsia="IRNazanin"/>
          <w:color w:val="111111"/>
          <w:sz w:val="28"/>
          <w:sz w:val="28"/>
          <w:szCs w:val="28"/>
          <w:rtl w:val="true"/>
          <w:lang w:bidi="fa-IR"/>
        </w:rPr>
        <w:t xml:space="preserve">برخی از فقها و محدثان نیز کراهت آوردن کودکان به مسجد را تنها مخصوص کودکان غیر قابل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یراد بالصّبی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که احتمال دارد مسجد را آلوده به نجاست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لمحافظته على التنزه من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بازیگوشی آنها سبب مزاحمت برای عبادت دیگران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لمحافظته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بقی کودکان که در این زمینه قابل اعتماد هستند نه تنها آوردنشان به مسجد مکروه نیست بلکه مستحب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آوردن آنها به مسجد تمرینی برای انجام عباداتشان به حساب می آید و واداشتن آنها به عبادت تمرینی، خود از مستحبات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أنّه لا یکره تمکینه بل ینبغی القول باستحباب تمرینه على فعل الصّلاة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بزرگان عبارتند از</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صاحبقرانی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الحدائق </w:t>
      </w:r>
    </w:p>
    <w:p>
      <w:pPr>
        <w:pStyle w:val="BookText"/>
        <w:rPr/>
      </w:pPr>
      <w:r>
        <w:rPr>
          <w:rFonts w:ascii="IRNazanin" w:hAnsi="IRNazanin" w:eastAsia="IRNazanin"/>
          <w:color w:val="111111"/>
          <w:sz w:val="28"/>
          <w:sz w:val="28"/>
          <w:szCs w:val="28"/>
          <w:rtl w:val="true"/>
          <w:lang w:bidi="fa-IR"/>
        </w:rPr>
        <w:t>الناضره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تعلیقه خود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عبد الاعلی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پناه اشتهاردی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ناصر مکارم شیرازی، سید علی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قائلین به این دیدگاه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کسی که این دیدگاه را بیان داشته،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البیع و الشّراء و تمکین المجانین و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في الحدیث، عن النّبي صلّي اللّه علیه و آله من الأمر بترک فعل ذلک في المسجد و ترک تمکین الصّبیان و المجانین، و لما تقدّم من تعلیله صلّي اللّه علیه و آله بأن المسجد بني لغیر ذلک، و لأنّه لا یؤمن حصول النّجاسة من الصّبیان و المجانین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ینبغي أن یراد بالصّبی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یوثق به، أما من علم منه ما یقتضي الوثوق به لمحافظته علي التنزه من النّجاسات، و أداء الصّلوات، فالظاهر أنّه لا یکره تمکینه، بل ینبغي القول باستحباب تمرینه علي فعل الصّلاة في المسجد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تمکین 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الصبیان لوجودهم معهم في النص،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مساجدکم صبیانکم و مجانینکم و شراءکم و بیعکم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ینبغي أن یراد بالصبي من لا یوثق به منهم في إزالة النجاسة، أما من یوثق به في التنزّه عن النجاسات و أداء الصلاة فإنه یستحب تمرینه علي فعل الصلاة في المسجد کما یمرّن علي غیرها من العبادات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تمکین المجانین و الصبیان منها، مع عدم الوثوق بطهارتهم أو کونهم غیر ممیزین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الصبي الممیز الموثوق بطهارته المحافظ علي أداء الصلوات فلا یکره تمکینه، بل ینبغي تمرینه کما یمرن علي الصلاة</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نقل این قول پرداخته و مطلبی در پذیرش یا عدم پذیرش آن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البیع فیها و الشراء، و 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لقوله علیه السلام جنّبوا مساجدکم صبیانکم و مجانینکم و شراءکم و بیعکم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المسجد بُني لغیر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لا یؤمن حصول النجاسة من الصبیان و المجانین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ینبغي أن یراد بالصبي مَنْ لا یوثق به، أمّا مَنْ عُلم منه ما یقتضي الوثوق به؛ لمحافظته علي التنزّه من النجاسات، و أداء الصلوات فإنّه لا یکره تمکینه، بل ینبغي القول باستحباب تمرینه علي فعل الصلاة في المسجد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مقصود وی از بعض الاصحاب همان محقق کرکی است که کلام وی در ابتدای این بخش نقل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سید عاملی در مفتاح الکرامه این نحوه بیان شهید ثانی را نشانه ای بر ضعیف بودن این قول از دیدگاه شهید ثانی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 ذلک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القیل مشعراً بتمریضه</w:t>
      </w:r>
      <w:r>
        <w:rPr>
          <w:rFonts w:eastAsia="IRNazanin" w:cs="IRNazanin"/>
          <w:color w:val="111111"/>
          <w:sz w:val="28"/>
          <w:szCs w:val="28"/>
          <w:rtl w:val="true"/>
          <w:lang w:bidi="fa-IR"/>
        </w:rPr>
        <w:t>.</w:t>
      </w:r>
      <w:r>
        <w:rPr>
          <w:rStyle w:val="FootnoteAnchor"/>
          <w:rtl w:val="true"/>
        </w:rPr>
        <w:footnoteReference w:id="8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توجه به مطالبی که در دیگر کتب شهید ثانی مطرح شده است، باید گفت که وی از طرفداران این دیدگاه است و این نحوه بیان حداقل </w:t>
      </w:r>
    </w:p>
    <w:p>
      <w:pPr>
        <w:pStyle w:val="BookText"/>
        <w:rPr/>
      </w:pPr>
      <w:r>
        <w:rPr>
          <w:rFonts w:ascii="IRNazanin" w:hAnsi="IRNazanin" w:eastAsia="IRNazanin"/>
          <w:color w:val="111111"/>
          <w:sz w:val="28"/>
          <w:sz w:val="28"/>
          <w:szCs w:val="28"/>
          <w:rtl w:val="true"/>
          <w:lang w:bidi="fa-IR"/>
        </w:rPr>
        <w:t>در این جا، مشعر به ضعف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مطلب در مورد نحوه بیان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پذیرش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وی برای بیان این مطلب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که می تواند نشانگر عدم پذیرش این قول توسط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تمکین المجانین و الصبیان للأخبار و خوف التلویث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فیمن یخاف منه، فأمّا من یوثق به من الصبیان فیستحب تمرینهم علي إتیانها</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جنبوا مساجدکم صبیانکم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علي ما لم یکن ممیزا فإنه یستحب تمرینهم بإحضارهم إلي المساجد للصلوات للعادة فإن الخیر 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مجانینکم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لتلویثهم المسجد و إیذائهم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أصواتکم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استثني منه الأذان و الإقامة و إسماع الإمام من خلفه القراءة و الأذکار ما لم یبلغ العلو و قراءة القرآن لیسمعه الحاضرون و یحصل لهم ثواب الاستماع و إسماع المواعظ و النصائح</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صلوات الله علیه جنّبوا مساجدکم صبیانکم و مجانینکم و رفع اصواتکم و شراءکم و بیعکم و الضّالّة و الحدود و الاحکام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قوى از حضرت امام جعفر صادق صلوات اللّه علیه منقولست که فرمودند که اجتناب کنید در مساجد از اطفال و مگذارید که داخل مساجد شوند مبادا مسجد را نجس کنند و حمل نموده‌اند بر اطفال غیر ممیّز که اگر تمیز داشته باشد سنّت است که ایشان را پدران با خود به مسجد برند تا </w:t>
      </w:r>
    </w:p>
    <w:p>
      <w:pPr>
        <w:pStyle w:val="BookText"/>
        <w:rPr/>
      </w:pPr>
      <w:r>
        <w:rPr>
          <w:rFonts w:ascii="IRNazanin" w:hAnsi="IRNazanin" w:eastAsia="IRNazanin"/>
          <w:color w:val="111111"/>
          <w:sz w:val="28"/>
          <w:sz w:val="28"/>
          <w:szCs w:val="28"/>
          <w:rtl w:val="true"/>
          <w:lang w:bidi="fa-IR"/>
        </w:rPr>
        <w:t>عادت کنند چنانکه در سایر عبادات ایشان را بانها باز مى‌دارند و از مجانین نیز اجتناب کنید و مگذارید که مطلقا داخل مساجد شوند و مفاسد ایشان بیشتر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البته چنانکه در بخش بررسی سندی خواهد آمد، این روایت ضعیف السند به حساب می آید و روشن نیست که چرا ایشان این روایت را با سندی قوی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نقل این دیدگاه پرداخته و هیچ اظهار نظری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البیع فیها و الشراء و تمکین 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رواه الشیخ في الحسن عن علیّ بن أسباط عن بعض رجاله عن الصادق علیه السلام قال جنّبوا مساجدکم الشراء و البیع و المجانین و الصّبیان و الأحکام و الضالة و الحدود و رفع الصوت و یدل علیه أیضا روایة عبد الحمید السّابقة عند شرح قول المصنف و المیضاة علي أبوابها و عن بعض الأصحاب ینبغي أن یراد بالصّبي من لا یوثق به إما من علم منه ما یقتضي الوثوق لمحافظته علي التنزه من النجاسات و أداء الصّلاة فإنه لا یکره تمکینه لأنه ینبغي القول باستحباب تمرینه علي فعل الصلاة في المسجد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آوردن روایت مرتبط با موضوع، می نویسد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کراهة تمکین المجانین و الصبیان لدخول المساجد و ربما یقید الصبی بمن لا یوثق به أما من علم منه ما یقتضی الوثوق به لمحافظته على التنزه من النجاسات و أداء الصلوات فإنه لا یکره تمکینه بل یستحب تمرینه و لا بأس به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همان روایت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الصبیان حمل علي غیر الممیز، فإنه یستحب تمرین الممیزین</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محدث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و الشراء و تمکین المجانین و الصبیان و رفع الصوت و قید بعضهم الصبیان بالذین لا یوثق بهم في التحفظ من النجاسات، و کأنهم فهموا ان العلة في النهي عنهم من حیث کونهم مظنة النجاسات، و یجوز ان یکون الوجه في المنع منهم ایضا هو اللعب في المسجد المنافي لتوقیره و احتشامه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 یدل علي أصل الحکم ما رواه الشیخ في الموثق عن علي بن أسباط عن بعض رجاله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جنبوا مساجدکم البیع و الشراء و المجانین و الصبیان و الأحکام و الضالة و الحدود و رفع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عبد الحمید عن أبي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جنبوا مساجدکم صبیانکم و مجانینکم و شراءکم و بیعکم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في المقام الأول في استحباب جعل المیضاة علي أبواب المساجد خبر الراوندي الدال علي ذلک ایضا، و فیه ما في الحدیث الأول و زیادة السلاح و رفع الأصوات إلا بذکر الله</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وی در انتهای کلامش همان سخنان علامه مجلسی در بحار الانوار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شیخنا قدس سرّه فی البحار فی شرح هذا الخبر الأخیر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فیها أیضا البیع و الشراء، و تمکین المجانین و الصبیان و إنفاذ الأحکام و تعریف الضوالّ و إقامة الحدود و رفع الصوت؛ للنهي عنها في المرسل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یقیّد الصبي بمن لا یوثق به، أما من علم منه ما یقتضي الوثوق بمحافظته علي التنزه عن النجاسات و أداء الصلوات فإنه لا یکره تمکینه بل یستحب تمرینه، و ذکر هذا </w:t>
      </w:r>
    </w:p>
    <w:p>
      <w:pPr>
        <w:pStyle w:val="BookText"/>
        <w:rPr/>
      </w:pPr>
      <w:r>
        <w:rPr>
          <w:rFonts w:ascii="IRNazanin" w:hAnsi="IRNazanin" w:eastAsia="IRNazanin"/>
          <w:color w:val="111111"/>
          <w:sz w:val="28"/>
          <w:sz w:val="28"/>
          <w:szCs w:val="28"/>
          <w:rtl w:val="true"/>
          <w:lang w:bidi="fa-IR"/>
        </w:rPr>
        <w:t>التقیید شیخنا في روض الجنان عن بعض الأصحاب ساکتا علیه، و لا بأس به</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فیها البیع و الشراء و تمکین المجانین و الصبیان الذین لا وثوق بهم من الدخول فیها</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پذیرش اصل مطلب،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فالأولي الحکم بکراهة الجمیع للنصوص السابقة المشتملة علي الأمر بتجنیب الصبیان زیادة علي ما ذکره المصنف هنا، إلا أنه ذکره هو في المعتبر و غیره من الأصحاب مطلقین للحکم فیهم کالنصوص، و قیده بعضهم بمن یخاف منهم التلویث دون غیرهم ممن یوثق بهم، فإنه یستحب تمرینهم علي إتیانها، و لا بأس به، إلا أنه ینبغي إضافة مخافة ما ینافي توقیر المسجد من اللعب و نحوه، أو أذیة المصلین و نحو ذلک إلي التلویث، و وجهه واضح</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شیخ محمد 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تعلیقه خود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یزدی می نویسد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الذین لا یؤمن من تلویثهم و لعبهم و أذیّة المصلّین، و إلّا فیستحبّ تمرینهم علي إتیانها أو تعلیمهم القرآن و العلوم فیها</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سید عبدالاعلی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کراهة تمکین الصبیان إنّما هو فیما إذا لم یکونوا مؤدبین بآداب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الغالب و إلّا فالظاهر عدم الکراهة، بل الظاهر رجحان تمرینهم علي المساجد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علی پناه اشتهاردی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الصبیان و المجانین، تقدّم في أخبار کراهة البیع 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إلي ما فیه من التخفیف بعدم مراعاتهما لآداب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تقییده بما إذا لم یکن الصبیّ ممیّزا یصحّ منه العبادة و إلّا فلربّما یستحبّ تمرینهم لها و لصحّة عباداتهم الملازمة لتحقّق العبودیة المترتّبة علیها الثواب الذي لأجل تحصیله بنیت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التقیید دعوي الانصراف عن الممیّز، و اللّه العالم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محمد فاضل لنکرانی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دادن بچه و دیوانه به مسجد مکروه است ولى اگر آوردن بچه ها مزاحمتى ایجاد نکند و باعث علاقمندى آنان به نماز و مسجد شود، مستحب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ناصر مکارم شیرازی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دادن بچّه و دیوانه به مسجد مکروه است ولى در صورتى که آوردن بچّه ها تولید مزاحمتى نکند و آنها را به مسجد و نماز علاقه مند سازد، مستحبّ است و گاه واجب</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وی در تعلیقه خود بر کتاب عروه الوثقی، می نویسد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الّذین یخاف من تلویثهم له أو ینافي تمکینهم لوضع المسجد و </w:t>
      </w:r>
    </w:p>
    <w:p>
      <w:pPr>
        <w:pStyle w:val="BookText"/>
        <w:rPr/>
      </w:pPr>
      <w:r>
        <w:rPr>
          <w:rFonts w:ascii="IRNazanin" w:hAnsi="IRNazanin" w:eastAsia="IRNazanin"/>
          <w:color w:val="111111"/>
          <w:sz w:val="28"/>
          <w:sz w:val="28"/>
          <w:szCs w:val="28"/>
          <w:rtl w:val="true"/>
          <w:lang w:bidi="fa-IR"/>
        </w:rPr>
        <w:t>احترامه و المصلّین؛ و أمّا من ارید بهم تعلیم معالم الإسلام و التمرین الغیر المزاحمین، فلا ریب في استحبابه، و لا یصحّ منعهم و لا سیّما في هذه الأعصار الّتي غلب علي أهلها الفساد في العقیدة و العمل و لیس لهم ملجأ إلّا المساجد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سید علی سیستانی می نویسد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دادن دیوانه به مسجد مکروه است و همچنین است راه دادن بچه نابالغی که مراعات حرمت مسجد را نمی کند و موجب مزاحمت برای نمازگزاران می شود یا اینکه احتمال می رود مسجد را نجس کند و در غیر این حالات، راه دادن بچه به مسجد مانعی ندارد؛ بلکه گاهی، اولویت داشته و کار پسندیده ای است مثل موردی که آمدن بچه ها به مسجد باعث علاقه مندی آنان به نماز و مسجد می گردد</w:t>
      </w:r>
      <w:r>
        <w:rPr>
          <w:rFonts w:eastAsia="IRNazanin" w:cs="IRNazanin"/>
          <w:color w:val="111111"/>
          <w:sz w:val="28"/>
          <w:szCs w:val="28"/>
          <w:rtl w:val="true"/>
          <w:lang w:bidi="fa-IR"/>
        </w:rPr>
        <w:t>.</w:t>
      </w:r>
      <w:r>
        <w:rPr>
          <w:rStyle w:val="FootnoteAnchor"/>
          <w:rtl w:val="true"/>
        </w:rPr>
        <w:footnoteReference w:id="10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9111_194912"/>
      <w:bookmarkStart w:id="84" w:name="pg19111_194912"/>
      <w:bookmarkEnd w:id="84"/>
    </w:p>
    <w:p>
      <w:pPr>
        <w:pStyle w:val="Heading2"/>
        <w:numPr>
          <w:ilvl w:val="1"/>
          <w:numId w:val="1"/>
        </w:numPr>
        <w:rPr/>
      </w:pPr>
      <w:bookmarkStart w:id="85" w:name="pg19111_194912"/>
      <w:bookmarkStart w:id="86" w:name="__RefHeading___Toc15165105_1280447820"/>
      <w:bookmarkStart w:id="87" w:name="_Toc28"/>
      <w:bookmarkEnd w:id="85"/>
      <w:bookmarkEnd w:id="86"/>
      <w:r>
        <w:rPr>
          <w:rtl w:val="true"/>
        </w:rPr>
        <w:t>بخش دوم</w:t>
      </w:r>
      <w:r>
        <w:rPr>
          <w:rtl w:val="true"/>
        </w:rPr>
        <w:t xml:space="preserve">: </w:t>
      </w:r>
      <w:r>
        <w:rPr>
          <w:rtl w:val="true"/>
        </w:rPr>
        <w:t>بررسی ادله قول به کراهت</w:t>
      </w:r>
      <w:bookmarkEnd w:id="8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15165107_1280447820"/>
      <w:bookmarkStart w:id="89" w:name="_Toc29"/>
      <w:bookmarkEnd w:id="88"/>
      <w:r>
        <w:rPr>
          <w:rtl w:val="true"/>
        </w:rPr>
        <w:t>اشاره</w:t>
      </w:r>
      <w:bookmarkEnd w:id="8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9111_194915"/>
      <w:bookmarkStart w:id="91" w:name="pg19111_194915"/>
      <w:bookmarkEnd w:id="91"/>
    </w:p>
    <w:p>
      <w:pPr>
        <w:pStyle w:val="BookText"/>
        <w:rPr/>
      </w:pPr>
      <w:bookmarkStart w:id="92" w:name="pg19111_194915"/>
      <w:bookmarkEnd w:id="92"/>
      <w:r>
        <w:rPr>
          <w:rFonts w:ascii="IRNazanin" w:hAnsi="IRNazanin" w:eastAsia="IRNazanin"/>
          <w:color w:val="111111"/>
          <w:sz w:val="28"/>
          <w:sz w:val="28"/>
          <w:szCs w:val="28"/>
          <w:rtl w:val="true"/>
          <w:lang w:bidi="fa-IR"/>
        </w:rPr>
        <w:t>در بخش اقوال فقهای شیعه، دیدیم که بسیاری از فقها در طول دوران های مختلف حکم به کراهت آوردن کودکان به مسجد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سخنان این بزرگان بر می آید که ایشان برای مدعای خود سه دلیل اقامه کرده اند که در ادامه به بررسی این سه دلیل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ایشان، روایات ناهیه ای است که در این زمینه به دست ما رسیده است که باید مورد تحلیل و بررسی ویژه قرار گیرد</w:t>
      </w:r>
      <w:r>
        <w:rPr>
          <w:rFonts w:eastAsia="IRNazanin" w:cs="IRNazanin"/>
          <w:color w:val="111111"/>
          <w:sz w:val="28"/>
          <w:szCs w:val="28"/>
          <w:rtl w:val="true"/>
          <w:lang w:bidi="fa-IR"/>
        </w:rPr>
        <w:t>.</w:t>
      </w:r>
    </w:p>
    <w:p>
      <w:pPr>
        <w:pStyle w:val="Heading3"/>
        <w:numPr>
          <w:ilvl w:val="2"/>
          <w:numId w:val="1"/>
        </w:numPr>
        <w:rPr/>
      </w:pPr>
      <w:bookmarkStart w:id="93" w:name="__RefHeading___Toc15165109_1280447820"/>
      <w:bookmarkStart w:id="94" w:name="_Toc30"/>
      <w:bookmarkEnd w:id="93"/>
      <w:r>
        <w:rPr>
          <w:rtl w:val="true"/>
        </w:rPr>
        <w:t>فصل اول</w:t>
      </w:r>
      <w:r>
        <w:rPr>
          <w:rtl w:val="true"/>
        </w:rPr>
        <w:t xml:space="preserve">: </w:t>
      </w:r>
      <w:r>
        <w:rPr>
          <w:rtl w:val="true"/>
        </w:rPr>
        <w:t>روایات ناهیه</w:t>
      </w:r>
      <w:bookmarkEnd w:id="94"/>
    </w:p>
    <w:p>
      <w:pPr>
        <w:pStyle w:val="Heading4"/>
        <w:numPr>
          <w:ilvl w:val="3"/>
          <w:numId w:val="1"/>
        </w:numPr>
        <w:rPr/>
      </w:pPr>
      <w:bookmarkStart w:id="95" w:name="__RefHeading___Toc15165111_1280447820"/>
      <w:bookmarkStart w:id="96" w:name="_Toc31"/>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همانطور که در سخنان فقها نیز مطرح شده است، اولین و مهمترین دلیل فقیهانی که فتوای به کراهت داده اند، روایات ناهیه در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هر چیز باید متن این دسته از روایات که مستند فتوای به کراهت آوردن کودکان به مسجد قرار گرفته، جمع آوری و دسته بندی شود و سپس اسناد این روایات بررسی شده و در نهایت دلالت آن مورد تحلیل قرار گیرد</w:t>
      </w:r>
      <w:r>
        <w:rPr>
          <w:rFonts w:eastAsia="IRNazanin" w:cs="IRNazanin"/>
          <w:color w:val="111111"/>
          <w:sz w:val="28"/>
          <w:szCs w:val="28"/>
          <w:rtl w:val="true"/>
          <w:lang w:bidi="fa-IR"/>
        </w:rPr>
        <w:t>.</w:t>
      </w:r>
    </w:p>
    <w:p>
      <w:pPr>
        <w:pStyle w:val="Heading4"/>
        <w:numPr>
          <w:ilvl w:val="3"/>
          <w:numId w:val="1"/>
        </w:numPr>
        <w:rPr/>
      </w:pPr>
      <w:bookmarkStart w:id="97" w:name="__RefHeading___Toc15165113_1280447820"/>
      <w:bookmarkStart w:id="98" w:name="_Toc32"/>
      <w:bookmarkEnd w:id="97"/>
      <w:r>
        <w:rPr>
          <w:rtl w:val="true"/>
        </w:rPr>
        <w:t>گفتار اول</w:t>
      </w:r>
      <w:r>
        <w:rPr>
          <w:rtl w:val="true"/>
        </w:rPr>
        <w:t xml:space="preserve">: </w:t>
      </w:r>
      <w:r>
        <w:rPr>
          <w:rtl w:val="true"/>
        </w:rPr>
        <w:t>متن روایات نهی و بررسی سندی این دسته از روایات</w:t>
      </w:r>
      <w:bookmarkEnd w:id="98"/>
    </w:p>
    <w:p>
      <w:pPr>
        <w:pStyle w:val="Heading5"/>
        <w:numPr>
          <w:ilvl w:val="4"/>
          <w:numId w:val="1"/>
        </w:numPr>
        <w:rPr/>
      </w:pPr>
      <w:bookmarkStart w:id="99" w:name="__RefHeading___Toc15165115_1280447820"/>
      <w:bookmarkStart w:id="100" w:name="_Toc33"/>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روایات نهی از آوردن کودکان به مسجد هم مضمون و بسیار شبیه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سه نقل متفاوت از این دسته از روایات وجود دارد که به بررسی هر یک از آنها خواهیم پرداخت</w:t>
      </w:r>
      <w:r>
        <w:rPr>
          <w:rFonts w:eastAsia="IRNazanin" w:cs="IRNazanin"/>
          <w:color w:val="111111"/>
          <w:sz w:val="28"/>
          <w:szCs w:val="28"/>
          <w:rtl w:val="true"/>
          <w:lang w:bidi="fa-IR"/>
        </w:rPr>
        <w:t>:</w:t>
      </w:r>
    </w:p>
    <w:p>
      <w:pPr>
        <w:pStyle w:val="Heading5"/>
        <w:numPr>
          <w:ilvl w:val="4"/>
          <w:numId w:val="1"/>
        </w:numPr>
        <w:rPr/>
      </w:pPr>
      <w:bookmarkStart w:id="101" w:name="__RefHeading___Toc15165117_1280447820"/>
      <w:bookmarkStart w:id="102" w:name="_Toc34"/>
      <w:bookmarkEnd w:id="101"/>
      <w:r>
        <w:rPr>
          <w:rtl w:val="true"/>
        </w:rPr>
        <w:t>روایت اول</w:t>
      </w:r>
      <w:r>
        <w:rPr>
          <w:rtl w:val="true"/>
        </w:rPr>
        <w:t xml:space="preserve">: </w:t>
      </w:r>
      <w:r>
        <w:rPr>
          <w:rtl w:val="true"/>
        </w:rPr>
        <w:t>از امام صادق علیه السلام</w:t>
      </w:r>
      <w:bookmarkEnd w:id="102"/>
    </w:p>
    <w:p>
      <w:pPr>
        <w:pStyle w:val="BookText"/>
        <w:rPr/>
      </w:pPr>
      <w:r>
        <w:rPr>
          <w:rFonts w:ascii="IRNazanin" w:hAnsi="IRNazanin" w:eastAsia="IRNazanin"/>
          <w:color w:val="111111"/>
          <w:sz w:val="28"/>
          <w:sz w:val="28"/>
          <w:szCs w:val="28"/>
          <w:rtl w:val="true"/>
          <w:lang w:bidi="fa-IR"/>
        </w:rPr>
        <w:t>علی بن اسباط از برخی از راویانش نقل می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جَنِّبُوا مَسَاجِدَکُمُ الْبَیْعَ وَ الشِّرَاءَ وَ الْمَجَانِینَ </w:t>
      </w:r>
    </w:p>
    <w:p>
      <w:pPr>
        <w:pStyle w:val="BookText"/>
        <w:rPr/>
      </w:pPr>
      <w:r>
        <w:rPr>
          <w:rFonts w:ascii="Amiri" w:hAnsi="Amiri" w:eastAsia="Amiri" w:cs="Amiri"/>
          <w:color w:val="111111"/>
          <w:sz w:val="28"/>
          <w:sz w:val="28"/>
          <w:szCs w:val="28"/>
          <w:rtl w:val="true"/>
          <w:lang w:bidi="ar-SA"/>
        </w:rPr>
        <w:t>وَ الصِّبْیَانَ وَ الْأَحْکَامَ وَ الضَّالَّةَ وَ الْحُدُودَ وَ رَفْعَ 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مسجدهاى خود را از خرید و فروش و دیوانگان و کودکان و قضاوت و جُستن گمشده و اجراء حدود و فریاد کشیدن دور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این روایت در سه کتاب حدیثی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الشرائع</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الخصال</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الاحکام</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تفاوت در نقل</w:t>
      </w:r>
    </w:p>
    <w:p>
      <w:pPr>
        <w:pStyle w:val="BookText"/>
        <w:rPr/>
      </w:pPr>
      <w:r>
        <w:rPr>
          <w:rFonts w:ascii="IRNazanin" w:hAnsi="IRNazanin" w:eastAsia="IRNazanin"/>
          <w:color w:val="111111"/>
          <w:sz w:val="28"/>
          <w:sz w:val="28"/>
          <w:szCs w:val="28"/>
          <w:rtl w:val="true"/>
          <w:lang w:bidi="fa-IR"/>
        </w:rPr>
        <w:t>میان نقل شیخ صدوق در دو کتاب مذکور با نقل شیخ طوسی در تهذیب، تفاوت اندکی وجود دارد که تنها در ترتیب موارد یاد شده در روایت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شیخ 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 جَنِّبُوا مَسَاجِدَکُمُ الشِّرَاءَ وَ الْبَیْعَ وَ الْمَجَانِینَ وَ الصِّبْیَانَ وَ الضَّالَّةَ وَ الْأَحْکَامَ وَ الْحُدُودَ وَ رَفْعَ 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شیخ طوسی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 جَنِّبُوا مَسَاجِدَکُمُ الْبَیْعَ وَ الشِّرَاءَ وَ الْمَجَانِینَ وَ الصِّبْیَانَ وَ الْأَحْکَامَ وَ الضَّالَّةَ وَ الْحُدُودَ وَ رَفْعَ 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شناسی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سندی این روایت نشان می دهد که شیخ صدوق در الخصال</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در علل الشرایع</w:t>
      </w:r>
      <w:r>
        <w:rPr>
          <w:rStyle w:val="FootnoteAnchor"/>
          <w:rtl w:val="true"/>
        </w:rPr>
        <w:footnoteReference w:id="110"/>
      </w:r>
      <w:r>
        <w:rPr>
          <w:rFonts w:ascii="IRNazanin" w:hAnsi="IRNazanin" w:eastAsia="IRNazanin"/>
          <w:color w:val="111111"/>
          <w:sz w:val="28"/>
          <w:sz w:val="28"/>
          <w:szCs w:val="28"/>
          <w:rtl w:val="true"/>
          <w:lang w:bidi="fa-IR"/>
        </w:rPr>
        <w:t>و شیخ طوسي در التهذیب</w:t>
      </w:r>
      <w:r>
        <w:rPr>
          <w:rStyle w:val="FootnoteAnchor"/>
          <w:rtl w:val="true"/>
        </w:rPr>
        <w:footnoteReference w:id="111"/>
      </w:r>
      <w:r>
        <w:rPr>
          <w:rFonts w:ascii="IRNazanin" w:hAnsi="IRNazanin" w:eastAsia="IRNazanin"/>
          <w:color w:val="111111"/>
          <w:sz w:val="28"/>
          <w:sz w:val="28"/>
          <w:szCs w:val="28"/>
          <w:rtl w:val="true"/>
          <w:lang w:bidi="fa-IR"/>
        </w:rPr>
        <w:t>این حدیث را از یک منبع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سند هر سه روایت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مُوسَى الْخَشَّابِ عن عَلِیِّ بْنِ أَسْبَاطٍ عَنْ بَعْضِ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روایت به دلیل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انتهای سند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گفته نجاشی از اصحاب امام رضا علیه السلام به حساب می آید که در این صورت نمی توانسته به صورت مستقیم از امام صادق علیه السلام نقل حدیث کرده باشد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اما با این حال عجیب است که محدث بحرانی این سند را موثق دانسته، در مورد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الشیخ فی الموثق عن علی بن أسباط عن بعض رجاله </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همچنین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سند قوى از حضرت امام جعفر صادق صلوات اللّه علیه منقولست که فرمودند که اجتناب کنید در مساجد از اطفال </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با این حال روشن است که سند این روایت ضعیف می باشد و دلیلی بر قوت سند و یا وثاقت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علامه حلی در این باره می 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 الشیخ بما رواه علی بن أسباط، عن بعض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جنّبوا مساجدکم البیع و الشراء و المجانین و الصبیان و الأحکام و الضالة و الحدود و رفع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الطعن فی </w:t>
      </w:r>
      <w:bookmarkStart w:id="103" w:name="pg19111_194922"/>
    </w:p>
    <w:p>
      <w:pPr>
        <w:pStyle w:val="BookText"/>
        <w:rPr/>
      </w:pPr>
      <w:bookmarkEnd w:id="103"/>
      <w:r>
        <w:rPr>
          <w:rFonts w:ascii="IRNazanin" w:hAnsi="IRNazanin" w:eastAsia="IRNazanin"/>
          <w:color w:val="111111"/>
          <w:sz w:val="28"/>
          <w:sz w:val="28"/>
          <w:szCs w:val="28"/>
          <w:rtl w:val="true"/>
          <w:lang w:bidi="fa-IR"/>
        </w:rPr>
        <w:t>السند، مع أنّه مرسل</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104" w:name="__RefHeading___Toc15165119_1280447820"/>
      <w:bookmarkStart w:id="105" w:name="_Toc35"/>
      <w:bookmarkEnd w:id="104"/>
      <w:r>
        <w:rPr>
          <w:rtl w:val="true"/>
        </w:rPr>
        <w:t>روایت دوم</w:t>
      </w:r>
      <w:r>
        <w:rPr>
          <w:rtl w:val="true"/>
        </w:rPr>
        <w:t xml:space="preserve">: </w:t>
      </w:r>
      <w:r>
        <w:rPr>
          <w:rtl w:val="true"/>
        </w:rPr>
        <w:t>از پیامبر  صلی الله علیه و اله  به نقل از امام کاظم علیه السلام</w:t>
      </w:r>
      <w:bookmarkEnd w:id="105"/>
    </w:p>
    <w:p>
      <w:pPr>
        <w:pStyle w:val="Heading6"/>
        <w:numPr>
          <w:ilvl w:val="5"/>
          <w:numId w:val="1"/>
        </w:numPr>
        <w:rPr/>
      </w:pPr>
      <w:bookmarkStart w:id="106" w:name="__RefHeading___Toc15165121_1280447820"/>
      <w:bookmarkStart w:id="107" w:name="_Toc36"/>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از امام کاظم علیه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إِبْرَاهِیمَ علیه السلام قَال قَالَ رَسُولُ اللَّهِ ص‌لی الله علیه و آله وسلم جَنِّبُوا مَسَاجِدَکُمْ صِبْیَانَکُمْ وَ مَجَانِینَکُمْ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أَصْوَاتِکُمْ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شِرَاءَکُمْ وَ بَیْعَکُمْ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الضَّالَّةَ وَ الْحُدُودَ وَ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مَطَاهِرَکُمْ عَلَى أَبْوَابِ مَسَاجِدِکُمْ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مسجدهای خود را از کودکانتان و دیوانگانتان و فریاد کشیدن و خرید و فروش و جُستن گمشده و اجرای حدود و قضاوت دور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دستشویی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درگاه مساجدتان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به دلیل تفاوت های موجود در نقل های مختلف، به نقل یکایک آنها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لایحضره الفقیه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 جَنِّبُوا مَسَاجِدَکُمْ صِبْیَانَکُمْ وَ مَجَانِینَکُمْ وَ رَفْعَ أَصْوَاتِکُمْ وَ شِرَاءَکُمْ وَ بَیْعَکُمْ وَ الضَّالَّةَ وَ الْحُدُودَ وَ الْأَحْکَامَ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الأحکام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عَنْ سَهْلِ بْنِ زِیَادٍ عَنْ جَعْفَرِ بْنِ مُحَمَّدِ بْنِ بَشَّارٍ عَنْ عَبْدِ اللَّهِ الدِّهْقَانِ عَنْ عَبْدِ الْحَمِیدِ عَنْ أَبِي إِبْرَاهِیمَ علیه السلام قَالَ قَالَ رَسُولُ اللَّهِ صلي الله علیه وآله وسلم جَنِّبُوا مَسَاجِدَکُمْ صِبْیَانَکُمْ وَ مَجَانِینَکُمْ وَ شِرَاءَکُمْ وَ بَیْعَکُمْ وَ اجْعَلُوا مَطَاهِرَکُمْ عَلَي أَبْوَابِ مَسَاجِدِکُمْ</w:t>
      </w:r>
      <w:r>
        <w:rPr>
          <w:rFonts w:eastAsia="Amiri" w:cs="Amiri" w:ascii="Amiri" w:hAnsi="Amiri"/>
          <w:color w:val="111111"/>
          <w:sz w:val="28"/>
          <w:szCs w:val="28"/>
          <w:rtl w:val="true"/>
          <w:lang w:bidi="ar-SA"/>
        </w:rPr>
        <w:t xml:space="preserve">. </w:t>
      </w:r>
      <w:bookmarkStart w:id="108" w:name="pg19111_194924"/>
    </w:p>
    <w:p>
      <w:pPr>
        <w:pStyle w:val="BookText"/>
        <w:rPr/>
      </w:pPr>
      <w:bookmarkEnd w:id="10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الجعفریات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مُحَمَّدٌ حَدَّثَنِي مُوسَي حَدَّثَنَا أَبِي عَنْ أَبِیهِ عَنْ جَدِّهِ جَعْفَرِ بْنِ مُحَمَّدٍ عَنْ أَبِیهِ عَنْ عَلِیٍّ علیه السلام قَالَ قَالَ رَسُولُ اللَّهِ صلي الله علیه وآله وسلم جَنِّبُوا مَسَاجِدَکُمْ مَجَانِینَکُمْ وَ صِبْیَانَکُمْ وَ رَفْعَ أَصْوَاتِکُمْ وَ بَیْعَکُمْ وَ شِراءَکُمْ وَ سِلَاحَکُمْ وَ أَجْمِرُوهَا فِي کُلِّ سَبْعَةِ أَیَّامٍ وَ ضَعُوا الْمَطَاهِرَ عَلَي أَبْوَابِهَا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در بحار الانوار از فضل الله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نوادر راوندی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الرَّاوَنْدِیِّ، بِإِسْنَادِهِ عَنْ مُوسَي بْنِ جَعْفَرٍ عَنْ آبَائِهِ علیه السلام قَالَ قَالَ رَسُولُ اللَّهِ  صلی الله علیه و اله  جَنِّبُوا مَسَاجِدَکُمْ مَجَانِینَکُمْ وَ صِبْیَانَکُمْ وَ رَفْعَ أَصْوَاتِکُمْ إِلَّا بِذِکْرِ اللَّهِ تَعَالَي وَ بَیْعَکُمْ وَ شِرَاءَکُمْ وَ سِلَاحَکُمْ وَ جَمِّرُوهَا فِي کُلِّ سَبْعَةِ أَیَّامٍ وَ ضَعُوا الْمَطَاهِرَ عَلَي أَبْوَابِهَا</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15165123_1280447820"/>
      <w:bookmarkStart w:id="110" w:name="_Toc37"/>
      <w:bookmarkEnd w:id="109"/>
      <w:r>
        <w:rPr>
          <w:rtl w:val="true"/>
        </w:rPr>
        <w:t>تفاوت های نقل</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نوادر راوندی که اکنون در دسترس است،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این روایت در نسخه ای که در دست علامه مجلسی بوده، وجود داشته اما در نسخه کنونی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الفقیه، این روایت را مستقیما به پیامبر صلی الله علیه و اله نسبت داده و سند روایت را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نقل ها برخی از فقرات وجود دارد که در دیگر نقل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نقل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اصواتکم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نقل شیخ طوسی وجود ندارد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تفاوت قسمت های پایانی در همین دو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روایت در نقل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الضَّالَّةَ وَ الْحُدُودَ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در نقل شیخ طوسی این فراز حذف شده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اجْعَلُوا مَطَاهِرَکُمْ عَلَى أَبْوَابِ مَسَاجِدِکُمْ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نقل راوندی </w:t>
      </w:r>
    </w:p>
    <w:p>
      <w:pPr>
        <w:pStyle w:val="BookText"/>
        <w:rPr/>
      </w:pPr>
      <w:r>
        <w:rPr>
          <w:rFonts w:ascii="IRNazanin" w:hAnsi="IRNazanin" w:eastAsia="IRNazanin"/>
          <w:color w:val="111111"/>
          <w:sz w:val="28"/>
          <w:sz w:val="28"/>
          <w:szCs w:val="28"/>
          <w:rtl w:val="true"/>
          <w:lang w:bidi="fa-IR"/>
        </w:rPr>
        <w:t>نیز اضافاتی وجود دارد که در هیچ یک از نقل های گذشته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اصواتکم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و یا در پایان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جَمِّرُوهَا فِی کُلِّ سَبْعَةِ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هیچ یک از نقل های دیگر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نقل ها جابجایی برخی از فقرات وجود دارد که البته مساله مهمی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احوال به نظر می رسد که همه این نقل ها، گزارشی متفاوت از یک روایت واحد است که به دلیل نقل به معنا دستخوش اختلاف در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شیخ صدوق در من لا یحضره الفقیه</w:t>
      </w:r>
    </w:p>
    <w:p>
      <w:pPr>
        <w:pStyle w:val="BookText"/>
        <w:rPr/>
      </w:pPr>
      <w:r>
        <w:rPr>
          <w:rFonts w:ascii="IRNazanin" w:hAnsi="IRNazanin" w:eastAsia="IRNazanin"/>
          <w:color w:val="111111"/>
          <w:sz w:val="28"/>
          <w:sz w:val="28"/>
          <w:szCs w:val="28"/>
          <w:rtl w:val="true"/>
          <w:lang w:bidi="fa-IR"/>
        </w:rPr>
        <w:t>شیخ صدوق در من لایحضره الفقیه، سندی برای این روایت نقل نکرده و آن را مستقیما به پیامبر صلی الله علیه و اله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وی مرسل 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شیخ طوسی در تهذیب الاحکام</w:t>
      </w:r>
    </w:p>
    <w:p>
      <w:pPr>
        <w:pStyle w:val="BookText"/>
        <w:rPr/>
      </w:pPr>
      <w:r>
        <w:rPr>
          <w:rFonts w:ascii="IRNazanin" w:hAnsi="IRNazanin" w:eastAsia="IRNazanin"/>
          <w:color w:val="111111"/>
          <w:sz w:val="28"/>
          <w:sz w:val="28"/>
          <w:szCs w:val="28"/>
          <w:rtl w:val="true"/>
          <w:lang w:bidi="fa-IR"/>
        </w:rPr>
        <w:t xml:space="preserve">سند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به دلیل تضعیف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الدهقان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عَنْ سَهْلِ بْنِ زِیَادٍ عَنْ جَعْفَرِ بْنِ مُحَمَّدِ بْنِ بَشَّارٍ عَنْ عَبْدِ اللَّهِ الدِّهْقَانِ عَنْ عَبْدِ الْحَمِیدِ عَنْ أَبِي إِبْرَاهِیمَ علیه السلام قَالَ قَالَ رَسُولُ اللَّهِ صلي الله علیه وآله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ضمیر ابتدای سند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که نجاشی او را توثیق کرده است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رجال</w:t>
      </w:r>
      <w:r>
        <w:rPr>
          <w:rStyle w:val="FootnoteAnchor"/>
          <w:rtl w:val="true"/>
        </w:rPr>
        <w:footnoteReference w:id="117"/>
      </w:r>
      <w:r>
        <w:rPr>
          <w:rFonts w:ascii="IRNazanin" w:hAnsi="IRNazanin" w:eastAsia="IRNazanin"/>
          <w:color w:val="111111"/>
          <w:sz w:val="28"/>
          <w:sz w:val="28"/>
          <w:szCs w:val="28"/>
          <w:rtl w:val="true"/>
          <w:lang w:bidi="fa-IR"/>
        </w:rPr>
        <w:t xml:space="preserve">او را توثیق کرده است ؛ </w:t>
      </w:r>
    </w:p>
    <w:p>
      <w:pPr>
        <w:pStyle w:val="BookText"/>
        <w:rPr/>
      </w:pPr>
      <w:r>
        <w:rPr>
          <w:rFonts w:ascii="IRNazanin" w:hAnsi="IRNazanin" w:eastAsia="IRNazanin"/>
          <w:color w:val="111111"/>
          <w:sz w:val="28"/>
          <w:sz w:val="28"/>
          <w:szCs w:val="28"/>
          <w:rtl w:val="true"/>
          <w:lang w:bidi="fa-IR"/>
        </w:rPr>
        <w:t>اما خود شیخ در فهرست</w:t>
      </w:r>
      <w:r>
        <w:rPr>
          <w:rStyle w:val="FootnoteAnchor"/>
          <w:rtl w:val="true"/>
        </w:rPr>
        <w:footnoteReference w:id="118"/>
      </w:r>
      <w:r>
        <w:rPr>
          <w:rFonts w:ascii="IRNazanin" w:hAnsi="IRNazanin" w:eastAsia="IRNazanin"/>
          <w:color w:val="111111"/>
          <w:sz w:val="28"/>
          <w:sz w:val="28"/>
          <w:szCs w:val="28"/>
          <w:rtl w:val="true"/>
          <w:lang w:bidi="fa-IR"/>
        </w:rPr>
        <w:t>و نجاشی در رجالش</w:t>
      </w:r>
      <w:r>
        <w:rPr>
          <w:rStyle w:val="FootnoteAnchor"/>
          <w:rtl w:val="true"/>
        </w:rPr>
        <w:footnoteReference w:id="119"/>
      </w:r>
      <w:r>
        <w:rPr>
          <w:rFonts w:ascii="IRNazanin" w:hAnsi="IRNazanin" w:eastAsia="IRNazanin"/>
          <w:color w:val="111111"/>
          <w:sz w:val="28"/>
          <w:sz w:val="28"/>
          <w:szCs w:val="28"/>
          <w:rtl w:val="true"/>
          <w:lang w:bidi="fa-IR"/>
        </w:rPr>
        <w:t>او را تضعیف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مهمل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نجاشی او را تضعیف کرده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بنابراین سند این روایت ضعیف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راوندی در نوادر راوندی و ابن اشعث در جعفریات</w:t>
      </w:r>
    </w:p>
    <w:p>
      <w:pPr>
        <w:pStyle w:val="BookText"/>
        <w:rPr/>
      </w:pPr>
      <w:r>
        <w:rPr>
          <w:rFonts w:ascii="IRNazanin" w:hAnsi="IRNazanin" w:eastAsia="IRNazanin"/>
          <w:color w:val="111111"/>
          <w:sz w:val="28"/>
          <w:sz w:val="28"/>
          <w:szCs w:val="28"/>
          <w:rtl w:val="true"/>
          <w:lang w:bidi="fa-IR"/>
        </w:rPr>
        <w:t>علامه مجلسی در بحار الانوار این روایت را از نوادر راوندی نقل کرده و سند آن را به خود کتاب ارجاع داده و مطلبی در مورد سند آن بیان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النوادر لراوندي بِإِسْنَادِهِ عَنْ مُوسَي بْنِ جَعْفَرٍ عَنْ آبَائِهِ علیه السلام قَالَ قَالَ رَسُولُ اللَّهِ صلي الله علیه وآله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این روایت در نوادر راوندی که اکنون در دسترس است،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بزرگان هم نظیر محدث بحرانی در الحدائق الناضره این روایت را به نقل از بحار الانوار، مطرح کرده اند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بنابراین گویا که این روایت در دست محدثان بعد از علامه مجلسی نبوده و آنها هم این روایت را تنها از وی نقل کرده 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سندی که محدث راوندی در ابتدای کتاب النوادر، به امام کاظم علیه السلام نقل کرده و تمام روایات کتاب را نیز مستند به آن می داند، همان سندی است که در کتاب جعفریات آمده است</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طور کلی بنابر گفته علامه مجلسی، اکثر روایات کتاب نوادر راوندی از کتاب الجعفریات اخذ شده و هر دو کتاب دارای مضمونی واحد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اما سند این روایت در این دو کتاب به دلیل آنکه اکثر رجال آن نظیر موسی بن اسماعیل و پدرش اسماعیل، دارای توثیق خاص نیستند، ضعیف السند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مشابه در منابع اهل تسنن</w:t>
      </w:r>
    </w:p>
    <w:p>
      <w:pPr>
        <w:pStyle w:val="BookText"/>
        <w:rPr/>
      </w:pPr>
      <w:r>
        <w:rPr>
          <w:rFonts w:ascii="IRNazanin" w:hAnsi="IRNazanin" w:eastAsia="IRNazanin"/>
          <w:color w:val="111111"/>
          <w:sz w:val="28"/>
          <w:sz w:val="28"/>
          <w:szCs w:val="28"/>
          <w:rtl w:val="true"/>
          <w:lang w:bidi="fa-IR"/>
        </w:rPr>
        <w:t>ابو درداء، وائله، ابو امامه و در نقل دیگری ابوهریره و معاذ به صورت مرفوع،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سمعنا رسول الله صلي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علي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جنبوا مساجدکم صبیانکم و مجانینکم و خصوماتکم و رفع أصواتکم و سل سیوفکم و إقامة حدودکم و اجمروها في الجمع و اتخذوا علي أبواب مساجدکم مطاهر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 که نقل این روایت در منابع شیعه و اهل تسنن بسیار شبیه به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نقل اهل تسنن</w:t>
      </w:r>
    </w:p>
    <w:p>
      <w:pPr>
        <w:pStyle w:val="BookText"/>
        <w:rPr/>
      </w:pPr>
      <w:r>
        <w:rPr>
          <w:rFonts w:ascii="IRNazanin" w:hAnsi="IRNazanin" w:eastAsia="IRNazanin"/>
          <w:color w:val="111111"/>
          <w:sz w:val="28"/>
          <w:sz w:val="28"/>
          <w:szCs w:val="28"/>
          <w:rtl w:val="true"/>
          <w:lang w:bidi="fa-IR"/>
        </w:rPr>
        <w:t xml:space="preserve">عبد الرزاق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المصنف</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ابن ماجه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ابن ماجة</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المعجم الکبیر</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السنن الکبرى</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به نقل از امام کاظم علیه السلام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از اجدادش از پیامبر ص نقل می کند که فرمود</w:t>
      </w:r>
      <w:r>
        <w:rPr>
          <w:rFonts w:eastAsia="IRNazanin" w:cs="IRNazanin"/>
          <w:color w:val="111111"/>
          <w:sz w:val="28"/>
          <w:szCs w:val="28"/>
          <w:rtl w:val="true"/>
          <w:lang w:bidi="fa-IR"/>
        </w:rPr>
        <w:t xml:space="preserve">: </w:t>
      </w:r>
      <w:bookmarkStart w:id="111" w:name="pg19111_194932"/>
    </w:p>
    <w:p>
      <w:pPr>
        <w:pStyle w:val="BookText"/>
        <w:rPr/>
      </w:pPr>
      <w:bookmarkEnd w:id="111"/>
      <w:r>
        <w:rPr>
          <w:rFonts w:ascii="Amiri" w:hAnsi="Amiri" w:eastAsia="Amiri" w:cs="Amiri"/>
          <w:color w:val="111111"/>
          <w:sz w:val="28"/>
          <w:sz w:val="28"/>
          <w:szCs w:val="28"/>
          <w:rtl w:val="true"/>
          <w:lang w:bidi="ar-SA"/>
        </w:rPr>
        <w:t xml:space="preserve">لَتَمْنَعُنَّ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مَسَاجِدَکُمْ یَهُودَکُمْ وَ نَصَارَاکُمْ وَ صِبْیَانَکُمْ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مَجَانِینَکُمْ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لَیَمْسَخَنَّکُمُ اللَّهُ قِرَدَةً وَ خَنَازِیرَ رُکَّعاً وَ سُجَّداً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حتما مساجدتان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و نصرانیانتان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کودکانتان و دیوانگانتان باز دارید و یا اینکه خداوند شما را به میمون و خوک هایی که رکوع و سجود می کنند، مسخ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ابن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الجعفریات</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قاضي نعمان 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دعائم الإسلام</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علامه مجلسی در بحار الانوار از فضل الله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نوادر راوندی</w:t>
      </w:r>
      <w:r>
        <w:rPr>
          <w:rStyle w:val="FootnoteAnchor"/>
          <w:rtl w:val="true"/>
        </w:rPr>
        <w:footnoteReference w:id="130"/>
      </w:r>
    </w:p>
    <w:p>
      <w:pPr>
        <w:pStyle w:val="Heading6"/>
        <w:numPr>
          <w:ilvl w:val="5"/>
          <w:numId w:val="1"/>
        </w:numPr>
        <w:rPr/>
      </w:pPr>
      <w:bookmarkStart w:id="112" w:name="__RefHeading___Toc15165125_1280447820"/>
      <w:bookmarkStart w:id="113" w:name="_Toc38"/>
      <w:bookmarkEnd w:id="112"/>
      <w:r>
        <w:rPr>
          <w:rtl w:val="true"/>
        </w:rPr>
        <w:t>تفاوت های نقل</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روایت در هر یک از نقل های سه گانه مذکور اندکی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جعفریات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لتمنعن من مساجدکم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دعائم الاسلام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لتمنعن مساجدکم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نوادر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لیمنعن احدکم مساجدکم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نقل دعائم الاسلام آمده است و در دو نقل دیگر وجود ندارد</w:t>
      </w:r>
      <w:r>
        <w:rPr>
          <w:rFonts w:eastAsia="IRNazanin" w:cs="IRNazanin"/>
          <w:color w:val="111111"/>
          <w:sz w:val="28"/>
          <w:szCs w:val="28"/>
          <w:rtl w:val="true"/>
          <w:lang w:bidi="fa-IR"/>
        </w:rPr>
        <w:t xml:space="preserve">. </w:t>
      </w:r>
      <w:bookmarkStart w:id="114" w:name="pg19111_194935"/>
    </w:p>
    <w:p>
      <w:pPr>
        <w:pStyle w:val="BookText"/>
        <w:rPr/>
      </w:pPr>
      <w:bookmarkEnd w:id="114"/>
      <w:r>
        <w:rPr>
          <w:rFonts w:ascii="IRNazanin" w:hAnsi="IRNazanin" w:eastAsia="IRNazanin"/>
          <w:color w:val="111111"/>
          <w:sz w:val="28"/>
          <w:sz w:val="28"/>
          <w:szCs w:val="28"/>
          <w:rtl w:val="true"/>
          <w:lang w:bidi="fa-IR"/>
        </w:rPr>
        <w:t>سند 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در کتاب دعائم الاسلام بدون ذکر سند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پیشین پیرامون یکسان بودن روایات و اسناد دو کتاب جعفریات و نوادر راوندی مطالبی بیان شد که نتیجه آن ضعف سندی این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این روایت در هر دو کتاب، به همان دلایل پیشین، ضعیف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سند شناسی روایات ناهیه</w:t>
      </w:r>
    </w:p>
    <w:p>
      <w:pPr>
        <w:pStyle w:val="BookText"/>
        <w:rPr/>
      </w:pPr>
      <w:r>
        <w:rPr>
          <w:rFonts w:ascii="IRNazanin" w:hAnsi="IRNazanin" w:eastAsia="IRNazanin"/>
          <w:color w:val="111111"/>
          <w:sz w:val="28"/>
          <w:sz w:val="28"/>
          <w:szCs w:val="28"/>
          <w:rtl w:val="true"/>
          <w:lang w:bidi="fa-IR"/>
        </w:rPr>
        <w:t>با توجه به بررسی انجام شده در مورد اسناد تمامی این روایات، روشن شد که همه این روایات، ضعیف السند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دید که چرا بسیاری از فقها به این روایات تمسک کرده و فتوای به کراهت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باید پرسید که آیا راهی برای جبران ضعف اسناد این روایات وجود دارد؟</w:t>
      </w:r>
    </w:p>
    <w:p>
      <w:pPr>
        <w:pStyle w:val="Heading4"/>
        <w:numPr>
          <w:ilvl w:val="3"/>
          <w:numId w:val="1"/>
        </w:numPr>
        <w:rPr/>
      </w:pPr>
      <w:bookmarkStart w:id="115" w:name="__RefHeading___Toc15165127_1280447820"/>
      <w:bookmarkStart w:id="116" w:name="_Toc39"/>
      <w:bookmarkEnd w:id="115"/>
      <w:r>
        <w:rPr>
          <w:rtl w:val="true"/>
        </w:rPr>
        <w:t>گفتار دوم</w:t>
      </w:r>
      <w:r>
        <w:rPr>
          <w:rtl w:val="true"/>
        </w:rPr>
        <w:t xml:space="preserve">: </w:t>
      </w:r>
      <w:r>
        <w:rPr>
          <w:rtl w:val="true"/>
        </w:rPr>
        <w:t>بررسی امکان جبران ضعف سند روایات ناهیه</w:t>
      </w:r>
      <w:bookmarkEnd w:id="116"/>
    </w:p>
    <w:p>
      <w:pPr>
        <w:pStyle w:val="Heading5"/>
        <w:numPr>
          <w:ilvl w:val="4"/>
          <w:numId w:val="1"/>
        </w:numPr>
        <w:rPr/>
      </w:pPr>
      <w:bookmarkStart w:id="117" w:name="__RefHeading___Toc15165129_1280447820"/>
      <w:bookmarkStart w:id="118" w:name="_Toc40"/>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با اینکه تمامی روایات ناهیه مرتبط با این مساله، ضعیف السند هستند اما نکات دیگری نیز در کنار ضعف سند این روایات وجود دارد که ممکن است استدلال کنندگان به این روایات به آن نکات تمسک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اگر چه این روایات ضعیف السند هستند اما به چند دلیل نمی توان به راحتی از کنار این روایات گذر کرد و این دسته از روایات را کنار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که هر یک باید مورد تحلیل قرار گیرند،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نسبی این دسته از روایات در کتب گوناگون روایی شیعه و اهل تسنن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روایات در کتب تراز اول شیعه نظیر تهذیب الاحکام، خصال و علل الشرایع</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برخی از متقدمین از فقهای شیعه به این روایات که ممکن است جبران کننده ضعف سندی باشد</w:t>
      </w:r>
      <w:r>
        <w:rPr>
          <w:rFonts w:eastAsia="IRNazanin" w:cs="IRNazanin"/>
          <w:color w:val="111111"/>
          <w:sz w:val="28"/>
          <w:szCs w:val="28"/>
          <w:rtl w:val="true"/>
          <w:lang w:bidi="fa-IR"/>
        </w:rPr>
        <w:t xml:space="preserve">. </w:t>
      </w:r>
      <w:bookmarkStart w:id="119" w:name="pg19111_194937"/>
    </w:p>
    <w:p>
      <w:pPr>
        <w:pStyle w:val="BookText"/>
        <w:rPr/>
      </w:pPr>
      <w:bookmarkEnd w:id="11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داشتن فتوای به کراهت خصوصا در میان فقهای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گیری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که نکته اول و دوم مرتبط با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سوم نیز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نکته چهارم هم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فتوایی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بررسی امکان جبران ضعف سند باید در چهار حوزه مجزا ورود کرد و بحث را در چهار بخش زیر پی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شهرت روایی روایات ناهیه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شهرت عملی روایات ناهیه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شهرت فتوایی در مساله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امکان بهره گیری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هر بخش نیز باید موضوع بحث را هم از لحاظ صغروی و هم از لحاظ کبروی مورد تحلیل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هر بخش در گام اول باید دید که آیا انواع مختلف شهرت می توانند جابر ضعف سند باشند؟ همچنین در گام دوم باید دید که آیا روایات ناهیه، شهرت روایی یا عملی و یا فتوایی دارند؟</w:t>
      </w:r>
    </w:p>
    <w:p>
      <w:pPr>
        <w:pStyle w:val="BookText"/>
        <w:rPr/>
      </w:pPr>
      <w:r>
        <w:rPr>
          <w:rFonts w:ascii="IRNazanin" w:hAnsi="IRNazanin" w:eastAsia="IRNazanin"/>
          <w:color w:val="111111"/>
          <w:sz w:val="28"/>
          <w:sz w:val="28"/>
          <w:szCs w:val="28"/>
          <w:rtl w:val="true"/>
          <w:lang w:bidi="fa-IR"/>
        </w:rPr>
        <w:t>بنابراین پیش از ورود به بررسی دلالی این روایات، به تحلیل این چهار مساله می پردازیم</w:t>
      </w:r>
      <w:r>
        <w:rPr>
          <w:rFonts w:eastAsia="IRNazanin" w:cs="IRNazanin"/>
          <w:color w:val="111111"/>
          <w:sz w:val="28"/>
          <w:szCs w:val="28"/>
          <w:rtl w:val="true"/>
          <w:lang w:bidi="fa-IR"/>
        </w:rPr>
        <w:t>.</w:t>
      </w:r>
    </w:p>
    <w:p>
      <w:pPr>
        <w:pStyle w:val="Heading5"/>
        <w:numPr>
          <w:ilvl w:val="4"/>
          <w:numId w:val="1"/>
        </w:numPr>
        <w:rPr/>
      </w:pPr>
      <w:bookmarkStart w:id="120" w:name="__RefHeading___Toc15165131_1280447820"/>
      <w:bookmarkStart w:id="121" w:name="_Toc41"/>
      <w:bookmarkEnd w:id="120"/>
      <w:r>
        <w:rPr/>
        <w:t>1</w:t>
      </w:r>
      <w:r>
        <w:rPr>
          <w:rtl w:val="true"/>
        </w:rPr>
        <w:t xml:space="preserve">- </w:t>
      </w:r>
      <w:r>
        <w:rPr>
          <w:rtl w:val="true"/>
        </w:rPr>
        <w:t>معنای شهرت روایی و حجیت آن</w:t>
      </w:r>
      <w:bookmarkEnd w:id="121"/>
    </w:p>
    <w:p>
      <w:pPr>
        <w:pStyle w:val="BookText"/>
        <w:rPr/>
      </w:pPr>
      <w:r>
        <w:rPr>
          <w:rFonts w:ascii="IRNazanin" w:hAnsi="IRNazanin" w:eastAsia="IRNazanin"/>
          <w:color w:val="111111"/>
          <w:sz w:val="28"/>
          <w:sz w:val="28"/>
          <w:szCs w:val="28"/>
          <w:rtl w:val="true"/>
          <w:lang w:bidi="fa-IR"/>
        </w:rPr>
        <w:t>شهرت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روایی، شهرت عملی و شهرت فتوایی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نقل روایتی در میان راویان و در کتب روایی، مشهور و فراوان باشد اما به حدّ تواتر نرسد، به آن مشهور روایی گویند</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فقهاء در مقام افتاء به آن حدیث استناد کرده و مطابق آن فتوا داده باشند یا خیر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اصولیون بر این باورند که شهرت روایی از مرجحات باب تعارض میان اخبار است</w:t>
      </w:r>
      <w:r>
        <w:rPr>
          <w:rStyle w:val="FootnoteAnchor"/>
          <w:rtl w:val="true"/>
        </w:rPr>
        <w:footnoteReference w:id="132"/>
      </w:r>
      <w:r>
        <w:rPr>
          <w:rFonts w:ascii="IRNazanin" w:hAnsi="IRNazanin" w:eastAsia="IRNazanin"/>
          <w:color w:val="111111"/>
          <w:sz w:val="28"/>
          <w:sz w:val="28"/>
          <w:szCs w:val="28"/>
          <w:rtl w:val="true"/>
          <w:lang w:bidi="fa-IR"/>
        </w:rPr>
        <w:t xml:space="preserve">که در آن عمل اصحاب به آن روایت شرط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تعریف، شهرت روایی نمی تواند جابر ضعف سند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از اصولیون، شهرت روایی را به معنای مشهور بودن یک روایت در میان اصحاب ائمه  علیهم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نعني بالشهرة الروائیة اشتهار روایتها بین اصحاب الائمة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الشهرة الروائیة فلا ریب ان کثرة روایة اصحاب الائمة علیهم السلام لروایة معینة و لو کان في سندها من لا یوثق به یوجب الظن الاطمئناني باحتفافها بقرینة اوجبت اشتهارها بین الاصحاب لقرب عهدهم من زمان صدورها فیکشف ذلک عن تثبتهم فیها و وقوفهم علي ما یوجب اطمئنان النفس بصدورها و حینئذ فالشهرة الروائیة توجب دخول الخبر الضعیف الغیر الموثوق بصدوره في نفسه في الخبر الموثوق بصدوره فیکون بذلک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شهرة الروایة بین المتأخرین البعیدین عن عصر الصدور لا یکشف عن ذلک و لا یدخل الروایة بها في موضوع الحجیة</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پس بنا بر این دیدگاه، اگر روایتی میان اصحاب امامان معصوم علیهم السلام شهرت داشته باشد، می تواند قابل اعتماد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مساله شهرت روایی در روایات ناهیه</w:t>
      </w:r>
    </w:p>
    <w:p>
      <w:pPr>
        <w:pStyle w:val="BookText"/>
        <w:rPr/>
      </w:pPr>
      <w:r>
        <w:rPr>
          <w:rFonts w:ascii="IRNazanin" w:hAnsi="IRNazanin" w:eastAsia="IRNazanin"/>
          <w:color w:val="111111"/>
          <w:sz w:val="28"/>
          <w:sz w:val="28"/>
          <w:szCs w:val="28"/>
          <w:rtl w:val="true"/>
          <w:lang w:bidi="fa-IR"/>
        </w:rPr>
        <w:t>بر فرض آنکه از مبنای مشهور دست برداشته و سخن مرحوم نائینی را در مورد شهرت روایی بپذیریم، در گام بعد باید ببینیم که آیا در مساله مذکور چنین شهرتی وجود دارد؟</w:t>
      </w:r>
    </w:p>
    <w:p>
      <w:pPr>
        <w:pStyle w:val="BookText"/>
        <w:rPr/>
      </w:pPr>
      <w:r>
        <w:rPr>
          <w:rFonts w:ascii="IRNazanin" w:hAnsi="IRNazanin" w:eastAsia="IRNazanin"/>
          <w:color w:val="111111"/>
          <w:sz w:val="28"/>
          <w:sz w:val="28"/>
          <w:szCs w:val="28"/>
          <w:rtl w:val="true"/>
          <w:lang w:bidi="fa-IR"/>
        </w:rPr>
        <w:t>به بیان دیگر سوال کنونی ما این است که آیا این روایت در میان راویان دوران معصومین علیهم السلام شهرت داشته است تا بتوان آن را مشهور روایی دانست و از آن به عنوان جابر ضعف سند استفاده کرد؟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این روایات از دو شخصیت بزرگ </w:t>
      </w:r>
      <w:bookmarkStart w:id="122" w:name="pg19111_194941"/>
    </w:p>
    <w:p>
      <w:pPr>
        <w:pStyle w:val="BookText"/>
        <w:rPr/>
      </w:pPr>
      <w:bookmarkEnd w:id="122"/>
      <w:r>
        <w:rPr>
          <w:rFonts w:ascii="IRNazanin" w:hAnsi="IRNazanin" w:eastAsia="IRNazanin"/>
          <w:color w:val="111111"/>
          <w:sz w:val="28"/>
          <w:sz w:val="28"/>
          <w:szCs w:val="28"/>
          <w:rtl w:val="true"/>
          <w:lang w:bidi="fa-IR"/>
        </w:rPr>
        <w:t>و قابل اعتماد شیعه یعنی شیخ صدوق و شیخ طوسی نقل شده و در دو منبع از کتب اربعه حدیثی شیعه یعنی تهذیب الاحکام و من لا یحضره الفقیه نیز درج گردیده است، اما ملاک شهرت روایی که در تعریف مرحوم نائینی مطرح شد، مشهور بودن در زمان معصومان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احراز چنین شهرتی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روایت اول دیدیم که نقل شیخ صدوق و شیخ طوسی دارای سندی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اینکه این روایت در سه کتاب نقل شده اما روشن است که از یک منبع و از یک راوی خاص نقل شده و طریق دیگری از آن 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دوم و سوم هم در برخی از نقل ها سندی مطرح نشده و در مجموع دو سند به این دو روایت مطرح گردیده است که آن هم نمی تواند گویای شهرت این روایت در میان اصحاب معصومان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روایات با اینکه در برخی از کتب روایی تراز اول شیعه آمده، اما مشهور روایی به حساب نمی آیند</w:t>
      </w:r>
      <w:r>
        <w:rPr>
          <w:rFonts w:eastAsia="IRNazanin" w:cs="IRNazanin"/>
          <w:color w:val="111111"/>
          <w:sz w:val="28"/>
          <w:szCs w:val="28"/>
          <w:rtl w:val="true"/>
          <w:lang w:bidi="fa-IR"/>
        </w:rPr>
        <w:t>.</w:t>
      </w:r>
    </w:p>
    <w:p>
      <w:pPr>
        <w:pStyle w:val="Heading5"/>
        <w:numPr>
          <w:ilvl w:val="4"/>
          <w:numId w:val="1"/>
        </w:numPr>
        <w:rPr/>
      </w:pPr>
      <w:bookmarkStart w:id="123" w:name="__RefHeading___Toc15165133_1280447820"/>
      <w:bookmarkStart w:id="124" w:name="_Toc42"/>
      <w:bookmarkEnd w:id="123"/>
      <w:r>
        <w:rPr/>
        <w:t>2</w:t>
      </w:r>
      <w:r>
        <w:rPr>
          <w:rtl w:val="true"/>
        </w:rPr>
        <w:t xml:space="preserve">- </w:t>
      </w:r>
      <w:r>
        <w:rPr>
          <w:rtl w:val="true"/>
        </w:rPr>
        <w:t>معنای شهرت فتوایی و حجیت آن</w:t>
      </w:r>
      <w:bookmarkEnd w:id="124"/>
    </w:p>
    <w:p>
      <w:pPr>
        <w:pStyle w:val="BookText"/>
        <w:rPr/>
      </w:pPr>
      <w:r>
        <w:rPr>
          <w:rFonts w:ascii="IRNazanin" w:hAnsi="IRNazanin" w:eastAsia="IRNazanin"/>
          <w:color w:val="111111"/>
          <w:sz w:val="28"/>
          <w:sz w:val="28"/>
          <w:szCs w:val="28"/>
          <w:rtl w:val="true"/>
          <w:lang w:bidi="fa-IR"/>
        </w:rPr>
        <w:t>اگر فتوایی در میان فقها بدون استناد به روایتی خاص، شیوع داشته باشد، به آن شهرت فتواییه گفته می شود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اما در حجیت شهرت فتوایی اختلاف نظر وجود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همانند شهید اول و محقق خوانساری معتقدند شهرت فتوایی، چه در میان قدما و چه متأخران،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اصولیون همچون مرحوم شیخ انصاری، آخوند خراسانی و مظفر، بر این اعتقادند که شهرت فتوایی مطلقا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حجیت شهرت فتوایی قدما اعتقاد دارند، ولی شهرت فتوایی متأخران را حجت نمی‌دانند</w:t>
      </w:r>
      <w:r>
        <w:rPr>
          <w:rFonts w:eastAsia="IRNazanin" w:cs="IRNazanin"/>
          <w:color w:val="111111"/>
          <w:sz w:val="28"/>
          <w:szCs w:val="28"/>
          <w:rtl w:val="true"/>
          <w:lang w:bidi="fa-IR"/>
        </w:rPr>
        <w:t>.</w:t>
      </w:r>
      <w:r>
        <w:rPr>
          <w:rStyle w:val="FootnoteAnchor"/>
          <w:rtl w:val="true"/>
        </w:rPr>
        <w:footnoteReference w:id="135"/>
      </w:r>
      <w:bookmarkStart w:id="125" w:name="pg19111_194943"/>
    </w:p>
    <w:p>
      <w:pPr>
        <w:pStyle w:val="BookText"/>
        <w:rPr/>
      </w:pPr>
      <w:bookmarkEnd w:id="125"/>
      <w:r>
        <w:rPr>
          <w:rFonts w:ascii="IRNazanin" w:hAnsi="IRNazanin" w:eastAsia="IRNazanin"/>
          <w:color w:val="111111"/>
          <w:sz w:val="28"/>
          <w:sz w:val="28"/>
          <w:szCs w:val="28"/>
          <w:rtl w:val="true"/>
          <w:lang w:bidi="fa-IR"/>
        </w:rPr>
        <w:t>بررسی مساله شهرت فتوایی در مساله</w:t>
      </w:r>
    </w:p>
    <w:p>
      <w:pPr>
        <w:pStyle w:val="BookText"/>
        <w:rPr/>
      </w:pPr>
      <w:r>
        <w:rPr>
          <w:rFonts w:ascii="IRNazanin" w:hAnsi="IRNazanin" w:eastAsia="IRNazanin"/>
          <w:color w:val="111111"/>
          <w:sz w:val="28"/>
          <w:sz w:val="28"/>
          <w:szCs w:val="28"/>
          <w:rtl w:val="true"/>
          <w:lang w:bidi="fa-IR"/>
        </w:rPr>
        <w:t>نکته اساسی پیرامون این مساله این است که بنا بر تعریف مذکور، اساسا امکان شکل گیری شهرت فتوایی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روشن است که فتوای کراهت در این مساله، مستند به روایات ناهیه است و حال آنکه شهرت فتواییه باید بدون استناد به روایتی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اشتهار فتوای به کراهت، ثابت شود، شهرت آن از نوع شهرت عملی خواهد بود و نه شهرت فتوایی</w:t>
      </w:r>
      <w:r>
        <w:rPr>
          <w:rFonts w:eastAsia="IRNazanin" w:cs="IRNazanin"/>
          <w:color w:val="111111"/>
          <w:sz w:val="28"/>
          <w:szCs w:val="28"/>
          <w:rtl w:val="true"/>
          <w:lang w:bidi="fa-IR"/>
        </w:rPr>
        <w:t>.</w:t>
      </w:r>
    </w:p>
    <w:p>
      <w:pPr>
        <w:pStyle w:val="Heading5"/>
        <w:numPr>
          <w:ilvl w:val="4"/>
          <w:numId w:val="1"/>
        </w:numPr>
        <w:rPr/>
      </w:pPr>
      <w:bookmarkStart w:id="126" w:name="__RefHeading___Toc15165135_1280447820"/>
      <w:bookmarkStart w:id="127" w:name="_Toc43"/>
      <w:bookmarkEnd w:id="126"/>
      <w:r>
        <w:rPr/>
        <w:t>3</w:t>
      </w:r>
      <w:r>
        <w:rPr>
          <w:rtl w:val="true"/>
        </w:rPr>
        <w:t xml:space="preserve">- </w:t>
      </w:r>
      <w:r>
        <w:rPr>
          <w:rtl w:val="true"/>
        </w:rPr>
        <w:t>معنای شهرت عملی و حجیت آن</w:t>
      </w:r>
      <w:bookmarkEnd w:id="127"/>
    </w:p>
    <w:p>
      <w:pPr>
        <w:pStyle w:val="Heading6"/>
        <w:numPr>
          <w:ilvl w:val="5"/>
          <w:numId w:val="1"/>
        </w:numPr>
        <w:rPr/>
      </w:pPr>
      <w:bookmarkStart w:id="128" w:name="__RefHeading___Toc15165137_1280447820"/>
      <w:bookmarkStart w:id="129" w:name="_Toc44"/>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شهرت عملی، به معنای اشتهار عمل به روایتی از جانب عده زیادی از فقها است که تعدادشان به حد اجماع نمی‌رسد؛ به این معنا که مشهور فقها در مقام فتوا و انتخابِ رأی و نظر خویش در یکی از مسائل فقهی، آن روایت را مستند قرار داده و با تکیه بر مضمون آن، فتوا داده‌اند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مشهور فقهای امامیه اعتقاد دارند شهرت عملی باعث جبران ضعف سند روایت ضعیف می شود و حتی اعراض مشهور از عمل به روایتی، موجب ضعف روایت صحیح السند،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متأخرین نظیر مرحوم خوئی با این امر مخالفت نموده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ضعیف فی نفسه حجیت ندارد و فتوای مشهور نیز حجت نیست؛ بنابراین، انضمام این دو به هم دیگر، انضمام غیر حجت به غیر حجت بوده و باعث حجیت خبر ضعیف و جبران ضعف آن نمی‌شود</w:t>
      </w:r>
      <w:r>
        <w:rPr>
          <w:rFonts w:eastAsia="IRNazanin" w:cs="IRNazanin"/>
          <w:color w:val="111111"/>
          <w:sz w:val="28"/>
          <w:szCs w:val="28"/>
          <w:rtl w:val="true"/>
          <w:lang w:bidi="fa-IR"/>
        </w:rPr>
        <w:t>.</w:t>
      </w:r>
      <w:r>
        <w:rPr>
          <w:rStyle w:val="FootnoteAnchor"/>
          <w:rtl w:val="true"/>
        </w:rPr>
        <w:footnoteReference w:id="13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که مشهور اصولیون تنها شهرت عملی قدما را جابر ضعف سند و از بین برنده صحت روایت می دانند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مرحوم مظفر نیز در این باره می گوید</w:t>
      </w:r>
      <w:r>
        <w:rPr>
          <w:rFonts w:eastAsia="IRNazanin" w:cs="IRNazanin"/>
          <w:color w:val="111111"/>
          <w:sz w:val="28"/>
          <w:szCs w:val="28"/>
          <w:rtl w:val="true"/>
          <w:lang w:bidi="fa-IR"/>
        </w:rPr>
        <w:t xml:space="preserve">: </w:t>
      </w:r>
      <w:bookmarkStart w:id="130" w:name="pg19111_194945"/>
    </w:p>
    <w:p>
      <w:pPr>
        <w:pStyle w:val="BookText"/>
        <w:rPr/>
      </w:pPr>
      <w:bookmarkEnd w:id="130"/>
      <w:r>
        <w:rPr>
          <w:rFonts w:ascii="IRNazanin" w:hAnsi="IRNazanin" w:eastAsia="IRNazanin"/>
          <w:color w:val="111111"/>
          <w:sz w:val="28"/>
          <w:sz w:val="28"/>
          <w:szCs w:val="28"/>
          <w:rtl w:val="true"/>
          <w:lang w:bidi="fa-IR"/>
        </w:rPr>
        <w:t>أما من جهة جبر الشهرة للخبر الضعیف مع قطع النظر عن وجود ما یعارضه فقد وقع نزاع للعلماء فیه و الحق أنها جابرة له إذا کانت قدیمة أیضا لأن العمل بالخبر عند المشهور من القدماء مما یوجب الوثوق بصدوره و الوثوق هو المناط في حجیة الخبر کما تقدم</w:t>
      </w:r>
      <w:r>
        <w:rPr>
          <w:rFonts w:eastAsia="IRNazanin" w:cs="IRNazanin"/>
          <w:color w:val="111111"/>
          <w:sz w:val="28"/>
          <w:szCs w:val="28"/>
          <w:rtl w:val="true"/>
          <w:lang w:bidi="fa-IR"/>
        </w:rPr>
        <w:t>.</w:t>
      </w:r>
      <w:r>
        <w:rPr>
          <w:rStyle w:val="FootnoteAnchor"/>
          <w:rtl w:val="true"/>
        </w:rPr>
        <w:footnoteReference w:id="139"/>
      </w:r>
    </w:p>
    <w:p>
      <w:pPr>
        <w:pStyle w:val="Heading6"/>
        <w:numPr>
          <w:ilvl w:val="5"/>
          <w:numId w:val="1"/>
        </w:numPr>
        <w:rPr/>
      </w:pPr>
      <w:bookmarkStart w:id="131" w:name="__RefHeading___Toc15165139_1280447820"/>
      <w:bookmarkStart w:id="132" w:name="_Toc45"/>
      <w:bookmarkEnd w:id="131"/>
      <w:r>
        <w:rPr>
          <w:rtl w:val="true"/>
        </w:rPr>
        <w:t>بررسی وجود شهرت عملی در مورد این روایات</w:t>
      </w:r>
      <w:bookmarkEnd w:id="132"/>
    </w:p>
    <w:p>
      <w:pPr>
        <w:pStyle w:val="BookText"/>
        <w:rPr/>
      </w:pPr>
      <w:r>
        <w:rPr>
          <w:rFonts w:ascii="IRNazanin" w:hAnsi="IRNazanin" w:eastAsia="IRNazanin"/>
          <w:color w:val="111111"/>
          <w:sz w:val="28"/>
          <w:sz w:val="28"/>
          <w:szCs w:val="28"/>
          <w:rtl w:val="true"/>
          <w:lang w:bidi="fa-IR"/>
        </w:rPr>
        <w:t>از آنچه گفته شد بر می آید که اگر شهرت عملی در میان قدما به اثبات برسد، جابر ضعف سندی این دسته از روایات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ببینیم که آیا چنین شهرتی در مساله مذکور اثبات شدنی است؟</w:t>
      </w:r>
    </w:p>
    <w:p>
      <w:pPr>
        <w:pStyle w:val="BookText"/>
        <w:rPr/>
      </w:pPr>
      <w:r>
        <w:rPr>
          <w:rFonts w:ascii="IRNazanin" w:hAnsi="IRNazanin" w:eastAsia="IRNazanin"/>
          <w:color w:val="111111"/>
          <w:sz w:val="28"/>
          <w:sz w:val="28"/>
          <w:szCs w:val="28"/>
          <w:rtl w:val="true"/>
          <w:lang w:bidi="fa-IR"/>
        </w:rPr>
        <w:t xml:space="preserve">در بخش پیشینه فقهی، دیدگاه های فقهای پیشین مطرح گردید و روشن شد که اولین کسی که به صراحت فتوای کراهت آوردن کودکان به مسجد را مطرح کرده،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دیگری که در میان قدما چنین فتوایی را مطرح کرده، قاضی ابن براج 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پذیرش این مطلب که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طرفداران این نظریه بوده، قدری دشوار است</w:t>
      </w:r>
      <w:r>
        <w:rPr>
          <w:rFonts w:eastAsia="IRNazanin" w:cs="IRNazanin"/>
          <w:color w:val="111111"/>
          <w:sz w:val="28"/>
          <w:szCs w:val="28"/>
          <w:rtl w:val="true"/>
          <w:lang w:bidi="fa-IR"/>
        </w:rPr>
        <w:t>.</w:t>
      </w:r>
    </w:p>
    <w:p>
      <w:pPr>
        <w:pStyle w:val="Heading6"/>
        <w:numPr>
          <w:ilvl w:val="5"/>
          <w:numId w:val="1"/>
        </w:numPr>
        <w:rPr/>
      </w:pPr>
      <w:bookmarkStart w:id="133" w:name="__RefHeading___Toc15165141_1280447820"/>
      <w:bookmarkStart w:id="134" w:name="_Toc46"/>
      <w:bookmarkEnd w:id="133"/>
      <w:r>
        <w:rPr>
          <w:rtl w:val="true"/>
        </w:rPr>
        <w:t>بررسی فتوای شیخ صدوق در مساله</w:t>
      </w:r>
      <w:bookmarkEnd w:id="134"/>
    </w:p>
    <w:p>
      <w:pPr>
        <w:pStyle w:val="BookText"/>
        <w:rPr/>
      </w:pPr>
      <w:r>
        <w:rPr>
          <w:rFonts w:ascii="IRNazanin" w:hAnsi="IRNazanin" w:eastAsia="IRNazanin"/>
          <w:color w:val="111111"/>
          <w:sz w:val="28"/>
          <w:sz w:val="28"/>
          <w:szCs w:val="28"/>
          <w:rtl w:val="true"/>
          <w:lang w:bidi="fa-IR"/>
        </w:rPr>
        <w:t xml:space="preserve">با اینکه فتوایی از جانب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مساله به دست ما نرسیده است اما آوردن روایت ناهیه در کتاب من لا یحضره الفقیه، می تواند نشانگر فتوای وی مبنی بر کراهت آوردن کودکان به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صرف آوردن روایت در یک کتاب روایی دلیل بر فتوا دادن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پاسخ باید گفت که بنا بر تصریح مولف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در بر دارنده فتاوای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مقدمه می 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قَصَدْتُ إِلَي إِیرَادِ مَا أُفْتِي بِهِ وَ أَحْکُمُ بِصِحَّتِهِ وَ أَعْتَقِدُ فِیهِ أَنَّهُ حُجَّةٌ فِیمَا </w:t>
      </w:r>
    </w:p>
    <w:p>
      <w:pPr>
        <w:pStyle w:val="BookText"/>
        <w:rPr/>
      </w:pPr>
      <w:r>
        <w:rPr>
          <w:rFonts w:ascii="Amiri" w:hAnsi="Amiri" w:eastAsia="Amiri" w:cs="Amiri"/>
          <w:color w:val="111111"/>
          <w:sz w:val="28"/>
          <w:sz w:val="28"/>
          <w:szCs w:val="28"/>
          <w:rtl w:val="true"/>
          <w:lang w:bidi="ar-SA"/>
        </w:rPr>
        <w:t>بَیْنِي وَ بَیْنَ رَبِّی</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با این حال نکته پراهمیت آن است که اگرچه این کتاب بنا بر اقرار مولف در مقدمه، به قصد افتاء آغاز شده اما باقى ماندن شیخ صدوق بر این قصد و نیت، تا پایان کتاب به موضوعى اختلافى تبدیل شده و دو دیدگاه متفاوت را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برخی از اندیشمندان که این کتاب را بازتابی از فتاوای شیخ صدوق می دانند، جمعی دیگر از فقیهان نظیر علامه مجلسی</w:t>
      </w:r>
      <w:r>
        <w:rPr>
          <w:rStyle w:val="FootnoteAnchor"/>
          <w:rtl w:val="true"/>
        </w:rPr>
        <w:footnoteReference w:id="141"/>
      </w:r>
      <w:r>
        <w:rPr>
          <w:rFonts w:ascii="IRNazanin" w:hAnsi="IRNazanin" w:eastAsia="IRNazanin"/>
          <w:color w:val="111111"/>
          <w:sz w:val="28"/>
          <w:sz w:val="28"/>
          <w:szCs w:val="28"/>
          <w:rtl w:val="true"/>
          <w:lang w:bidi="fa-IR"/>
        </w:rPr>
        <w:t>و صاحب جواهر معتقدند که شیخ صدوق پس از آغاز تالیف کتاب از سخن خود در مقدمه سرباز زده و کتاب را با کنار نهادن تصمیمی که گرفته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صاحب جواهر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یشهد له التتبع لکتابه</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تتبع در کتاب صدوق بر بازگشت او از سخنى که در اول کتاب گفته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دشوار است که بپذیریم روایات نقل شده در کتاب من لا یحضره الفقیه همان دیدگاه های فقهی شیخ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موضوع مورد بحث نیز نمی توان نقل این روایت در این کتاب را نشان از فتوای شیخ صدوق بر کراهت آوردن کودکان به مسجد تلقی کرد و از این طریق به فتوای ایشان در این زمینه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احراز شهرت عملی در مساله</w:t>
      </w:r>
    </w:p>
    <w:p>
      <w:pPr>
        <w:pStyle w:val="BookText"/>
        <w:rPr/>
      </w:pPr>
      <w:r>
        <w:rPr>
          <w:rFonts w:ascii="IRNazanin" w:hAnsi="IRNazanin" w:eastAsia="IRNazanin"/>
          <w:color w:val="111111"/>
          <w:sz w:val="28"/>
          <w:sz w:val="28"/>
          <w:szCs w:val="28"/>
          <w:rtl w:val="true"/>
          <w:lang w:bidi="fa-IR"/>
        </w:rPr>
        <w:t xml:space="preserve">از آنچه گفته شد بر می آید که دو نفر از فقهای متقدم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شیخ طوسی و ابن براج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حکم به کراهت این مساله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دیگر فقهای متقدم مطلبی به دست ما نرسیده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w:t>
      </w:r>
      <w:bookmarkStart w:id="135" w:name="pg19111_194950"/>
    </w:p>
    <w:p>
      <w:pPr>
        <w:pStyle w:val="BookText"/>
        <w:rPr/>
      </w:pPr>
      <w:bookmarkEnd w:id="135"/>
      <w:r>
        <w:rPr>
          <w:rFonts w:ascii="IRNazanin" w:hAnsi="IRNazanin" w:eastAsia="IRNazanin"/>
          <w:color w:val="111111"/>
          <w:sz w:val="28"/>
          <w:sz w:val="28"/>
          <w:szCs w:val="28"/>
          <w:rtl w:val="true"/>
          <w:lang w:bidi="fa-IR"/>
        </w:rPr>
        <w:t>نمی توان تنها از فتوای این دو فقیه نتیجه گرفت که در میان فقهای متقدم، شهرتی عملی در مورد این روایت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احتمال وجود دارد که دیدگاه دیگر فقهای متقدم نیز همراه شیخ طوسی بوده اما با این حال صرف احتمال نمی تواند مشکلی را از سر راه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ممکن است چنین ادعا شود که این مساله از مسائل درجه اول و مبتلا به مردم نبوده و به همین دلیل مورد توجه و فتوای دیگران قرار نگرفته و تنها شیخ طوسی، شیخ صدوق و قاضی ابن براج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جهت گستره فراوان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اینکه شیخ صدوق و شیخ طوسی نماینده فکری فقهای قم و بغداد بوده اند، می توان ادعا کرد که دیدگاه دیگر فقها نیز مطابق نظر آنها بوده و مخالفی در این جریان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احتمال زمانی قوت می یابد که بدانیم شیخ طوسی، کتاب تهذیب الاحکام را در دوره زعامت شیخ مفید و به عنوان شرح و توضیح کتاب مقنعه شیخ مفید به رشته تحریر در آورده است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بنابراین این احتمال نیز وجود دارد که شیخ مفید هم دیدگاهی همانند وی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پاسخ باید گفت که اولا تمامی این مطالب صرف احتمال است و نمی تواند دلیلی قاطع بر مدعا باشد و ثانیا همانطور که گفته شد حتی نمی توان وجود این روایت در من لا یحضره الفقیه را نشان از فتوای شیخ صدوق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طریق اولی نمی توان از آن نتیجه گرفت که فقهای قم نیز هم رای و هم اندیشه با وی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 توان با احتمالات مذکور، شهرت عملی را به اثبات رسانید</w:t>
      </w:r>
      <w:r>
        <w:rPr>
          <w:rFonts w:eastAsia="IRNazanin" w:cs="IRNazanin"/>
          <w:color w:val="111111"/>
          <w:sz w:val="28"/>
          <w:szCs w:val="28"/>
          <w:rtl w:val="true"/>
          <w:lang w:bidi="fa-IR"/>
        </w:rPr>
        <w:t>.</w:t>
      </w:r>
    </w:p>
    <w:p>
      <w:pPr>
        <w:pStyle w:val="Heading5"/>
        <w:numPr>
          <w:ilvl w:val="4"/>
          <w:numId w:val="1"/>
        </w:numPr>
        <w:rPr/>
      </w:pPr>
      <w:bookmarkStart w:id="136" w:name="__RefHeading___Toc15165143_1280447820"/>
      <w:bookmarkStart w:id="137" w:name="_Toc47"/>
      <w:bookmarkEnd w:id="136"/>
      <w:r>
        <w:rPr/>
        <w:t>4</w:t>
      </w:r>
      <w:r>
        <w:rPr>
          <w:rtl w:val="true"/>
        </w:rPr>
        <w:t xml:space="preserve">- </w:t>
      </w:r>
      <w:r>
        <w:rPr>
          <w:rtl w:val="true"/>
        </w:rPr>
        <w:t xml:space="preserve">فتوای به کراهت بر پایه قاعده </w:t>
      </w:r>
      <w:r>
        <w:rPr>
          <w:rtl w:val="true"/>
        </w:rPr>
        <w:t>«</w:t>
      </w:r>
      <w:r>
        <w:rPr>
          <w:rtl w:val="true"/>
        </w:rPr>
        <w:t>تسامح در ادله سنن</w:t>
      </w:r>
      <w:r>
        <w:rPr>
          <w:rtl w:val="true"/>
        </w:rPr>
        <w:t>»</w:t>
      </w:r>
      <w:bookmarkEnd w:id="137"/>
    </w:p>
    <w:p>
      <w:pPr>
        <w:pStyle w:val="Heading6"/>
        <w:numPr>
          <w:ilvl w:val="5"/>
          <w:numId w:val="1"/>
        </w:numPr>
        <w:rPr/>
      </w:pPr>
      <w:bookmarkStart w:id="138" w:name="__RefHeading___Toc15165145_1280447820"/>
      <w:bookmarkStart w:id="139" w:name="_Toc48"/>
      <w:bookmarkEnd w:id="138"/>
      <w:r>
        <w:rPr>
          <w:rtl w:val="true"/>
        </w:rPr>
        <w:t>اشاره</w:t>
      </w:r>
      <w:bookmarkEnd w:id="13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بحرانی در ذیل این روایت می گوید</w:t>
      </w:r>
      <w:r>
        <w:rPr>
          <w:rFonts w:eastAsia="IRNazanin" w:cs="IRNazanin"/>
          <w:color w:val="111111"/>
          <w:sz w:val="28"/>
          <w:szCs w:val="28"/>
          <w:rtl w:val="true"/>
          <w:lang w:bidi="fa-IR"/>
        </w:rPr>
        <w:t xml:space="preserve">: </w:t>
      </w:r>
      <w:bookmarkStart w:id="140" w:name="pg19111_194952"/>
    </w:p>
    <w:p>
      <w:pPr>
        <w:pStyle w:val="BookText"/>
        <w:rPr/>
      </w:pPr>
      <w:bookmarkEnd w:id="1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أصحابنا یکتفون في أدلة السنن بأمثال هذه الاخبار بل ما هو أضعف</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بنابراین وی معتقد است همچنانکه بسیاری از بزرگان در روایاتی ضعیف تر از موضوع بحث ما به این قاعده تمسک جسته اند، می توان از ضعف سندی این روایت به دلیل بهره گیری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سوال اساسی در مورد این قاعده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آیا این قاعده مورد پذیرش همه بزرگان شیعه می باشد؟</w:t>
      </w:r>
    </w:p>
    <w:p>
      <w:pPr>
        <w:pStyle w:val="BookText"/>
        <w:rPr/>
      </w:pPr>
      <w:r>
        <w:rPr>
          <w:rFonts w:ascii="IRNazanin" w:hAnsi="IRNazanin" w:eastAsia="IRNazanin"/>
          <w:color w:val="111111"/>
          <w:sz w:val="28"/>
          <w:sz w:val="28"/>
          <w:szCs w:val="28"/>
          <w:rtl w:val="true"/>
          <w:lang w:bidi="fa-IR"/>
        </w:rPr>
        <w:t>و ثانیا بر فرض پذیرش این قاعده، آیا این قاعده تنها مربوط به مستحبات است و یا گستره آن شامل مکروهات هم خواهد شد؟</w:t>
      </w:r>
    </w:p>
    <w:p>
      <w:pPr>
        <w:pStyle w:val="Heading6"/>
        <w:numPr>
          <w:ilvl w:val="5"/>
          <w:numId w:val="1"/>
        </w:numPr>
        <w:rPr/>
      </w:pPr>
      <w:bookmarkStart w:id="141" w:name="__RefHeading___Toc15165147_1280447820"/>
      <w:bookmarkStart w:id="142" w:name="_Toc49"/>
      <w:bookmarkEnd w:id="141"/>
      <w:r>
        <w:rPr>
          <w:rtl w:val="true"/>
        </w:rPr>
        <w:t>شهرت قاعده تسامح در ادله سنن در میان فقها</w:t>
      </w:r>
      <w:bookmarkEnd w:id="142"/>
    </w:p>
    <w:p>
      <w:pPr>
        <w:pStyle w:val="BookText"/>
        <w:rPr/>
      </w:pPr>
      <w:r>
        <w:rPr>
          <w:rFonts w:ascii="IRNazanin" w:hAnsi="IRNazanin" w:eastAsia="IRNazanin"/>
          <w:color w:val="111111"/>
          <w:sz w:val="28"/>
          <w:sz w:val="28"/>
          <w:szCs w:val="28"/>
          <w:rtl w:val="true"/>
          <w:lang w:bidi="fa-IR"/>
        </w:rPr>
        <w:t>تسامح در ادلّه سنن، قاعده ای فقهی است که فقها بر اساس آن، در ادله و مستندات احکام مستحب سخت گیری نمی کنند و شرایط احراز حجیت خبر واحد را ضروری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ضعف سند روایتی که بیانگر حکم مستحب است، مانع عمل به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قاعده برخی روایات است که به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اخبار آن است که اگر کسی شنیده باشد که انجام یک عمل، پاداشی را در پی دارد و او به امید رسیدن به آن ثواب، اقدام به عمل نماید، خداوند پاداش وعده شده را به او خواهد داد، اگر چه اصل خبر نادرست باشد</w:t>
      </w:r>
      <w:r>
        <w:rPr>
          <w:rFonts w:eastAsia="IRNazanin" w:cs="IRNazanin"/>
          <w:color w:val="111111"/>
          <w:sz w:val="28"/>
          <w:szCs w:val="28"/>
          <w:rtl w:val="true"/>
          <w:lang w:bidi="fa-IR"/>
        </w:rPr>
        <w:t>.</w:t>
      </w:r>
      <w:r>
        <w:rPr>
          <w:rStyle w:val="FootnoteAnchor"/>
          <w:rtl w:val="true"/>
        </w:rPr>
        <w:footnoteReference w:id="14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علمای متاخر شیعه نظیر شهید اول</w:t>
      </w:r>
      <w:r>
        <w:rPr>
          <w:rStyle w:val="FootnoteAnchor"/>
          <w:rtl w:val="true"/>
        </w:rPr>
        <w:footnoteReference w:id="146"/>
      </w:r>
      <w:r>
        <w:rPr>
          <w:rFonts w:ascii="IRNazanin" w:hAnsi="IRNazanin" w:eastAsia="IRNazanin"/>
          <w:color w:val="111111"/>
          <w:sz w:val="28"/>
          <w:sz w:val="28"/>
          <w:szCs w:val="28"/>
          <w:rtl w:val="true"/>
          <w:lang w:bidi="fa-IR"/>
        </w:rPr>
        <w:t>و ابن فهد حلی</w:t>
      </w:r>
      <w:r>
        <w:rPr>
          <w:rStyle w:val="FootnoteAnchor"/>
          <w:rtl w:val="true"/>
        </w:rPr>
        <w:footnoteReference w:id="147"/>
      </w:r>
      <w:r>
        <w:rPr>
          <w:rFonts w:ascii="IRNazanin" w:hAnsi="IRNazanin" w:eastAsia="IRNazanin"/>
          <w:color w:val="111111"/>
          <w:sz w:val="28"/>
          <w:sz w:val="28"/>
          <w:szCs w:val="28"/>
          <w:rtl w:val="true"/>
          <w:lang w:bidi="fa-IR"/>
        </w:rPr>
        <w:t>، اصل این قاعده را پذیرفته و از آن دفاع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از جمله کسانی است که در رساله ای مجزا به بررسی این قاعده پرداخته و آن را پذیرفته </w:t>
      </w:r>
      <w:bookmarkStart w:id="143" w:name="pg19111_194954"/>
    </w:p>
    <w:p>
      <w:pPr>
        <w:pStyle w:val="BookText"/>
        <w:rPr/>
      </w:pPr>
      <w:bookmarkEnd w:id="14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با این وجود برخی از فقها نظیر آیت الله خویی</w:t>
      </w:r>
      <w:r>
        <w:rPr>
          <w:rStyle w:val="FootnoteAnchor"/>
          <w:rtl w:val="true"/>
        </w:rPr>
        <w:footnoteReference w:id="149"/>
      </w:r>
      <w:r>
        <w:rPr>
          <w:rFonts w:ascii="IRNazanin" w:hAnsi="IRNazanin" w:eastAsia="IRNazanin"/>
          <w:color w:val="111111"/>
          <w:sz w:val="28"/>
          <w:sz w:val="28"/>
          <w:szCs w:val="28"/>
          <w:rtl w:val="true"/>
          <w:lang w:bidi="fa-IR"/>
        </w:rPr>
        <w:t>این قاعده را نپذیرفته و از پذیرش آن انتقاد کرده اند</w:t>
      </w:r>
      <w:r>
        <w:rPr>
          <w:rFonts w:eastAsia="IRNazanin" w:cs="IRNazanin"/>
          <w:color w:val="111111"/>
          <w:sz w:val="28"/>
          <w:szCs w:val="28"/>
          <w:rtl w:val="true"/>
          <w:lang w:bidi="fa-IR"/>
        </w:rPr>
        <w:t>.</w:t>
      </w:r>
    </w:p>
    <w:p>
      <w:pPr>
        <w:pStyle w:val="Heading6"/>
        <w:numPr>
          <w:ilvl w:val="5"/>
          <w:numId w:val="1"/>
        </w:numPr>
        <w:rPr/>
      </w:pPr>
      <w:bookmarkStart w:id="144" w:name="__RefHeading___Toc15165149_1280447820"/>
      <w:bookmarkStart w:id="145" w:name="_Toc50"/>
      <w:bookmarkEnd w:id="144"/>
      <w:r>
        <w:rPr>
          <w:rtl w:val="true"/>
        </w:rPr>
        <w:t>گستره قاعده تسامح از استحباب به کراهت</w:t>
      </w:r>
      <w:bookmarkEnd w:id="145"/>
    </w:p>
    <w:p>
      <w:pPr>
        <w:pStyle w:val="BookText"/>
        <w:rPr/>
      </w:pPr>
      <w:r>
        <w:rPr>
          <w:rFonts w:ascii="IRNazanin" w:hAnsi="IRNazanin" w:eastAsia="IRNazanin"/>
          <w:color w:val="111111"/>
          <w:sz w:val="28"/>
          <w:sz w:val="28"/>
          <w:szCs w:val="28"/>
          <w:rtl w:val="true"/>
          <w:lang w:bidi="fa-IR"/>
        </w:rPr>
        <w:t>آنان‌که قاعده تسامح را پذیرفته‌اند، در گستره شمول آن یکسان نمی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 است که بنابر قاعده تسامح، می توان از اخبار ضعیف برای اثبات کراهت نیز استفاده کرد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مقابل گروهی از علما نظیر آقا ضیاء عراقی نیز بر این عقیده اند که با قاعده تسامح فقط حکم مستحب را می‌توان ثابت کرد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شاید به همین دلیل است که برخی از فقها به جای فتوای به کراهت، فتوای به استحباب اجتناب از آوردن کودکان به مسجد داده اند</w:t>
      </w:r>
      <w:r>
        <w:rPr>
          <w:rFonts w:eastAsia="IRNazanin" w:cs="IRNazanin"/>
          <w:color w:val="111111"/>
          <w:sz w:val="28"/>
          <w:szCs w:val="28"/>
          <w:rtl w:val="true"/>
          <w:lang w:bidi="fa-IR"/>
        </w:rPr>
        <w:t>.</w:t>
      </w:r>
    </w:p>
    <w:p>
      <w:pPr>
        <w:pStyle w:val="Heading6"/>
        <w:numPr>
          <w:ilvl w:val="5"/>
          <w:numId w:val="1"/>
        </w:numPr>
        <w:rPr/>
      </w:pPr>
      <w:bookmarkStart w:id="146" w:name="__RefHeading___Toc15165151_1280447820"/>
      <w:bookmarkStart w:id="147" w:name="_Toc51"/>
      <w:bookmarkEnd w:id="146"/>
      <w:r>
        <w:rPr>
          <w:rtl w:val="true"/>
        </w:rPr>
        <w:t>فتوای به استحباب اجتناب</w:t>
      </w:r>
      <w:bookmarkEnd w:id="147"/>
    </w:p>
    <w:p>
      <w:pPr>
        <w:pStyle w:val="BookText"/>
        <w:rPr/>
      </w:pPr>
      <w:r>
        <w:rPr>
          <w:rFonts w:ascii="IRNazanin" w:hAnsi="IRNazanin" w:eastAsia="IRNazanin"/>
          <w:color w:val="111111"/>
          <w:sz w:val="28"/>
          <w:sz w:val="28"/>
          <w:szCs w:val="28"/>
          <w:rtl w:val="true"/>
          <w:lang w:bidi="fa-IR"/>
        </w:rPr>
        <w:t>با توجه به آنچه گفته شد، قدر متیقن از قاعده تسامح در ادله سنن و روایات من بلغ، آن است که در مستندات احکام استحبابی سخت گیری نشود تا ضرورتی برای احراز حجیت خبر واحد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سرایت این قاعده به احکام مکروه، قابل پذیرش همه بزرگان نیست و اثبات آن نیازمند پذیرش مقدمات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برخی از بزرگان سعی بر آن دارند که یا این قاعده را به مکروهات سرایت ندهند و یا اینکه تا آنجا که می شود از بُعد استحباب به چنین قضایایی نظر بیاندازند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بخش پیشینه فقهی مطرح گردید، شیخ طوسی، ابن براج، ابن ادریس و برخی دیگر از فقها از واژه 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ان تجنّب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اند که نشان از دقت نظر </w:t>
      </w:r>
      <w:bookmarkStart w:id="148" w:name="pg19111_194956"/>
    </w:p>
    <w:p>
      <w:pPr>
        <w:pStyle w:val="BookText"/>
        <w:rPr/>
      </w:pPr>
      <w:bookmarkEnd w:id="148"/>
      <w:r>
        <w:rPr>
          <w:rFonts w:ascii="IRNazanin" w:hAnsi="IRNazanin" w:eastAsia="IRNazanin"/>
          <w:color w:val="111111"/>
          <w:sz w:val="28"/>
          <w:sz w:val="28"/>
          <w:szCs w:val="28"/>
          <w:rtl w:val="true"/>
          <w:lang w:bidi="fa-IR"/>
        </w:rPr>
        <w:t>این بزرگواران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از بزرگان نیز نظیر شهید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استحباب 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محقق حلّی در هنگام بیان این مساله سخنی در مورد کودکان مطرح نکرده و تنها به بیان دیگر فرازهای مساله پرداخته است اما دقت نظر او در این مساله و انتخاب حکم استحباب به جای کراهت،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شرایع الاسلام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أن یتجنب البیع و الشراء و تمکین المجانین و </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 آنجا که این کتاب متن اصلی بسیاری از کتب فقهی بعدی نظیر مسالک الافهام و جواهر الکلام می باشد، هر کجا که دیگر فقها در این مساله نظر به کودکان داشته اند، حکمی مشابه محقق حلی داده و از آوردن لفظ کراهت پرهیز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نقطه مقابل این روش، بسیاری از بزرگان و یا بهتر است بگوییم اکثر قریب به اتفاق متاخرین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حلی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و حکم به کراهت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بزرگانی نظیر شهید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فهد حلی، شیخ حر عاملی و فیض کاشانی</w:t>
      </w:r>
      <w:r>
        <w:rPr>
          <w:rFonts w:eastAsia="IRNazanin" w:cs="IRNazanin"/>
          <w:color w:val="111111"/>
          <w:sz w:val="28"/>
          <w:szCs w:val="28"/>
          <w:rtl w:val="true"/>
          <w:lang w:bidi="fa-IR"/>
        </w:rPr>
        <w:t>.</w:t>
      </w:r>
    </w:p>
    <w:p>
      <w:pPr>
        <w:pStyle w:val="Heading4"/>
        <w:numPr>
          <w:ilvl w:val="3"/>
          <w:numId w:val="1"/>
        </w:numPr>
        <w:rPr/>
      </w:pPr>
      <w:bookmarkStart w:id="149" w:name="__RefHeading___Toc15165153_1280447820"/>
      <w:bookmarkStart w:id="150" w:name="_Toc52"/>
      <w:bookmarkEnd w:id="149"/>
      <w:r>
        <w:rPr>
          <w:rtl w:val="true"/>
        </w:rPr>
        <w:t>گفتار سوم</w:t>
      </w:r>
      <w:r>
        <w:rPr>
          <w:rtl w:val="true"/>
        </w:rPr>
        <w:t xml:space="preserve">: </w:t>
      </w:r>
      <w:r>
        <w:rPr>
          <w:rtl w:val="true"/>
        </w:rPr>
        <w:t>بررسی دلالی روایات ناهیه</w:t>
      </w:r>
      <w:bookmarkEnd w:id="150"/>
    </w:p>
    <w:p>
      <w:pPr>
        <w:pStyle w:val="Heading5"/>
        <w:numPr>
          <w:ilvl w:val="4"/>
          <w:numId w:val="1"/>
        </w:numPr>
        <w:rPr/>
      </w:pPr>
      <w:bookmarkStart w:id="151" w:name="__RefHeading___Toc15165155_1280447820"/>
      <w:bookmarkStart w:id="152" w:name="_Toc53"/>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از آنچه که تا کنون مورد تحلیل قرار گرفت، چنین می توان نتیجه گرفت که حکم به کراهت بر پایه سه روایت ضعیف السند،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می توان با بهره 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 ضعف سند، عبور کرد و به بررسی دلالی این روایات پرداخت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بخش دلالت ابتدا باید به بررسی دو واژه تاثیر گذار در این روایات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اول،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روایت اول و دوم از آن استفاده شده و واژه دیگر،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روایت سوم استعمال گردیده است</w:t>
      </w:r>
      <w:r>
        <w:rPr>
          <w:rFonts w:eastAsia="IRNazanin" w:cs="IRNazanin"/>
          <w:color w:val="111111"/>
          <w:sz w:val="28"/>
          <w:szCs w:val="28"/>
          <w:rtl w:val="true"/>
          <w:lang w:bidi="fa-IR"/>
        </w:rPr>
        <w:t xml:space="preserve">. </w:t>
      </w:r>
      <w:bookmarkStart w:id="153" w:name="pg19111_194958"/>
    </w:p>
    <w:p>
      <w:pPr>
        <w:pStyle w:val="Heading5"/>
        <w:numPr>
          <w:ilvl w:val="4"/>
          <w:numId w:val="1"/>
        </w:numPr>
        <w:rPr/>
      </w:pPr>
      <w:bookmarkStart w:id="154" w:name="__RefHeading___Toc15165157_1280447820"/>
      <w:bookmarkStart w:id="155" w:name="_Toc54"/>
      <w:bookmarkEnd w:id="153"/>
      <w:bookmarkEnd w:id="154"/>
      <w:r>
        <w:rPr>
          <w:rtl w:val="true"/>
        </w:rPr>
        <w:t xml:space="preserve">واژه شناسی </w:t>
      </w:r>
      <w:r>
        <w:rPr>
          <w:rtl w:val="true"/>
        </w:rPr>
        <w:t>«</w:t>
      </w:r>
      <w:r>
        <w:rPr>
          <w:rtl w:val="true"/>
        </w:rPr>
        <w:t>جنّبوا</w:t>
      </w:r>
      <w:r>
        <w:rPr>
          <w:rtl w:val="true"/>
        </w:rPr>
        <w:t xml:space="preserve">» </w:t>
      </w:r>
      <w:r>
        <w:rPr>
          <w:rtl w:val="true"/>
        </w:rPr>
        <w:t>و دلالت آن بر کراهت</w:t>
      </w:r>
      <w:bookmarkEnd w:id="155"/>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تفعیل استعمال شده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نیز از این واژه و در همین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باب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صورت مجهول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سَیُجَنَّبُهَا الْأَتْقَى</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به زودى با تقواترین مردم از این آتش سوزان دور داشته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معنای ریشه این واژه، 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معنای نزدیک به هم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أصلان متقاربان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النَّاحیة، و الآخر البُعْد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این ریشه دارای دو معنای اصلی نزدیک 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معنای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و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به معنای بُعد و دوری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را با توجه به معنای اول، چنین معنا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جَنَّبْتُ فلاناً عن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نَحَّیْته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جَنَّبْتُ فلاناً عن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فلانی را از این کار، کنار راندم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را با توجه به معنای دوم چنین معنا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جَنَّبْتُهُ أي دفعت عنه مکروها</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جَنَّبْتُهُ یعنی او را از ناملایمات آن شیئ دور کردم</w:t>
      </w:r>
      <w:r>
        <w:rPr>
          <w:rFonts w:eastAsia="Amiri" w:cs="Amiri" w:ascii="Amiri" w:hAnsi="Amiri"/>
          <w:color w:val="111111"/>
          <w:sz w:val="28"/>
          <w:szCs w:val="28"/>
          <w:rtl w:val="true"/>
          <w:lang w:bidi="ar-SA"/>
        </w:rPr>
        <w:t xml:space="preserve">. </w:t>
      </w:r>
      <w:bookmarkStart w:id="156" w:name="pg19111_194960"/>
    </w:p>
    <w:p>
      <w:pPr>
        <w:pStyle w:val="BookText"/>
        <w:rPr/>
      </w:pPr>
      <w:bookmarkEnd w:id="156"/>
      <w:r>
        <w:rPr>
          <w:rFonts w:ascii="IRNazanin" w:hAnsi="IRNazanin" w:eastAsia="IRNazanin"/>
          <w:color w:val="111111"/>
          <w:sz w:val="28"/>
          <w:sz w:val="28"/>
          <w:szCs w:val="28"/>
          <w:rtl w:val="true"/>
          <w:lang w:bidi="fa-IR"/>
        </w:rPr>
        <w:t>راغب اصفهانی نیز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جنبته عن کذا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أبعدته</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جنبته عن کذا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جنّبوا مساجدکم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معنای نزدیک به هم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چیز را از مساجدتان کنار نهید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مساجدتان را از چند چیز دور بسازید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 امر است و اگر ظهور در وجوب نداشته باشد حداقل ظهور در استحباب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چند دلیل می دانیم که این روایت دالّ بر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ارتکاب بعضی از فقرات این روایت توسط خود پیامبر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قضاوت و حکم کردن 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آن است که یقینا این امر الزام آور نیست و عمل به این دستورات واجب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فهم تمامی فقها و محدثین شیعه از این روایت، چیزی افزون بر کراهت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استدلال به این روایت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دانیم که این اخبار در حیطه احکام الزام آور کارایی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می تواند دلالت بر استحباب پرهیز از آوردن کودکان به مسجد و یا کراهت آوردن آنها به مسجد داشته باشد</w:t>
      </w:r>
      <w:r>
        <w:rPr>
          <w:rFonts w:eastAsia="IRNazanin" w:cs="IRNazanin"/>
          <w:color w:val="111111"/>
          <w:sz w:val="28"/>
          <w:szCs w:val="28"/>
          <w:rtl w:val="true"/>
          <w:lang w:bidi="fa-IR"/>
        </w:rPr>
        <w:t>.</w:t>
      </w:r>
    </w:p>
    <w:p>
      <w:pPr>
        <w:pStyle w:val="Heading5"/>
        <w:numPr>
          <w:ilvl w:val="4"/>
          <w:numId w:val="1"/>
        </w:numPr>
        <w:rPr/>
      </w:pPr>
      <w:bookmarkStart w:id="157" w:name="__RefHeading___Toc15165159_1280447820"/>
      <w:bookmarkStart w:id="158" w:name="_Toc55"/>
      <w:bookmarkEnd w:id="157"/>
      <w:r>
        <w:rPr>
          <w:rtl w:val="true"/>
        </w:rPr>
        <w:t xml:space="preserve">واژه </w:t>
      </w:r>
      <w:r>
        <w:rPr>
          <w:rtl w:val="true"/>
        </w:rPr>
        <w:t>«</w:t>
      </w:r>
      <w:r>
        <w:rPr>
          <w:rtl w:val="true"/>
        </w:rPr>
        <w:t>لتَمنَعُنّ</w:t>
      </w:r>
      <w:r>
        <w:rPr>
          <w:rtl w:val="true"/>
        </w:rPr>
        <w:t>»</w:t>
      </w:r>
      <w:bookmarkEnd w:id="158"/>
    </w:p>
    <w:p>
      <w:pPr>
        <w:pStyle w:val="BookText"/>
        <w:rPr/>
      </w:pPr>
      <w:r>
        <w:rPr>
          <w:rFonts w:ascii="IRNazanin" w:hAnsi="IRNazanin" w:eastAsia="IRNazanin"/>
          <w:color w:val="111111"/>
          <w:sz w:val="28"/>
          <w:sz w:val="28"/>
          <w:szCs w:val="28"/>
          <w:rtl w:val="true"/>
          <w:lang w:bidi="fa-IR"/>
        </w:rPr>
        <w:t xml:space="preserve">این واژه فعل امر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با دو تاکید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تاکیدی که در ابتدای فعل قرار گرفته و نون مثقّله ای که در انتهای فعل آمده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معنای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فراهیدی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مَنَعْتُهُ أَمْنَعُهُ مَنْعا فامْتَنَعَ،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بینه و بین إرادته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منعته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او و اراده اش حائل و مانع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فیومی 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 مِن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مَحْرُومٌ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من او را از آن کار منع کردم پس او از آن کار بازداشته شد و محروم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واسطی هم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مِنْ حَقِّهِ، و مَنَعَ حَقَّهُ مِنْهُ؛ لأَنَّه یَکُونُ بمَعْنَى الحَیْلُولَةِ بَیْنَهُمَا</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وقتی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حقش منع کرد یعنی بین او و حقش حائل و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لَتَمْنَعُنَّ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میان مساجدتان و این چند مساله مانع شوید و آنها را از مساجدتان بازدارید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باز دارندگی این روایت از دو روایت پیشین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 لام تاکید و نون مثقّله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فراز آخر این روایت بسیار شدید است و بیانگر عاقبت عمل نکردن به این دستور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قسمت پایانی این روایت گویای آن است که اگر به این آموزه ها عمل نکنید و یهود و نصاری و کودکان و مجانین را به مسجد بیاورید، خداوند شما را به میمون و خوک هایی که رکوع و سجود می کنند، مسخ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فرض پذیرش این روایت باید گفت که این روایت شدت بیشتری نسبت به دو روایت گذشته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چند دلیل نمی توان به این روایت اعتماد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نقل کننده این روایت، از منابع تراز اول حدیثی شیعه نیستند و نمی توان به نقل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چنین روایات منفردی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فقها نیز عدم اعتماد به شدت مطرح شده در این روایت را تایید می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اگر این روایت را بپذیرم، حداکثر ضمیمه ای بر دو روایت گذشته خواهد بود</w:t>
      </w:r>
      <w:r>
        <w:rPr>
          <w:rFonts w:eastAsia="IRNazanin" w:cs="IRNazanin"/>
          <w:color w:val="111111"/>
          <w:sz w:val="28"/>
          <w:szCs w:val="28"/>
          <w:rtl w:val="true"/>
          <w:lang w:bidi="fa-IR"/>
        </w:rPr>
        <w:t xml:space="preserve">. </w:t>
      </w:r>
      <w:bookmarkStart w:id="159" w:name="pg19111_194967"/>
    </w:p>
    <w:p>
      <w:pPr>
        <w:pStyle w:val="Heading3"/>
        <w:numPr>
          <w:ilvl w:val="2"/>
          <w:numId w:val="1"/>
        </w:numPr>
        <w:rPr/>
      </w:pPr>
      <w:bookmarkStart w:id="160" w:name="__RefHeading___Toc15165161_1280447820"/>
      <w:bookmarkStart w:id="161" w:name="_Toc56"/>
      <w:bookmarkEnd w:id="159"/>
      <w:bookmarkEnd w:id="160"/>
      <w:r>
        <w:rPr>
          <w:rtl w:val="true"/>
        </w:rPr>
        <w:t>فصل دوم</w:t>
      </w:r>
      <w:r>
        <w:rPr>
          <w:rtl w:val="true"/>
        </w:rPr>
        <w:t xml:space="preserve">: </w:t>
      </w:r>
      <w:r>
        <w:rPr>
          <w:rtl w:val="true"/>
        </w:rPr>
        <w:t>مخالفت با کاربری مسجد</w:t>
      </w:r>
      <w:bookmarkEnd w:id="161"/>
    </w:p>
    <w:p>
      <w:pPr>
        <w:pStyle w:val="Heading4"/>
        <w:numPr>
          <w:ilvl w:val="3"/>
          <w:numId w:val="1"/>
        </w:numPr>
        <w:rPr/>
      </w:pPr>
      <w:bookmarkStart w:id="162" w:name="__RefHeading___Toc15165163_1280447820"/>
      <w:bookmarkStart w:id="163" w:name="_Toc57"/>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یکی دیگر از دلایلی که برخی از فقها برای حکم به کراهت آوردن کودکان به مسجد مطرح کرده اند، مخالفت با کاربری اصلی مسجد است که باید مورد تحلیل قرار گیرد</w:t>
      </w:r>
      <w:r>
        <w:rPr>
          <w:rFonts w:eastAsia="IRNazanin" w:cs="IRNazanin"/>
          <w:color w:val="111111"/>
          <w:sz w:val="28"/>
          <w:szCs w:val="28"/>
          <w:rtl w:val="true"/>
          <w:lang w:bidi="fa-IR"/>
        </w:rPr>
        <w:t>.</w:t>
      </w:r>
    </w:p>
    <w:p>
      <w:pPr>
        <w:pStyle w:val="Heading4"/>
        <w:numPr>
          <w:ilvl w:val="3"/>
          <w:numId w:val="1"/>
        </w:numPr>
        <w:rPr/>
      </w:pPr>
      <w:bookmarkStart w:id="164" w:name="__RefHeading___Toc15165165_1280447820"/>
      <w:bookmarkStart w:id="165" w:name="_Toc58"/>
      <w:bookmarkEnd w:id="164"/>
      <w:r>
        <w:rPr>
          <w:rtl w:val="true"/>
        </w:rPr>
        <w:t>گفتار اول</w:t>
      </w:r>
      <w:r>
        <w:rPr>
          <w:rtl w:val="true"/>
        </w:rPr>
        <w:t xml:space="preserve">: </w:t>
      </w:r>
      <w:r>
        <w:rPr>
          <w:rtl w:val="true"/>
        </w:rPr>
        <w:t>دیدگاه فقها و طرفداران این استدلال</w:t>
      </w:r>
      <w:bookmarkEnd w:id="165"/>
    </w:p>
    <w:p>
      <w:pPr>
        <w:pStyle w:val="BookText"/>
        <w:rPr/>
      </w:pP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مساله قائل به تفصیل شده و آوردن گروهی از کودکان به مسجد را مکروه، گروه دیگر را مباح و بخشی را مستحب می داند، برای حکم به کراهت سه دلیل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روایات ناهیه را به عنوان دلیل اول خود، مطرح کرده و سپس مخالفت با کاربری مسجد را دلیل دوم خود،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البیع و الشّراء و تمکین المجانین و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فی الحدیث، عن النّبی صلّى اللّه علیه و آله من الأمر بترک فعل ذلک فی المسجد، و ترک تمکین الصّبیان و المجانین، و لما تقدّم من تعلیله صلّى اللّه علیه و آله بأن المسجد بنی لغیر ذلک، و لأنّه لا یؤمن حصول النّجاسة من الصّبیان و المجانین</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استدلالی شبیه به همین ارائه کرده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البیع فیها و الشراء، و 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لقوله علیه السلام جنّبوا مساجدکم صبیانکم و مجانینکم و شراءکم و بیعکم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المسجد بُنی لغیر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لا یؤمن حصول النجاسة من الصبیان و المجانین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علت کراهت تمامی فقرات را همین مطلب </w:t>
      </w:r>
      <w:bookmarkStart w:id="166" w:name="pg19111_194970"/>
    </w:p>
    <w:p>
      <w:pPr>
        <w:pStyle w:val="BookText"/>
        <w:rPr/>
      </w:pPr>
      <w:bookmarkEnd w:id="166"/>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البیع و الشراء، و تمکین المجانین و الصبیان، و اقامة الحدود، و رفع الصوت المتجاوز عن العادة، و إنشاد الضالة، و حدیث الدنیا، و عمل الصنائع، و کشف العورة، فإنها لغیر هذه بنیت،</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بزرگان دیگری نیز به این مساله اشاره کرده اند که در بخش تفصیل بین کراهت و اباحه بیشتر به آن خواهیم پرداخت</w:t>
      </w:r>
      <w:r>
        <w:rPr>
          <w:rFonts w:eastAsia="IRNazanin" w:cs="IRNazanin"/>
          <w:color w:val="111111"/>
          <w:sz w:val="28"/>
          <w:szCs w:val="28"/>
          <w:rtl w:val="true"/>
          <w:lang w:bidi="fa-IR"/>
        </w:rPr>
        <w:t>.</w:t>
      </w:r>
    </w:p>
    <w:p>
      <w:pPr>
        <w:pStyle w:val="Heading4"/>
        <w:numPr>
          <w:ilvl w:val="3"/>
          <w:numId w:val="1"/>
        </w:numPr>
        <w:rPr/>
      </w:pPr>
      <w:bookmarkStart w:id="167" w:name="__RefHeading___Toc15165167_1280447820"/>
      <w:bookmarkStart w:id="168" w:name="_Toc59"/>
      <w:bookmarkEnd w:id="167"/>
      <w:r>
        <w:rPr>
          <w:rtl w:val="true"/>
        </w:rPr>
        <w:t>گفتار دوم</w:t>
      </w:r>
      <w:r>
        <w:rPr>
          <w:rtl w:val="true"/>
        </w:rPr>
        <w:t xml:space="preserve">: </w:t>
      </w:r>
      <w:r>
        <w:rPr>
          <w:rtl w:val="true"/>
        </w:rPr>
        <w:t>به دست آوردن ملاک از دیگر روایات</w:t>
      </w:r>
      <w:bookmarkEnd w:id="168"/>
    </w:p>
    <w:p>
      <w:pPr>
        <w:pStyle w:val="BookText"/>
        <w:rPr/>
      </w:pPr>
      <w:r>
        <w:rPr>
          <w:rFonts w:ascii="IRNazanin" w:hAnsi="IRNazanin" w:eastAsia="IRNazanin"/>
          <w:color w:val="111111"/>
          <w:sz w:val="28"/>
          <w:sz w:val="28"/>
          <w:szCs w:val="28"/>
          <w:rtl w:val="true"/>
          <w:lang w:bidi="fa-IR"/>
        </w:rPr>
        <w:t>در مجموعه روایاتی که در باب مکروهات مسجد مطرح شده، روایاتی وجود دارند که مخالفت با کاربری مسجد را یکی از دلایل نهی،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روایات به صورت مستقیم با بحث آوردن کودکان به مسجد مرتبط نیستند و در آنها نامی از کودکان به میان نیامده است، اما ملاکی کلی را به دست ما خواهند داد که در دیگر فقرات نیز کارگشا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صحیح السند</w:t>
      </w:r>
      <w:r>
        <w:rPr>
          <w:rStyle w:val="FootnoteAnchor"/>
          <w:rtl w:val="true"/>
        </w:rPr>
        <w:footnoteReference w:id="163"/>
      </w:r>
      <w:r>
        <w:rPr>
          <w:rFonts w:ascii="IRNazanin" w:hAnsi="IRNazanin" w:eastAsia="IRNazanin"/>
          <w:color w:val="111111"/>
          <w:sz w:val="28"/>
          <w:sz w:val="28"/>
          <w:szCs w:val="28"/>
          <w:rtl w:val="true"/>
          <w:lang w:bidi="fa-IR"/>
        </w:rPr>
        <w:t>از محمد بن مسلم نقل شده که امام باقر علیه السلام یا 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صلّي الله علیه و آله عَنْ سَلِّ السَّیْفِ فِي الْمَسْجِدِ وَ عَنْ بَرْیِ النَّبْلِ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بُنِیَ لِغَیْرِ ذَلِکَ</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از شمشیر کشیدن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 کردن شمشیر از 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تراشیدن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مسجد برای غیر چنین کارهایی بنا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صدوق در روایتی مرسله آوره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النَّبِیُّ صلي الله علیه و آله وسلم رَجُلًا یُنْشِدُ ضَالَّةً فِي الْمَسْجِدِ فَقَالَ قُولُوا لَهُ لَا رَدَّ اللَّهُ عَلَیْکَ ضَالَّتَکَ فَإِنَّهَا لِغَیْرِ هَذَا بُنِیَت</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علیه و آله شنید که شخصى در مسجد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یا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اش فریاد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گم شده ات را به تو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براى غیر این کارها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شیخ صدوق در روایتی مرفوعه 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صلی الله علیه و آله وسلم مَرَّ بِرَجُلٍ یَبْرِی مَشَاقِصَ لَهُ فِی الْمَسْجِدِ فَنَهَاهُ وَ قَالَ إِنَّهَا لِغَیْرِ هَذَا بُنِیَت</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در مسجد به مردی برخورد که نوک تیرهای خود را می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برای غیر این کارها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صحیح السند</w:t>
      </w:r>
      <w:r>
        <w:rPr>
          <w:rStyle w:val="FootnoteAnchor"/>
          <w:rtl w:val="true"/>
        </w:rPr>
        <w:footnoteReference w:id="167"/>
      </w:r>
      <w:r>
        <w:rPr>
          <w:rFonts w:ascii="IRNazanin" w:hAnsi="IRNazanin" w:eastAsia="IRNazanin"/>
          <w:color w:val="111111"/>
          <w:sz w:val="28"/>
          <w:sz w:val="28"/>
          <w:szCs w:val="28"/>
          <w:rtl w:val="true"/>
          <w:lang w:bidi="fa-IR"/>
        </w:rPr>
        <w:t>دیگری از امام سجاد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صلي الله علیه و آله وسلم مَنْ سَمِعْتُمُوهُ یُنْشِدُ الشِّعْرَ فِي الْمَسَاجِدِ فَقُولُوا فَضَّ اللَّهُ فَاکَ إِنَّمَا نُصِبَتِ الْمَسَاجِدُ لِلْقُرْآنِ</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شنیدید در مساجد شعر می خواند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دهانت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مساجد تنها برای قرآن قرار داده شده اند</w:t>
      </w:r>
      <w:r>
        <w:rPr>
          <w:rFonts w:eastAsia="IRNazanin" w:cs="IRNazanin"/>
          <w:color w:val="111111"/>
          <w:sz w:val="28"/>
          <w:szCs w:val="28"/>
          <w:rtl w:val="true"/>
          <w:lang w:bidi="fa-IR"/>
        </w:rPr>
        <w:t xml:space="preserve">. </w:t>
      </w:r>
      <w:bookmarkStart w:id="169" w:name="pg19111_194975"/>
    </w:p>
    <w:p>
      <w:pPr>
        <w:pStyle w:val="BookText"/>
        <w:rPr/>
      </w:pPr>
      <w:bookmarkEnd w:id="169"/>
      <w:r>
        <w:rPr>
          <w:rFonts w:ascii="IRNazanin" w:hAnsi="IRNazanin" w:eastAsia="IRNazanin"/>
          <w:color w:val="111111"/>
          <w:sz w:val="28"/>
          <w:sz w:val="28"/>
          <w:szCs w:val="28"/>
          <w:rtl w:val="true"/>
          <w:lang w:bidi="fa-IR"/>
        </w:rPr>
        <w:t xml:space="preserve">با توجه به اینکه این ملاک در چهار موضوع مجزا 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 کشیدن، تراشیدن تیر و کمان، فریاد کشیدن برای یافتن گمشده و شعر خوانی در مساجد مطرح گردیده، می توان چنین نتیجه گرفت که این مطلب یک ملاک کلی است که در این روایات ظهور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چنین نتیجه گرفت که هر کاری که با کاربری اصلی مسجد، سازگاری نداشته باشد، مورد نهی شارع است و باید از ورود و اشاعه آن در مسجد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گویا قائلین به کراهت آوردن کودکان به مسجد، کودکان را مصداقی از این ملاک دانسته و مسجد را مکانی مناسب برای ورود کودکان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کودک به طور معمول در پی بازی و شادمانی است اما مسجد برای عبادت و راز و نیاز طراحی شده است</w:t>
      </w:r>
      <w:r>
        <w:rPr>
          <w:rFonts w:eastAsia="IRNazanin" w:cs="IRNazanin"/>
          <w:color w:val="111111"/>
          <w:sz w:val="28"/>
          <w:szCs w:val="28"/>
          <w:rtl w:val="true"/>
          <w:lang w:bidi="fa-IR"/>
        </w:rPr>
        <w:t>.</w:t>
      </w:r>
    </w:p>
    <w:p>
      <w:pPr>
        <w:pStyle w:val="Heading4"/>
        <w:numPr>
          <w:ilvl w:val="3"/>
          <w:numId w:val="1"/>
        </w:numPr>
        <w:rPr/>
      </w:pPr>
      <w:bookmarkStart w:id="170" w:name="__RefHeading___Toc15165169_1280447820"/>
      <w:bookmarkStart w:id="171" w:name="_Toc60"/>
      <w:bookmarkEnd w:id="170"/>
      <w:r>
        <w:rPr>
          <w:rtl w:val="true"/>
        </w:rPr>
        <w:t>گفتار سوم</w:t>
      </w:r>
      <w:r>
        <w:rPr>
          <w:rtl w:val="true"/>
        </w:rPr>
        <w:t xml:space="preserve">: </w:t>
      </w:r>
      <w:r>
        <w:rPr>
          <w:rtl w:val="true"/>
        </w:rPr>
        <w:t>نقد این دلیل</w:t>
      </w:r>
      <w:bookmarkEnd w:id="171"/>
    </w:p>
    <w:p>
      <w:pPr>
        <w:pStyle w:val="BookText"/>
        <w:rPr/>
      </w:pPr>
      <w:r>
        <w:rPr>
          <w:rFonts w:ascii="IRNazanin" w:hAnsi="IRNazanin" w:eastAsia="IRNazanin"/>
          <w:color w:val="111111"/>
          <w:sz w:val="28"/>
          <w:sz w:val="28"/>
          <w:szCs w:val="28"/>
          <w:rtl w:val="true"/>
          <w:lang w:bidi="fa-IR"/>
        </w:rPr>
        <w:t>بررسی و نقد این دلیل را به بخش تفصیل بین اباحه و کراهت وامی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خلاصه باید گفت که ملاک به دست آمده از این روایات، ملاک بسیار خوب و شایسته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در نظر داشت که هر جا ملاک وجود داشته باشد، نهی هم وجود خواهد داشت و هر کجا که چنین ملاکی نباشد، نهی نیز از بین خواهد رفت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بحث ما هم باید دید که چه کودکانی با چه سن و سال و ویژگی هایی دارای این ملاک هستند که نهی این روایات شامل حال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باید گفت که هر کودکی که دارای چنین ملاکی نباشد، نهی این روایات شامل او نخواهد شد</w:t>
      </w:r>
      <w:r>
        <w:rPr>
          <w:rFonts w:eastAsia="IRNazanin" w:cs="IRNazanin"/>
          <w:color w:val="111111"/>
          <w:sz w:val="28"/>
          <w:szCs w:val="28"/>
          <w:rtl w:val="true"/>
          <w:lang w:bidi="fa-IR"/>
        </w:rPr>
        <w:t xml:space="preserve">. </w:t>
      </w:r>
      <w:bookmarkStart w:id="172" w:name="pg19111_194977"/>
    </w:p>
    <w:p>
      <w:pPr>
        <w:pStyle w:val="Heading3"/>
        <w:numPr>
          <w:ilvl w:val="2"/>
          <w:numId w:val="1"/>
        </w:numPr>
        <w:rPr/>
      </w:pPr>
      <w:bookmarkStart w:id="173" w:name="__RefHeading___Toc15165171_1280447820"/>
      <w:bookmarkStart w:id="174" w:name="_Toc61"/>
      <w:bookmarkEnd w:id="172"/>
      <w:bookmarkEnd w:id="173"/>
      <w:r>
        <w:rPr>
          <w:rtl w:val="true"/>
        </w:rPr>
        <w:t>فصل سوم</w:t>
      </w:r>
      <w:r>
        <w:rPr>
          <w:rtl w:val="true"/>
        </w:rPr>
        <w:t xml:space="preserve">: </w:t>
      </w:r>
      <w:r>
        <w:rPr>
          <w:rtl w:val="true"/>
        </w:rPr>
        <w:t>ایمنی از نجاست احتمالی</w:t>
      </w:r>
      <w:bookmarkEnd w:id="174"/>
    </w:p>
    <w:p>
      <w:pPr>
        <w:pStyle w:val="Heading4"/>
        <w:numPr>
          <w:ilvl w:val="3"/>
          <w:numId w:val="1"/>
        </w:numPr>
        <w:rPr/>
      </w:pPr>
      <w:bookmarkStart w:id="175" w:name="__RefHeading___Toc15165173_1280447820"/>
      <w:bookmarkStart w:id="176" w:name="_Toc62"/>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یکی دیگر از دلایلی که در مورد کراهت آوردن کودکان به مسجد مطرح شده، نجاست احتمالی کودکان است که ممکن است به مسجد سرایت کند و فضای مقدس این مکان ارزشمند را آلوده سازد</w:t>
      </w:r>
      <w:r>
        <w:rPr>
          <w:rFonts w:eastAsia="IRNazanin" w:cs="IRNazanin"/>
          <w:color w:val="111111"/>
          <w:sz w:val="28"/>
          <w:szCs w:val="28"/>
          <w:rtl w:val="true"/>
          <w:lang w:bidi="fa-IR"/>
        </w:rPr>
        <w:t>.</w:t>
      </w:r>
    </w:p>
    <w:p>
      <w:pPr>
        <w:pStyle w:val="Heading4"/>
        <w:numPr>
          <w:ilvl w:val="3"/>
          <w:numId w:val="1"/>
        </w:numPr>
        <w:rPr/>
      </w:pPr>
      <w:bookmarkStart w:id="177" w:name="__RefHeading___Toc15165175_1280447820"/>
      <w:bookmarkStart w:id="178" w:name="_Toc63"/>
      <w:bookmarkEnd w:id="177"/>
      <w:r>
        <w:rPr>
          <w:rtl w:val="true"/>
        </w:rPr>
        <w:t>گفتار اول</w:t>
      </w:r>
      <w:r>
        <w:rPr>
          <w:rtl w:val="true"/>
        </w:rPr>
        <w:t xml:space="preserve">: </w:t>
      </w:r>
      <w:r>
        <w:rPr>
          <w:rtl w:val="true"/>
        </w:rPr>
        <w:t>سخن فقها در این باره</w:t>
      </w:r>
      <w:bookmarkEnd w:id="178"/>
    </w:p>
    <w:p>
      <w:pPr>
        <w:pStyle w:val="BookText"/>
        <w:rPr/>
      </w:pPr>
      <w:r>
        <w:rPr>
          <w:rFonts w:ascii="IRNazanin" w:hAnsi="IRNazanin" w:eastAsia="IRNazanin"/>
          <w:color w:val="111111"/>
          <w:sz w:val="28"/>
          <w:sz w:val="28"/>
          <w:szCs w:val="28"/>
          <w:rtl w:val="true"/>
          <w:lang w:bidi="fa-IR"/>
        </w:rPr>
        <w:t>بسیاری از فقها دلیل کراهت آوردن کودکان به مسجد را به مساله احتمال نجاست مسجد پیوند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المجانین و الصّبیان، لأنّهما مظنّتان للنجاسة لعدم توقّیهما عنها</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کودکان و مجانین مظنون به نجاست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دو گروه از نجاست، پرهیز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به همین جملات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تجنب المجانین و الصبیان، لأنهما مظنتا النجاسة، لعدم احترازهما عنها</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نبودن از نجاست کودکان و مجانین را دلیلی بر کراهت گروهی از کودکان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ترک تمکین الصّبیان و المجانین، و لما تقدّم من تعلیله صلّى اللّه علیه و آله بأن المسجد بنی لغیر ذلک، و لأنّه لا یؤمن حصول النّجاسة من الصّبیان </w:t>
      </w:r>
      <w:bookmarkStart w:id="179" w:name="pg19111_194979"/>
    </w:p>
    <w:p>
      <w:pPr>
        <w:pStyle w:val="BookText"/>
        <w:rPr/>
      </w:pPr>
      <w:bookmarkEnd w:id="179"/>
      <w:r>
        <w:rPr>
          <w:rFonts w:ascii="IRNazanin" w:hAnsi="IRNazanin" w:eastAsia="IRNazanin"/>
          <w:color w:val="111111"/>
          <w:sz w:val="28"/>
          <w:sz w:val="28"/>
          <w:szCs w:val="28"/>
          <w:rtl w:val="true"/>
          <w:lang w:bidi="fa-IR"/>
        </w:rPr>
        <w:t>و المجانین</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خوف از آلوده شدن مسجد را دلیل حکم کراهت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تمکین المجانین و الصبیان للأخبار و خوف التلویث</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در این میان آقا ضیاء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فتوایی متفاوت از دیگران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تمکین 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الصبیان مع عدم تلوثهم و إلّا ففي تحریمه وجه، خصوصاً في غیر الممیز منهما، فإنه یحرم جزماً، لصدق تنجیسه تسبیباً</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آوردن مجانین و کودکان به مسجد به شرط آنکه آلوده کننده نباشند، مکروه است و الا اگر آلوده کننده باشند، وجهی برای حرمت آوردن آنها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مورد کودکان غیر ممیز که قطعا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آوردن آنها به مسجد سببی برای تنجیس مسجد است و تنجیس مسجد نیز حرام می باشد</w:t>
      </w:r>
      <w:r>
        <w:rPr>
          <w:rFonts w:eastAsia="IRNazanin" w:cs="IRNazanin"/>
          <w:color w:val="111111"/>
          <w:sz w:val="28"/>
          <w:szCs w:val="28"/>
          <w:rtl w:val="true"/>
          <w:lang w:bidi="fa-IR"/>
        </w:rPr>
        <w:t>.</w:t>
      </w:r>
    </w:p>
    <w:p>
      <w:pPr>
        <w:pStyle w:val="Heading4"/>
        <w:numPr>
          <w:ilvl w:val="3"/>
          <w:numId w:val="1"/>
        </w:numPr>
        <w:rPr/>
      </w:pPr>
      <w:bookmarkStart w:id="180" w:name="__RefHeading___Toc15165177_1280447820"/>
      <w:bookmarkStart w:id="181" w:name="_Toc64"/>
      <w:bookmarkEnd w:id="180"/>
      <w:r>
        <w:rPr>
          <w:rtl w:val="true"/>
        </w:rPr>
        <w:t>گفتار دوم</w:t>
      </w:r>
      <w:r>
        <w:rPr>
          <w:rtl w:val="true"/>
        </w:rPr>
        <w:t xml:space="preserve">: </w:t>
      </w:r>
      <w:r>
        <w:rPr>
          <w:rtl w:val="true"/>
        </w:rPr>
        <w:t>وجه استدلال</w:t>
      </w:r>
      <w:bookmarkEnd w:id="181"/>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تنجیس مسجد و وجوب پاکسازی آن از نجاست، از جمله مسائل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عدم وجود مخالف در این مساله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فی أن المساجد یجب أن تجنب النجاسات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هیچ اختلافی در اینکه واجب است مسجد از نجاست دور بماند،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شیخ طوسی این مطلب را در کتاب خلاف خود مطرح کرده و با در نظر داشتن این نکته که این کتاب، فقه مقارن و خلاف نگاری میان شیعه و اهل تسنن است، می توان چنین برداشت کرد که این ادعای عدم مخالف مربوط به فقه فریقین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ابن ادریس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را با صراحت بیشتری عنوان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أیضا بین الأمّة کافّة إنّ المساجد یجب أن تنزه، و تجنب النجاسات العینیات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مرحوم خویی نیز افزون بر اجماع به نکته دیگری در این باره اشاره کرده و ارتکاز ذهنی متشرعه در این زمینه را دلیلی بر حرمت تنجیس مسجد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في وجوب إزالة النجاسة عن المساجد و حرمة تنجیسها لارتکازهما في أذهان المتشرعة، حیث إن المساجد بیوت اللّه المعدّة لعبادته فلا تجتمع مع النجاسة، لمکان أهمیتها و عظمتها و للإجماع القطعي المنعقد في المسألة</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البته ذیل این مساله دلایل قرآنی و روایی فراوانی مطرح گردیده که مناقشه پیرامون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روشن است که حرمت تنجیس مسجد از مسائل غیر قابل انکار در فقه شیعه و حتی اهل تسنن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مقدمه می توان چنین نتیجه گرفت که به مسجد آوردن هر </w:t>
      </w:r>
      <w:bookmarkStart w:id="182" w:name="pg19111_194983"/>
    </w:p>
    <w:p>
      <w:pPr>
        <w:pStyle w:val="BookText"/>
        <w:rPr/>
      </w:pPr>
      <w:bookmarkEnd w:id="182"/>
      <w:r>
        <w:rPr>
          <w:rFonts w:ascii="IRNazanin" w:hAnsi="IRNazanin" w:eastAsia="IRNazanin"/>
          <w:color w:val="111111"/>
          <w:sz w:val="28"/>
          <w:sz w:val="28"/>
          <w:szCs w:val="28"/>
          <w:rtl w:val="true"/>
          <w:lang w:bidi="fa-IR"/>
        </w:rPr>
        <w:t>آنچه که سبب تنجیس مسجد شود،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کاری مقدمه ای برای امر حرام به حساب می آید و مقدمه حرام،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آوردن هر آنچه که گمان نجس شدن مسجد توسط آن وجود دارد، اگر چه حرام نیست اما مکروه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کودکان به مسجد به جهت اینکه گمان نجس شدن مسجد توسط آنها وجود دارد و احتمال تنجیس مسجد توسط آنها زیاد است، مکروه خواهد بود</w:t>
      </w:r>
      <w:r>
        <w:rPr>
          <w:rFonts w:eastAsia="IRNazanin" w:cs="IRNazanin"/>
          <w:color w:val="111111"/>
          <w:sz w:val="28"/>
          <w:szCs w:val="28"/>
          <w:rtl w:val="true"/>
          <w:lang w:bidi="fa-IR"/>
        </w:rPr>
        <w:t>.</w:t>
      </w:r>
    </w:p>
    <w:p>
      <w:pPr>
        <w:pStyle w:val="Heading4"/>
        <w:numPr>
          <w:ilvl w:val="3"/>
          <w:numId w:val="1"/>
        </w:numPr>
        <w:rPr/>
      </w:pPr>
      <w:bookmarkStart w:id="183" w:name="__RefHeading___Toc15165179_1280447820"/>
      <w:bookmarkStart w:id="184" w:name="_Toc65"/>
      <w:bookmarkEnd w:id="183"/>
      <w:r>
        <w:rPr>
          <w:rtl w:val="true"/>
        </w:rPr>
        <w:t>گفتار سوم</w:t>
      </w:r>
      <w:r>
        <w:rPr>
          <w:rtl w:val="true"/>
        </w:rPr>
        <w:t xml:space="preserve">: </w:t>
      </w:r>
      <w:r>
        <w:rPr>
          <w:rtl w:val="true"/>
        </w:rPr>
        <w:t>نقد این دلیل</w:t>
      </w:r>
      <w:bookmarkEnd w:id="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چنین حکمی به پذیرش چند حکم دیگر بستگی دارد که هر یک در جای خود باید مورد تحلیل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مسائل،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 میان حرمت فعل حرام و مقدمه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برخی از فقها نظیر آیت الله بروجردی</w:t>
      </w:r>
      <w:r>
        <w:rPr>
          <w:rStyle w:val="FootnoteAnchor"/>
          <w:rtl w:val="true"/>
        </w:rPr>
        <w:footnoteReference w:id="177"/>
      </w:r>
      <w:r>
        <w:rPr>
          <w:rFonts w:ascii="IRNazanin" w:hAnsi="IRNazanin" w:eastAsia="IRNazanin"/>
          <w:color w:val="111111"/>
          <w:sz w:val="28"/>
          <w:sz w:val="28"/>
          <w:szCs w:val="28"/>
          <w:rtl w:val="true"/>
          <w:lang w:bidi="fa-IR"/>
        </w:rPr>
        <w:t>و امام خمینی ره</w:t>
      </w:r>
      <w:r>
        <w:rPr>
          <w:rStyle w:val="FootnoteAnchor"/>
          <w:rtl w:val="true"/>
        </w:rPr>
        <w:footnoteReference w:id="178"/>
      </w:r>
      <w:r>
        <w:rPr>
          <w:rFonts w:ascii="IRNazanin" w:hAnsi="IRNazanin" w:eastAsia="IRNazanin"/>
          <w:color w:val="111111"/>
          <w:sz w:val="28"/>
          <w:sz w:val="28"/>
          <w:szCs w:val="28"/>
          <w:rtl w:val="true"/>
          <w:lang w:bidi="fa-IR"/>
        </w:rPr>
        <w:t>از اساس چنین مبنایی را نپذیرفته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فقها نیز نظیر آخوند خراسانی قائل به تفصیل شده و تنها مقدمه ای را حرام می داند که علت تامه باشد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آنکه چنین ملازمه ای پذیرفته شود، نکته قابل تامل دیگری به وجود می آید و آن نکته این است که آیا پذیرش ملازمه میان حرمت با مقدمه ای که یقینا ما را به حرام می کشاند، سبب ملازمه میان کراهت با مقدمه ای خواهد شد که احتمال دارد ما را به مورد نهی برساند؟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آیا اگر ارتکاب مقدمه ای که یقین داریم به حرام منتهی می شود، حرام باشد، </w:t>
      </w:r>
    </w:p>
    <w:p>
      <w:pPr>
        <w:pStyle w:val="BookText"/>
        <w:rPr/>
      </w:pPr>
      <w:r>
        <w:rPr>
          <w:rFonts w:ascii="IRNazanin" w:hAnsi="IRNazanin" w:eastAsia="IRNazanin"/>
          <w:color w:val="111111"/>
          <w:sz w:val="28"/>
          <w:sz w:val="28"/>
          <w:szCs w:val="28"/>
          <w:rtl w:val="true"/>
          <w:lang w:bidi="fa-IR"/>
        </w:rPr>
        <w:t>لازم است که ارتکاب مقدمه ای که گمان داریم به محتمل الحرام منتهی می شود، مکروه است؟</w:t>
      </w:r>
    </w:p>
    <w:p>
      <w:pPr>
        <w:pStyle w:val="BookText"/>
        <w:rPr/>
      </w:pPr>
      <w:r>
        <w:rPr>
          <w:rFonts w:ascii="IRNazanin" w:hAnsi="IRNazanin" w:eastAsia="IRNazanin"/>
          <w:color w:val="111111"/>
          <w:sz w:val="28"/>
          <w:sz w:val="28"/>
          <w:szCs w:val="28"/>
          <w:rtl w:val="true"/>
          <w:lang w:bidi="fa-IR"/>
        </w:rPr>
        <w:t>در پاسخ باید گفت که اولا چنین نتیجه ای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کاری بیشتر شبیه به قیاس است و برای حکم به کراهت باید دلیل مجزا و ملازمه ای متفاوت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چنین ملازمه ای وجود ندارد و نمی توان حکم به کراهت یک امر احتمالی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اینجا دیگر حرامی وجودی ندارد که مقدمه احتمالی آن را، مکروه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حکم حرمت، برای تنجیس عمدی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مساله مذکور تنها احتمال تنجیس سهوی مسجد وجود دارد که آن هم یک فعل حرام به حساب نمی آید و تنها طهارت مسجد پس از تنجیس غیر عمدی بر دیگران واجب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 مقدمه یک کاری که حتی محتمل الحرام هم نیست، مکروه دانست؟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تنجیس مسجد تنها برای کودکان غیر ممیز است و حکم آن را نمی توان به تمامی کودکان سرایت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بررسی بیشتر حول محور این نکته را به تفصیل بین کراهت و اباحه، ارجاع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کنونی که ابزار و وسایل مختلفی برای جلوگیری از سرایت نجاست کودکان وجود دارد و معمول کودکان غیر ممیز دارای پوشاک پیش گیرنده و جاذب نجاست هستند، چنین فرضی غالبا محتمل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حتی اگر احتمال نجاست در مورد کودکان غیر ممیز به طور کلی از بین نرفته باشد، این احتمال به قدری نخواهد بود که محدودیت آفرین باشد</w:t>
      </w:r>
      <w:r>
        <w:rPr>
          <w:rFonts w:eastAsia="IRNazanin" w:cs="IRNazanin"/>
          <w:color w:val="111111"/>
          <w:sz w:val="28"/>
          <w:szCs w:val="28"/>
          <w:rtl w:val="true"/>
          <w:lang w:bidi="fa-IR"/>
        </w:rPr>
        <w:t xml:space="preserve">. </w:t>
      </w:r>
      <w:bookmarkStart w:id="185" w:name="pg19111_194987"/>
    </w:p>
    <w:p>
      <w:pPr>
        <w:pStyle w:val="Heading3"/>
        <w:numPr>
          <w:ilvl w:val="2"/>
          <w:numId w:val="1"/>
        </w:numPr>
        <w:rPr/>
      </w:pPr>
      <w:bookmarkStart w:id="186" w:name="__RefHeading___Toc15165181_1280447820"/>
      <w:bookmarkStart w:id="187" w:name="_Toc66"/>
      <w:bookmarkEnd w:id="185"/>
      <w:bookmarkEnd w:id="186"/>
      <w:r>
        <w:rPr>
          <w:rtl w:val="true"/>
        </w:rPr>
        <w:t>فصل چهارم</w:t>
      </w:r>
      <w:r>
        <w:rPr>
          <w:rtl w:val="true"/>
        </w:rPr>
        <w:t xml:space="preserve">: </w:t>
      </w:r>
      <w:r>
        <w:rPr>
          <w:rtl w:val="true"/>
        </w:rPr>
        <w:t>انصراف دیدگاه کراهت به کودکان غیر ممیّز</w:t>
      </w:r>
      <w:bookmarkEnd w:id="187"/>
    </w:p>
    <w:p>
      <w:pPr>
        <w:pStyle w:val="Heading4"/>
        <w:numPr>
          <w:ilvl w:val="3"/>
          <w:numId w:val="1"/>
        </w:numPr>
        <w:rPr/>
      </w:pPr>
      <w:bookmarkStart w:id="188" w:name="__RefHeading___Toc15165183_1280447820"/>
      <w:bookmarkStart w:id="189" w:name="_Toc67"/>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با اینکه قائلین به کراهت آوردن کودکان به مسجد، این حکم را بدون بیان هیچ قیدی و به صورت مطلق، بیان داشته اند؛ اما به نظر می رسد که مقصود آنها از کراهت آوردن کودکان به مسجد، در خصوص کودکان غیر ممیز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 دسته از فقیهان در جای جای فقه، فتاوای مختلفی را در مورد کودکان ممیز مطرح کرده اند که با چنین حکمی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هر چیز قدری پیرامون اصل مساله انصراف سخن خواهیم گفت و سپس به انصراف احتمالی در موضوع مورد بحث خواهیم پرداخت</w:t>
      </w:r>
      <w:r>
        <w:rPr>
          <w:rFonts w:eastAsia="IRNazanin" w:cs="IRNazanin"/>
          <w:color w:val="111111"/>
          <w:sz w:val="28"/>
          <w:szCs w:val="28"/>
          <w:rtl w:val="true"/>
          <w:lang w:bidi="fa-IR"/>
        </w:rPr>
        <w:t>.</w:t>
      </w:r>
    </w:p>
    <w:p>
      <w:pPr>
        <w:pStyle w:val="Heading4"/>
        <w:numPr>
          <w:ilvl w:val="3"/>
          <w:numId w:val="1"/>
        </w:numPr>
        <w:rPr/>
      </w:pPr>
      <w:bookmarkStart w:id="190" w:name="__RefHeading___Toc15165185_1280447820"/>
      <w:bookmarkStart w:id="191" w:name="_Toc68"/>
      <w:bookmarkEnd w:id="190"/>
      <w:r>
        <w:rPr>
          <w:rtl w:val="true"/>
        </w:rPr>
        <w:t>گفتار اول</w:t>
      </w:r>
      <w:r>
        <w:rPr>
          <w:rtl w:val="true"/>
        </w:rPr>
        <w:t xml:space="preserve">: </w:t>
      </w:r>
      <w:r>
        <w:rPr>
          <w:rtl w:val="true"/>
        </w:rPr>
        <w:t>معنا شناسی انصراف</w:t>
      </w:r>
      <w:bookmarkEnd w:id="191"/>
    </w:p>
    <w:p>
      <w:pPr>
        <w:pStyle w:val="BookText"/>
        <w:rPr/>
      </w:pPr>
      <w:r>
        <w:rPr>
          <w:rFonts w:ascii="IRNazanin" w:hAnsi="IRNazanin" w:eastAsia="IRNazanin"/>
          <w:color w:val="111111"/>
          <w:sz w:val="28"/>
          <w:sz w:val="28"/>
          <w:szCs w:val="28"/>
          <w:rtl w:val="true"/>
          <w:lang w:bidi="fa-IR"/>
        </w:rPr>
        <w:t>انصراف، به معناى توجه ذهن به برخى از افراد طبیعت، هنگام شنیدن لفظ مطلق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انصراف عبارت است از حضور معنایى معین به ذهن، هنگام شنیدن لفظ مطلق، در حالى که لفظ داراى معنایى فراگیر است و شامل افراد متعدد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این که از شنیدن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ذهن به غیر انسان انصراف پیدا مى کند و خود انسان به ذهن نمى آید، در حالى که حیوان، انسان را نیز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شنیدن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وضو، ذهن انسان به سوى مسح با دست مى رود نه چیز دیگر</w:t>
      </w:r>
      <w:r>
        <w:rPr>
          <w:rFonts w:eastAsia="IRNazanin" w:cs="IRNazanin"/>
          <w:color w:val="111111"/>
          <w:sz w:val="28"/>
          <w:szCs w:val="28"/>
          <w:rtl w:val="true"/>
          <w:lang w:bidi="fa-IR"/>
        </w:rPr>
        <w:t>.</w:t>
      </w:r>
      <w:r>
        <w:rPr>
          <w:rStyle w:val="FootnoteAnchor"/>
          <w:rtl w:val="true"/>
        </w:rPr>
        <w:footnoteReference w:id="18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اصولیون معتقدند که انصراف ذهن از لفظ به برخی از مصادیق معنایی و یا بعضی از اصناف آن مانع تمسک به اطلاق می شود، حتی اگر مقدمات حکمت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هر انصرافی مانع تمسک به </w:t>
      </w:r>
      <w:bookmarkStart w:id="192" w:name="pg19111_194989"/>
    </w:p>
    <w:p>
      <w:pPr>
        <w:pStyle w:val="BookText"/>
        <w:rPr/>
      </w:pPr>
      <w:bookmarkEnd w:id="192"/>
      <w:r>
        <w:rPr>
          <w:rFonts w:ascii="IRNazanin" w:hAnsi="IRNazanin" w:eastAsia="IRNazanin"/>
          <w:color w:val="111111"/>
          <w:sz w:val="28"/>
          <w:sz w:val="28"/>
          <w:szCs w:val="28"/>
          <w:rtl w:val="true"/>
          <w:lang w:bidi="fa-IR"/>
        </w:rPr>
        <w:t>اطلاق نیست و تنها برخی از انواع آن چنین کاربردی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انصراف و انصراف معتبر</w:t>
      </w:r>
    </w:p>
    <w:p>
      <w:pPr>
        <w:pStyle w:val="BookText"/>
        <w:rPr/>
      </w:pPr>
      <w:r>
        <w:rPr>
          <w:rFonts w:ascii="IRNazanin" w:hAnsi="IRNazanin" w:eastAsia="IRNazanin"/>
          <w:color w:val="111111"/>
          <w:sz w:val="28"/>
          <w:sz w:val="28"/>
          <w:szCs w:val="28"/>
          <w:rtl w:val="true"/>
          <w:lang w:bidi="fa-IR"/>
        </w:rPr>
        <w:t>انصراف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بدوی که منشأ آن غلبه مصادیق خارجی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ظهوری که منشأ آن کثرت استعمال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منشأ انصراف ذهن، ظهور لفظ در مقید باشد و ریشه در کثرت استعمال لفظ در معنای مقید داشته باشد، شکی نیست که چنین انصرافی مانع تمسک به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ظهوری به منزله تقیید بر لفظ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انصراف، نشأت گرفته از لفظ نباشد بلکه ریشه در اسباب خارجی نظیر غلبه وجود مصادیق آن در خارج باشد، هیچ تاثیری برای چنین انصرافی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انصراف آب در کشور عراق به آب دجله و فرات که یک انصراف خارجی است نه انصراف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انصراف را انصراف بدوی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ماندگار نیست و با اندک تاملی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یکی از سخت ترین کارها نزد فقیه خبره تشخیص انصراف است که باید با دقت فراوانی انجام گیرد</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193" w:name="__RefHeading___Toc15165187_1280447820"/>
      <w:bookmarkStart w:id="194" w:name="_Toc69"/>
      <w:bookmarkEnd w:id="193"/>
      <w:r>
        <w:rPr>
          <w:rtl w:val="true"/>
        </w:rPr>
        <w:t>گفتار دوم</w:t>
      </w:r>
      <w:r>
        <w:rPr>
          <w:rtl w:val="true"/>
        </w:rPr>
        <w:t xml:space="preserve">: </w:t>
      </w:r>
      <w:r>
        <w:rPr>
          <w:rtl w:val="true"/>
        </w:rPr>
        <w:t>انصراف موجود در مساله آوردن کودکان به مسجد</w:t>
      </w:r>
      <w:bookmarkEnd w:id="194"/>
    </w:p>
    <w:p>
      <w:pPr>
        <w:pStyle w:val="BookText"/>
        <w:rPr/>
      </w:pPr>
      <w:r>
        <w:rPr>
          <w:rFonts w:ascii="IRNazanin" w:hAnsi="IRNazanin" w:eastAsia="IRNazanin"/>
          <w:color w:val="111111"/>
          <w:sz w:val="28"/>
          <w:sz w:val="28"/>
          <w:szCs w:val="28"/>
          <w:rtl w:val="true"/>
          <w:lang w:bidi="fa-IR"/>
        </w:rPr>
        <w:t>با اینکه تعداد قابل توجهی از فقیهان، حکم به کراهت آوردن کودکان به مسجد کرده اند، اما می توان ادعا کرد که این حکم، انصراف به کودکان غیر ممیز دارد و شامل کودکان ممیز نمی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این انصراف را می توان در ابواب مختلف فقه که پیرامون مساله کودکان سخن به میان آمده،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مباحث پراهمیت، موضوع مشروعیت عبادات کودکان ممیز است که در فصل چهارم از بخش پنجم به تفصیل در مورد آن سخن خواهیم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که در اینجا می توان بیان کرد این است که مشهور فقیهان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متقدمان گرفته تا متاخران و معاصران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کودک ممیّز را مشروع دانسته و آن را صحیح برمی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دیدگاه این است که عبادت چنین کودکی در گوشه گوشه فقه شیعه، مشروعیت خواهد داشت و مورد پذیرش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این بحث در عبادات گوناگون نظیر وضو، غسل، تغسیل و تکفین میت، نماز، روزه و حج مورد تحلیل قرار گرفته و پیرامون مباحثی نظیر نیت و نیابت کودک نیز به فراخور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مشروعیت عبادت کودک، ثمرات فراوانی می تواند داشته باشد که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عبادات واجبه و چه عبادات مستحبه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 عبادت مستحبه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و روزه و حج و دیگر عبادات کودک، مستحب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کفائی، فعل کودک، سبب ساقط شدن واجب کفائی از گردن دیگران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تغسیل و تکفین میت و نماز خواندن بر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ممیز می تواند به عنوان نائب از دیگران عمل کند و عباداتی نظیر نماز و روزه استیجاری را به نیابت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احکام و فتاوا نشان می دهد که در دیدگاه این فقیهان، حکم کراهت آوردن کودکان به مسجد، انصراف به کودکان غیر ممیز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استعمالات گوناگون مساله عبادت کودکان در ابواب مختلف فقهی نشان دهنده این انصراف ظهوری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گویا که این فقیهان، حکم آوردن کودکان ممیز به مسجد را با توجه به مشروعیت عبادت آنها، روشن و واضح پنداشته و تنها در مورد کودکان غیر ممیز حکم به کراهت کرده 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دیگری که می توان برای این انصراف بیان کرد، معنای اصلی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بخش بعد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بررسی نشان می دهد که ظهور اولیه این واژه در کودکان غیر ممیز است و در گذر زمان، گاهی از باب توسعه در معنا، در مورد کودکان بزرگتر نیز استعمال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انصراف را بپذیریم، 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تفصیل بین کراهت و اباحه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قول، مشترک خواهد شد و دیگر تفاوتی میانشان وجود نخواهد داشت</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19111_194996"/>
      <w:bookmarkStart w:id="196" w:name="pg19111_194996"/>
      <w:bookmarkEnd w:id="196"/>
    </w:p>
    <w:p>
      <w:pPr>
        <w:pStyle w:val="Heading2"/>
        <w:numPr>
          <w:ilvl w:val="1"/>
          <w:numId w:val="1"/>
        </w:numPr>
        <w:rPr/>
      </w:pPr>
      <w:bookmarkStart w:id="197" w:name="pg19111_194996"/>
      <w:bookmarkStart w:id="198" w:name="__RefHeading___Toc15165189_1280447820"/>
      <w:bookmarkStart w:id="199" w:name="_Toc70"/>
      <w:bookmarkEnd w:id="197"/>
      <w:bookmarkEnd w:id="198"/>
      <w:r>
        <w:rPr>
          <w:rtl w:val="true"/>
        </w:rPr>
        <w:t>بخش سوم</w:t>
      </w:r>
      <w:r>
        <w:rPr>
          <w:rtl w:val="true"/>
        </w:rPr>
        <w:t xml:space="preserve">: </w:t>
      </w:r>
      <w:r>
        <w:rPr>
          <w:rtl w:val="true"/>
        </w:rPr>
        <w:t>بررسی ادله قول به اباحه</w:t>
      </w:r>
      <w:bookmarkEnd w:id="19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15165191_1280447820"/>
      <w:bookmarkStart w:id="201" w:name="_Toc71"/>
      <w:bookmarkEnd w:id="200"/>
      <w:r>
        <w:rPr>
          <w:rtl w:val="true"/>
        </w:rPr>
        <w:t>اشاره</w:t>
      </w:r>
      <w:bookmarkEnd w:id="20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9111_195000"/>
      <w:bookmarkStart w:id="203" w:name="pg19111_195000"/>
      <w:bookmarkEnd w:id="203"/>
    </w:p>
    <w:p>
      <w:pPr>
        <w:pStyle w:val="BookText"/>
        <w:rPr/>
      </w:pPr>
      <w:bookmarkStart w:id="204" w:name="pg19111_195000"/>
      <w:bookmarkEnd w:id="204"/>
      <w:r>
        <w:rPr>
          <w:rFonts w:ascii="IRNazanin" w:hAnsi="IRNazanin" w:eastAsia="IRNazanin"/>
          <w:color w:val="111111"/>
          <w:sz w:val="28"/>
          <w:sz w:val="28"/>
          <w:szCs w:val="28"/>
          <w:rtl w:val="true"/>
          <w:lang w:bidi="fa-IR"/>
        </w:rPr>
        <w:t>همانطور که در بخش دیدگاه ها و اقوال فقهای شیعه گفته شد، برخی از فقها با اینکه در مقام بیان مساله بوده اند، با این وجود حکم به کراهت آوردن کودکان به مسجد نکرده و تنها آوردن دیوانگان را مکروه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دیدگاه این دسته از فقها حکم کراهت، تنها برای دیوانگان است و ارتباطی با کودکان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را در پیش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یک از آنها، دلیلی برای این مطلب بیان نکرده اند و مطلبی افزون بر این ننگاشته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می توان دلایلی را که می تواند مستند چنین فتوایی باشد، حدس زد و آن را مورد تحلیل و واکاوی قرار داد</w:t>
      </w:r>
      <w:r>
        <w:rPr>
          <w:rFonts w:eastAsia="IRNazanin" w:cs="IRNazanin"/>
          <w:color w:val="111111"/>
          <w:sz w:val="28"/>
          <w:szCs w:val="28"/>
          <w:rtl w:val="true"/>
          <w:lang w:bidi="fa-IR"/>
        </w:rPr>
        <w:t>.</w:t>
      </w:r>
    </w:p>
    <w:p>
      <w:pPr>
        <w:pStyle w:val="Heading3"/>
        <w:numPr>
          <w:ilvl w:val="2"/>
          <w:numId w:val="1"/>
        </w:numPr>
        <w:rPr/>
      </w:pPr>
      <w:bookmarkStart w:id="205" w:name="__RefHeading___Toc15165193_1280447820"/>
      <w:bookmarkStart w:id="206" w:name="_Toc72"/>
      <w:bookmarkEnd w:id="205"/>
      <w:r>
        <w:rPr>
          <w:rtl w:val="true"/>
        </w:rPr>
        <w:t>فصل اول</w:t>
      </w:r>
      <w:r>
        <w:rPr>
          <w:rtl w:val="true"/>
        </w:rPr>
        <w:t xml:space="preserve">: </w:t>
      </w:r>
      <w:r>
        <w:rPr>
          <w:rtl w:val="true"/>
        </w:rPr>
        <w:t>تعارض میان اخبار ناهیه و دیگر روایات</w:t>
      </w:r>
      <w:bookmarkEnd w:id="206"/>
    </w:p>
    <w:p>
      <w:pPr>
        <w:pStyle w:val="Heading4"/>
        <w:numPr>
          <w:ilvl w:val="3"/>
          <w:numId w:val="1"/>
        </w:numPr>
        <w:rPr/>
      </w:pPr>
      <w:bookmarkStart w:id="207" w:name="__RefHeading___Toc15165195_1280447820"/>
      <w:bookmarkStart w:id="208" w:name="_Toc73"/>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با اینکه قائلین به اباحه آوردن کودکان به مسجد دلیلی برای مدعای خود مطرح نکرده اند اما به نظر می رسد که دلیل اصلی این بزرگواران، تعارض سیره قطعیه پیامبر خدا صلی الله علیه و اله با روایات ناهیه در این موضوع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پیش روی ما قرار دارد، از یک سو دسته ای از روایات است که دستور به پرهیز از آوردن کودکان به مسجد می دهد اما در سوی دیگر و درست در نقطه مقابل آن، سیره معصومان علیهم السلام است که گویای امری کاملا متفاوت با این دستور می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جستجو در سیره پیامبر صلی الله علیه و اله و در میان گزارشات فراوان تاریخی نشان </w:t>
      </w:r>
      <w:bookmarkStart w:id="209" w:name="pg19111_195002"/>
    </w:p>
    <w:p>
      <w:pPr>
        <w:pStyle w:val="BookText"/>
        <w:rPr/>
      </w:pPr>
      <w:bookmarkEnd w:id="209"/>
      <w:r>
        <w:rPr>
          <w:rFonts w:ascii="IRNazanin" w:hAnsi="IRNazanin" w:eastAsia="IRNazanin"/>
          <w:color w:val="111111"/>
          <w:sz w:val="28"/>
          <w:sz w:val="28"/>
          <w:szCs w:val="28"/>
          <w:rtl w:val="true"/>
          <w:lang w:bidi="fa-IR"/>
        </w:rPr>
        <w:t>می دهد که در سیره نبوی هیچ مطلبی که دلالت اندکی بر نهی یا کراهت پیامبر صلی الله علیه و اله از آوردن کودکان به مسجد داشته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آنکه گزارشات فراوانی در سیره پیامبر صلی الله علیه و اله وجود دارد که نشان می دهد، پیامبر صلی الله علیه و اله نه تنها از آوردن کودکان به مسجد نهی نکرده، بلکه خود ایشان از آوردن آنها به مسجد باکی نداشته و به گونه های مختلف نوادگان خود و یا دیگر کودکان را با ملاطفتی ویژه به مسجد می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چنین شرایطی باید دید که اولا کدام یک از این دو دسته از روایات نسبت به دیگری رجحان دارد و ثانیا بر فرض عدم رجحان یکی بر دیگری، باید دید که راه حل چیست؟</w:t>
      </w:r>
    </w:p>
    <w:p>
      <w:pPr>
        <w:pStyle w:val="BookText"/>
        <w:rPr/>
      </w:pPr>
      <w:r>
        <w:rPr>
          <w:rFonts w:ascii="IRNazanin" w:hAnsi="IRNazanin" w:eastAsia="IRNazanin"/>
          <w:color w:val="111111"/>
          <w:sz w:val="28"/>
          <w:sz w:val="28"/>
          <w:szCs w:val="28"/>
          <w:rtl w:val="true"/>
          <w:lang w:bidi="fa-IR"/>
        </w:rPr>
        <w:t>بنابراین پیش از هر چیز باید به بررسی سیره معصومان علیهم السلام در این زمینه پرداخت و میزان اعتبار این سیره را مورد واکاوی قرار داد</w:t>
      </w:r>
      <w:r>
        <w:rPr>
          <w:rFonts w:eastAsia="IRNazanin" w:cs="IRNazanin"/>
          <w:color w:val="111111"/>
          <w:sz w:val="28"/>
          <w:szCs w:val="28"/>
          <w:rtl w:val="true"/>
          <w:lang w:bidi="fa-IR"/>
        </w:rPr>
        <w:t>.</w:t>
      </w:r>
    </w:p>
    <w:p>
      <w:pPr>
        <w:pStyle w:val="Heading4"/>
        <w:numPr>
          <w:ilvl w:val="3"/>
          <w:numId w:val="1"/>
        </w:numPr>
        <w:rPr/>
      </w:pPr>
      <w:bookmarkStart w:id="210" w:name="__RefHeading___Toc15165197_1280447820"/>
      <w:bookmarkStart w:id="211" w:name="_Toc74"/>
      <w:bookmarkEnd w:id="210"/>
      <w:r>
        <w:rPr>
          <w:rtl w:val="true"/>
        </w:rPr>
        <w:t>گفتار اول</w:t>
      </w:r>
      <w:r>
        <w:rPr>
          <w:rtl w:val="true"/>
        </w:rPr>
        <w:t xml:space="preserve">: </w:t>
      </w:r>
      <w:r>
        <w:rPr>
          <w:rtl w:val="true"/>
        </w:rPr>
        <w:t>میزان پایبندی فقها به دیگر فرازهای روایت</w:t>
      </w:r>
      <w:bookmarkEnd w:id="211"/>
    </w:p>
    <w:p>
      <w:pPr>
        <w:pStyle w:val="BookText"/>
        <w:rPr/>
      </w:pPr>
      <w:r>
        <w:rPr>
          <w:rFonts w:ascii="IRNazanin" w:hAnsi="IRNazanin" w:eastAsia="IRNazanin"/>
          <w:color w:val="111111"/>
          <w:sz w:val="28"/>
          <w:sz w:val="28"/>
          <w:szCs w:val="28"/>
          <w:rtl w:val="true"/>
          <w:lang w:bidi="fa-IR"/>
        </w:rPr>
        <w:t>بررسی دیگر فرازهای این روایت نشان می دهد که مساله تعارض میان اخبار، تنها مخصوص به این فراز از روایت نیست و در دیگر فرازها نیز همین مشکل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مساله نمی تواند دلیلی بر مدعا باشد بلکه صرفا به عنوان شاهد و موید، مورد تحلیل قرار گرفته و راه را برای دستیابی به حقیقت هموار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گذرا به مطالبی که برخی از فقها پیرامون دیگر فرازهای این روایت مطرح کرده اند، می تواند در مورد این فراز نیز راهگشا باشد و نکاتی را در این باره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حکم هر مساله ای باید به صورت مجزا مورد تحلیل قرار گیرد اما حکم این مساله با این روایت که دارای چند فقره و فراز است گره خورده و قطعا نکات مشترکی میان این فقرات وجود خواهد داشت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فقهایی که قائل به اباحه آوردن کودکان به مسجد شده اند، دلیلی بر این مدعا مطرح نکرده اند، اما روش آنها در دیگر فقرات می تواند پرده </w:t>
      </w:r>
    </w:p>
    <w:p>
      <w:pPr>
        <w:pStyle w:val="BookText"/>
        <w:rPr/>
      </w:pPr>
      <w:r>
        <w:rPr>
          <w:rFonts w:ascii="IRNazanin" w:hAnsi="IRNazanin" w:eastAsia="IRNazanin"/>
          <w:color w:val="111111"/>
          <w:sz w:val="28"/>
          <w:sz w:val="28"/>
          <w:szCs w:val="28"/>
          <w:rtl w:val="true"/>
          <w:lang w:bidi="fa-IR"/>
        </w:rPr>
        <w:t>از دلیل اصلی آنها نیز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سخنی کوتاه از علامه حلی پیرامون مکروه نبودن قضاوت در مسجد را با هم مرور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در روایات ناهیه،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قضاوت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اما علامه حلی سیره معصومان را معارض با آن دانسته و عمل کردن به سیره را مقدم بر روایات ناهیه این باب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رحمه اللّه قولان في الحکم في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 هو اختیار ابن إدریس و کرهه في النهایة و الأقرب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أمیر المؤمنین علیه السلام حکم في جامع الکوفة و قضي فیه بین الناس و دکّة القضاء مشهورة إلي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الحکم طاعة، فجاز إیقاعها في المساجد الموضوعة للطاعات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 مورد قضاوت در مسجد دو قول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جواز و دوم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بهتر و نزدیکتر به واقع،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امیرالمومنین علی علیه السلام در جامع کوفه بین مردم قضاوت می کرد و مکان قضاوت او تا هم اکنون نیز به دکة القضاء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آن است که قضاوت و حکم کردن بین مردم، طاعت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وقوع عبادت در مسجد که برای اطاعت و عبادت قرار داده شده،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دیدگاه، بعضی خواسته اند قضاوت پیامبر صلی الله علیه و اله و امیر المومنین علیه السلام در مسجد را نادر و کم تعداد معرفی کنند و برخی دیگر خواسته اند این کار را مختص به آن دو بزرگوار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جواهر با آوردن روایاتی ثابت می کند که اتفاقا حکم کردن در مسجد استحباب دارد و کراهتی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عَلیّ علیه السلام أَنَّهُ بَلَغَهُ أَنَّ شُرَیْحاً یَقْضِي فِي بَیْتِهِ فَقَالَ یَا شُرَیْحُ اجْلِسْ فِي الْمَسْجِدِ فَإِنَّهُ أَعْدَلُ بَیْنَ النَّاسِ وَ إِنَّهُ وَهْنٌ بِالْقَاضِي أَنْ </w:t>
      </w:r>
      <w:bookmarkStart w:id="212" w:name="pg19111_195006"/>
    </w:p>
    <w:p>
      <w:pPr>
        <w:pStyle w:val="BookText"/>
        <w:rPr/>
      </w:pPr>
      <w:bookmarkEnd w:id="212"/>
      <w:r>
        <w:rPr>
          <w:rFonts w:ascii="Amiri" w:hAnsi="Amiri" w:eastAsia="Amiri" w:cs="Amiri"/>
          <w:color w:val="111111"/>
          <w:sz w:val="28"/>
          <w:sz w:val="28"/>
          <w:szCs w:val="28"/>
          <w:rtl w:val="true"/>
          <w:lang w:bidi="ar-SA"/>
        </w:rPr>
        <w:t>یَجْلِسَ فِي بَیْتِه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به امیر المومنین علیه السلام خبر رسید که شریح در خانه اش قضاوت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بنشین که این کار میان مردم عادلانه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قاضی سبک و پست است که در خانه خود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نیز از کنار هم نهادن این روایت چنین نتیجه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الأقوى فی النظر عدم الکراهة مطلقا و النص إما مطرح أو محمول على إرادة الأحکام الصادرة من قضاة العامة</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پس گویا می توان گفت که دیدگاه قوی تر، عدم کراهت قضاوت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صورت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نصّی که گویای کراهت است یا کنار نهاده می شود و یا حمل بر حکم کردن قاضیان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صاحب جواهر به تبع از علامه حلی و بسیاری دیگر از بزرگان، از حکم به کراهت بخشی از این روایت دست برداشته و احتمال طرح نمودن و کنار نهادن آن را مطرح کرده اند</w:t>
      </w:r>
      <w:r>
        <w:rPr>
          <w:rFonts w:eastAsia="IRNazanin" w:cs="IRNazanin"/>
          <w:color w:val="111111"/>
          <w:sz w:val="28"/>
          <w:szCs w:val="28"/>
          <w:rtl w:val="true"/>
          <w:lang w:bidi="fa-IR"/>
        </w:rPr>
        <w:t>.</w:t>
      </w:r>
    </w:p>
    <w:p>
      <w:pPr>
        <w:pStyle w:val="Heading4"/>
        <w:numPr>
          <w:ilvl w:val="3"/>
          <w:numId w:val="1"/>
        </w:numPr>
        <w:rPr/>
      </w:pPr>
      <w:bookmarkStart w:id="213" w:name="__RefHeading___Toc15165199_1280447820"/>
      <w:bookmarkStart w:id="214" w:name="_Toc75"/>
      <w:bookmarkEnd w:id="213"/>
      <w:r>
        <w:rPr>
          <w:rtl w:val="true"/>
        </w:rPr>
        <w:t>گفتار دوم</w:t>
      </w:r>
      <w:r>
        <w:rPr>
          <w:rtl w:val="true"/>
        </w:rPr>
        <w:t xml:space="preserve">: </w:t>
      </w:r>
      <w:r>
        <w:rPr>
          <w:rtl w:val="true"/>
        </w:rPr>
        <w:t>دلایل فقها در حکم به اباحه</w:t>
      </w:r>
      <w:bookmarkEnd w:id="214"/>
    </w:p>
    <w:p>
      <w:pPr>
        <w:pStyle w:val="BookText"/>
        <w:rPr/>
      </w:pPr>
      <w:r>
        <w:rPr>
          <w:rFonts w:ascii="IRNazanin" w:hAnsi="IRNazanin" w:eastAsia="IRNazanin"/>
          <w:color w:val="111111"/>
          <w:sz w:val="28"/>
          <w:sz w:val="28"/>
          <w:szCs w:val="28"/>
          <w:rtl w:val="true"/>
          <w:lang w:bidi="fa-IR"/>
        </w:rPr>
        <w:t>از آنچه گفته شد بر می آید که دلیل اصلی این بزرگان در این فقره از روایات ناهیه، تعارض با سیره اهل بیت علیهم السلام و رجحان داشتن این مساله به صورت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حدس زد که دلیل فقهایی که آوردن کودکان به مسجد را مباح می دانند نیز همین دلایل مطرح شده در این فقره می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چنین شرایطی باید به سراغ سیره پیامبر صلی الله علیه و اله و دیگر معصومان علیهم السلام رفت و روش آنها در این موضوع را مورد واکاوی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که اگر امکان جمع میان اخبار ناهیه و روایات سیره وجود داشته باشد، چنین جمعی اولویت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امکانی نباشد، باید از حکم به کراهت دست بر داشته و حکم به اباحه نمود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پراهمیت به خوبی خود را در فتوای فقها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فقیهانی که جمع میان اخبار را محتمل می دانند، قائل به تفصیل در مساله شده و حضور برخی از کودکان را مکروه و برخی دیگر را مباح یا مستحب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فقیهانی که تعارض میان این دو دسته از روایت را اساسی و زیر بنایی دانسته و هیچ گونه وجه جمعی برای آن نیافته اند، حکم به اباحه کرده و از روایت ناهیه دست برداشته اند</w:t>
      </w:r>
      <w:r>
        <w:rPr>
          <w:rFonts w:eastAsia="IRNazanin" w:cs="IRNazanin"/>
          <w:color w:val="111111"/>
          <w:sz w:val="28"/>
          <w:szCs w:val="28"/>
          <w:rtl w:val="true"/>
          <w:lang w:bidi="fa-IR"/>
        </w:rPr>
        <w:t xml:space="preserve">. </w:t>
      </w:r>
      <w:bookmarkStart w:id="215" w:name="pg19111_195010"/>
    </w:p>
    <w:p>
      <w:pPr>
        <w:pStyle w:val="Heading3"/>
        <w:numPr>
          <w:ilvl w:val="2"/>
          <w:numId w:val="1"/>
        </w:numPr>
        <w:rPr/>
      </w:pPr>
      <w:bookmarkStart w:id="216" w:name="__RefHeading___Toc15165201_1280447820"/>
      <w:bookmarkStart w:id="217" w:name="_Toc76"/>
      <w:bookmarkEnd w:id="215"/>
      <w:bookmarkEnd w:id="216"/>
      <w:r>
        <w:rPr>
          <w:rtl w:val="true"/>
        </w:rPr>
        <w:t>فصل دوم</w:t>
      </w:r>
      <w:r>
        <w:rPr>
          <w:rtl w:val="true"/>
        </w:rPr>
        <w:t xml:space="preserve">: </w:t>
      </w:r>
      <w:r>
        <w:rPr>
          <w:rtl w:val="true"/>
        </w:rPr>
        <w:t xml:space="preserve">سیره پیامبر صلی الله علیه و آله وسلم در آوردن حسنین </w:t>
      </w:r>
      <w:r>
        <w:rPr>
          <w:rtl w:val="true"/>
        </w:rPr>
        <w:t>(</w:t>
      </w:r>
      <w:r>
        <w:rPr>
          <w:rtl w:val="true"/>
        </w:rPr>
        <w:t>علیهما السلام</w:t>
      </w:r>
      <w:r>
        <w:rPr>
          <w:rtl w:val="true"/>
        </w:rPr>
        <w:t xml:space="preserve">) </w:t>
      </w:r>
      <w:r>
        <w:rPr>
          <w:rtl w:val="true"/>
        </w:rPr>
        <w:t>به مسجد</w:t>
      </w:r>
      <w:bookmarkEnd w:id="217"/>
    </w:p>
    <w:p>
      <w:pPr>
        <w:pStyle w:val="Heading4"/>
        <w:numPr>
          <w:ilvl w:val="3"/>
          <w:numId w:val="1"/>
        </w:numPr>
        <w:rPr/>
      </w:pPr>
      <w:bookmarkStart w:id="218" w:name="__RefHeading___Toc15165203_1280447820"/>
      <w:bookmarkStart w:id="219" w:name="_Toc77"/>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منابع روایی و تاریخی شیعه و اهل تسنن در بردارنده گزارشات فراوانی مبنی بر حضور دو نواده بزرگوار پیامبر صلی الله علیه و اله خدا در مسجد النبی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دهنده آن است که این عمل بارها توسط پیامبر صلی الله علیه و اله تکرار شده و از سیره مداوم آن بزرگوار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هر یک از این جریانات در حالتی متفاوت و فضایی مجزا صورت پذیرفته است</w:t>
      </w:r>
      <w:r>
        <w:rPr>
          <w:rFonts w:eastAsia="IRNazanin" w:cs="IRNazanin"/>
          <w:color w:val="111111"/>
          <w:sz w:val="28"/>
          <w:szCs w:val="28"/>
          <w:rtl w:val="true"/>
          <w:lang w:bidi="fa-IR"/>
        </w:rPr>
        <w:t>.</w:t>
      </w:r>
    </w:p>
    <w:p>
      <w:pPr>
        <w:pStyle w:val="Heading4"/>
        <w:numPr>
          <w:ilvl w:val="3"/>
          <w:numId w:val="1"/>
        </w:numPr>
        <w:rPr/>
      </w:pPr>
      <w:bookmarkStart w:id="220" w:name="__RefHeading___Toc15165205_1280447820"/>
      <w:bookmarkStart w:id="221" w:name="_Toc78"/>
      <w:bookmarkEnd w:id="220"/>
      <w:r>
        <w:rPr>
          <w:rtl w:val="true"/>
        </w:rPr>
        <w:t>گفتار اول</w:t>
      </w:r>
      <w:r>
        <w:rPr>
          <w:rtl w:val="true"/>
        </w:rPr>
        <w:t xml:space="preserve">: </w:t>
      </w:r>
      <w:r>
        <w:rPr>
          <w:rtl w:val="true"/>
        </w:rPr>
        <w:t>نمایی از روایات و گزارشات تاریخی مرتبط</w:t>
      </w:r>
      <w:bookmarkEnd w:id="221"/>
    </w:p>
    <w:p>
      <w:pPr>
        <w:pStyle w:val="BookText"/>
        <w:rPr/>
      </w:pPr>
      <w:r>
        <w:rPr>
          <w:rFonts w:ascii="IRNazanin" w:hAnsi="IRNazanin" w:eastAsia="IRNazanin"/>
          <w:color w:val="111111"/>
          <w:sz w:val="28"/>
          <w:sz w:val="28"/>
          <w:szCs w:val="28"/>
          <w:rtl w:val="true"/>
          <w:lang w:bidi="fa-IR"/>
        </w:rPr>
        <w:t>گزارشات فراوانی که در مورد این مساله وجود دارد نشان دهنده کثرت و فراوانی این مطلب در منابع روایی فریقین و در نتیجه فراوانی آن در سیره پیامبر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گزارشات بر می 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پیامبر صلی الله علیه و اله حسنین علیهما السلام را بر دوش خود سوار می کرد و با شادمانی ویژه آن دو را به مسجد می برد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آنها را به مسجد می برد و کنار خود می نشاند و مرتبا آن دو را می بوسید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گاهی حسنین علیه السلام در هنگامه نماز، سوار بر دوش پیامبر صلی الله علیه و اله می شدند و وقتی دیگران می خواستند جلوگیری کنند، پیامبر صلی الله علیه و اله به آنها اجازه چنین کاری را نمی داد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گاهی در نماز جماعت، پیامبر صلی الله علیه و اله به قدری سجده اش را طول می داد که مردم بعد از نماز علّت را از پیامبر صلی الله علیه و اله جویا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در حال سجده، بر پشتم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در سر برداشتن از سجده شتاب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صبر کردم تا کودک، خودش از پشتم پیاده شود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گاهی حسنین علیهما السلام به مسجد می آمدند و پیامبر صلی الله علیه و اله بعد از نماز، آن دو را روی پای مبارک خود قرار می داد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پیامبر صلی الله علیه و اله با شنیدن صدای گریه حسن و حسین علیهما السلام از منبر فرود می آمد و به سوی آن ها می شتافت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گاهی پیامبر صلی الله علیه و اله در حال سجده بود و امام حسن علیه السلام یا امام حسین علیه السلام وارد مسجد می شد و از لابه لای جمعیت خود را به پیامبر صلی الله علیه و اله می رساند و بر دوش حضرت سوار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هم در حالیکه او را بر دوش خود نگه می داشت، دست مبارکش را پشت کمرش می گذاشت تا کودک نیافتد و در همین حال نماز را ادامه می داد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گاهی پیامبر صلی الله علیه و اله بر فراز منبر در حال خطابه بود که امام حسن علیه السلام از او بالا می رفت و بر گردن پیامبر صلی الله علیه و اله سوار می شد و دو پای او بر روی سینه پیامبر صلی الله علیه و اله آویخته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هم او را بر دوش خود نگه می داشت تا خطبه به پایان برسد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گاهی پیامبر صلی الله علیه و اله بر منبر خطبه می خواند که حسن و حسین علیهما السلام وارد مسجد می شدند و پیامبر صلی الله علیه و اله خود از منبر فرود می آمد و آن دو را بلند می کرد و پیشاپیش خود قرار می داد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پیامبر صلی الله علیه و اله در هنگام سخنرانی حسنین را با خود بر روی منبر می برد و در همین حال برای مردم خطبه می خواند</w:t>
      </w:r>
      <w:r>
        <w:rPr>
          <w:rFonts w:eastAsia="IRNazanin" w:cs="IRNazanin"/>
          <w:color w:val="111111"/>
          <w:sz w:val="28"/>
          <w:szCs w:val="28"/>
          <w:rtl w:val="true"/>
          <w:lang w:bidi="fa-IR"/>
        </w:rPr>
        <w:t>.</w:t>
      </w:r>
      <w:r>
        <w:rPr>
          <w:rStyle w:val="FootnoteAnchor"/>
          <w:rtl w:val="true"/>
        </w:rPr>
        <w:footnoteReference w:id="194"/>
      </w:r>
      <w:bookmarkStart w:id="222" w:name="pg19111_195016"/>
    </w:p>
    <w:p>
      <w:pPr>
        <w:pStyle w:val="BookText"/>
        <w:rPr/>
      </w:pPr>
      <w:bookmarkEnd w:id="222"/>
      <w:r>
        <w:rPr>
          <w:rFonts w:ascii="IRNazanin" w:hAnsi="IRNazanin" w:eastAsia="IRNazanin"/>
          <w:color w:val="111111"/>
          <w:sz w:val="28"/>
          <w:sz w:val="28"/>
          <w:szCs w:val="28"/>
          <w:rtl w:val="true"/>
          <w:lang w:bidi="fa-IR"/>
        </w:rPr>
        <w:t>گاهی پیامبر صلی الله علیه و اله امام حسن علیه السلام را با خود به منبر می برد و در حین سخنرانی به او نگاه می کرد و در مورد او سخن می گفت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گاهی پس از اعتراض برخی از نمازگزاران به شدت مدارای پیامبر صلی الله علیه و اله با کودکان،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فرستاده اش ایمان دارید، باید به کودکان ترحم کنید و برخوردی عاطفی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کُنْتُمْ تُؤْمِنُونَ بِاللَّهِ وَ رَسُولِهِ لَرَحِمْتُمُ الصِّبْیَانَ</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223" w:name="__RefHeading___Toc15165207_1280447820"/>
      <w:bookmarkStart w:id="224" w:name="_Toc79"/>
      <w:bookmarkEnd w:id="223"/>
      <w:r>
        <w:rPr>
          <w:rtl w:val="true"/>
        </w:rPr>
        <w:t>گفتار دوم</w:t>
      </w:r>
      <w:r>
        <w:rPr>
          <w:rtl w:val="true"/>
        </w:rPr>
        <w:t xml:space="preserve">: </w:t>
      </w:r>
      <w:r>
        <w:rPr>
          <w:rtl w:val="true"/>
        </w:rPr>
        <w:t>اعتبار سنجی این دسته از روایات</w:t>
      </w:r>
      <w:bookmarkEnd w:id="224"/>
    </w:p>
    <w:p>
      <w:pPr>
        <w:pStyle w:val="Heading5"/>
        <w:numPr>
          <w:ilvl w:val="4"/>
          <w:numId w:val="1"/>
        </w:numPr>
        <w:rPr/>
      </w:pPr>
      <w:bookmarkStart w:id="225" w:name="__RefHeading___Toc15165209_1280447820"/>
      <w:bookmarkStart w:id="226" w:name="_Toc80"/>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کثرت گزارشاتی که پیرامون حضور کودکان در مسجد وجود دارد به هیچ وجه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 نقل ها فراوان است و هم راویان گونه گون اند و هم منابع بسیار متنوع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دید که این تکثر و تعدد ثمره ای را هم در مقام عمل به دنبال خواهد داشت؟</w:t>
      </w:r>
    </w:p>
    <w:p>
      <w:pPr>
        <w:pStyle w:val="BookText"/>
        <w:rPr/>
      </w:pPr>
      <w:r>
        <w:rPr>
          <w:rFonts w:ascii="IRNazanin" w:hAnsi="IRNazanin" w:eastAsia="IRNazanin"/>
          <w:color w:val="111111"/>
          <w:sz w:val="28"/>
          <w:sz w:val="28"/>
          <w:szCs w:val="28"/>
          <w:rtl w:val="true"/>
          <w:lang w:bidi="fa-IR"/>
        </w:rPr>
        <w:t>به نظر می رسد که فراوانی این دسته از روایات به قدری است که می توان ادعای تواتر معنوی نسبت به اصل مساله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نتیجه بر آمده از کل این روایات به صورت قطعی نشان دهنده آن است که پیامبر خدا صلی الله علیه و اله حسنین را به مسجد خود می برده و هیچ مخالفتی هم با رفت و آمد آنها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تواتر معنوی را نپذیریم قطعا شهرت روایی و استفاضه این روایات غیر قابل انکار خواهد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پیش از هر چیز باید به تعدد و تکثر قطع آور که اصطلاحا به آن، حدیث متواتر گفته می شود، پرداخت و شرایط آن را مورد تحلیل و بررسی قرار داد</w:t>
      </w:r>
      <w:r>
        <w:rPr>
          <w:rFonts w:eastAsia="IRNazanin" w:cs="IRNazanin"/>
          <w:color w:val="111111"/>
          <w:sz w:val="28"/>
          <w:szCs w:val="28"/>
          <w:rtl w:val="true"/>
          <w:lang w:bidi="fa-IR"/>
        </w:rPr>
        <w:t xml:space="preserve">. </w:t>
      </w:r>
      <w:bookmarkStart w:id="227" w:name="pg19111_195018"/>
    </w:p>
    <w:p>
      <w:pPr>
        <w:pStyle w:val="Heading5"/>
        <w:numPr>
          <w:ilvl w:val="4"/>
          <w:numId w:val="1"/>
        </w:numPr>
        <w:rPr/>
      </w:pPr>
      <w:bookmarkStart w:id="228" w:name="__RefHeading___Toc15165211_1280447820"/>
      <w:bookmarkStart w:id="229" w:name="_Toc81"/>
      <w:bookmarkEnd w:id="227"/>
      <w:bookmarkEnd w:id="228"/>
      <w:r>
        <w:rPr>
          <w:rtl w:val="true"/>
        </w:rPr>
        <w:t xml:space="preserve">الف </w:t>
      </w:r>
      <w:r>
        <w:rPr>
          <w:rtl w:val="true"/>
        </w:rPr>
        <w:t xml:space="preserve">- </w:t>
      </w:r>
      <w:r>
        <w:rPr>
          <w:rtl w:val="true"/>
        </w:rPr>
        <w:t>چیستی تواتر و انواع آن</w:t>
      </w:r>
      <w:bookmarkEnd w:id="229"/>
    </w:p>
    <w:p>
      <w:pPr>
        <w:pStyle w:val="Heading6"/>
        <w:numPr>
          <w:ilvl w:val="5"/>
          <w:numId w:val="1"/>
        </w:numPr>
        <w:rPr/>
      </w:pPr>
      <w:bookmarkStart w:id="230" w:name="__RefHeading___Toc15165213_1280447820"/>
      <w:bookmarkStart w:id="231" w:name="_Toc82"/>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 xml:space="preserve">خبر متواتر در اصطلاح اهل حدیث، روایتی است که سلسله راویان آن تا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طبقه به تعدادی باشد که امکان توافق عمدی آن ها بر نسبت دادن دروغ به معصوم به طور عادی محال باشد و خبر آن‌ها موجب علم و یقین به مضمون حدیث گردد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به عبارت دیگر خبر متواتر، خبر جماعتی است که کثرت و فراوانی آنها، سبب می شود احتمال توافق عمدی آنها منتفی شود و بدین جهت موجب اطمینان به صادر شدن حدیث از شخص معصوم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متواتر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لفظی و متواتر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خبر متواتر را به دو نوع تواتر تفصیلی و تواتر اجمالی 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شکل گیری تواتر شروطی مطرح شده که در صورت شکل گیری این شروط، تواتر معنا خواهد یافت</w:t>
      </w:r>
      <w:r>
        <w:rPr>
          <w:rFonts w:eastAsia="IRNazanin" w:cs="IRNazanin"/>
          <w:color w:val="111111"/>
          <w:sz w:val="28"/>
          <w:szCs w:val="28"/>
          <w:rtl w:val="true"/>
          <w:lang w:bidi="fa-IR"/>
        </w:rPr>
        <w:t>.</w:t>
      </w:r>
    </w:p>
    <w:p>
      <w:pPr>
        <w:pStyle w:val="Heading6"/>
        <w:numPr>
          <w:ilvl w:val="5"/>
          <w:numId w:val="1"/>
        </w:numPr>
        <w:rPr/>
      </w:pPr>
      <w:bookmarkStart w:id="232" w:name="__RefHeading___Toc15165215_1280447820"/>
      <w:bookmarkStart w:id="233" w:name="_Toc83"/>
      <w:bookmarkEnd w:id="232"/>
      <w:r>
        <w:rPr>
          <w:rtl w:val="true"/>
        </w:rPr>
        <w:t>شروط ناقلان</w:t>
      </w:r>
      <w:bookmarkEnd w:id="2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راویان در هر طبقه به میزانی باشد که توافق عمدی آنها بر کذب، 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متواتر، عدد خاصی را نمی توان معیّن کرد؛ زیرا اعتقاد بر درستی و عدم توافق بر کذب نزد افراد، نسبی است و کمترین مرز آن، اطمینان بر عدم توافق بر کذب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خبری که نقل می‌کنند، اطمینان داشته باشند نه اینکه از روی شک آن را خبر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نقل می کنند را خودشان دیده یا شنیده باشند نه اینکه با حدس و استدلال به آن نتیجه رسیده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تواتر در همه طبقات راویان حدیث حاصل باشد، لذا اگر </w:t>
      </w:r>
      <w:bookmarkStart w:id="234" w:name="pg19111_195020"/>
    </w:p>
    <w:p>
      <w:pPr>
        <w:pStyle w:val="BookText"/>
        <w:rPr/>
      </w:pPr>
      <w:bookmarkEnd w:id="234"/>
      <w:r>
        <w:rPr>
          <w:rFonts w:ascii="IRNazanin" w:hAnsi="IRNazanin" w:eastAsia="IRNazanin"/>
          <w:color w:val="111111"/>
          <w:sz w:val="28"/>
          <w:sz w:val="28"/>
          <w:szCs w:val="28"/>
          <w:rtl w:val="true"/>
          <w:lang w:bidi="fa-IR"/>
        </w:rPr>
        <w:t>شرایط تا طبقه خاصی حاصل شد، تواتر هم تا همان طبقه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اعتبار حدیث متواتر شرایط دیگری مانند عدالت، اسلام و یا تشیع راویان و یا وجود امام معصوم علیه‌السلام در بین راویان، شرط نیست و نیازی به بررسی سندی نیز نخواهد بود</w:t>
      </w:r>
      <w:r>
        <w:rPr>
          <w:rFonts w:eastAsia="IRNazanin" w:cs="IRNazanin"/>
          <w:color w:val="111111"/>
          <w:sz w:val="28"/>
          <w:szCs w:val="28"/>
          <w:rtl w:val="true"/>
          <w:lang w:bidi="fa-IR"/>
        </w:rPr>
        <w:t>.</w:t>
      </w:r>
      <w:r>
        <w:rPr>
          <w:rStyle w:val="FootnoteAnchor"/>
          <w:rtl w:val="true"/>
        </w:rPr>
        <w:footnoteReference w:id="198"/>
      </w:r>
    </w:p>
    <w:p>
      <w:pPr>
        <w:pStyle w:val="Heading6"/>
        <w:numPr>
          <w:ilvl w:val="5"/>
          <w:numId w:val="1"/>
        </w:numPr>
        <w:rPr/>
      </w:pPr>
      <w:bookmarkStart w:id="235" w:name="__RefHeading___Toc15165217_1280447820"/>
      <w:bookmarkStart w:id="236" w:name="_Toc84"/>
      <w:bookmarkEnd w:id="235"/>
      <w:r>
        <w:rPr>
          <w:rtl w:val="true"/>
        </w:rPr>
        <w:t>متواتر لفظی و معنوی</w:t>
      </w:r>
      <w:bookmarkEnd w:id="236"/>
    </w:p>
    <w:p>
      <w:pPr>
        <w:pStyle w:val="BookText"/>
        <w:rPr/>
      </w:pPr>
      <w:r>
        <w:rPr>
          <w:rFonts w:ascii="IRNazanin" w:hAnsi="IRNazanin" w:eastAsia="IRNazanin"/>
          <w:color w:val="111111"/>
          <w:sz w:val="28"/>
          <w:sz w:val="28"/>
          <w:szCs w:val="28"/>
          <w:rtl w:val="true"/>
          <w:lang w:bidi="fa-IR"/>
        </w:rPr>
        <w:t>متواتر لفظی، خبری است که همه راویان، در همه طبقات، مضمون آن روایت و خبر را یکسان و با کلمات واحد بیان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اذا اتّحد الفاظ المخبرین فی خبرهم</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اما متواتر معنوی، خبری است که همه ناقلان و راویان در تمامی طبقات، مضمون واحدی را با عبارات متفاوت،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تطابق در معنا یا به دلالت تضمّنی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خواندن سوره بعد از حمد در نماز در شرایط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خواندن اصل سوره در همه روایات یکسان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دلالت التزامی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شجاعت امیر المومنین علیه‌السلام که بر اساس روایات متعدّد و در حوادث گوناگون گزارش شده که از مجموع آن‌ها، شجاعت آن حضرت، به تواتر ثابت می‌شود</w:t>
      </w:r>
      <w:r>
        <w:rPr>
          <w:rFonts w:eastAsia="IRNazanin" w:cs="IRNazanin"/>
          <w:color w:val="111111"/>
          <w:sz w:val="28"/>
          <w:szCs w:val="28"/>
          <w:rtl w:val="true"/>
          <w:lang w:bidi="fa-IR"/>
        </w:rPr>
        <w:t>.</w:t>
      </w:r>
      <w:r>
        <w:rPr>
          <w:rStyle w:val="FootnoteAnchor"/>
          <w:rtl w:val="true"/>
        </w:rPr>
        <w:footnoteReference w:id="200"/>
      </w:r>
    </w:p>
    <w:p>
      <w:pPr>
        <w:pStyle w:val="Heading6"/>
        <w:numPr>
          <w:ilvl w:val="5"/>
          <w:numId w:val="1"/>
        </w:numPr>
        <w:rPr/>
      </w:pPr>
      <w:bookmarkStart w:id="237" w:name="__RefHeading___Toc15165219_1280447820"/>
      <w:bookmarkStart w:id="238" w:name="_Toc85"/>
      <w:bookmarkEnd w:id="237"/>
      <w:r>
        <w:rPr>
          <w:rtl w:val="true"/>
        </w:rPr>
        <w:t>متواتر تفصیلی و متواتر اجمالی</w:t>
      </w:r>
      <w:bookmarkEnd w:id="23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دسته بندی دیگر، خبر متواتر به دو قسم تواتر تفصیلی و اجمالی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تفصیلی، همان دو قسمی است که در تواتر لفظی و معنوی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منابع متأخر اصول فقه امامیه، یک قسم دیگر از تواتر به نام متواتر اجمالی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مبتکر این اصطلاح، فقیه و اصولی نامور شیعه، آخوند ملا محمد کاظم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39" w:name="pg19111_195023"/>
    </w:p>
    <w:p>
      <w:pPr>
        <w:pStyle w:val="BookText"/>
        <w:rPr/>
      </w:pPr>
      <w:bookmarkEnd w:id="239"/>
      <w:r>
        <w:rPr>
          <w:rFonts w:ascii="IRNazanin" w:hAnsi="IRNazanin" w:eastAsia="IRNazanin"/>
          <w:color w:val="111111"/>
          <w:sz w:val="28"/>
          <w:sz w:val="28"/>
          <w:szCs w:val="28"/>
          <w:rtl w:val="true"/>
          <w:lang w:bidi="fa-IR"/>
        </w:rPr>
        <w:t>است که در کفایه الاصول نیز از این اصطلاح استفاده کرده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مراد از این تعبیر آن است که گاه مجموعه ای از اخبار آحاد روایت می شود که با در نظر گرفتن شرایط مختلف، علم اجمالی ایجاد می‌کند که به طور عادی همه آنها نباید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قطعاً برخی از این اخبار به همان صورت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کفایه الاصول از این اصطلاح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تواتر اجمالی آن است که در میان روایات متعددی که به حد تواتر می‌رسند و درباره موضوعات متفاوتی سخن می گویند، بتوان قدر مشترکی پیدا کرد که در همه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مشترک در روایاتی که محتوای متفاوتی دارند، تواتر اجمالی نامیده می‌شود</w:t>
      </w:r>
      <w:r>
        <w:rPr>
          <w:rFonts w:eastAsia="IRNazanin" w:cs="IRNazanin"/>
          <w:color w:val="111111"/>
          <w:sz w:val="28"/>
          <w:szCs w:val="28"/>
          <w:rtl w:val="true"/>
          <w:lang w:bidi="fa-IR"/>
        </w:rPr>
        <w:t>.</w:t>
      </w:r>
      <w:r>
        <w:rPr>
          <w:rStyle w:val="FootnoteAnchor"/>
          <w:rtl w:val="true"/>
        </w:rPr>
        <w:footnoteReference w:id="202"/>
      </w:r>
    </w:p>
    <w:p>
      <w:pPr>
        <w:pStyle w:val="Heading5"/>
        <w:numPr>
          <w:ilvl w:val="4"/>
          <w:numId w:val="1"/>
        </w:numPr>
        <w:rPr/>
      </w:pPr>
      <w:bookmarkStart w:id="240" w:name="__RefHeading___Toc15165221_1280447820"/>
      <w:bookmarkStart w:id="241" w:name="_Toc86"/>
      <w:bookmarkEnd w:id="240"/>
      <w:r>
        <w:rPr>
          <w:rtl w:val="true"/>
        </w:rPr>
        <w:t xml:space="preserve">ب </w:t>
      </w:r>
      <w:r>
        <w:rPr>
          <w:rtl w:val="true"/>
        </w:rPr>
        <w:t xml:space="preserve">- </w:t>
      </w:r>
      <w:r>
        <w:rPr>
          <w:rtl w:val="true"/>
        </w:rPr>
        <w:t>بررسی بحث تواتر در موضوع کودکان و مسجد</w:t>
      </w:r>
      <w:bookmarkEnd w:id="241"/>
    </w:p>
    <w:p>
      <w:pPr>
        <w:pStyle w:val="Heading6"/>
        <w:numPr>
          <w:ilvl w:val="5"/>
          <w:numId w:val="1"/>
        </w:numPr>
        <w:rPr/>
      </w:pPr>
      <w:bookmarkStart w:id="242" w:name="__RefHeading___Toc15165223_1280447820"/>
      <w:bookmarkStart w:id="243" w:name="_Toc87"/>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حال با توجه به تعاریف تواتر و شرایط بیان شده پیرامون آن، باید دید که آیا تکثّر و تعدّد موجود در روایات سیره، به حدّ تواتر می رسد و آیا شرایط مطرح شده در تواتر، در این روایات نیز موجود است؟ همچنین بر فرض وجود تواتر، باید دید که کدام نوع از اقسام تواتر در اینجا صدق می کند؟</w:t>
      </w:r>
    </w:p>
    <w:p>
      <w:pPr>
        <w:pStyle w:val="BookText"/>
        <w:rPr/>
      </w:pPr>
      <w:r>
        <w:rPr>
          <w:rFonts w:ascii="IRNazanin" w:hAnsi="IRNazanin" w:eastAsia="IRNazanin"/>
          <w:color w:val="111111"/>
          <w:sz w:val="28"/>
          <w:sz w:val="28"/>
          <w:szCs w:val="28"/>
          <w:rtl w:val="true"/>
          <w:lang w:bidi="fa-IR"/>
        </w:rPr>
        <w:t>ثمره بحث هنگامی روشن خواهد شد که در صورت اثبات تواتر، پذیرش محتوا قطعی می شود و دیگر نیازی به بررسی سندی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گزارشاتی که در این باره از اهل تسنن به دست ما رسیده هم کارائی خود را خواهند داشت و در مقام عمل، جزئی از محتوای قابل پذیرش، خواهند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صورت عدم برپایی تواتر باید به شرایط مطرح شده در خبر واحد پایبند بود و پس از گذشتن از آن شرایط، روایات را مورد پذیرش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اهل تسنن و دیگر روایات ضعیف السند بیشتر جنبه شاهد و موید خواهند داشت و تمسک به آنها دشوار خواهد بود</w:t>
      </w:r>
      <w:r>
        <w:rPr>
          <w:rFonts w:eastAsia="IRNazanin" w:cs="IRNazanin"/>
          <w:color w:val="111111"/>
          <w:sz w:val="28"/>
          <w:szCs w:val="28"/>
          <w:rtl w:val="true"/>
          <w:lang w:bidi="fa-IR"/>
        </w:rPr>
        <w:t xml:space="preserve">. </w:t>
      </w:r>
      <w:bookmarkStart w:id="244" w:name="pg19111_195025"/>
    </w:p>
    <w:p>
      <w:pPr>
        <w:pStyle w:val="BookText"/>
        <w:rPr/>
      </w:pPr>
      <w:bookmarkEnd w:id="244"/>
      <w:r>
        <w:rPr>
          <w:rFonts w:ascii="IRNazanin" w:hAnsi="IRNazanin" w:eastAsia="IRNazanin"/>
          <w:color w:val="111111"/>
          <w:sz w:val="28"/>
          <w:sz w:val="28"/>
          <w:szCs w:val="28"/>
          <w:rtl w:val="true"/>
          <w:lang w:bidi="fa-IR"/>
        </w:rPr>
        <w:t>نکته قابل توجه دیگر پیرامون خبر متواتر این است که به دلیل علم آور بودن این دلیل، می توان چنین نتیجه گرفت که اگر خبر دیگری با چنین خبری در تعارض باشد، قطعا خبر متعارض کنار نهاده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محتوایی نمی تواند در برابر قطع، عرض اندام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تعاریف گفته شده می توان ادعا کرد که برخی از این گزارشات، دارای تواتر معنوی و برخی دارای تواتر اجمالی هستند</w:t>
      </w:r>
      <w:r>
        <w:rPr>
          <w:rFonts w:eastAsia="IRNazanin" w:cs="IRNazanin"/>
          <w:color w:val="111111"/>
          <w:sz w:val="28"/>
          <w:szCs w:val="28"/>
          <w:rtl w:val="true"/>
          <w:lang w:bidi="fa-IR"/>
        </w:rPr>
        <w:t>.</w:t>
      </w:r>
    </w:p>
    <w:p>
      <w:pPr>
        <w:pStyle w:val="Heading6"/>
        <w:numPr>
          <w:ilvl w:val="5"/>
          <w:numId w:val="1"/>
        </w:numPr>
        <w:rPr/>
      </w:pPr>
      <w:bookmarkStart w:id="245" w:name="__RefHeading___Toc15165225_1280447820"/>
      <w:bookmarkStart w:id="246" w:name="_Toc88"/>
      <w:bookmarkEnd w:id="245"/>
      <w:r>
        <w:rPr>
          <w:rtl w:val="true"/>
        </w:rPr>
        <w:t>تواتر معنوی و تواتر اجمالی در سیره پیامبر صلی الله علیه و آله وسلم با کودکان در مسجد</w:t>
      </w:r>
      <w:bookmarkEnd w:id="246"/>
    </w:p>
    <w:p>
      <w:pPr>
        <w:pStyle w:val="BookText"/>
        <w:rPr/>
      </w:pPr>
      <w:r>
        <w:rPr>
          <w:rFonts w:ascii="IRNazanin" w:hAnsi="IRNazanin" w:eastAsia="IRNazanin"/>
          <w:color w:val="111111"/>
          <w:sz w:val="28"/>
          <w:sz w:val="28"/>
          <w:szCs w:val="28"/>
          <w:rtl w:val="true"/>
          <w:lang w:bidi="fa-IR"/>
        </w:rPr>
        <w:t xml:space="preserve">در مورد اصل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حسنین علیهما السلام به مسجد توسط پیامبر صلی الله علیه و اله آن هم در سنین مختلف این دو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معنوی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روایات مختلف از راویان گوناگون و با اسناد متفاوت از منابع شیعه و سنی وجود دارد که حاکی از اصل انجام این ماجرا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تواتر معنوی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مدارای شدید با حسنین در حین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اصل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کودکان به مسجد در دوران پیامبر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 ادعای تواتر اجمالی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این گزارشات نیز اگرچه در موضوعات مختلف قرار دارند اما قدر جامع همه آنها اجازه ورود به مسجد در آن دوران و سکوت پیامبر صلی الله علیه و اله در برابر حرکات آنان است</w:t>
      </w:r>
      <w:r>
        <w:rPr>
          <w:rFonts w:eastAsia="IRNazanin" w:cs="IRNazanin"/>
          <w:color w:val="111111"/>
          <w:sz w:val="28"/>
          <w:szCs w:val="28"/>
          <w:rtl w:val="true"/>
          <w:lang w:bidi="fa-IR"/>
        </w:rPr>
        <w:t>.</w:t>
      </w:r>
    </w:p>
    <w:p>
      <w:pPr>
        <w:pStyle w:val="Heading6"/>
        <w:numPr>
          <w:ilvl w:val="5"/>
          <w:numId w:val="1"/>
        </w:numPr>
        <w:rPr/>
      </w:pPr>
      <w:bookmarkStart w:id="247" w:name="__RefHeading___Toc15165227_1280447820"/>
      <w:bookmarkStart w:id="248" w:name="_Toc89"/>
      <w:bookmarkEnd w:id="247"/>
      <w:r>
        <w:rPr>
          <w:rtl w:val="true"/>
        </w:rPr>
        <w:t>نتیجه بر آمده از تواتر معنوی و اجمالی</w:t>
      </w:r>
      <w:bookmarkEnd w:id="248"/>
    </w:p>
    <w:p>
      <w:pPr>
        <w:pStyle w:val="BookText"/>
        <w:rPr/>
      </w:pPr>
      <w:r>
        <w:rPr>
          <w:rFonts w:ascii="IRNazanin" w:hAnsi="IRNazanin" w:eastAsia="IRNazanin"/>
          <w:color w:val="111111"/>
          <w:sz w:val="28"/>
          <w:sz w:val="28"/>
          <w:szCs w:val="28"/>
          <w:rtl w:val="true"/>
          <w:lang w:bidi="fa-IR"/>
        </w:rPr>
        <w:t>بنا بر نتیجه برآمده از تواتر معنوی و تواتر اجمالی و با توجه به توجیهی که پیرامون عدم خصوصیت وجود نازنین حسنین در در حکم آوردن کودکان به مسجد انجام گرفت، می توان به نتایج قطعی زیر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پیامبر صلی الله علیه و اله هیچ منعی نسبت به آوردن کودکان به مسجد و ورود آنها به این مکان مقدس، وجود ندارد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خودش برخی از کودکان را با خود به مسجد می برده است</w:t>
      </w:r>
      <w:r>
        <w:rPr>
          <w:rFonts w:eastAsia="IRNazanin" w:cs="IRNazanin"/>
          <w:color w:val="111111"/>
          <w:sz w:val="28"/>
          <w:szCs w:val="28"/>
          <w:rtl w:val="true"/>
          <w:lang w:bidi="fa-IR"/>
        </w:rPr>
        <w:t xml:space="preserve">. </w:t>
      </w:r>
      <w:bookmarkStart w:id="249" w:name="pg19111_195027"/>
    </w:p>
    <w:p>
      <w:pPr>
        <w:pStyle w:val="BookText"/>
        <w:rPr/>
      </w:pPr>
      <w:bookmarkEnd w:id="24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افزون بر بردن کودکان به مسجد در برابر بازیگوشی آنها برخوردی مداراگونه داشته و هیچ گاه کودکی را به جهت بازیگوشی از مسجد اخراج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بر اساس سیره پیامبر صلی الله علیه و اله و امضای آن حضرت، هیچ مانعی برای بردن هیچ گروهی از کودکان به مسجد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بردن برخی از کودکان به مسجد مطلوب و دارای رجحان است</w:t>
      </w:r>
      <w:r>
        <w:rPr>
          <w:rFonts w:eastAsia="IRNazanin" w:cs="IRNazanin"/>
          <w:color w:val="111111"/>
          <w:sz w:val="28"/>
          <w:szCs w:val="28"/>
          <w:rtl w:val="true"/>
          <w:lang w:bidi="fa-IR"/>
        </w:rPr>
        <w:t>.</w:t>
      </w:r>
    </w:p>
    <w:p>
      <w:pPr>
        <w:pStyle w:val="Heading4"/>
        <w:numPr>
          <w:ilvl w:val="3"/>
          <w:numId w:val="1"/>
        </w:numPr>
        <w:rPr/>
      </w:pPr>
      <w:bookmarkStart w:id="250" w:name="__RefHeading___Toc15165229_1280447820"/>
      <w:bookmarkStart w:id="251" w:name="_Toc90"/>
      <w:bookmarkEnd w:id="250"/>
      <w:r>
        <w:rPr>
          <w:rtl w:val="true"/>
        </w:rPr>
        <w:t>گفتار سوم</w:t>
      </w:r>
      <w:r>
        <w:rPr>
          <w:rtl w:val="true"/>
        </w:rPr>
        <w:t xml:space="preserve">: </w:t>
      </w:r>
      <w:r>
        <w:rPr>
          <w:rtl w:val="true"/>
        </w:rPr>
        <w:t>دلالت این دسته از روایات</w:t>
      </w:r>
      <w:bookmarkEnd w:id="2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حوادث در حالی انجام گرفته که قطعا سن آن دو بزرگوار در آن دوران کمتر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این است که این عمل بارها توسط پیامبر صلی الله علیه و اله تکرار شده و از سیره مداوم آن بزرگوار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این مطلب به گونه های مختلف و در حالات متفاوت در کتب مختلف شیعه و سنی مطرح شده که نشان دهنده تکرار و فراوانی قابل ملاحظه چنین عملی در سیره پیامبر خدا صلی الله علیه و 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این روایات بر می آید که این فراوانی و تکرار در سنین مختلف کودکان بوده و مخصوص سن و سال خاصی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برخی از این روایات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برخی دیگر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از الفاظ دیگری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نحوه بازیگوشی کودکان نیز در گزارشات مختلف با یکدیگر متفاوت است که هر یک نشان دهنده سن خاصی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 از این جریانات را می توان در سه گام کلی ترسیم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گام اول باید گفت که این گزارشات حاکی از آن است که امام حسن علیه السلام و امام حسین علیه السلام که قطعا سنشان در این دوران افزون بر هشت سال نبوده است، حضوری مستمر و مداوم در مسجد پیامبر صلی الله علیه و اله داشته اند و آن </w:t>
      </w:r>
      <w:bookmarkStart w:id="252" w:name="pg19111_195029"/>
    </w:p>
    <w:p>
      <w:pPr>
        <w:pStyle w:val="BookText"/>
        <w:rPr/>
      </w:pPr>
      <w:bookmarkEnd w:id="252"/>
      <w:r>
        <w:rPr>
          <w:rFonts w:ascii="IRNazanin" w:hAnsi="IRNazanin" w:eastAsia="IRNazanin"/>
          <w:color w:val="111111"/>
          <w:sz w:val="28"/>
          <w:sz w:val="28"/>
          <w:szCs w:val="28"/>
          <w:rtl w:val="true"/>
          <w:lang w:bidi="fa-IR"/>
        </w:rPr>
        <w:t>حضرت در هیچ شرایطی بر آنها خرده نگرفته و آنها را از مسجد خارج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دوم نیز باید گفت حتی برخی از این گزارشات نشان دهنده آن است که حضرت با اراده خود، کودکانش را به مسجد آورده و رفتاری سرشار از مهر و محبت با آن دو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سوم باید گفت که در برخی دیگر از این روایات، پیامبر صلی الله علیه و اله در مواجهه با رفتار کودکانه و بازیگوشی آنها، برخوردی مداراگونه و حتی کریمانه داشته است</w:t>
      </w:r>
      <w:r>
        <w:rPr>
          <w:rFonts w:eastAsia="IRNazanin" w:cs="IRNazanin"/>
          <w:color w:val="111111"/>
          <w:sz w:val="28"/>
          <w:szCs w:val="28"/>
          <w:rtl w:val="true"/>
          <w:lang w:bidi="fa-IR"/>
        </w:rPr>
        <w:t>.</w:t>
      </w:r>
    </w:p>
    <w:p>
      <w:pPr>
        <w:pStyle w:val="Heading4"/>
        <w:numPr>
          <w:ilvl w:val="3"/>
          <w:numId w:val="1"/>
        </w:numPr>
        <w:rPr/>
      </w:pPr>
      <w:bookmarkStart w:id="253" w:name="__RefHeading___Toc15165231_1280447820"/>
      <w:bookmarkStart w:id="254" w:name="_Toc91"/>
      <w:bookmarkEnd w:id="253"/>
      <w:r>
        <w:rPr>
          <w:rtl w:val="true"/>
        </w:rPr>
        <w:t>گفتار چهارم</w:t>
      </w:r>
      <w:r>
        <w:rPr>
          <w:rtl w:val="true"/>
        </w:rPr>
        <w:t xml:space="preserve">: </w:t>
      </w:r>
      <w:r>
        <w:rPr>
          <w:rtl w:val="true"/>
        </w:rPr>
        <w:t>عمومیت حکم یا اختصاص آن به حسنین علیه السلام</w:t>
      </w:r>
      <w:bookmarkEnd w:id="254"/>
    </w:p>
    <w:p>
      <w:pPr>
        <w:pStyle w:val="Heading5"/>
        <w:numPr>
          <w:ilvl w:val="4"/>
          <w:numId w:val="1"/>
        </w:numPr>
        <w:rPr/>
      </w:pPr>
      <w:bookmarkStart w:id="255" w:name="__RefHeading___Toc15165233_1280447820"/>
      <w:bookmarkStart w:id="256" w:name="_Toc92"/>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یکی از مهمترین سوالات این بخش این است که آیا شخصیت والا مقام حسنین علیهما السلام در آوردن آنها به مسجد موضوعیت داشته است؟ آیا پیامبر صلی الله علیه و آله وسلم تنها به دلیل عظمت آن دو کودک آنها را به مسجد می آورده و آیا این یک حکم اختصاصی در مورد آن دو بزرگوار بوده است؟</w:t>
      </w:r>
    </w:p>
    <w:p>
      <w:pPr>
        <w:pStyle w:val="BookText"/>
        <w:rPr/>
      </w:pPr>
      <w:r>
        <w:rPr>
          <w:rFonts w:ascii="IRNazanin" w:hAnsi="IRNazanin" w:eastAsia="IRNazanin"/>
          <w:color w:val="111111"/>
          <w:sz w:val="28"/>
          <w:sz w:val="28"/>
          <w:szCs w:val="28"/>
          <w:rtl w:val="true"/>
          <w:lang w:bidi="fa-IR"/>
        </w:rPr>
        <w:t>به بیان دیگر آیا حکم اصلی برای آوردن کودکان به مسجد، کراهت بوده و پیامبر صلی الله علیه و اله تنها حسنین را از این قاعده مستثنی کرده است؟</w:t>
      </w:r>
    </w:p>
    <w:p>
      <w:pPr>
        <w:pStyle w:val="BookText"/>
        <w:rPr/>
      </w:pPr>
      <w:r>
        <w:rPr>
          <w:rFonts w:ascii="IRNazanin" w:hAnsi="IRNazanin" w:eastAsia="IRNazanin"/>
          <w:color w:val="111111"/>
          <w:sz w:val="28"/>
          <w:sz w:val="28"/>
          <w:szCs w:val="28"/>
          <w:rtl w:val="true"/>
          <w:lang w:bidi="fa-IR"/>
        </w:rPr>
        <w:t>در پاسخ باید گفت که دلائل، قرائن و شواهدی وجود دارد که گویای عمومی بودن این حکم و عدم اختصاص آن به حسنین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دلایل و یا شواهد و قرائن عبارتند از</w:t>
      </w:r>
      <w:r>
        <w:rPr>
          <w:rFonts w:eastAsia="IRNazanin" w:cs="IRNazanin"/>
          <w:color w:val="111111"/>
          <w:sz w:val="28"/>
          <w:szCs w:val="28"/>
          <w:rtl w:val="true"/>
          <w:lang w:bidi="fa-IR"/>
        </w:rPr>
        <w:t>:</w:t>
      </w:r>
    </w:p>
    <w:p>
      <w:pPr>
        <w:pStyle w:val="Heading5"/>
        <w:numPr>
          <w:ilvl w:val="4"/>
          <w:numId w:val="1"/>
        </w:numPr>
        <w:rPr/>
      </w:pPr>
      <w:bookmarkStart w:id="257" w:name="__RefHeading___Toc15165235_1280447820"/>
      <w:bookmarkStart w:id="258" w:name="_Toc93"/>
      <w:bookmarkEnd w:id="257"/>
      <w:r>
        <w:rPr>
          <w:rtl w:val="true"/>
        </w:rPr>
        <w:t xml:space="preserve">الف </w:t>
      </w:r>
      <w:r>
        <w:rPr>
          <w:rtl w:val="true"/>
        </w:rPr>
        <w:t xml:space="preserve">) </w:t>
      </w:r>
      <w:r>
        <w:rPr>
          <w:rtl w:val="true"/>
        </w:rPr>
        <w:t>وجود نداشتن دلیل قاطع برای اختصاص حکم به حسنین علیهما السلام</w:t>
      </w:r>
      <w:bookmarkEnd w:id="258"/>
    </w:p>
    <w:p>
      <w:pPr>
        <w:pStyle w:val="BookText"/>
        <w:rPr/>
      </w:pPr>
      <w:r>
        <w:rPr>
          <w:rFonts w:ascii="IRNazanin" w:hAnsi="IRNazanin" w:eastAsia="IRNazanin"/>
          <w:color w:val="111111"/>
          <w:sz w:val="28"/>
          <w:sz w:val="28"/>
          <w:szCs w:val="28"/>
          <w:rtl w:val="true"/>
          <w:lang w:bidi="fa-IR"/>
        </w:rPr>
        <w:t>اصل اولی آن است که پیامبر صلی الله علیه و اله در تمامی احکام با دیگر مردم همانند 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دلیلی خاص و قطعی ثابت کند که پیامبر صلی الله علیه و اله در مساله ای خاص حکمی اختصاصی داشته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بردن کودکان به مسجد نه تنها دلیلی برای اختصاص حکم به حسنین وجود ندارد بلکه شواهد و دلایلی نظیر بردن دیگر کودکان به مسجد، برای عدم </w:t>
      </w:r>
      <w:bookmarkStart w:id="259" w:name="pg19111_195031"/>
    </w:p>
    <w:p>
      <w:pPr>
        <w:pStyle w:val="BookText"/>
        <w:rPr/>
      </w:pPr>
      <w:bookmarkEnd w:id="259"/>
      <w:r>
        <w:rPr>
          <w:rFonts w:ascii="IRNazanin" w:hAnsi="IRNazanin" w:eastAsia="IRNazanin"/>
          <w:color w:val="111111"/>
          <w:sz w:val="28"/>
          <w:sz w:val="28"/>
          <w:szCs w:val="28"/>
          <w:rtl w:val="true"/>
          <w:lang w:bidi="fa-IR"/>
        </w:rPr>
        <w:t>اختصاص موجود دارد</w:t>
      </w:r>
      <w:r>
        <w:rPr>
          <w:rFonts w:eastAsia="IRNazanin" w:cs="IRNazanin"/>
          <w:color w:val="111111"/>
          <w:sz w:val="28"/>
          <w:szCs w:val="28"/>
          <w:rtl w:val="true"/>
          <w:lang w:bidi="fa-IR"/>
        </w:rPr>
        <w:t>.</w:t>
      </w:r>
    </w:p>
    <w:p>
      <w:pPr>
        <w:pStyle w:val="Heading5"/>
        <w:numPr>
          <w:ilvl w:val="4"/>
          <w:numId w:val="1"/>
        </w:numPr>
        <w:rPr/>
      </w:pPr>
      <w:bookmarkStart w:id="260" w:name="__RefHeading___Toc15165237_1280447820"/>
      <w:bookmarkStart w:id="261" w:name="_Toc94"/>
      <w:bookmarkEnd w:id="260"/>
      <w:r>
        <w:rPr>
          <w:rtl w:val="true"/>
        </w:rPr>
        <w:t>ب</w:t>
      </w:r>
      <w:r>
        <w:rPr>
          <w:rtl w:val="true"/>
        </w:rPr>
        <w:t xml:space="preserve">) </w:t>
      </w:r>
      <w:r>
        <w:rPr>
          <w:rtl w:val="true"/>
        </w:rPr>
        <w:t>اصل یکسان بودن احکام برای اولیای خدا و دیگران</w:t>
      </w:r>
      <w:bookmarkEnd w:id="261"/>
    </w:p>
    <w:p>
      <w:pPr>
        <w:pStyle w:val="BookText"/>
        <w:rPr/>
      </w:pPr>
      <w:r>
        <w:rPr>
          <w:rFonts w:ascii="IRNazanin" w:hAnsi="IRNazanin" w:eastAsia="IRNazanin"/>
          <w:color w:val="111111"/>
          <w:sz w:val="28"/>
          <w:sz w:val="28"/>
          <w:szCs w:val="28"/>
          <w:rtl w:val="true"/>
          <w:lang w:bidi="fa-IR"/>
        </w:rPr>
        <w:t>پیامبر صلی الله علیه و اله هیچ گاه خود را تافته جدا بافته ندانسته و در عمل به احکام الهی پیشتاز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با دلیلی قطعی مشخص شود که در مساله ای خاص، حکمی اختصاصی برای پیامبر صلی الله علیه و اله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احوال نمی توان پذیرفت که پیامبری که خود کودکان مکرمی همچون حسن علیه السلام و حسین علیه السلام را به مسجد می برد، از آوردن کودکان دیگران به مسجد نهی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نیز که پذیرش ولایتشان بر ما واجب است، همیشه خود را بر عمل به احکام الهی ملزم می دانسته اند و هیچ گاه خود را تخصصا یا تخصیصا از احکام الهی خارج نکرده اند</w:t>
      </w:r>
      <w:r>
        <w:rPr>
          <w:rFonts w:eastAsia="IRNazanin" w:cs="IRNazanin"/>
          <w:color w:val="111111"/>
          <w:sz w:val="28"/>
          <w:szCs w:val="28"/>
          <w:rtl w:val="true"/>
          <w:lang w:bidi="fa-IR"/>
        </w:rPr>
        <w:t>.</w:t>
      </w:r>
    </w:p>
    <w:p>
      <w:pPr>
        <w:pStyle w:val="Heading5"/>
        <w:numPr>
          <w:ilvl w:val="4"/>
          <w:numId w:val="1"/>
        </w:numPr>
        <w:rPr/>
      </w:pPr>
      <w:bookmarkStart w:id="262" w:name="__RefHeading___Toc15165239_1280447820"/>
      <w:bookmarkStart w:id="263" w:name="_Toc95"/>
      <w:bookmarkEnd w:id="262"/>
      <w:r>
        <w:rPr>
          <w:rtl w:val="true"/>
        </w:rPr>
        <w:t xml:space="preserve">ج </w:t>
      </w:r>
      <w:r>
        <w:rPr>
          <w:rtl w:val="true"/>
        </w:rPr>
        <w:t xml:space="preserve">) </w:t>
      </w:r>
      <w:r>
        <w:rPr>
          <w:rtl w:val="true"/>
        </w:rPr>
        <w:t>بردن دیگر کودکان به مسجد</w:t>
      </w:r>
      <w:bookmarkEnd w:id="263"/>
    </w:p>
    <w:p>
      <w:pPr>
        <w:pStyle w:val="BookText"/>
        <w:rPr/>
      </w:pPr>
      <w:r>
        <w:rPr>
          <w:rFonts w:ascii="IRNazanin" w:hAnsi="IRNazanin" w:eastAsia="IRNazanin"/>
          <w:color w:val="111111"/>
          <w:sz w:val="28"/>
          <w:sz w:val="28"/>
          <w:szCs w:val="28"/>
          <w:rtl w:val="true"/>
          <w:lang w:bidi="fa-IR"/>
        </w:rPr>
        <w:t xml:space="preserve">برخی از گزارشات تاریخی نظیر جریان امامه که دیگر نوه دختری پیامبر صلی الله علیه و اله است و همچنین جریان بردن عبد الله بن جعفر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فصل بعد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پیامبر صلی الله علیه و اله کودکان دیگر را هم به مسجد می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یک پاسخ نقضی به این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حکم آوردن کودکان به مسجد اختصاص به حسنین داشت، پیامبر صلی الله علیه و اله نباید دیگر کودکان را به مسجد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گزارشات مختلف حاکی از آن است که پیامبر صلی الله علیه و اله دیگر نوادگان خود و حتی دیگر کودکان را به مسجد می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حضرت به هیچ وجه از بردن کودکان به مسجد، باکی نداشته و در صورت امکان این کار را انجام می داده است</w:t>
      </w:r>
      <w:r>
        <w:rPr>
          <w:rFonts w:eastAsia="IRNazanin" w:cs="IRNazanin"/>
          <w:color w:val="111111"/>
          <w:sz w:val="28"/>
          <w:szCs w:val="28"/>
          <w:rtl w:val="true"/>
          <w:lang w:bidi="fa-IR"/>
        </w:rPr>
        <w:t>.</w:t>
      </w:r>
    </w:p>
    <w:p>
      <w:pPr>
        <w:pStyle w:val="Heading5"/>
        <w:numPr>
          <w:ilvl w:val="4"/>
          <w:numId w:val="1"/>
        </w:numPr>
        <w:rPr/>
      </w:pPr>
      <w:bookmarkStart w:id="264" w:name="__RefHeading___Toc15165241_1280447820"/>
      <w:bookmarkStart w:id="265" w:name="_Toc96"/>
      <w:bookmarkEnd w:id="264"/>
      <w:r>
        <w:rPr>
          <w:rtl w:val="true"/>
        </w:rPr>
        <w:t>د</w:t>
      </w:r>
      <w:r>
        <w:rPr>
          <w:rtl w:val="true"/>
        </w:rPr>
        <w:t xml:space="preserve">) </w:t>
      </w:r>
      <w:r>
        <w:rPr>
          <w:rtl w:val="true"/>
        </w:rPr>
        <w:t>برداشت دو حکم مجزا از این روایات</w:t>
      </w:r>
      <w:bookmarkEnd w:id="265"/>
    </w:p>
    <w:p>
      <w:pPr>
        <w:pStyle w:val="BookText"/>
        <w:rPr/>
      </w:pPr>
      <w:r>
        <w:rPr>
          <w:rFonts w:ascii="IRNazanin" w:hAnsi="IRNazanin" w:eastAsia="IRNazanin"/>
          <w:color w:val="111111"/>
          <w:sz w:val="28"/>
          <w:sz w:val="28"/>
          <w:szCs w:val="28"/>
          <w:rtl w:val="true"/>
          <w:lang w:bidi="fa-IR"/>
        </w:rPr>
        <w:t>اساسی ترین نکته این جریانات همان تکریم حسنین علیه السلام و توجه به مقام شامخ آن دو بزرگوار است که پیامبر صلی الله علیه و اله گاه به صراحت در مورد آن سخن گفته و علت آن را بیان داشته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باید توجه داشت که در این </w:t>
      </w:r>
      <w:bookmarkStart w:id="266" w:name="pg19111_195033"/>
    </w:p>
    <w:p>
      <w:pPr>
        <w:pStyle w:val="BookText"/>
        <w:rPr/>
      </w:pPr>
      <w:bookmarkEnd w:id="266"/>
      <w:r>
        <w:rPr>
          <w:rFonts w:ascii="IRNazanin" w:hAnsi="IRNazanin" w:eastAsia="IRNazanin"/>
          <w:color w:val="111111"/>
          <w:sz w:val="28"/>
          <w:sz w:val="28"/>
          <w:szCs w:val="28"/>
          <w:rtl w:val="true"/>
          <w:lang w:bidi="fa-IR"/>
        </w:rPr>
        <w:t>جریانات دو مساله مجزا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مسائل، تکریم حسنین علیه السلام است که در مسجد انجام گرفته و دیگری آوردن حسنین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شواهد و قرائن موجود در روایت باید دید که کدام یک از این دو حکم، به آن دو بزرگواران اختصاص یافته و آن دو در کدامیک موضوعیت داشته اند؟</w:t>
      </w:r>
    </w:p>
    <w:p>
      <w:pPr>
        <w:pStyle w:val="BookText"/>
        <w:rPr/>
      </w:pPr>
      <w:r>
        <w:rPr>
          <w:rFonts w:ascii="IRNazanin" w:hAnsi="IRNazanin" w:eastAsia="IRNazanin"/>
          <w:color w:val="111111"/>
          <w:sz w:val="28"/>
          <w:sz w:val="28"/>
          <w:szCs w:val="28"/>
          <w:rtl w:val="true"/>
          <w:lang w:bidi="fa-IR"/>
        </w:rPr>
        <w:t>در سخنان و رفتار پیامبر صلی الله علیه و اله شواهد فراوانی وجود دارد که مساله اول یعنی تکریم ویژه پیامبر صلی الله علیه و اله مرتبط با مقام شامخ حسنین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مساله دوم چنین اختصاصی قابل برداشت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مساله بردن حسنین به مسجد، شخصیت و جایگاه آنها موضوعیتی ندارد و حکم آن در مورد آن دو بزرگوار نظیر دیگران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جریانات دو مساله مجزا وجود دارد که یکی مدارای با کودکان در مسجد و دیگری محبت ویژه نسبت به حسنین در نماز و پس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اینجا یک حکم اختصاصی و یک حکم عمومی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اختصاصی حسنین، محبت ویژه به آنها و پرهیز از بی احترامی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حکم اختصاصی نمی تواند دیگر حوادث این داستان را نیز اختصاصی کند</w:t>
      </w:r>
      <w:r>
        <w:rPr>
          <w:rFonts w:eastAsia="IRNazanin" w:cs="IRNazanin"/>
          <w:color w:val="111111"/>
          <w:sz w:val="28"/>
          <w:szCs w:val="28"/>
          <w:rtl w:val="true"/>
          <w:lang w:bidi="fa-IR"/>
        </w:rPr>
        <w:t>.</w:t>
      </w:r>
    </w:p>
    <w:p>
      <w:pPr>
        <w:pStyle w:val="Heading5"/>
        <w:numPr>
          <w:ilvl w:val="4"/>
          <w:numId w:val="1"/>
        </w:numPr>
        <w:rPr/>
      </w:pPr>
      <w:bookmarkStart w:id="267" w:name="__RefHeading___Toc15165243_1280447820"/>
      <w:bookmarkStart w:id="268" w:name="_Toc97"/>
      <w:bookmarkEnd w:id="267"/>
      <w:r>
        <w:rPr>
          <w:rtl w:val="true"/>
        </w:rPr>
        <w:t xml:space="preserve">ه </w:t>
      </w:r>
      <w:r>
        <w:rPr>
          <w:rtl w:val="true"/>
        </w:rPr>
        <w:t xml:space="preserve">) </w:t>
      </w:r>
      <w:r>
        <w:rPr>
          <w:rtl w:val="true"/>
        </w:rPr>
        <w:t>عدم منافات تکریم حسنین با حکم مدارا با کودکان در مسجد</w:t>
      </w:r>
      <w:bookmarkEnd w:id="268"/>
    </w:p>
    <w:p>
      <w:pPr>
        <w:pStyle w:val="BookText"/>
        <w:rPr/>
      </w:pPr>
      <w:r>
        <w:rPr>
          <w:rFonts w:ascii="IRNazanin" w:hAnsi="IRNazanin" w:eastAsia="IRNazanin"/>
          <w:color w:val="111111"/>
          <w:sz w:val="28"/>
          <w:sz w:val="28"/>
          <w:szCs w:val="28"/>
          <w:rtl w:val="true"/>
          <w:lang w:bidi="fa-IR"/>
        </w:rPr>
        <w:t>قطعا تکریم ویژه پیامبر صلی الله علیه و اله در مورد حسنین علیه السلام دلیلی ویژه داشته است که در روایات مختلف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هیچ وجه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اهل تسنن نیز این روایات را گاه در باب فضیلت آن دو بزرگوار آورده و از آن نوعی برتری جایگاه و عظمت منزلت دریافته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این وجود باید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شیء نفی ما عدا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 ویژه حسنین علیهما السلام دلیلی بر اختصاص حکم تکریم به آن دو بزرگوار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گفت که شخصیت والای حسنین بر هیچ کس حتی بزرگان اهل تسنن پوشیده نیست و شکی نیست که </w:t>
      </w:r>
      <w:bookmarkStart w:id="269" w:name="pg19111_195035"/>
    </w:p>
    <w:p>
      <w:pPr>
        <w:pStyle w:val="BookText"/>
        <w:rPr/>
      </w:pPr>
      <w:bookmarkEnd w:id="269"/>
      <w:r>
        <w:rPr>
          <w:rFonts w:ascii="IRNazanin" w:hAnsi="IRNazanin" w:eastAsia="IRNazanin"/>
          <w:color w:val="111111"/>
          <w:sz w:val="28"/>
          <w:sz w:val="28"/>
          <w:szCs w:val="28"/>
          <w:rtl w:val="true"/>
          <w:lang w:bidi="fa-IR"/>
        </w:rPr>
        <w:t>این جریان حاکی از علاقه ویژه پیامبر صلی الله علیه و اله به حسنین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نکته نمی تواند ما را از دیدن دیگر نکات این روایت باز دارد</w:t>
      </w:r>
      <w:r>
        <w:rPr>
          <w:rFonts w:eastAsia="IRNazanin" w:cs="IRNazanin"/>
          <w:color w:val="111111"/>
          <w:sz w:val="28"/>
          <w:szCs w:val="28"/>
          <w:rtl w:val="true"/>
          <w:lang w:bidi="fa-IR"/>
        </w:rPr>
        <w:t>.</w:t>
      </w:r>
    </w:p>
    <w:p>
      <w:pPr>
        <w:pStyle w:val="Heading5"/>
        <w:numPr>
          <w:ilvl w:val="4"/>
          <w:numId w:val="1"/>
        </w:numPr>
        <w:rPr/>
      </w:pPr>
      <w:bookmarkStart w:id="270" w:name="__RefHeading___Toc15165245_1280447820"/>
      <w:bookmarkStart w:id="271" w:name="_Toc98"/>
      <w:bookmarkEnd w:id="270"/>
      <w:r>
        <w:rPr>
          <w:rtl w:val="true"/>
        </w:rPr>
        <w:t>ز</w:t>
      </w:r>
      <w:r>
        <w:rPr>
          <w:rtl w:val="true"/>
        </w:rPr>
        <w:t xml:space="preserve">) </w:t>
      </w:r>
      <w:r>
        <w:rPr>
          <w:rtl w:val="true"/>
        </w:rPr>
        <w:t>هم راستا بودن هر دو برداشت و عدم تعارض میان آنها</w:t>
      </w:r>
      <w:bookmarkEnd w:id="271"/>
    </w:p>
    <w:p>
      <w:pPr>
        <w:pStyle w:val="BookText"/>
        <w:rPr/>
      </w:pPr>
      <w:r>
        <w:rPr>
          <w:rFonts w:ascii="IRNazanin" w:hAnsi="IRNazanin" w:eastAsia="IRNazanin"/>
          <w:color w:val="111111"/>
          <w:sz w:val="28"/>
          <w:sz w:val="28"/>
          <w:szCs w:val="28"/>
          <w:rtl w:val="true"/>
          <w:lang w:bidi="fa-IR"/>
        </w:rPr>
        <w:t xml:space="preserve">دو حکمی که از این روایات قابل فهم است، یعنی حکم به تکریم حسنین از یک سو و تکریم تمامی کودکان از سوی دیگر، دو حکم هم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یکدیگرند و هیچ منافات و تعارضی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از این احکام بسیار افزون و والاتر از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است که در این گزارشات گاه پیامبر صلی الله علیه و اله حکمی کلی پیرامون مدارا با کودکان را بیان می دارد و گاهی نیز حکمی اختصاصی در مورد تکریم ویژه حسنین به زبان جاری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 توان پذیرفت که این روایات مخصوص به آن دو بزرگوار است و دیگر کودکان را نباید در مسجد تکریم کرد و آنها را نباید به مسجد راه داد</w:t>
      </w:r>
      <w:r>
        <w:rPr>
          <w:rFonts w:eastAsia="IRNazanin" w:cs="IRNazanin"/>
          <w:color w:val="111111"/>
          <w:sz w:val="28"/>
          <w:szCs w:val="28"/>
          <w:rtl w:val="true"/>
          <w:lang w:bidi="fa-IR"/>
        </w:rPr>
        <w:t>.</w:t>
      </w:r>
    </w:p>
    <w:p>
      <w:pPr>
        <w:pStyle w:val="Heading5"/>
        <w:numPr>
          <w:ilvl w:val="4"/>
          <w:numId w:val="1"/>
        </w:numPr>
        <w:rPr/>
      </w:pPr>
      <w:bookmarkStart w:id="272" w:name="__RefHeading___Toc15165247_1280447820"/>
      <w:bookmarkStart w:id="273" w:name="_Toc99"/>
      <w:bookmarkEnd w:id="272"/>
      <w:r>
        <w:rPr>
          <w:rtl w:val="true"/>
        </w:rPr>
        <w:t>ح</w:t>
      </w:r>
      <w:r>
        <w:rPr>
          <w:rtl w:val="true"/>
        </w:rPr>
        <w:t xml:space="preserve">) </w:t>
      </w:r>
      <w:r>
        <w:rPr>
          <w:rtl w:val="true"/>
        </w:rPr>
        <w:t>تکریم حسنین مصداقی اتم و اکمل از حکم کلی تکریم کودکان</w:t>
      </w:r>
      <w:bookmarkEnd w:id="273"/>
    </w:p>
    <w:p>
      <w:pPr>
        <w:pStyle w:val="BookText"/>
        <w:rPr/>
      </w:pPr>
      <w:r>
        <w:rPr>
          <w:rFonts w:ascii="IRNazanin" w:hAnsi="IRNazanin" w:eastAsia="IRNazanin"/>
          <w:color w:val="111111"/>
          <w:sz w:val="28"/>
          <w:sz w:val="28"/>
          <w:szCs w:val="28"/>
          <w:rtl w:val="true"/>
          <w:lang w:bidi="fa-IR"/>
        </w:rPr>
        <w:t>سیاق برخی از این روایات و گزارشات نشان می دهد که تکریم حسنین مصداقی از حکم کلی تکریم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روایتی که پیامبر صلی الله علیه و اله در پایان ماجرا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کُنْتُمْ تُؤْمِنُونَ بِاللَّهِ وَ رَسُولِهِ لَرَحِمْتُمُ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این دو کودک، از یک نظر مصداق اتمّ و کامل حکم تکریم و مدارا با کودکان در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تکریم ویژه آنها نیز مساله جداگانه است که در دیگر روایات به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گفت که این رفتار محبت آمیز و مدارا گونه اگر چه در مورد حسنین بسیار پر رنگ و لعاب بوده اما مختص به آنها نیست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توان چنین نتیجه گرفت که پیامبر صلی الله علیه و اله از این عملکرد محبت آمیز خود، یک هدف عمومی و یک هدف اختصاصی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رفتار سازی عمومی در جهت مدارا با کودکان در مسجد و دوم رفتار سازی عمومی در جهت محبت ویژه به مقام شامخ حسنین</w:t>
      </w:r>
      <w:r>
        <w:rPr>
          <w:rFonts w:eastAsia="IRNazanin" w:cs="IRNazanin"/>
          <w:color w:val="111111"/>
          <w:sz w:val="28"/>
          <w:szCs w:val="28"/>
          <w:rtl w:val="true"/>
          <w:lang w:bidi="fa-IR"/>
        </w:rPr>
        <w:t xml:space="preserve">. </w:t>
      </w:r>
      <w:bookmarkStart w:id="274" w:name="pg19111_195037"/>
    </w:p>
    <w:p>
      <w:pPr>
        <w:pStyle w:val="Heading5"/>
        <w:numPr>
          <w:ilvl w:val="4"/>
          <w:numId w:val="1"/>
        </w:numPr>
        <w:rPr/>
      </w:pPr>
      <w:bookmarkStart w:id="275" w:name="__RefHeading___Toc15165249_1280447820"/>
      <w:bookmarkStart w:id="276" w:name="_Toc100"/>
      <w:bookmarkEnd w:id="274"/>
      <w:bookmarkEnd w:id="275"/>
      <w:r>
        <w:rPr>
          <w:rtl w:val="true"/>
        </w:rPr>
        <w:t>ط</w:t>
      </w:r>
      <w:r>
        <w:rPr>
          <w:rtl w:val="true"/>
        </w:rPr>
        <w:t xml:space="preserve">) </w:t>
      </w:r>
      <w:r>
        <w:rPr>
          <w:rtl w:val="true"/>
        </w:rPr>
        <w:t>سیره مستمره پیامبر صلی الله علیه و اله در مواجهه با کودکان</w:t>
      </w:r>
      <w:bookmarkEnd w:id="276"/>
    </w:p>
    <w:p>
      <w:pPr>
        <w:pStyle w:val="BookText"/>
        <w:rPr/>
      </w:pPr>
      <w:r>
        <w:rPr>
          <w:rFonts w:ascii="IRNazanin" w:hAnsi="IRNazanin" w:eastAsia="IRNazanin"/>
          <w:color w:val="111111"/>
          <w:sz w:val="28"/>
          <w:sz w:val="28"/>
          <w:szCs w:val="28"/>
          <w:rtl w:val="true"/>
          <w:lang w:bidi="fa-IR"/>
        </w:rPr>
        <w:t>اکر ما خود را جای مردمی قرار دهیم که در روزهای متمادی رفتار محبت آمیز پیامبر صلی الله علیه و اله با همه کودکان را دیده اند و بارها تاکید سرشار او در مورد مدارای با کودکان را شنیده اند، بی تردید از رفتار پیامبر با حسنین حکمی اختصاصی را نخواهیم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محبت به آنها را هم راستا با همان قاعده کلی و مصداقی اتم از این سیره مداوم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سیره مستمر پیامبر صلی الله علیه و اله در رفتار با کودکان قرینه ای است که نشان می دهد، تکریم حسنین علیهما السلام مصداق اتم و اکمل همان ماجرا است</w:t>
      </w:r>
      <w:r>
        <w:rPr>
          <w:rFonts w:eastAsia="IRNazanin" w:cs="IRNazanin"/>
          <w:color w:val="111111"/>
          <w:sz w:val="28"/>
          <w:szCs w:val="28"/>
          <w:rtl w:val="true"/>
          <w:lang w:bidi="fa-IR"/>
        </w:rPr>
        <w:t>.</w:t>
      </w:r>
    </w:p>
    <w:p>
      <w:pPr>
        <w:pStyle w:val="Heading5"/>
        <w:numPr>
          <w:ilvl w:val="4"/>
          <w:numId w:val="1"/>
        </w:numPr>
        <w:rPr/>
      </w:pPr>
      <w:bookmarkStart w:id="277" w:name="__RefHeading___Toc15165251_1280447820"/>
      <w:bookmarkStart w:id="278" w:name="_Toc101"/>
      <w:bookmarkEnd w:id="277"/>
      <w:r>
        <w:rPr>
          <w:rtl w:val="true"/>
        </w:rPr>
        <w:t>ی</w:t>
      </w:r>
      <w:r>
        <w:rPr>
          <w:rtl w:val="true"/>
        </w:rPr>
        <w:t xml:space="preserve">) </w:t>
      </w:r>
      <w:r>
        <w:rPr>
          <w:rtl w:val="true"/>
        </w:rPr>
        <w:t>استفاده پیامبر صلی الله علیه و اله از این جریانات برای بیان منزلت حسنین</w:t>
      </w:r>
      <w:bookmarkEnd w:id="278"/>
    </w:p>
    <w:p>
      <w:pPr>
        <w:pStyle w:val="BookText"/>
        <w:rPr/>
      </w:pPr>
      <w:r>
        <w:rPr>
          <w:rFonts w:ascii="IRNazanin" w:hAnsi="IRNazanin" w:eastAsia="IRNazanin"/>
          <w:color w:val="111111"/>
          <w:sz w:val="28"/>
          <w:sz w:val="28"/>
          <w:szCs w:val="28"/>
          <w:rtl w:val="true"/>
          <w:lang w:bidi="fa-IR"/>
        </w:rPr>
        <w:t>گاهی سخن پیامبر صلی الله علیه و اله بعد از یک واقعه برای بیان نمودن سبب آن کار است و گاهی هم یک حادثه سبب بیان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گاهی رخدادها با گفتار پیامبر رابطه سبب و مسبب دارند و گاهی هم رابطه اقتضایی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گویا پیامبر صلی الله علیه و اله گاهی از یک موقعیت خاص استفاده ای بهینه در جهت ابلاغ جایگاه حسنین داشته و قصدی برای ارتباط سببی دادن جریان با تکریم حسنین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بازیگوشی حسنین و مدارای با آنها مقتضی بیان حکم وجوب محبت به آن دو بزرگوار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معنای این نیست که مدارای با کودکان حکمی انحصاری برای آن دو است</w:t>
      </w:r>
      <w:r>
        <w:rPr>
          <w:rFonts w:eastAsia="IRNazanin" w:cs="IRNazanin"/>
          <w:color w:val="111111"/>
          <w:sz w:val="28"/>
          <w:szCs w:val="28"/>
          <w:rtl w:val="true"/>
          <w:lang w:bidi="fa-IR"/>
        </w:rPr>
        <w:t>.</w:t>
      </w:r>
    </w:p>
    <w:p>
      <w:pPr>
        <w:pStyle w:val="Heading5"/>
        <w:numPr>
          <w:ilvl w:val="4"/>
          <w:numId w:val="1"/>
        </w:numPr>
        <w:rPr/>
      </w:pPr>
      <w:bookmarkStart w:id="279" w:name="__RefHeading___Toc15165253_1280447820"/>
      <w:bookmarkStart w:id="280" w:name="_Toc102"/>
      <w:bookmarkEnd w:id="279"/>
      <w:r>
        <w:rPr>
          <w:rtl w:val="true"/>
        </w:rPr>
        <w:t>ک</w:t>
      </w:r>
      <w:r>
        <w:rPr>
          <w:rtl w:val="true"/>
        </w:rPr>
        <w:t xml:space="preserve">) </w:t>
      </w:r>
      <w:r>
        <w:rPr>
          <w:rtl w:val="true"/>
        </w:rPr>
        <w:t>اسوه و الگو بودن پیامبر صلی الله علیه و اله برای مسلمانان</w:t>
      </w:r>
      <w:bookmarkEnd w:id="280"/>
    </w:p>
    <w:p>
      <w:pPr>
        <w:pStyle w:val="BookText"/>
        <w:rPr/>
      </w:pPr>
      <w:r>
        <w:rPr>
          <w:rFonts w:ascii="IRNazanin" w:hAnsi="IRNazanin" w:eastAsia="IRNazanin"/>
          <w:color w:val="111111"/>
          <w:sz w:val="28"/>
          <w:sz w:val="28"/>
          <w:szCs w:val="28"/>
          <w:rtl w:val="true"/>
          <w:lang w:bidi="fa-IR"/>
        </w:rPr>
        <w:t>پیامبر صلی الله علیه و اله به عنوان الگوی مسلمانان، هر کاری که انجام می دهد، قابل احتجاج و الگو 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با دلیلی قطعی ثابت شود که این کار، تنها اختصاص به پیامبر صلی الله علیه و اله دارد و دیگران حق الگو برداری در آن کار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آوردن حسنین به مسجد، بدون بیان اختصاصی بودن آن انجام گیرد، دلیل بر کلیت آن برای همه مسلمانان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خصوصیت داشتن حکم باید دلیل داشته باشد و پیامبر صلی الله علیه و اله نیز باید </w:t>
      </w:r>
      <w:bookmarkStart w:id="281" w:name="pg19111_195039"/>
    </w:p>
    <w:p>
      <w:pPr>
        <w:pStyle w:val="BookText"/>
        <w:rPr/>
      </w:pPr>
      <w:bookmarkEnd w:id="281"/>
      <w:r>
        <w:rPr>
          <w:rFonts w:ascii="IRNazanin" w:hAnsi="IRNazanin" w:eastAsia="IRNazanin"/>
          <w:color w:val="111111"/>
          <w:sz w:val="28"/>
          <w:sz w:val="28"/>
          <w:szCs w:val="28"/>
          <w:rtl w:val="true"/>
          <w:lang w:bidi="fa-IR"/>
        </w:rPr>
        <w:t>این خصوصیت را اعلام کند</w:t>
      </w:r>
      <w:r>
        <w:rPr>
          <w:rFonts w:eastAsia="IRNazanin" w:cs="IRNazanin"/>
          <w:color w:val="111111"/>
          <w:sz w:val="28"/>
          <w:szCs w:val="28"/>
          <w:rtl w:val="true"/>
          <w:lang w:bidi="fa-IR"/>
        </w:rPr>
        <w:t>.</w:t>
      </w:r>
    </w:p>
    <w:p>
      <w:pPr>
        <w:pStyle w:val="Heading5"/>
        <w:numPr>
          <w:ilvl w:val="4"/>
          <w:numId w:val="1"/>
        </w:numPr>
        <w:rPr/>
      </w:pPr>
      <w:bookmarkStart w:id="282" w:name="__RefHeading___Toc15165255_1280447820"/>
      <w:bookmarkStart w:id="283" w:name="_Toc103"/>
      <w:bookmarkEnd w:id="282"/>
      <w:r>
        <w:rPr>
          <w:rtl w:val="true"/>
        </w:rPr>
        <w:t>ل</w:t>
      </w:r>
      <w:r>
        <w:rPr>
          <w:rtl w:val="true"/>
        </w:rPr>
        <w:t xml:space="preserve">) </w:t>
      </w:r>
      <w:r>
        <w:rPr>
          <w:rtl w:val="true"/>
        </w:rPr>
        <w:t>حکم عمومی ترحم به کودکان و اعلام آن در مسجد</w:t>
      </w:r>
      <w:bookmarkEnd w:id="28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وسلم پس از آنکه با کودک خود در نماز جماعت با ترحم و مدارا برخورد می کند، عمل خود را مصداقی از یک حکم کلی یعنی مدارای عمومی و ترحم همگانی با کودکان،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کُنْتُمْ تُؤْمِنُونَ بِاللَّهِ وَ رَسُولِهِ لَرَحِمْتُمُ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مسجد نیز همانند دیگر اماکن باید محلی برای ترحم و مدارا با کودکان باشد</w:t>
      </w:r>
      <w:r>
        <w:rPr>
          <w:rFonts w:eastAsia="IRNazanin" w:cs="IRNazanin"/>
          <w:color w:val="111111"/>
          <w:sz w:val="28"/>
          <w:szCs w:val="28"/>
          <w:rtl w:val="true"/>
          <w:lang w:bidi="fa-IR"/>
        </w:rPr>
        <w:t xml:space="preserve">. </w:t>
      </w:r>
      <w:bookmarkStart w:id="284" w:name="pg19111_195040"/>
    </w:p>
    <w:p>
      <w:pPr>
        <w:pStyle w:val="Heading3"/>
        <w:numPr>
          <w:ilvl w:val="2"/>
          <w:numId w:val="1"/>
        </w:numPr>
        <w:rPr/>
      </w:pPr>
      <w:bookmarkStart w:id="285" w:name="__RefHeading___Toc15165257_1280447820"/>
      <w:bookmarkStart w:id="286" w:name="_Toc104"/>
      <w:bookmarkEnd w:id="284"/>
      <w:bookmarkEnd w:id="285"/>
      <w:r>
        <w:rPr>
          <w:rtl w:val="true"/>
        </w:rPr>
        <w:t>فصل سوم</w:t>
      </w:r>
      <w:r>
        <w:rPr>
          <w:rtl w:val="true"/>
        </w:rPr>
        <w:t xml:space="preserve">: </w:t>
      </w:r>
      <w:r>
        <w:rPr>
          <w:rtl w:val="true"/>
        </w:rPr>
        <w:t xml:space="preserve">آوردن دیگر کودکان </w:t>
      </w:r>
      <w:r>
        <w:rPr>
          <w:rtl w:val="true"/>
        </w:rPr>
        <w:t>(</w:t>
      </w:r>
      <w:r>
        <w:rPr>
          <w:rtl w:val="true"/>
        </w:rPr>
        <w:t>به جز حسنین</w:t>
      </w:r>
      <w:r>
        <w:rPr>
          <w:rtl w:val="true"/>
        </w:rPr>
        <w:t xml:space="preserve">) </w:t>
      </w:r>
      <w:r>
        <w:rPr>
          <w:rtl w:val="true"/>
        </w:rPr>
        <w:t>به مسجد توسط پیامبر صلی الله علیه و آله وسلم</w:t>
      </w:r>
      <w:bookmarkEnd w:id="286"/>
    </w:p>
    <w:p>
      <w:pPr>
        <w:pStyle w:val="Heading4"/>
        <w:numPr>
          <w:ilvl w:val="3"/>
          <w:numId w:val="1"/>
        </w:numPr>
        <w:rPr/>
      </w:pPr>
      <w:bookmarkStart w:id="287" w:name="__RefHeading___Toc15165259_1280447820"/>
      <w:bookmarkStart w:id="288" w:name="_Toc105"/>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در لابه لای گزارشات تاریخی دیده می شود که پیامبر صلی الله علیه و اله افزون بر آوردن حسنین علیهما السلام به مسجد، دیگر کودکان را نیز مورد لطف خود قرار داده و گاهی آنها را به مسجد می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دو روایت اشاره خواهیم کرد</w:t>
      </w:r>
      <w:r>
        <w:rPr>
          <w:rFonts w:eastAsia="IRNazanin" w:cs="IRNazanin"/>
          <w:color w:val="111111"/>
          <w:sz w:val="28"/>
          <w:szCs w:val="28"/>
          <w:rtl w:val="true"/>
          <w:lang w:bidi="fa-IR"/>
        </w:rPr>
        <w:t>.</w:t>
      </w:r>
    </w:p>
    <w:p>
      <w:pPr>
        <w:pStyle w:val="Heading4"/>
        <w:numPr>
          <w:ilvl w:val="3"/>
          <w:numId w:val="1"/>
        </w:numPr>
        <w:rPr/>
      </w:pPr>
      <w:bookmarkStart w:id="289" w:name="__RefHeading___Toc15165261_1280447820"/>
      <w:bookmarkStart w:id="290" w:name="_Toc106"/>
      <w:bookmarkEnd w:id="289"/>
      <w:r>
        <w:rPr>
          <w:rtl w:val="true"/>
        </w:rPr>
        <w:t>گفتار اول</w:t>
      </w:r>
      <w:r>
        <w:rPr>
          <w:rtl w:val="true"/>
        </w:rPr>
        <w:t xml:space="preserve">: </w:t>
      </w:r>
      <w:r>
        <w:rPr>
          <w:rtl w:val="true"/>
        </w:rPr>
        <w:t>آوردن دیگر نوادگان به مسجد توسط پیامبر صلی الله علیه و آله وسلم</w:t>
      </w:r>
      <w:bookmarkEnd w:id="290"/>
    </w:p>
    <w:p>
      <w:pPr>
        <w:pStyle w:val="BookText"/>
        <w:rPr/>
      </w:pPr>
      <w:r>
        <w:rPr>
          <w:rFonts w:ascii="IRNazanin" w:hAnsi="IRNazanin" w:eastAsia="IRNazanin"/>
          <w:color w:val="111111"/>
          <w:sz w:val="28"/>
          <w:sz w:val="28"/>
          <w:szCs w:val="28"/>
          <w:rtl w:val="true"/>
          <w:lang w:bidi="fa-IR"/>
        </w:rPr>
        <w:t>روایتی از ابو قتاده انصاری در منابع مختلف اهل تسنن نقل شده که گویای آوردن دیگر نوادگان پیامبر صلی الله علیه و اله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قتاده انصاری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نحن علي باب رسول الله صلی الله علیه و اله جلوس إذ خرج علینا رسول الله صلی الله علیه و اله یحمل أمامة بنت أبي العاص بن الربیع و أمها زینب بنت رسول الله و هي 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فصلي رسول الله و هي علي عاتقه یضعها إذا رکع و یعیدها علي عاتقه إذا قام حتي قضي صلاته یفعل ذلک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 در خانه پیامبر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بودیم که رسول خدا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نواده خود امامه را که دختر ابی العاص بن ربیع است و مادرش زینب دختر رسول خدا می باشد،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نماز خواند در حالیکه امامه بر گردن او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پیامبر صلی الله علیه و اله به رکوع می رفت، او را بر زمین می گذاشت و وقتی از سجده بلند می شد، او را بر روی شانه و گردن خود، باز می گرداند و تا وقتی نمازش به پایان رسید همین کار را انجام داد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در این گزارش به صراحت در مورد مکان این رخداد سخنی گفته نشده است، اما از قرائن مختلف موجود در آن، می توان فهمید که </w:t>
      </w:r>
    </w:p>
    <w:p>
      <w:pPr>
        <w:pStyle w:val="BookText"/>
        <w:rPr/>
      </w:pPr>
      <w:r>
        <w:rPr>
          <w:rFonts w:ascii="IRNazanin" w:hAnsi="IRNazanin" w:eastAsia="IRNazanin"/>
          <w:color w:val="111111"/>
          <w:sz w:val="28"/>
          <w:sz w:val="28"/>
          <w:szCs w:val="28"/>
          <w:rtl w:val="true"/>
          <w:lang w:bidi="fa-IR"/>
        </w:rPr>
        <w:t>قطعا این جریان در مسجد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درب منزل پیامبر صلی الله علیه و اله به مسجد باز می شده و مردم به طور معمول برای نماز جماعت در مسجد انتظار پیامبر صلی الله علیه و اله را می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دیگری که ابو داود در سنن خود نقل کرده، قرائن دیگری وجود دارد که نشان می دهد این جریان در مسجد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ابو قتاده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نحن ننتظر رسول الله صلي الله علیه وسلم في الظهر أو العصر و قد دعاه بلال إلي الصلاة إذ خرج الینا و أمامة بنت ابي العاص بنت ابنته علي عنقه فقام رسول الله في مصلاه و قمنا خلفه و هي في مکانها الذي هي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فکبرنا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اذا اراد رسول الله ان یرکع اخذها فوضعها ثم رکع و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اذا فرغ من سجوده ثم قام اخذها فردها في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رسول الله ان یصنع بها ذلک في کل رکعه حتي فرغ من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ما در ظهر یا عصر منتظر رسول خدا صلی الله علیه و اله بودیم و بلال مردم را به نماز دعوت کرده بود که پیامبر به سوی ما آمد و امامه دختر دخترش بر گردن پیامبر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در مکان نمازش ایستاد و ما پشت سر او ایستادیم و آن دخترک نیز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تکبیر گفت و ما نیز تکبیر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پیامبر خواست به رکوع رود که او را گرفت و بر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رکوع و سجده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از سجده هایش فارغ شد ایستاد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در جایگاهش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این کار را در هیچ یک از رکعات نماز ترک نکرد تا اینکه نمازش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پیامبر صلی الله علیه و اله در نماز جماعت ظهر و عصر چنین کاری را انجام داده و مردم با همین حال پشت سر حضرت نماز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در منابع فراوانی از اهل تسنن و گاه با اندکی تفاوت نقل </w:t>
      </w:r>
      <w:bookmarkStart w:id="291" w:name="pg19111_195044"/>
    </w:p>
    <w:p>
      <w:pPr>
        <w:pStyle w:val="BookText"/>
        <w:rPr/>
      </w:pPr>
      <w:bookmarkEnd w:id="291"/>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الموطأ</w:t>
      </w:r>
      <w:r>
        <w:rPr>
          <w:rStyle w:val="FootnoteAnchor"/>
          <w:rtl w:val="true"/>
        </w:rPr>
        <w:footnoteReference w:id="203"/>
      </w:r>
      <w:r>
        <w:rPr>
          <w:rFonts w:ascii="IRNazanin" w:hAnsi="IRNazanin" w:eastAsia="IRNazanin"/>
          <w:color w:val="111111"/>
          <w:sz w:val="28"/>
          <w:sz w:val="28"/>
          <w:szCs w:val="28"/>
          <w:rtl w:val="true"/>
          <w:lang w:bidi="fa-IR"/>
        </w:rPr>
        <w:t xml:space="preserve">،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الطبقات الکبری</w:t>
      </w:r>
      <w:r>
        <w:rPr>
          <w:rStyle w:val="FootnoteAnchor"/>
          <w:rtl w:val="true"/>
        </w:rPr>
        <w:footnoteReference w:id="204"/>
      </w:r>
      <w:r>
        <w:rPr>
          <w:rFonts w:ascii="IRNazanin" w:hAnsi="IRNazanin" w:eastAsia="IRNazanin"/>
          <w:color w:val="111111"/>
          <w:sz w:val="28"/>
          <w:sz w:val="28"/>
          <w:szCs w:val="28"/>
          <w:rtl w:val="true"/>
          <w:lang w:bidi="fa-IR"/>
        </w:rPr>
        <w:t xml:space="preserve">،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w:t>
      </w:r>
      <w:r>
        <w:rPr>
          <w:rStyle w:val="FootnoteAnchor"/>
          <w:rtl w:val="true"/>
        </w:rPr>
        <w:footnoteReference w:id="205"/>
      </w:r>
      <w:r>
        <w:rPr>
          <w:rFonts w:ascii="IRNazanin" w:hAnsi="IRNazanin" w:eastAsia="IRNazanin"/>
          <w:color w:val="111111"/>
          <w:sz w:val="28"/>
          <w:sz w:val="28"/>
          <w:szCs w:val="28"/>
          <w:rtl w:val="true"/>
          <w:lang w:bidi="fa-IR"/>
        </w:rPr>
        <w:t xml:space="preserve">، 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الدارمی</w:t>
      </w:r>
      <w:r>
        <w:rPr>
          <w:rStyle w:val="FootnoteAnchor"/>
          <w:rtl w:val="true"/>
        </w:rPr>
        <w:footnoteReference w:id="206"/>
      </w:r>
      <w:r>
        <w:rPr>
          <w:rFonts w:ascii="IRNazanin" w:hAnsi="IRNazanin" w:eastAsia="IRNazanin"/>
          <w:color w:val="111111"/>
          <w:sz w:val="28"/>
          <w:sz w:val="28"/>
          <w:szCs w:val="28"/>
          <w:rtl w:val="true"/>
          <w:lang w:bidi="fa-IR"/>
        </w:rPr>
        <w:t xml:space="preserve">،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w:t>
      </w:r>
      <w:r>
        <w:rPr>
          <w:rStyle w:val="FootnoteAnchor"/>
          <w:rtl w:val="true"/>
        </w:rPr>
        <w:footnoteReference w:id="207"/>
      </w:r>
      <w:r>
        <w:rPr>
          <w:rFonts w:ascii="IRNazanin" w:hAnsi="IRNazanin" w:eastAsia="IRNazanin"/>
          <w:color w:val="111111"/>
          <w:sz w:val="28"/>
          <w:sz w:val="28"/>
          <w:szCs w:val="28"/>
          <w:rtl w:val="true"/>
          <w:lang w:bidi="fa-IR"/>
        </w:rPr>
        <w:t xml:space="preserve">، مسلم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w:t>
      </w:r>
      <w:r>
        <w:rPr>
          <w:rStyle w:val="FootnoteAnchor"/>
          <w:rtl w:val="true"/>
        </w:rPr>
        <w:footnoteReference w:id="208"/>
      </w:r>
      <w:r>
        <w:rPr>
          <w:rFonts w:ascii="IRNazanin" w:hAnsi="IRNazanin" w:eastAsia="IRNazanin"/>
          <w:color w:val="111111"/>
          <w:sz w:val="28"/>
          <w:sz w:val="28"/>
          <w:szCs w:val="28"/>
          <w:rtl w:val="true"/>
          <w:lang w:bidi="fa-IR"/>
        </w:rPr>
        <w:t xml:space="preserve">،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أبی داود</w:t>
      </w:r>
      <w:r>
        <w:rPr>
          <w:rStyle w:val="FootnoteAnchor"/>
          <w:rtl w:val="true"/>
        </w:rPr>
        <w:footnoteReference w:id="209"/>
      </w:r>
      <w:r>
        <w:rPr>
          <w:rFonts w:ascii="IRNazanin" w:hAnsi="IRNazanin" w:eastAsia="IRNazanin"/>
          <w:color w:val="111111"/>
          <w:sz w:val="28"/>
          <w:sz w:val="28"/>
          <w:szCs w:val="28"/>
          <w:rtl w:val="true"/>
          <w:lang w:bidi="fa-IR"/>
        </w:rPr>
        <w:t xml:space="preserve">،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النسائی</w:t>
      </w:r>
      <w:r>
        <w:rPr>
          <w:rStyle w:val="FootnoteAnchor"/>
          <w:rtl w:val="true"/>
        </w:rPr>
        <w:footnoteReference w:id="210"/>
      </w:r>
      <w:r>
        <w:rPr>
          <w:rFonts w:ascii="IRNazanin" w:hAnsi="IRNazanin" w:eastAsia="IRNazanin"/>
          <w:color w:val="111111"/>
          <w:sz w:val="28"/>
          <w:sz w:val="28"/>
          <w:szCs w:val="28"/>
          <w:rtl w:val="true"/>
          <w:lang w:bidi="fa-IR"/>
        </w:rPr>
        <w:t xml:space="preserve">و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السنن الکبرى</w:t>
      </w:r>
      <w:r>
        <w:rPr>
          <w:rStyle w:val="FootnoteAnchor"/>
          <w:rtl w:val="true"/>
        </w:rPr>
        <w:footnoteReference w:id="211"/>
      </w:r>
      <w:r>
        <w:rPr>
          <w:rFonts w:ascii="IRNazanin" w:hAnsi="IRNazanin" w:eastAsia="IRNazanin"/>
          <w:color w:val="111111"/>
          <w:sz w:val="28"/>
          <w:sz w:val="28"/>
          <w:szCs w:val="28"/>
          <w:rtl w:val="true"/>
          <w:lang w:bidi="fa-IR"/>
        </w:rPr>
        <w:t>از جمله کسانی هستند که این روایت را نقل کرده اند</w:t>
      </w:r>
      <w:r>
        <w:rPr>
          <w:rFonts w:eastAsia="IRNazanin" w:cs="IRNazanin"/>
          <w:color w:val="111111"/>
          <w:sz w:val="28"/>
          <w:szCs w:val="28"/>
          <w:rtl w:val="true"/>
          <w:lang w:bidi="fa-IR"/>
        </w:rPr>
        <w:t>.</w:t>
      </w:r>
    </w:p>
    <w:p>
      <w:pPr>
        <w:pStyle w:val="Heading4"/>
        <w:numPr>
          <w:ilvl w:val="3"/>
          <w:numId w:val="1"/>
        </w:numPr>
        <w:rPr/>
      </w:pPr>
      <w:bookmarkStart w:id="292" w:name="__RefHeading___Toc15165263_1280447820"/>
      <w:bookmarkStart w:id="293" w:name="_Toc107"/>
      <w:bookmarkEnd w:id="292"/>
      <w:r>
        <w:rPr>
          <w:rtl w:val="true"/>
        </w:rPr>
        <w:t>نقل محتوا در منابع شیعی</w:t>
      </w:r>
      <w:bookmarkEnd w:id="293"/>
    </w:p>
    <w:p>
      <w:pPr>
        <w:pStyle w:val="BookText"/>
        <w:rPr/>
      </w:pPr>
      <w:r>
        <w:rPr>
          <w:rFonts w:ascii="IRNazanin" w:hAnsi="IRNazanin" w:eastAsia="IRNazanin"/>
          <w:color w:val="111111"/>
          <w:sz w:val="28"/>
          <w:sz w:val="28"/>
          <w:szCs w:val="28"/>
          <w:rtl w:val="true"/>
          <w:lang w:bidi="fa-IR"/>
        </w:rPr>
        <w:t>اگرچه این نقل با تفاوت هایی که دارد در اکثر قریب به اتفاق منابع روایی اهل تسنن وجود دارد اما در هیچ یک از منابع روایی کهن شیعه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محدثان متاخر شیعه است، در بحار الانوار</w:t>
      </w:r>
      <w:r>
        <w:rPr>
          <w:rStyle w:val="FootnoteAnchor"/>
          <w:rtl w:val="true"/>
        </w:rPr>
        <w:footnoteReference w:id="212"/>
      </w:r>
      <w:r>
        <w:rPr>
          <w:rFonts w:ascii="IRNazanin" w:hAnsi="IRNazanin" w:eastAsia="IRNazanin"/>
          <w:color w:val="111111"/>
          <w:sz w:val="28"/>
          <w:sz w:val="28"/>
          <w:szCs w:val="28"/>
          <w:rtl w:val="true"/>
          <w:lang w:bidi="fa-IR"/>
        </w:rPr>
        <w:t xml:space="preserve">این روایت را به نقل از منتهی المطلب نوشته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در منابع فقهی شیعه از این روایت استفاده شده و حتی برخی بر پایه آن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اول کسی که از این روایت استفاده کرده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آنکه اثبات کند، تنها فعل کثیر است که نماز را باطل می کند و فعل قلیل، موجب ابطال نماز نمی شود، از این روایت استفاده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گویا وی این روایت را به عنوان موید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ابتدا روایتی صحیح السند از تهذیب الاحکام را مطرح کرده و سپس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روى الجمهور، عن النّبیّ صلّى اللّه علیه و آله أنّه کان یحمل امامة بنت أبی العاص، فکان إذا سجد وضعها و إذا قام رفعها</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بعد از علامه حلی، بزرگان دیگری نظیر شهید ثانی در الروضة البهیة</w:t>
      </w:r>
      <w:r>
        <w:rPr>
          <w:rStyle w:val="FootnoteAnchor"/>
          <w:rtl w:val="true"/>
        </w:rPr>
        <w:footnoteReference w:id="214"/>
      </w:r>
      <w:r>
        <w:rPr>
          <w:rFonts w:ascii="IRNazanin" w:hAnsi="IRNazanin" w:eastAsia="IRNazanin"/>
          <w:color w:val="111111"/>
          <w:sz w:val="28"/>
          <w:sz w:val="28"/>
          <w:szCs w:val="28"/>
          <w:rtl w:val="true"/>
          <w:lang w:bidi="fa-IR"/>
        </w:rPr>
        <w:t>و مسالک الأفهام</w:t>
      </w:r>
      <w:r>
        <w:rPr>
          <w:rStyle w:val="FootnoteAnchor"/>
          <w:rtl w:val="true"/>
        </w:rPr>
        <w:footnoteReference w:id="215"/>
      </w:r>
      <w:r>
        <w:rPr>
          <w:rFonts w:ascii="IRNazanin" w:hAnsi="IRNazanin" w:eastAsia="IRNazanin"/>
          <w:color w:val="111111"/>
          <w:sz w:val="28"/>
          <w:sz w:val="28"/>
          <w:szCs w:val="28"/>
          <w:rtl w:val="true"/>
          <w:lang w:bidi="fa-IR"/>
        </w:rPr>
        <w:t>، فاضل اصفهانی در کشف اللثام</w:t>
      </w:r>
      <w:r>
        <w:rPr>
          <w:rStyle w:val="FootnoteAnchor"/>
          <w:rtl w:val="true"/>
        </w:rPr>
        <w:footnoteReference w:id="216"/>
      </w:r>
      <w:r>
        <w:rPr>
          <w:rFonts w:ascii="IRNazanin" w:hAnsi="IRNazanin" w:eastAsia="IRNazanin"/>
          <w:color w:val="111111"/>
          <w:sz w:val="28"/>
          <w:sz w:val="28"/>
          <w:szCs w:val="28"/>
          <w:rtl w:val="true"/>
          <w:lang w:bidi="fa-IR"/>
        </w:rPr>
        <w:t>و دیگر فقها از همین روایت 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چنین نتیجه گرفت که این روایت مورد پذیرش برخی از فقها و محدثان متاخر شیعه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شناسی</w:t>
      </w:r>
    </w:p>
    <w:p>
      <w:pPr>
        <w:pStyle w:val="BookText"/>
        <w:rPr/>
      </w:pPr>
      <w:r>
        <w:rPr>
          <w:rFonts w:ascii="IRNazanin" w:hAnsi="IRNazanin" w:eastAsia="IRNazanin"/>
          <w:color w:val="111111"/>
          <w:sz w:val="28"/>
          <w:sz w:val="28"/>
          <w:szCs w:val="28"/>
          <w:rtl w:val="true"/>
          <w:lang w:bidi="fa-IR"/>
        </w:rPr>
        <w:t>اسناد این روایت اگرچه متکثر و فراوان هستند اما همه آنها به ابوقتاده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همه آنها یک نقل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احتمالا تفاوت های اندکی که در گزارش های مختلف وجود دارد به جهت نقل به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وی این جریان را چندین بار و با گونه های مختلف برای دیگران نقل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باید گفت که اگرچه این حدیث در منابع گوناگون نقل شده اما به جهت آنکه به یک راوی ختم می شود، خبر واحد است و خبر متواتر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وضع</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و تامل بر انگیز این است که این </w:t>
      </w:r>
    </w:p>
    <w:p>
      <w:pPr>
        <w:pStyle w:val="BookText"/>
        <w:rPr/>
      </w:pPr>
      <w:r>
        <w:rPr>
          <w:rFonts w:ascii="IRNazanin" w:hAnsi="IRNazanin" w:eastAsia="IRNazanin"/>
          <w:color w:val="111111"/>
          <w:sz w:val="28"/>
          <w:sz w:val="28"/>
          <w:szCs w:val="28"/>
          <w:rtl w:val="true"/>
          <w:lang w:bidi="fa-IR"/>
        </w:rPr>
        <w:t>نقل با اینکه در اکثر منابع اهل تسنن موجود است، اما در هیچ یک از منابع کهن روایی شیعه به چشم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ممکن است به جهت نبودن این حدیث در منابع شیعه، این احتمال به ذهن برسد که اینگونه احادیث در برابر احادیث احترام ویژه به حسنین جعل شده تا مقام شامخ آن دو بزرگوار را به زیر کشد و جایگاه آنها را کم رنگ تر جلوه دهد تا در ذهن مسلمانان خصوصیتی برای حسنین به 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فضیلت ویژه ای برای امامه مشهود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روایات مشابه پیرامون حسنین، بوسیدن آنها و یا سخن گفتن در مورد جایگاه و منزلت آنها وجود دارد که هیچ کدام از آن موارد در این روایت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غرض پیش گفته برای جعل حدیث، نمی تواند مقصودی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را به هیچ وجه نمی توان در مقابل انبوه روایات فضایل حسنین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روایت هیچ گونه جایگاه و منزلت ویژه برای این کودک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روایاتی که حاکی از احترام ویژه پیامبر صلی الله علیه و اله به حسنین علیهما السلام است، تنها در منابع اهل تسنن وجود دارد و در هیچ یک از منابع کهن شیعی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صرف نبودن یک روایت در منابع شیعی نمی تواند دلیلی بر وضع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آنکه اخبار مرتبط با کودکی حسنین در منابع اهل تسنن اگر نگوییم بیشتر از منابع شیعی است، کمتر از آن 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شد، برخی از فقهای شیعه نظیر علامه حلی و شهید ثانی از این روایت بهره جسته اند و به آن تمسک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گویا که این دو فقیه و محدث بزرگ، آن را بدون مشکل پنداشته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بر می آید که</w:t>
      </w:r>
      <w:r>
        <w:rPr>
          <w:rFonts w:eastAsia="IRNazanin" w:cs="IRNazanin"/>
          <w:color w:val="111111"/>
          <w:sz w:val="28"/>
          <w:szCs w:val="28"/>
          <w:rtl w:val="true"/>
          <w:lang w:bidi="fa-IR"/>
        </w:rPr>
        <w:t xml:space="preserve">: </w:t>
      </w:r>
      <w:bookmarkStart w:id="294" w:name="pg19111_195050"/>
    </w:p>
    <w:p>
      <w:pPr>
        <w:pStyle w:val="BookText"/>
        <w:rPr/>
      </w:pPr>
      <w:bookmarkEnd w:id="29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 کودکی بسیار کم سن و سال بوده و احتمالا سن او بین یک تا سه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اساس این گزارش، سن او به اندازه ای نرسیده که از جای خود برخیزد و به شیطنت های معمول کودکانه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اینکه پیامبر صلی الله علیه و اله نیز بعد از انجام سجده هایش او را به آغوش کشیده و یا بر دوش خود سوار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نتیجه گرفت که این عمل پیامبر صلی الله علیه و اله به دلیل مراقبت از کودکی است که هنوز به مرحله قابل توجهی از رشد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طور قطع می توان گفت که او یک کودک غیر ممیز و بسیار کم سن و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پیامبر یک حرکت ارادی بوده و هیچگونه اضطرار و ضرورتی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بنا بر نقل، پیامبر صلی الله علیه و اله خودش کودک را از داخل خانه به مسجد آورده و خودش او را به دوش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بر زمین نهادن کودک نیز دوباره با اختیار خود و بدون آنکه کودک گریه و ناله ای کرده باشد، او را بر دوش خود سوار می کند</w:t>
      </w:r>
      <w:r>
        <w:rPr>
          <w:rFonts w:eastAsia="IRNazanin" w:cs="IRNazanin"/>
          <w:color w:val="111111"/>
          <w:sz w:val="28"/>
          <w:szCs w:val="28"/>
          <w:rtl w:val="true"/>
          <w:lang w:bidi="fa-IR"/>
        </w:rPr>
        <w:t>.</w:t>
      </w:r>
    </w:p>
    <w:p>
      <w:pPr>
        <w:pStyle w:val="Heading4"/>
        <w:numPr>
          <w:ilvl w:val="3"/>
          <w:numId w:val="1"/>
        </w:numPr>
        <w:rPr/>
      </w:pPr>
      <w:bookmarkStart w:id="295" w:name="__RefHeading___Toc15165265_1280447820"/>
      <w:bookmarkStart w:id="296" w:name="_Toc108"/>
      <w:bookmarkEnd w:id="295"/>
      <w:r>
        <w:rPr>
          <w:rtl w:val="true"/>
        </w:rPr>
        <w:t>گفتار دوم</w:t>
      </w:r>
      <w:r>
        <w:rPr>
          <w:rtl w:val="true"/>
        </w:rPr>
        <w:t xml:space="preserve">: </w:t>
      </w:r>
      <w:r>
        <w:rPr>
          <w:rtl w:val="true"/>
        </w:rPr>
        <w:t>آوردن دیگر کودکان به مسجد توسط پیامبر صلی الله علیه و آله وسلم</w:t>
      </w:r>
      <w:bookmarkEnd w:id="296"/>
    </w:p>
    <w:p>
      <w:pPr>
        <w:pStyle w:val="BookText"/>
        <w:rPr/>
      </w:pPr>
      <w:r>
        <w:rPr>
          <w:rFonts w:ascii="IRNazanin" w:hAnsi="IRNazanin" w:eastAsia="IRNazanin"/>
          <w:color w:val="111111"/>
          <w:sz w:val="28"/>
          <w:sz w:val="28"/>
          <w:szCs w:val="28"/>
          <w:rtl w:val="true"/>
          <w:lang w:bidi="fa-IR"/>
        </w:rPr>
        <w:t>یکی از حوادث غم انگیز دوران صدر اسلام شهادت جعفر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دارم هنگامى که رسول خدا به منزل ما آمد و خبر شهادت پدرم را به مادرم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پیامبر صلی الله علیه و اله نگاه می کردم و او بر سر من و بر سر برادرم دست نوازش می کشید و چشمانش به قدری لبریز از اشک بود که بر روی محاسنش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مادرم مژده داد که خداوند به جای دو دست جعفر در بهشت به او دو بال خواهد داد که با فرشتگان پرواز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در ادامه می گوید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 النَّاسَ ذَلِکَ فَقَامَ رَسُولُ اللَّهِ صلی الله علیه و اله وَ أَخَذَ بِیَدِي یَمْسَحُ بِیَدِهِ رَأْسِي حَتَّي رَقِیَ إِلَي الْمِنْبَرِ وَ أَجْلَسَنِي أَمَامَهُ عَلَي الدَّرَجَةِ السُّفْلَي وَ الْحُزْنُ یُعْرَفُ عَلَیْهِ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کَثِیرٌ حُزْنُهُ بِأَخِیهِ وَ ابْنِ عَمِّهِ أَلَا إِنَّ جَعْفَراً قَدِ اسْتُشْهِدَ وَ جُعِلَ لَهُ جَنَاحَانِ یَطِیرُ بِهِمَا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صلی الله علیه و اله وَ دَخَلَ بَیْتَهُ وَ أَدْخَلَنِي مَعَهُ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از اینکه مردم از شهادت پدرم آگاه شدند، پیغمبر دست مرا گرفت و در حالی که با دستش مرا نوازش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مسجد 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بالا رفت و مرا پیشاپیش خود بر پله پایین منبر نشاند و در حالی که غم از چهره اش فهمیده می شد،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کس برای برادر و پسر عمویش بسیار محزون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جعفر به شهادت رسیده است و برای او در بهشت دو بال قرار داده شده که با آنها پرواز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اله وسلم از منبر فرود آمد و به خانه اش رفت و مرا هم با خود به خانه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به ظاهر نامی از مکان این رخداد به میان نیامده اما به وضوح می توان فهمید که این جریان در مسجد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منبر پیامبر ص، در مسجد ایشان قرار داشته و جایگاه آن برای همگان مشخص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تصور کرد که پیامبر صلی الله علیه و اله به جای دیگری جز مسجد رفته است و بر منبری که بیرون مسجد بوده سخنرانی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این روایت در منابع شیعه به صورت مرسل و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اصل این روایت از منابع اهل تسنن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297" w:name="pg19111_195052"/>
    </w:p>
    <w:p>
      <w:pPr>
        <w:pStyle w:val="BookText"/>
        <w:rPr/>
      </w:pPr>
      <w:bookmarkEnd w:id="297"/>
      <w:r>
        <w:rPr>
          <w:rFonts w:ascii="IRNazanin" w:hAnsi="IRNazanin" w:eastAsia="IRNazanin"/>
          <w:color w:val="111111"/>
          <w:sz w:val="28"/>
          <w:sz w:val="28"/>
          <w:szCs w:val="28"/>
          <w:rtl w:val="true"/>
          <w:lang w:bidi="fa-IR"/>
        </w:rPr>
        <w:t>در المغازی</w:t>
      </w:r>
      <w:r>
        <w:rPr>
          <w:rStyle w:val="FootnoteAnchor"/>
          <w:rtl w:val="true"/>
        </w:rPr>
        <w:footnoteReference w:id="219"/>
      </w:r>
      <w:r>
        <w:rPr>
          <w:rFonts w:ascii="IRNazanin" w:hAnsi="IRNazanin" w:eastAsia="IRNazanin"/>
          <w:color w:val="111111"/>
          <w:sz w:val="28"/>
          <w:sz w:val="28"/>
          <w:szCs w:val="28"/>
          <w:rtl w:val="true"/>
          <w:lang w:bidi="fa-IR"/>
        </w:rPr>
        <w:t xml:space="preserve">،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الطبقات الکبرى</w:t>
      </w:r>
      <w:r>
        <w:rPr>
          <w:rStyle w:val="FootnoteAnchor"/>
          <w:rtl w:val="true"/>
        </w:rPr>
        <w:footnoteReference w:id="220"/>
      </w:r>
      <w:r>
        <w:rPr>
          <w:rFonts w:ascii="IRNazanin" w:hAnsi="IRNazanin" w:eastAsia="IRNazanin"/>
          <w:color w:val="111111"/>
          <w:sz w:val="28"/>
          <w:sz w:val="28"/>
          <w:szCs w:val="28"/>
          <w:rtl w:val="true"/>
          <w:lang w:bidi="fa-IR"/>
        </w:rPr>
        <w:t xml:space="preserve">و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مدینه دمشق</w:t>
      </w:r>
      <w:r>
        <w:rPr>
          <w:rStyle w:val="FootnoteAnchor"/>
          <w:rtl w:val="true"/>
        </w:rPr>
        <w:footnoteReference w:id="221"/>
      </w:r>
      <w:r>
        <w:rPr>
          <w:rFonts w:ascii="IRNazanin" w:hAnsi="IRNazanin" w:eastAsia="IRNazanin"/>
          <w:color w:val="111111"/>
          <w:sz w:val="28"/>
          <w:sz w:val="28"/>
          <w:szCs w:val="28"/>
          <w:rtl w:val="true"/>
          <w:lang w:bidi="fa-IR"/>
        </w:rPr>
        <w:t>این روایت را نقل کرده اند</w:t>
      </w:r>
      <w:r>
        <w:rPr>
          <w:rFonts w:eastAsia="IRNazanin" w:cs="IRNazanin"/>
          <w:color w:val="111111"/>
          <w:sz w:val="28"/>
          <w:szCs w:val="28"/>
          <w:rtl w:val="true"/>
          <w:lang w:bidi="fa-IR"/>
        </w:rPr>
        <w:t>.</w:t>
      </w:r>
    </w:p>
    <w:p>
      <w:pPr>
        <w:pStyle w:val="Heading4"/>
        <w:numPr>
          <w:ilvl w:val="3"/>
          <w:numId w:val="1"/>
        </w:numPr>
        <w:rPr/>
      </w:pPr>
      <w:bookmarkStart w:id="298" w:name="__RefHeading___Toc15165267_1280447820"/>
      <w:bookmarkStart w:id="299" w:name="_Toc109"/>
      <w:bookmarkEnd w:id="298"/>
      <w:r>
        <w:rPr>
          <w:rtl w:val="true"/>
        </w:rPr>
        <w:t>سن جعفر بن عبدالله در زمان شهادت پدر</w:t>
      </w:r>
      <w:bookmarkEnd w:id="299"/>
    </w:p>
    <w:p>
      <w:pPr>
        <w:pStyle w:val="BookText"/>
        <w:rPr/>
      </w:pPr>
      <w:r>
        <w:rPr>
          <w:rFonts w:ascii="IRNazanin" w:hAnsi="IRNazanin" w:eastAsia="IRNazanin"/>
          <w:color w:val="111111"/>
          <w:sz w:val="28"/>
          <w:sz w:val="28"/>
          <w:szCs w:val="28"/>
          <w:rtl w:val="true"/>
          <w:lang w:bidi="fa-IR"/>
        </w:rPr>
        <w:t>جعفر بن ابی طالب سرپرست مهاجران دوم به حبشه</w:t>
      </w:r>
      <w:r>
        <w:rPr>
          <w:rStyle w:val="FootnoteAnchor"/>
          <w:rtl w:val="true"/>
        </w:rPr>
        <w:footnoteReference w:id="222"/>
      </w:r>
      <w:r>
        <w:rPr>
          <w:rFonts w:ascii="IRNazanin" w:hAnsi="IRNazanin" w:eastAsia="IRNazanin"/>
          <w:color w:val="111111"/>
          <w:sz w:val="28"/>
          <w:sz w:val="28"/>
          <w:szCs w:val="28"/>
          <w:rtl w:val="true"/>
          <w:lang w:bidi="fa-IR"/>
        </w:rPr>
        <w:t>است که به همراه همسرش به حبشه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اولین نوزاد مسلمانان مهاجر است که در سرزمین حبشه چشم به جهان گشود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اما در مورد سن عبدالله گفته شده وی در روز رحلت پیامبر صلی الله علیه و اله ده ساله و در هنگام بیعت با پیامبر صلی الله علیه و اله هفت ساله بوده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بنابراین با توجه به اینکه مهاجران حبشه در سال هفتم هجری به مدینه بازگشته اند، می توان نتیجه گرفت که عبدالله در سال اول هجری به دنیا آمده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توجه با اینکه شهادت جعفر طیار در جنگ موته در سال هشتم هجری رخ داده</w:t>
      </w:r>
      <w:r>
        <w:rPr>
          <w:rStyle w:val="FootnoteAnchor"/>
          <w:rtl w:val="true"/>
        </w:rPr>
        <w:footnoteReference w:id="225"/>
      </w:r>
      <w:r>
        <w:rPr>
          <w:rFonts w:ascii="IRNazanin" w:hAnsi="IRNazanin" w:eastAsia="IRNazanin"/>
          <w:color w:val="111111"/>
          <w:sz w:val="28"/>
          <w:sz w:val="28"/>
          <w:szCs w:val="28"/>
          <w:rtl w:val="true"/>
          <w:lang w:bidi="fa-IR"/>
        </w:rPr>
        <w:t>، می توان نتیجه گرفت که عبد الله در هنگام شهادت پدرش هشت ساله بوده است</w:t>
      </w:r>
      <w:r>
        <w:rPr>
          <w:rFonts w:eastAsia="IRNazanin" w:cs="IRNazanin"/>
          <w:color w:val="111111"/>
          <w:sz w:val="28"/>
          <w:szCs w:val="28"/>
          <w:rtl w:val="true"/>
          <w:lang w:bidi="fa-IR"/>
        </w:rPr>
        <w:t xml:space="preserve">. </w:t>
      </w:r>
      <w:bookmarkStart w:id="300" w:name="pg19111_195053"/>
    </w:p>
    <w:p>
      <w:pPr>
        <w:pStyle w:val="Heading3"/>
        <w:numPr>
          <w:ilvl w:val="2"/>
          <w:numId w:val="1"/>
        </w:numPr>
        <w:rPr/>
      </w:pPr>
      <w:bookmarkStart w:id="301" w:name="__RefHeading___Toc15165269_1280447820"/>
      <w:bookmarkStart w:id="302" w:name="_Toc110"/>
      <w:bookmarkEnd w:id="300"/>
      <w:bookmarkEnd w:id="301"/>
      <w:r>
        <w:rPr>
          <w:rtl w:val="true"/>
        </w:rPr>
        <w:t>فصل چهارم</w:t>
      </w:r>
      <w:r>
        <w:rPr>
          <w:rtl w:val="true"/>
        </w:rPr>
        <w:t xml:space="preserve">: </w:t>
      </w:r>
      <w:r>
        <w:rPr>
          <w:rtl w:val="true"/>
        </w:rPr>
        <w:t>حضور کودکان در مساجد دوران پیامبر صلی الله علیه و اله و عدم نهی از سوی ایشان</w:t>
      </w:r>
      <w:bookmarkEnd w:id="302"/>
    </w:p>
    <w:p>
      <w:pPr>
        <w:pStyle w:val="Heading4"/>
        <w:numPr>
          <w:ilvl w:val="3"/>
          <w:numId w:val="1"/>
        </w:numPr>
        <w:rPr/>
      </w:pPr>
      <w:bookmarkStart w:id="303" w:name="__RefHeading___Toc15165271_1280447820"/>
      <w:bookmarkStart w:id="304" w:name="_Toc111"/>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گزارشات تاریخی متعدد و روایات گوناگونی در منابع روایی و تاریخ شیعه و اهل تسنن وجود دارد که نشان دهنده حضور کودکان در مساجد دوران پیامبر صلی الله علیه و 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روایات گویای آن هستند که کودکان در دوران پیامبر صلی الله علیه وآله وسلم با والدین خود به مسجد النبی صلی الله علیه و اله رفت و آمد داشته اند و پیامبر صلی الله علیه و اله نیز در مقابل این حضور و رفت و آمد، کوچکترین نهی و یا منعی ابراز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دسته از روایات دو روایت صحیح السند وجود دارد که ارزش تحلیل و بررسی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 این دو روایت نیز گزارشات مختلفی وجود دارد که مربوط به رخدادهای خاصی از دوران پیامبر صلی الله علیه و اله می باشد که در ضمن آن می توان به حضور کودکان در مسجد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گزارشی از جریان تغییر قبله نقل شده که نشان دهنده حضور کودکان در مساجد دوران پیامبر صلی الله علیه و اله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بن اوس انصاری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صلینا إحدي صلاتي العشي فقام رجل علي باب المسجد و نحن في الصلاة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قد وجهت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أو انحرف إمامنا نحو الکعبة و النساء و الصبیان</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ما یکی از نماز های عشاء را می خواندیم که مردی بر در مسجد ایستاد و در حالی که ما در نماز بودیم،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به سوی کعبه برگشته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جماعت به سوی کعبه چرخید و روی گرداند و همینطور زنان و کودکان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این نوع گزارشات نمی توانند دلیلی بر مدعا باشد اما می تواند مویدی </w:t>
      </w:r>
      <w:bookmarkStart w:id="305" w:name="pg19111_195054"/>
    </w:p>
    <w:p>
      <w:pPr>
        <w:pStyle w:val="BookText"/>
        <w:rPr/>
      </w:pPr>
      <w:bookmarkEnd w:id="305"/>
      <w:r>
        <w:rPr>
          <w:rFonts w:ascii="IRNazanin" w:hAnsi="IRNazanin" w:eastAsia="IRNazanin"/>
          <w:color w:val="111111"/>
          <w:sz w:val="28"/>
          <w:sz w:val="28"/>
          <w:szCs w:val="28"/>
          <w:rtl w:val="true"/>
          <w:lang w:bidi="fa-IR"/>
        </w:rPr>
        <w:t>برای روایات صحیح السند مذکور بوده و نشانه ای برای عادی بودن حضور کودکان در مسجد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بررسی این دو روایت صحیح السند خواهیم پرداخت</w:t>
      </w:r>
      <w:r>
        <w:rPr>
          <w:rFonts w:eastAsia="IRNazanin" w:cs="IRNazanin"/>
          <w:color w:val="111111"/>
          <w:sz w:val="28"/>
          <w:szCs w:val="28"/>
          <w:rtl w:val="true"/>
          <w:lang w:bidi="fa-IR"/>
        </w:rPr>
        <w:t>.</w:t>
      </w:r>
    </w:p>
    <w:p>
      <w:pPr>
        <w:pStyle w:val="Heading4"/>
        <w:numPr>
          <w:ilvl w:val="3"/>
          <w:numId w:val="1"/>
        </w:numPr>
        <w:rPr/>
      </w:pPr>
      <w:bookmarkStart w:id="306" w:name="__RefHeading___Toc15165273_1280447820"/>
      <w:bookmarkStart w:id="307" w:name="_Toc112"/>
      <w:bookmarkEnd w:id="306"/>
      <w:r>
        <w:rPr>
          <w:rtl w:val="true"/>
        </w:rPr>
        <w:t>گفتار اول</w:t>
      </w:r>
      <w:r>
        <w:rPr>
          <w:rtl w:val="true"/>
        </w:rPr>
        <w:t xml:space="preserve">: </w:t>
      </w:r>
      <w:r>
        <w:rPr>
          <w:rtl w:val="true"/>
        </w:rPr>
        <w:t>حضور کودکان در مسجد النبی صلی الله علیه و اله وسلم</w:t>
      </w:r>
      <w:bookmarkEnd w:id="307"/>
    </w:p>
    <w:p>
      <w:pPr>
        <w:pStyle w:val="BookText"/>
        <w:rPr/>
      </w:pPr>
      <w:r>
        <w:rPr>
          <w:rFonts w:ascii="IRNazanin" w:hAnsi="IRNazanin" w:eastAsia="IRNazanin"/>
          <w:color w:val="111111"/>
          <w:sz w:val="28"/>
          <w:sz w:val="28"/>
          <w:szCs w:val="28"/>
          <w:rtl w:val="true"/>
          <w:lang w:bidi="fa-IR"/>
        </w:rPr>
        <w:t>روایتی صحیح السند از امام صادق علیه السلام نقل شده که می تواند نشان دهنده حضور کودکان در مساجد دوران پیامبر صلی الله علیه و 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 رَسُولُ اللَّهِ صلی الله علیه و اله لَیْلَةً مِنَ اللَّیَالِي الْعِشَاءَ الْآخِرَةَ مَا شَاءَ اللَّهُ فَجَاءَ عُمَرُ فَدَقَّ الْبَابَ فَقَالَ یَا رَسُولَ اللَّهِ نَامَ النِّسَاءُ نَامَ الصِّبْیَانُ فَخَرَجَ رَسُولُ اللَّهِ صلي الله فَقَالَ لَیْسَ لَکُمْ أَنْ تُؤْذُونِي وَ لَا تَأْمُرُونِي إِنَّمَا عَلَیْکُمْ أَنْ تَسْمَعُوا وَ تُطِیعُوا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شبی از شبها رسول خدا صلی الله علیه و اله به خواست خدا نماز عشاء را به تاخیر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آمد و در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نیز خوابیدند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کی نماز عشاء 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روا نیست که مرا بیازارید و جایز نیست که به من دستور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شما است که بشنوید و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الأحکام</w:t>
      </w:r>
      <w:r>
        <w:rPr>
          <w:rStyle w:val="FootnoteAnchor"/>
          <w:rtl w:val="true"/>
        </w:rPr>
        <w:footnoteReference w:id="227"/>
      </w:r>
      <w:r>
        <w:rPr>
          <w:rFonts w:ascii="IRNazanin" w:hAnsi="IRNazanin" w:eastAsia="IRNazanin"/>
          <w:color w:val="111111"/>
          <w:sz w:val="28"/>
          <w:sz w:val="28"/>
          <w:szCs w:val="28"/>
          <w:rtl w:val="true"/>
          <w:lang w:bidi="fa-IR"/>
        </w:rPr>
        <w:t>این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تسنن نیز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همین محتوا را به نقل از عایشه آورده اند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سند شناسی</w:t>
      </w:r>
    </w:p>
    <w:p>
      <w:pPr>
        <w:pStyle w:val="BookText"/>
        <w:rPr/>
      </w:pPr>
      <w:r>
        <w:rPr>
          <w:rFonts w:ascii="IRNazanin" w:hAnsi="IRNazanin" w:eastAsia="IRNazanin"/>
          <w:color w:val="111111"/>
          <w:sz w:val="28"/>
          <w:sz w:val="28"/>
          <w:szCs w:val="28"/>
          <w:rtl w:val="true"/>
          <w:lang w:bidi="fa-IR"/>
        </w:rPr>
        <w:t>سند شیخ طوسی در این روایت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الْحُسَیْنُ بْنُ سَعِیدٍ عَنِ النَّضْرِ بْنِ سُوَیْدٍ عَنْ عَبْدِ اللَّهِ بْنِ سِنَانٍ قَالَ سَمِعْتُ أَبَا عَبْدِ اللَّهِ علیه السلام یَقُول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سند این روایت نشان می دهد که این روایت صحیح السند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شیخ طوسی در دو کتاب رجال و فهرست</w:t>
      </w:r>
      <w:r>
        <w:rPr>
          <w:rStyle w:val="FootnoteAnchor"/>
          <w:rtl w:val="true"/>
        </w:rPr>
        <w:footnoteReference w:id="229"/>
      </w:r>
      <w:r>
        <w:rPr>
          <w:rFonts w:ascii="IRNazanin" w:hAnsi="IRNazanin" w:eastAsia="IRNazanin"/>
          <w:color w:val="111111"/>
          <w:sz w:val="28"/>
          <w:sz w:val="28"/>
          <w:szCs w:val="28"/>
          <w:rtl w:val="true"/>
          <w:lang w:bidi="fa-IR"/>
        </w:rPr>
        <w:t>، توثیق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صحیح الحدیث</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همچنین نجاشی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خازنا للمنصور و المهدی و الهادی و الرشید، کوفی، ثقة من أصحابنا، جلیل، لا یطعن علیه فی شی‌ء، روى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شکی نیست که این روایت صحیح السند می باشد، همچنانکه علامه مجلسی نیز بر آن تصریح کرده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دلالت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النساء و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دو معنا داشته باشد که یکی حقیقی و دیگری کنایی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ظهور کلام عمر بن خطاب در معنای حقیقی آن یعنی حضور کودکان و زنان در مسجد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اگرچه ممکن است مقصود عمر از به خواب رفتن کودکان و زنان تنها کنایه از دیر شدن زمان باشد اما ظاهر حدیث نشان می دهد که زنان و کودکان نیز همانند دیگران در مسجد حضور داشته اند و انتظار برپایی </w:t>
      </w:r>
      <w:bookmarkStart w:id="308" w:name="pg19111_195056"/>
    </w:p>
    <w:p>
      <w:pPr>
        <w:pStyle w:val="BookText"/>
        <w:rPr/>
      </w:pPr>
      <w:bookmarkEnd w:id="308"/>
      <w:r>
        <w:rPr>
          <w:rFonts w:ascii="IRNazanin" w:hAnsi="IRNazanin" w:eastAsia="IRNazanin"/>
          <w:color w:val="111111"/>
          <w:sz w:val="28"/>
          <w:sz w:val="28"/>
          <w:szCs w:val="28"/>
          <w:rtl w:val="true"/>
          <w:lang w:bidi="fa-IR"/>
        </w:rPr>
        <w:t>نماز را می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برای اعتراض به پیامبر صلی الله علیه و اله باید دست آویز و بهانه ای فراهم کند که ظاهری منطقی و قابل پذیرش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کودکان و زنان در خانه هایشان به خواب رفته باشند، نمی تواند مستمسکی برای اعتراض به پیامبر صلی الله علیه و اله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موید این ظهور، عنوان بابی است که بخاری برای این روایت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فهم راویان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راویان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حجّیتی ندارد اما به هر حال می تواند مویدی برای این مطلب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این روایت را در چهار موضع آورده که یکی از آنها با این عنوان درج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وضوء الصبیان و متی یجب علیهم الغسل و الطهور و حضورهم الجماعه و العیدین و الجنایز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وی این روایت را مرتبط با حضور کودکان در مسجد و نماز جماعت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النساء و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پس از خوابیدن برخی از زنان و کودکان در مسجد رخ داده باشد و یا اینکه حکایت از خواب آلودگی آنان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عرف نیز به کسانی که در آستانه خواب هستند و خمیازه می کشند، چنین اطلاقی می شود</w:t>
      </w:r>
      <w:r>
        <w:rPr>
          <w:rFonts w:eastAsia="IRNazanin" w:cs="IRNazanin"/>
          <w:color w:val="111111"/>
          <w:sz w:val="28"/>
          <w:szCs w:val="28"/>
          <w:rtl w:val="true"/>
          <w:lang w:bidi="fa-IR"/>
        </w:rPr>
        <w:t>.</w:t>
      </w:r>
    </w:p>
    <w:p>
      <w:pPr>
        <w:pStyle w:val="Heading4"/>
        <w:numPr>
          <w:ilvl w:val="3"/>
          <w:numId w:val="1"/>
        </w:numPr>
        <w:rPr/>
      </w:pPr>
      <w:bookmarkStart w:id="309" w:name="__RefHeading___Toc15165275_1280447820"/>
      <w:bookmarkStart w:id="310" w:name="_Toc113"/>
      <w:bookmarkEnd w:id="309"/>
      <w:r>
        <w:rPr>
          <w:rtl w:val="true"/>
        </w:rPr>
        <w:t>گفتار دوم</w:t>
      </w:r>
      <w:r>
        <w:rPr>
          <w:rtl w:val="true"/>
        </w:rPr>
        <w:t xml:space="preserve">: </w:t>
      </w:r>
      <w:r>
        <w:rPr>
          <w:rtl w:val="true"/>
        </w:rPr>
        <w:t>مدارای پیامبر صلی الله علیه و آله وسلم در برابر آوردن کودک شیرخواره به مسجد</w:t>
      </w:r>
      <w:bookmarkEnd w:id="310"/>
    </w:p>
    <w:p>
      <w:pPr>
        <w:pStyle w:val="Heading5"/>
        <w:numPr>
          <w:ilvl w:val="4"/>
          <w:numId w:val="1"/>
        </w:numPr>
        <w:rPr/>
      </w:pPr>
      <w:bookmarkStart w:id="311" w:name="__RefHeading___Toc15165277_1280447820"/>
      <w:bookmarkStart w:id="312" w:name="_Toc114"/>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در روایتی صحیح السند از امام صادق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صَلَّي رَسُولُ اللَّهِ صلي الله علیه و آله وسلم بِالنَّاسِ الظُّهْرَ فَخَفَّفَ فِي الرَّکْعَتَیْنِ الْأَخِیرَتَیْنِ فَلَمَّا انْصَرَفَ قَالَ لَهُ النَّاسُ هَلْ حَدَثَ فِي الصَّلَاةِ حَدَثٌ قَالَ وَ مَا ذَاکَ قَالُوا خَفَّفْتَ فِي الرَّکْعَتَیْنِ الْأَخِیرَتَیْنِ فَقَالَ لَهُمْ أَمَا سَمِعْتُمْ صُرَاخَ الصَّبِیِّ</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اله نماز ظهر را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 و دو رکعت آخر را کوتاه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و با اسقاط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 تمام شد، مردم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 پیش آمدى رخ داد؟ حضرت پرسید مگر 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آخر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خواندید؟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صداى ناله و فریاد کودک را نشنیدید؟ </w:t>
      </w:r>
      <w:bookmarkStart w:id="313" w:name="pg19111_195057"/>
    </w:p>
    <w:p>
      <w:pPr>
        <w:pStyle w:val="Heading5"/>
        <w:numPr>
          <w:ilvl w:val="4"/>
          <w:numId w:val="1"/>
        </w:numPr>
        <w:rPr/>
      </w:pPr>
      <w:bookmarkStart w:id="314" w:name="__RefHeading___Toc15165279_1280447820"/>
      <w:bookmarkStart w:id="315" w:name="_Toc115"/>
      <w:bookmarkEnd w:id="313"/>
      <w:bookmarkEnd w:id="314"/>
      <w:r>
        <w:rPr>
          <w:rtl w:val="true"/>
        </w:rPr>
        <w:t>منابع حدیث و نقل های مشابه آن</w:t>
      </w:r>
      <w:bookmarkEnd w:id="315"/>
    </w:p>
    <w:p>
      <w:pPr>
        <w:pStyle w:val="BookText"/>
        <w:rPr/>
      </w:pPr>
      <w:r>
        <w:rPr>
          <w:rFonts w:ascii="IRNazanin" w:hAnsi="IRNazanin" w:eastAsia="IRNazanin"/>
          <w:color w:val="111111"/>
          <w:sz w:val="28"/>
          <w:sz w:val="28"/>
          <w:szCs w:val="28"/>
          <w:rtl w:val="true"/>
          <w:lang w:bidi="fa-IR"/>
        </w:rPr>
        <w:t>این روایت در سه کتاب از کتب اربعه حدیثی شیعه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الکافی</w:t>
      </w:r>
      <w:r>
        <w:rPr>
          <w:rStyle w:val="FootnoteAnchor"/>
          <w:rtl w:val="true"/>
        </w:rPr>
        <w:footnoteReference w:id="2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الأحکام</w:t>
      </w:r>
      <w:r>
        <w:rPr>
          <w:rStyle w:val="FootnoteAnchor"/>
          <w:rtl w:val="true"/>
        </w:rPr>
        <w:footnoteReference w:id="2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لا یحضره الفقیه</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البته نقل شیخ صدوق در من لا یحضره الفقیه، قدری با نقل دو کتاب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نقل از امام صادق علیه السلام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النَّبِیَّ صلي الله علیه وآله وسلم کَانَ ذَاتَ یَوْمٍ یَؤُمُّ أَصْحَابَهُ فَیَسْمَعُ بُکَاءَ الصَّبِیِ فَیُخَفِّفُ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پیامبر خدا امامت اصحاب خود را بر عهده داشت و پیشنماز آنها بود که صداى گریه کودکى بگوش آن حضرت رسید، پس نماز را کوتاه و سبک به پایان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فهد حلی در عدة الداعی</w:t>
      </w:r>
      <w:r>
        <w:rPr>
          <w:rStyle w:val="FootnoteAnchor"/>
          <w:rtl w:val="true"/>
        </w:rPr>
        <w:footnoteReference w:id="235"/>
      </w:r>
      <w:r>
        <w:rPr>
          <w:rFonts w:ascii="IRNazanin" w:hAnsi="IRNazanin" w:eastAsia="IRNazanin"/>
          <w:color w:val="111111"/>
          <w:sz w:val="28"/>
          <w:sz w:val="28"/>
          <w:szCs w:val="28"/>
          <w:rtl w:val="true"/>
          <w:lang w:bidi="fa-IR"/>
        </w:rPr>
        <w:t>همانند متن الکافی و التهذیب را نقل کرده اما در انتهای حدیث، این جمله را افزوده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حَدِیثٍ آخَرَ خَشِیتُ أَنْ یَشْتَغِلَ بِهِ خَاطِرُ أَبِیهِ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دیگری آمده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که خاطر پدرش به او مشغول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توجه در نماز غافل بماند</w:t>
      </w:r>
      <w:r>
        <w:rPr>
          <w:rFonts w:eastAsia="IRNazanin" w:cs="IRNazanin"/>
          <w:color w:val="111111"/>
          <w:sz w:val="28"/>
          <w:szCs w:val="28"/>
          <w:rtl w:val="true"/>
          <w:lang w:bidi="fa-IR"/>
        </w:rPr>
        <w:t>)</w:t>
      </w:r>
    </w:p>
    <w:p>
      <w:pPr>
        <w:pStyle w:val="Heading5"/>
        <w:numPr>
          <w:ilvl w:val="4"/>
          <w:numId w:val="1"/>
        </w:numPr>
        <w:rPr/>
      </w:pPr>
      <w:bookmarkStart w:id="316" w:name="__RefHeading___Toc15165281_1280447820"/>
      <w:bookmarkStart w:id="317" w:name="_Toc116"/>
      <w:bookmarkEnd w:id="316"/>
      <w:r>
        <w:rPr>
          <w:rtl w:val="true"/>
        </w:rPr>
        <w:t>بررسی سند روایت در کتاب الکافی</w:t>
      </w:r>
      <w:bookmarkEnd w:id="317"/>
    </w:p>
    <w:p>
      <w:pPr>
        <w:pStyle w:val="BookText"/>
        <w:rPr/>
      </w:pPr>
      <w:r>
        <w:rPr>
          <w:rFonts w:ascii="IRNazanin" w:hAnsi="IRNazanin" w:eastAsia="IRNazanin"/>
          <w:color w:val="111111"/>
          <w:sz w:val="28"/>
          <w:sz w:val="28"/>
          <w:szCs w:val="28"/>
          <w:rtl w:val="true"/>
          <w:lang w:bidi="fa-IR"/>
        </w:rPr>
        <w:t>سند این حدیث در کتاب شریف الکافی عبارت است از</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إِبْرَاهِیمَ عَنْ أَبِیهِ عَنْ عَبْدِ اللَّهِ بْنِ الْمُغِیرَةِ عَنْ عَبْدِ اللَّهِ بْنِ سِنَانٍ عَنْ أَبِی عَبْدِ اللَّهِ علیه و آله وسلم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این سند چنانکه علامه مجلسی نیز به آن اشاره کرده، به دلیل وجود ابراهیم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اعتماد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ابتدای این سند با علی بن ابراهیم قمی آغاز شده که نجاشی در مورد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فی الحدیث ثبت معتمد صحیح المذهب</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شخصیت بعد، ابراهیم بن هاشم است که توثیق خاص ندارد اما قابل اعتماد عموم فقها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مورد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أصحابنا یقولون أول من نشر حدیث الکوفیین بقم هو</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علامه حلی نیز پس از این مطلب،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أقف لأحد من أصحابنا علي قول في القدح فیه و لا علي تعدیله بالتنصیص و الروایات عنه کثیرة و الأرجح قبول قوله</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عبد الله بن المغیره نیز از شخصیت ها تراز اول شیعه بوده که نجاشی در مورد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ثقة لا یعدل به أحد من جلالته و دینه و ورعه</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نجاشی در مورد عبدالله بن سنان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من أصحابنا جلیل لا یطعن علیه فی شی‌ء</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بررسی سند روایت در کتاب تهذیب الاحکام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حدیث در تهذیب الاحکام عبارت است از</w:t>
      </w:r>
      <w:r>
        <w:rPr>
          <w:rFonts w:eastAsia="IRNazanin" w:cs="IRNazanin"/>
          <w:color w:val="111111"/>
          <w:sz w:val="28"/>
          <w:szCs w:val="28"/>
          <w:rtl w:val="true"/>
          <w:lang w:bidi="fa-IR"/>
        </w:rPr>
        <w:t xml:space="preserve">: </w:t>
      </w:r>
      <w:bookmarkStart w:id="318" w:name="pg19111_195059"/>
    </w:p>
    <w:p>
      <w:pPr>
        <w:pStyle w:val="BookText"/>
        <w:rPr/>
      </w:pPr>
      <w:bookmarkEnd w:id="318"/>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عَنْ عَبْدِ اللَّهِ بْنِ الْمُغِیرَةِ عَنِ ابْنِ سِنَانٍ عَنْ أَبِی عَبْدِ اللَّهِ علیه السلام قَالَ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ضمیر ابتدای سند با توجه به روایت پیشین آن، به محمد بن علی بن محبوب بر می گردد که نجاشی در مورد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القمیین فی زمانه ثقة عین فقیه صحیح المذهب</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مورد عباس بن معروف نیز نجاشی</w:t>
      </w:r>
      <w:r>
        <w:rPr>
          <w:rStyle w:val="FootnoteAnchor"/>
          <w:rtl w:val="true"/>
        </w:rPr>
        <w:footnoteReference w:id="243"/>
      </w:r>
      <w:r>
        <w:rPr>
          <w:rFonts w:ascii="IRNazanin" w:hAnsi="IRNazanin" w:eastAsia="IRNazanin"/>
          <w:color w:val="111111"/>
          <w:sz w:val="28"/>
          <w:sz w:val="28"/>
          <w:szCs w:val="28"/>
          <w:rtl w:val="true"/>
          <w:lang w:bidi="fa-IR"/>
        </w:rPr>
        <w:t>و شیخ طوسی</w:t>
      </w:r>
      <w:r>
        <w:rPr>
          <w:rStyle w:val="FootnoteAnchor"/>
          <w:rtl w:val="true"/>
        </w:rPr>
        <w:footnoteReference w:id="244"/>
      </w:r>
      <w:r>
        <w:rPr>
          <w:rFonts w:ascii="IRNazanin" w:hAnsi="IRNazanin" w:eastAsia="IRNazanin"/>
          <w:color w:val="111111"/>
          <w:sz w:val="28"/>
          <w:sz w:val="28"/>
          <w:szCs w:val="28"/>
          <w:rtl w:val="true"/>
          <w:lang w:bidi="fa-IR"/>
        </w:rPr>
        <w:t xml:space="preserve">آن را توثیق کرده و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پایانی این سند، مشابه سند این روایت در کتاب الکافی به عبد الله بن المغیره و عبد الله بن سنان ختم می شود که توثیق این دو در روایت پیشین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 این روایت در کتاب التهذیب نیز صحیح، می باشد</w:t>
      </w:r>
      <w:r>
        <w:rPr>
          <w:rFonts w:eastAsia="IRNazanin" w:cs="IRNazanin"/>
          <w:color w:val="111111"/>
          <w:sz w:val="28"/>
          <w:szCs w:val="28"/>
          <w:rtl w:val="true"/>
          <w:lang w:bidi="fa-IR"/>
        </w:rPr>
        <w:t>.</w:t>
      </w:r>
    </w:p>
    <w:p>
      <w:pPr>
        <w:pStyle w:val="Heading5"/>
        <w:numPr>
          <w:ilvl w:val="4"/>
          <w:numId w:val="1"/>
        </w:numPr>
        <w:rPr/>
      </w:pPr>
      <w:bookmarkStart w:id="319" w:name="__RefHeading___Toc15165283_1280447820"/>
      <w:bookmarkStart w:id="320" w:name="_Toc117"/>
      <w:bookmarkEnd w:id="319"/>
      <w:r>
        <w:rPr>
          <w:rtl w:val="true"/>
        </w:rPr>
        <w:t>بررسی سند روایت در کتاب من لا یحضره الفقیه</w:t>
      </w:r>
      <w:bookmarkEnd w:id="320"/>
    </w:p>
    <w:p>
      <w:pPr>
        <w:pStyle w:val="BookText"/>
        <w:rPr/>
      </w:pPr>
      <w:r>
        <w:rPr>
          <w:rFonts w:ascii="IRNazanin" w:hAnsi="IRNazanin" w:eastAsia="IRNazanin"/>
          <w:color w:val="111111"/>
          <w:sz w:val="28"/>
          <w:sz w:val="28"/>
          <w:szCs w:val="28"/>
          <w:rtl w:val="true"/>
          <w:lang w:bidi="fa-IR"/>
        </w:rPr>
        <w:t>سند این حدیث در من لا یحضره الفقیه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إِسْحَاقُ بْنُ عَمَّارٍ عَنْ أَبِی عَبْدِ اللَّهِ علیه السلام أَنَّهُ قَالَ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نجاشی در مورد اسحاق بن عمار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من أصحابنا ثقة</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شیخ طوسی با اینکه او را فطحی دانسته در مورد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فطحیا إلا أنه ثقة و أصله معتمد علیه</w:t>
      </w:r>
      <w:r>
        <w:rPr>
          <w:rFonts w:eastAsia="IRNazanin" w:cs="IRNazanin"/>
          <w:color w:val="111111"/>
          <w:sz w:val="28"/>
          <w:szCs w:val="28"/>
          <w:rtl w:val="true"/>
          <w:lang w:bidi="fa-IR"/>
        </w:rPr>
        <w:t>.</w:t>
      </w:r>
      <w:r>
        <w:rPr>
          <w:rStyle w:val="FootnoteAnchor"/>
          <w:rtl w:val="true"/>
        </w:rPr>
        <w:footnoteReference w:id="24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خود اسحاق بن عمار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دید که آیا </w:t>
      </w:r>
    </w:p>
    <w:p>
      <w:pPr>
        <w:pStyle w:val="BookText"/>
        <w:rPr/>
      </w:pPr>
      <w:r>
        <w:rPr>
          <w:rFonts w:ascii="IRNazanin" w:hAnsi="IRNazanin" w:eastAsia="IRNazanin"/>
          <w:color w:val="111111"/>
          <w:sz w:val="28"/>
          <w:sz w:val="28"/>
          <w:szCs w:val="28"/>
          <w:rtl w:val="true"/>
          <w:lang w:bidi="fa-IR"/>
        </w:rPr>
        <w:t>سند شیخ صدوق به اسحاق بن عمار نیز معتبر و قابل اعتماد است؟</w:t>
      </w:r>
    </w:p>
    <w:p>
      <w:pPr>
        <w:pStyle w:val="BookText"/>
        <w:rPr/>
      </w:pPr>
      <w:r>
        <w:rPr>
          <w:rFonts w:ascii="IRNazanin" w:hAnsi="IRNazanin" w:eastAsia="IRNazanin"/>
          <w:color w:val="111111"/>
          <w:sz w:val="28"/>
          <w:sz w:val="28"/>
          <w:szCs w:val="28"/>
          <w:rtl w:val="true"/>
          <w:lang w:bidi="fa-IR"/>
        </w:rPr>
        <w:t>شیخ صدوق در مشیخه این کتاب، سند خود به اسحاق بن عمار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إسحاق بن عمّار فقد رویته عن أبی رضی اللّه عنه عن عبد اللّه بن جعفر الحمیریّ، عن علیّ بن إسماعیل، عن صفوان بن یحیى، عن إسحاق بن عمّار</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مورد این سند باید گفت که نجاشی در مورد پدر شیخ صدوق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القمیین فی عصره و متقدمهم و فقیههم و ثقتهم</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نجاشی در مورد عبد الله بن جعفر حمیری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القمیین و وجههم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علی بن اسماعیل السدی یا السندی نیز در رجال کشی</w:t>
      </w:r>
      <w:r>
        <w:rPr>
          <w:rStyle w:val="FootnoteAnchor"/>
          <w:rtl w:val="true"/>
        </w:rPr>
        <w:footnoteReference w:id="250"/>
      </w:r>
      <w:r>
        <w:rPr>
          <w:rFonts w:ascii="IRNazanin" w:hAnsi="IRNazanin" w:eastAsia="IRNazanin"/>
          <w:color w:val="111111"/>
          <w:sz w:val="28"/>
          <w:sz w:val="28"/>
          <w:szCs w:val="28"/>
          <w:rtl w:val="true"/>
          <w:lang w:bidi="fa-IR"/>
        </w:rPr>
        <w:t>توثیق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سند این روایت در کتاب من لا یحضره الفقیه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مجلسی اول نیز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25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در صحیح یا موثق بودن روایت به توثیق اسحاق بن عمار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اینکه نجاشی و شیخ طوسی او را توثیق کرده اند اما شیخ طوسی او را فطحی مذهب معرفی کرد که در صورت پذیرش این مطلب،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 اعتماد به گفته نجاشی،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bookmarkStart w:id="321" w:name="pg19111_195061"/>
    </w:p>
    <w:p>
      <w:pPr>
        <w:pStyle w:val="Heading5"/>
        <w:numPr>
          <w:ilvl w:val="4"/>
          <w:numId w:val="1"/>
        </w:numPr>
        <w:rPr/>
      </w:pPr>
      <w:bookmarkStart w:id="322" w:name="__RefHeading___Toc15165285_1280447820"/>
      <w:bookmarkStart w:id="323" w:name="_Toc118"/>
      <w:bookmarkEnd w:id="321"/>
      <w:bookmarkEnd w:id="322"/>
      <w:r>
        <w:rPr>
          <w:rtl w:val="true"/>
        </w:rPr>
        <w:t>نقل مشابه در منابع اهل تسنن</w:t>
      </w:r>
      <w:bookmarkEnd w:id="323"/>
    </w:p>
    <w:p>
      <w:pPr>
        <w:pStyle w:val="BookText"/>
        <w:rPr/>
      </w:pPr>
      <w:r>
        <w:rPr>
          <w:rFonts w:ascii="IRNazanin" w:hAnsi="IRNazanin" w:eastAsia="IRNazanin"/>
          <w:color w:val="111111"/>
          <w:sz w:val="28"/>
          <w:sz w:val="28"/>
          <w:szCs w:val="28"/>
          <w:rtl w:val="true"/>
          <w:lang w:bidi="fa-IR"/>
        </w:rPr>
        <w:t xml:space="preserve">بخاری،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أخف الصلاة عند بکاء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روایت هم مضمون با روایت مذکور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است که در هر یک از این روایات به نکته ای متفاوت پیرامون عملکرد پیامبر صلی الله علیه و اله در مواجهه با این موضوع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اول ابو قتاده از پیامبر صلی الله علیه و اله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إني لأقوم في الصلاة أرید ان أطول فیها فأسمع بکاء الصبي فأتجوز في صلاتي کراهیة ان أشق علي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حال اقامه نماز بودم و می خواستم آن را طولانی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ناگاه صدای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کودک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دلیل آنکه ناخوش داشتم مادرش را به سختی بیاندازم، از نمازم چشم پوشیدم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دوم أنس بن مالک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صلیت وراء امام قط أخف صلاتا و لا أتم من النبي صلي الله علیه وسلم و إن کان لیسمع بکاء الصبي فیخفف مخافة ان تفتن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پشت سر هیچ پیش نمازی که خفیف تر و کامل تر از پیامبر ص، نماز به جا بیاورد، نماز نخوانده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هر گاه صدای گریه کودک می شنید، نمازش را از ترس آنکه مادر کودک به فتنه و عذاب دچار شود، سبک و کوتاه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سوم نیز انس بن مالک از پیامبر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لأدخل فی الصلاة و انا أرید اطالتها فأسمع بکاء الصبی فأتجوز فی صلاتی مما اعلم من شدة وجد أمه من بکائه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وارد نماز شدم در حالیکه می خواستم نماز را طولانی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کودک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آگاهی ام به شدت علاقه و ناراحتی مادر از گریه کودک، از نمازم چشم پوشیدم</w:t>
      </w:r>
      <w:r>
        <w:rPr>
          <w:rFonts w:eastAsia="IRNazanin" w:cs="IRNazanin"/>
          <w:color w:val="111111"/>
          <w:sz w:val="28"/>
          <w:szCs w:val="28"/>
          <w:rtl w:val="true"/>
          <w:lang w:bidi="fa-IR"/>
        </w:rPr>
        <w:t xml:space="preserve">. </w:t>
      </w:r>
      <w:bookmarkStart w:id="324" w:name="pg19111_195062"/>
    </w:p>
    <w:p>
      <w:pPr>
        <w:pStyle w:val="Heading5"/>
        <w:numPr>
          <w:ilvl w:val="4"/>
          <w:numId w:val="1"/>
        </w:numPr>
        <w:rPr/>
      </w:pPr>
      <w:bookmarkStart w:id="325" w:name="__RefHeading___Toc15165287_1280447820"/>
      <w:bookmarkStart w:id="326" w:name="_Toc119"/>
      <w:bookmarkEnd w:id="324"/>
      <w:bookmarkEnd w:id="325"/>
      <w:r>
        <w:rPr>
          <w:rtl w:val="true"/>
        </w:rPr>
        <w:t>منابع نقل اهل تسنن</w:t>
      </w:r>
      <w:bookmarkEnd w:id="326"/>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مسلم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ابن ماجة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ابن ماجه</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ابن اشعث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ابی داود</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ترمذی</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نسائی</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اما مسلم نیشابوری افزون بر این نقل، گزارش دیگری از این ماجرا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نقل، انس بن مالک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صلى الله علیه و سلم یسمع بکاء الصبی مع أمه و هو فی الصلاة فیقرأ بالسورة الخفیفة أو بالسورة القصیرة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اله گاهی در حال نماز، صدای گریه کودکی که همراه مادرش بود، می شنید، پس سوره کوتاهی را می خواند</w:t>
      </w:r>
      <w:r>
        <w:rPr>
          <w:rFonts w:eastAsia="IRNazanin" w:cs="IRNazanin"/>
          <w:color w:val="111111"/>
          <w:sz w:val="28"/>
          <w:szCs w:val="28"/>
          <w:rtl w:val="true"/>
          <w:lang w:bidi="fa-IR"/>
        </w:rPr>
        <w:t>.</w:t>
      </w:r>
    </w:p>
    <w:p>
      <w:pPr>
        <w:pStyle w:val="Heading5"/>
        <w:numPr>
          <w:ilvl w:val="4"/>
          <w:numId w:val="1"/>
        </w:numPr>
        <w:rPr/>
      </w:pPr>
      <w:bookmarkStart w:id="327" w:name="__RefHeading___Toc15165289_1280447820"/>
      <w:bookmarkStart w:id="328" w:name="_Toc120"/>
      <w:bookmarkEnd w:id="327"/>
      <w:r>
        <w:rPr>
          <w:rtl w:val="true"/>
        </w:rPr>
        <w:t>نکات و دلالت</w:t>
      </w:r>
      <w:bookmarkEnd w:id="32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ویژگی های این روایت این است که در سه کتاب از کتب اربعه حدیثی شیعه و با سندی صحیح، حسن و موثق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چنین ادعا کرد که مفاد آن بسیار تاثیر گذار در </w:t>
      </w:r>
    </w:p>
    <w:p>
      <w:pPr>
        <w:pStyle w:val="BookText"/>
        <w:rPr/>
      </w:pPr>
      <w:r>
        <w:rPr>
          <w:rFonts w:ascii="IRNazanin" w:hAnsi="IRNazanin" w:eastAsia="IRNazanin"/>
          <w:color w:val="111111"/>
          <w:sz w:val="28"/>
          <w:sz w:val="28"/>
          <w:szCs w:val="28"/>
          <w:rtl w:val="true"/>
          <w:lang w:bidi="fa-IR"/>
        </w:rPr>
        <w:t>دیدگاه فقهی ما در این مساله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بر می آید که آوردن کودکان به مسجد حتی شیرخوارگان و یا کودکان بسیار کوچک، مورد نهی پیامبر صلی الله علیه و اله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چنین کاری منفور پیامبر صلی الله علیه و اله بود، بهترین زمان برای بیان این حکم و به یاد سپاری آن نزد مردم، همین موقعیت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نوعی تقریر و امضای ورود کودکان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نهیی در این مورد وجود داشت، پیامبر صلی الله علیه و اله باید بلافاصله پس از بیان علت شتاب در نماز، از آن نهی نیز سخن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شیعه، پیامبر صلی الله علیه و اله دلیل اختصار نماز خود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سمعتم صراخ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گریه کودک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نقل اهل تسنن سه عبارت مجزا و هم مضمون در مورد دلیل اختصار نماز از زبان پیامبر صلی الله علیه و اله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کراهیة ان أشق على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شقّ به معنای شکافتن است که در مورد انسان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 و سختی در کارهای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دل در تب و تاب سختی ها می شکافد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عبارت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 ان تفتن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عذاب و گرفتاری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عبارت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شدة وجد أمه من بکائه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شدن علاقه و ناراحتی است</w:t>
      </w:r>
      <w:r>
        <w:rPr>
          <w:rFonts w:eastAsia="IRNazanin" w:cs="IRNazanin"/>
          <w:color w:val="111111"/>
          <w:sz w:val="28"/>
          <w:szCs w:val="28"/>
          <w:rtl w:val="true"/>
          <w:lang w:bidi="fa-IR"/>
        </w:rPr>
        <w:t>.</w:t>
      </w:r>
      <w:r>
        <w:rPr>
          <w:rStyle w:val="FootnoteAnchor"/>
          <w:rtl w:val="true"/>
        </w:rPr>
        <w:footnoteReference w:id="26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سه عبارت بر می آید که پیامبر صلی الله علیه و اله دل پر تب و تاب مادر را در نظر گرفته و نماز خود را کوتاه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گویای شفقت و مهربانی بسیار زیاد پیامبر صلی الله علیه و اله نسبت به مومنین خصوصا مادران و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نقل شیعه که حضرت، اختصار نماز را به گریه کودک، گره زده و چه در نقل اهل تسنن که این مساله با عاطفه مادر نسبت به کودکش گره خورده، می توان نتیجه گرفت که پیامبر صلی الله علیه و اله به هر دو گروه، مهر و شفقت ویژه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به کودکان و هم به زنان و مادران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این گزارشات استمرار این مطلب از جانب پیامبر صلی الله علیه و اله فهمیده می شود که خود حاکی از جواز حضور کودکان به مسجد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مضارع نشان از استمرار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استحباب کوتاه کردن نماز جماعت و مختصر خواندن آن، در زمانی که شخصی به اضطرار و سختی افتاده، دلالت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إِذَا صَلَّیْتَ فَصَلِّ صَلَاةَ أَضْعَفِ مَنْ خَلْفَک</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نیز چنین مساله ای قابل فهم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در ادامه این سخن باید گفت که در این روایت مراعات حال مامومین با مراعات حال کودکان در مسجد گره خورده و نمی توان تنها به یکی از آن دو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که در نماز جماعت، مدارا و مراقبت از کودکان نیز مستحب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ظریف و پراهمیت این جریان رجحانی است که پیامبر صلی الله علیه و اله در این نماز به نمایش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ماجرا نشان می دهد که حضرت در هیچ یک از این نقل ها نماز خود را بر هم نزده بلکه نماز را خفیف تر خوانده و از مستحبات نماز کاسته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توان نتیجه گرفت که دو امر مستحب در اینجا با هم تزاحم کرده اند و پیامبر صلی الله علیه و اله مدارای با کودکان را بر مستحبات نماز ترجیح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ایراد</w:t>
      </w:r>
    </w:p>
    <w:p>
      <w:pPr>
        <w:pStyle w:val="BookText"/>
        <w:rPr/>
      </w:pPr>
      <w:r>
        <w:rPr>
          <w:rFonts w:ascii="IRNazanin" w:hAnsi="IRNazanin" w:eastAsia="IRNazanin"/>
          <w:color w:val="111111"/>
          <w:sz w:val="28"/>
          <w:sz w:val="28"/>
          <w:szCs w:val="28"/>
          <w:rtl w:val="true"/>
          <w:lang w:bidi="fa-IR"/>
        </w:rPr>
        <w:t>آنچه که به صراحت در این روایت مطرح شده این است که پیامبر صلی الله علیه و اله به خاطر مادر کودک سرعت نماز را بیشتر کرده و از مستحبات نماز خود 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روایت نمی توان فهمید که دلیل تخویف و خلاصه کردن نماز پیامبر ص، مدارای با کودک شیرخوار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نقل شیعه بر می آید که دلیل اصلی تخویف نماز، گریه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از محدثان نظیر علامه مجلسی نیز به آن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سمعتم صراخ الصبی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أمه فی الصلاة معه، فخفف صلى الله علیه و آله الصلاة رحمة للصبی</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به بیان دیگر این مدارا در گام اول به جهت مدارا با کودک شیرخواره ای است که نیازمند محبت مادر خود می باشد و در گام دوم به جهت مادری است که در نماز جماعت، گریه کودک خود را می شنود و دلش به حال کودکش می تپد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مبنای نقل اهل تسنن نیز این شبهه قابل پاسخگویی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طریق اولویت، مدارای با کودک نیز ثابت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دلسوزی نسبت به مادر کودک به جهت رسیدگی او به کودک است و این دو مساله در هم تنیده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دلسوزی برای مادر ریشه در دلسوزی برای کودک دارد و قطعا هر دلی که برای این مادر بتپد به طریق اولویت برای کودک نیز خواهد تپید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نمی توان چنین فرض کرد که پیامبر صلی الله علیه و اله با آن دقت و شفقت فوق العاده، تنها به دل پر تب و تاب مادر کودک، اندیشیده و به سبب آن یعنی ناله های طفل شیرخواره توجهی نداشته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ایراد</w:t>
      </w:r>
    </w:p>
    <w:p>
      <w:pPr>
        <w:pStyle w:val="BookText"/>
        <w:rPr/>
      </w:pPr>
      <w:r>
        <w:rPr>
          <w:rFonts w:ascii="IRNazanin" w:hAnsi="IRNazanin" w:eastAsia="IRNazanin"/>
          <w:color w:val="111111"/>
          <w:sz w:val="28"/>
          <w:sz w:val="28"/>
          <w:szCs w:val="28"/>
          <w:rtl w:val="true"/>
          <w:lang w:bidi="fa-IR"/>
        </w:rPr>
        <w:t>در این جریان پیامبر صلی الله علیه و اله اجازه آوردن کودکان به مسجد را نداده بلکه تنها در یک عمل انجام شده قرار گرفته و با محبت سرشار خود این جریان را مدیریت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ورود کودکان به مسجد از جانب پیامبر صلی الله علیه و اله عملی نکوهیده باشد اما پس از آنکه چنین عمل نکوهیده ای توسط یکی از زنان انجام گرفته، حضرت چاره ای جز مدارای با کودک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جریان نمی تواند دلیلی بر اجازه حضرت بر آوردن کودکان به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جریان نشان می دهد که نه پیش از این جریان و نه پس از آن، نهیی از جانب پیامبر صلی الله علیه و اله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اگر پیش از این جریان، نهیی وجود داشت، هیچیک از زنان اجازه آوردن کودکان به مسجد را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بعد از این جریان نهیی وجود داشته، بهترین زمان برای بیان این نهی همین موقعیت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در مقام بیان موضوع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نهیی در کار بود پس از بیان دلیل کوتاه شدن نماز، باید نهی از آوردن کودکان به مسجد را ابراز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حضرت هیچ نهیی را ابراز نکرده نشان از امضا و تقریر پیامبر صلی الله علیه و اله بر مساله آوردن کودکان به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اینکه برخی از این روایات حاکی از استمرار این مساله دارد که نشان می دهد این اتفاق به کرّات در مسجد رخ داده و پیامبر صلی الله علیه و اله در دفعات بعد هم با اینکه نمازش را کوتاه کرده، آوردن کودکان به مسجد، را منع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کودک در یکی از خانه های اطراف مسجد قرار داشته و مادرش او را در حالی که خواب بوده در خانه گذاشته و به مسجد 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این مساله با توجه به معماری ساده مسجد در دوران پیامبر صلی الله علیه و اله مساله عجیبی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خانه ها در جوار مسجد قرار داشته و تا مدتی هم برخی از خانه ها به مسجد راه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چنین احتمالی غیر ممکن نیست اما بسیار بعید و دور از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فرض مذکور، پیامبر صلی الله علیه و اله باید در مقام امام جماعت به این نتیجه برسد که مادر کودکی که در خارج مسجد گریه می کند، قطعا در بین نمازگزاران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آنکه سوال پیامبر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سمعتم صراخ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یک مساله ساده و غیر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فرض مذکور، مردم هم باید به طور عادی این نکته را دریافته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گریه کودکی که در خارج از مسجد است برای عموم مردم، چنین نتیجه ای را در پی نخواهد داشت و توبیخ پیامبر صلی الله علیه و اله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سمعتم صراخ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معنا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همه گزارشات نشان می دهد که کودک در مسجد و همراه مادر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صدای آن به قدری واضح و قابل شنیدن بوده که پیامبر صلی الله علیه و 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سمعتم صراخ الصبی؟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هیچ مادری کودکش را در این سن و سال رها نمی کند و به حال خود وانمی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ظاهر این است که کودک شیرخواره جدای از مادر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مجلسی اول می گوید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أمه کانت فی الصلاة معه صلى الله علیه و آله و سلم</w:t>
      </w:r>
      <w:r>
        <w:rPr>
          <w:rFonts w:eastAsia="IRNazanin" w:cs="IRNazanin"/>
          <w:color w:val="111111"/>
          <w:sz w:val="28"/>
          <w:szCs w:val="28"/>
          <w:rtl w:val="true"/>
          <w:lang w:bidi="fa-IR"/>
        </w:rPr>
        <w:t>.</w:t>
      </w:r>
      <w:r>
        <w:rPr>
          <w:rStyle w:val="FootnoteAnchor"/>
          <w:rtl w:val="true"/>
        </w:rPr>
        <w:footnoteReference w:id="266"/>
      </w:r>
      <w:bookmarkStart w:id="329" w:name="pg19111_195068"/>
    </w:p>
    <w:p>
      <w:pPr>
        <w:pStyle w:val="Heading3"/>
        <w:numPr>
          <w:ilvl w:val="2"/>
          <w:numId w:val="1"/>
        </w:numPr>
        <w:rPr/>
      </w:pPr>
      <w:bookmarkStart w:id="330" w:name="__RefHeading___Toc15165291_1280447820"/>
      <w:bookmarkStart w:id="331" w:name="_Toc121"/>
      <w:bookmarkEnd w:id="329"/>
      <w:bookmarkEnd w:id="330"/>
      <w:r>
        <w:rPr>
          <w:rtl w:val="true"/>
        </w:rPr>
        <w:t>فصل پنجم</w:t>
      </w:r>
      <w:r>
        <w:rPr>
          <w:rtl w:val="true"/>
        </w:rPr>
        <w:t xml:space="preserve">: </w:t>
      </w:r>
      <w:r>
        <w:rPr>
          <w:rtl w:val="true"/>
        </w:rPr>
        <w:t>کنار نهادن روایات ناهیه به دلیل تعارض با دیگر روایات</w:t>
      </w:r>
      <w:bookmarkEnd w:id="331"/>
    </w:p>
    <w:p>
      <w:pPr>
        <w:pStyle w:val="Heading4"/>
        <w:numPr>
          <w:ilvl w:val="3"/>
          <w:numId w:val="1"/>
        </w:numPr>
        <w:rPr/>
      </w:pPr>
      <w:bookmarkStart w:id="332" w:name="__RefHeading___Toc15165293_1280447820"/>
      <w:bookmarkStart w:id="333" w:name="_Toc122"/>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با توجه به روایاتی که در این بخش مورد تحلیل قرار گرفت، باید گفت که میان روایات ناهیه و سیره پیامبر صلی الله علیه و اله و یا برخی دیگر از روایات موجود در این باب، تعارض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تعارض یا به کنار نهادن یکی از متعارضین خواهد انجامید و یا به ارائه وجه جمع و محدود کردن مصادیق نهی به گروه خاصی از کودکان منتهی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ظاهر این دو دسته از روایات پیدا است، اختلاف میان این دو دسته از روایات، از نوع تنافی و تعارض جدّی و غیر قابل انحلال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گویا راه را برای ارائه وجه جمع میان این دو دسته از روایات می بندد و مسیر استدلال را به سوی ترجیح یکی از متعارضین هموار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اگر راهی برای جمع میان این دو دسته از اخبار فراهم شد، باید قائل به تفصیل میان کراهت و اباحه شد</w:t>
      </w:r>
      <w:r>
        <w:rPr>
          <w:rFonts w:eastAsia="IRNazanin" w:cs="IRNazanin"/>
          <w:color w:val="111111"/>
          <w:sz w:val="28"/>
          <w:szCs w:val="28"/>
          <w:rtl w:val="true"/>
          <w:lang w:bidi="fa-IR"/>
        </w:rPr>
        <w:t>.</w:t>
      </w:r>
    </w:p>
    <w:p>
      <w:pPr>
        <w:pStyle w:val="Heading4"/>
        <w:numPr>
          <w:ilvl w:val="3"/>
          <w:numId w:val="1"/>
        </w:numPr>
        <w:rPr/>
      </w:pPr>
      <w:bookmarkStart w:id="334" w:name="__RefHeading___Toc15165295_1280447820"/>
      <w:bookmarkStart w:id="335" w:name="_Toc123"/>
      <w:bookmarkEnd w:id="334"/>
      <w:r>
        <w:rPr>
          <w:rtl w:val="true"/>
        </w:rPr>
        <w:t>گفتار اول</w:t>
      </w:r>
      <w:r>
        <w:rPr>
          <w:rtl w:val="true"/>
        </w:rPr>
        <w:t xml:space="preserve">: </w:t>
      </w:r>
      <w:r>
        <w:rPr>
          <w:rtl w:val="true"/>
        </w:rPr>
        <w:t>گستره روایات سیره در سنین مختلف کودکان</w:t>
      </w:r>
      <w:bookmarkEnd w:id="335"/>
    </w:p>
    <w:p>
      <w:pPr>
        <w:pStyle w:val="Heading5"/>
        <w:numPr>
          <w:ilvl w:val="4"/>
          <w:numId w:val="1"/>
        </w:numPr>
        <w:rPr/>
      </w:pPr>
      <w:bookmarkStart w:id="336" w:name="__RefHeading___Toc15165297_1280447820"/>
      <w:bookmarkStart w:id="337" w:name="_Toc124"/>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با توجه به روایات و گزارشات گوناگونی که در قسمت های پیشین اشاره شد، می توان چنین نتیجه گرفت که کودکان در دوران پیامبر صلی الله علیه و اله در سنین مختلف به مسجد راه پیدا کرده اند و هیچ گونه مانع و ردعی از جانب پیامبر صلی الله علیه و اله در برابر چنین کاری انجام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کمترین برخورد پیامبر صلی الله علیه و اله در برابر ورود کودکان به مسجد، سکوت حاکی از رضایت بوده است که حداقل نشان از اباحه آوردن کودکان به مسجد خواهد داشت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بررسی این مساله گروه های سنی کودکان را به صورت جداگانه مورد تحلیل قرار خواهیم داد تا روشن شود که در سیره نبوی هیچ ممنوعیتی برای هیچ گروهی از کودکان وجود ندارد</w:t>
      </w:r>
      <w:r>
        <w:rPr>
          <w:rFonts w:eastAsia="IRNazanin" w:cs="IRNazanin"/>
          <w:color w:val="111111"/>
          <w:sz w:val="28"/>
          <w:szCs w:val="28"/>
          <w:rtl w:val="true"/>
          <w:lang w:bidi="fa-IR"/>
        </w:rPr>
        <w:t xml:space="preserve">. </w:t>
      </w:r>
      <w:bookmarkStart w:id="338" w:name="pg19111_195069"/>
    </w:p>
    <w:p>
      <w:pPr>
        <w:pStyle w:val="Heading5"/>
        <w:numPr>
          <w:ilvl w:val="4"/>
          <w:numId w:val="1"/>
        </w:numPr>
        <w:rPr/>
      </w:pPr>
      <w:bookmarkStart w:id="339" w:name="__RefHeading___Toc15165299_1280447820"/>
      <w:bookmarkStart w:id="340" w:name="_Toc125"/>
      <w:bookmarkEnd w:id="338"/>
      <w:bookmarkEnd w:id="339"/>
      <w:r>
        <w:rPr/>
        <w:t>1</w:t>
      </w:r>
      <w:r>
        <w:rPr>
          <w:rtl w:val="true"/>
        </w:rPr>
        <w:t xml:space="preserve">- </w:t>
      </w:r>
      <w:r>
        <w:rPr>
          <w:rtl w:val="true"/>
        </w:rPr>
        <w:t>کودک شیرخواره</w:t>
      </w:r>
      <w:bookmarkEnd w:id="340"/>
    </w:p>
    <w:p>
      <w:pPr>
        <w:pStyle w:val="BookText"/>
        <w:rPr/>
      </w:pPr>
      <w:r>
        <w:rPr>
          <w:rFonts w:ascii="IRNazanin" w:hAnsi="IRNazanin" w:eastAsia="IRNazanin"/>
          <w:color w:val="111111"/>
          <w:sz w:val="28"/>
          <w:sz w:val="28"/>
          <w:szCs w:val="28"/>
          <w:rtl w:val="true"/>
          <w:lang w:bidi="fa-IR"/>
        </w:rPr>
        <w:t>روایت صحیح السندی که حکایت از مواجهه پیامبر صلی الله علیه و اله با آوردن کودک شیرخواره به مسجد داشت، به غیر از صحت سند در کتب شیعه، از کثرت نقل در کتب اهل تسنن نیز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آنکه از برخی از این نقل ها بر می آید که این جریان بارها رخ داده و پیامبر صلی الله علیه و اله از آوردن کودک شیرخواره به مسجد نهی نکرده است</w:t>
      </w:r>
      <w:r>
        <w:rPr>
          <w:rFonts w:eastAsia="IRNazanin" w:cs="IRNazanin"/>
          <w:color w:val="111111"/>
          <w:sz w:val="28"/>
          <w:szCs w:val="28"/>
          <w:rtl w:val="true"/>
          <w:lang w:bidi="fa-IR"/>
        </w:rPr>
        <w:t>.</w:t>
      </w:r>
    </w:p>
    <w:p>
      <w:pPr>
        <w:pStyle w:val="Heading5"/>
        <w:numPr>
          <w:ilvl w:val="4"/>
          <w:numId w:val="1"/>
        </w:numPr>
        <w:rPr/>
      </w:pPr>
      <w:bookmarkStart w:id="341" w:name="__RefHeading___Toc15165301_1280447820"/>
      <w:bookmarkStart w:id="342" w:name="_Toc126"/>
      <w:bookmarkEnd w:id="341"/>
      <w:r>
        <w:rPr/>
        <w:t>2</w:t>
      </w:r>
      <w:r>
        <w:rPr>
          <w:rtl w:val="true"/>
        </w:rPr>
        <w:t xml:space="preserve">- </w:t>
      </w:r>
      <w:r>
        <w:rPr>
          <w:rtl w:val="true"/>
        </w:rPr>
        <w:t xml:space="preserve">کودک غیر ممیز که وابسته به دیگران است </w:t>
      </w:r>
      <w:r>
        <w:rPr>
          <w:rtl w:val="true"/>
        </w:rPr>
        <w:t>(</w:t>
      </w:r>
      <w:r>
        <w:rPr/>
        <w:t>1</w:t>
      </w:r>
      <w:r>
        <w:rPr>
          <w:rtl w:val="true"/>
        </w:rPr>
        <w:t xml:space="preserve"> </w:t>
      </w:r>
      <w:r>
        <w:rPr>
          <w:rtl w:val="true"/>
        </w:rPr>
        <w:t xml:space="preserve">تا </w:t>
      </w:r>
      <w:r>
        <w:rPr/>
        <w:t>3</w:t>
      </w:r>
      <w:r>
        <w:rPr>
          <w:rtl w:val="true"/>
        </w:rPr>
        <w:t xml:space="preserve"> </w:t>
      </w:r>
      <w:r>
        <w:rPr>
          <w:rtl w:val="true"/>
        </w:rPr>
        <w:t>سالگی</w:t>
      </w:r>
      <w:r>
        <w:rPr>
          <w:rtl w:val="true"/>
        </w:rPr>
        <w:t>)</w:t>
      </w:r>
      <w:bookmarkEnd w:id="342"/>
    </w:p>
    <w:p>
      <w:pPr>
        <w:pStyle w:val="BookText"/>
        <w:rPr/>
      </w:pPr>
      <w:r>
        <w:rPr>
          <w:rFonts w:ascii="IRNazanin" w:hAnsi="IRNazanin" w:eastAsia="IRNazanin"/>
          <w:color w:val="111111"/>
          <w:sz w:val="28"/>
          <w:sz w:val="28"/>
          <w:szCs w:val="28"/>
          <w:rtl w:val="true"/>
          <w:lang w:bidi="fa-IR"/>
        </w:rPr>
        <w:t>کودک، در مراحل ابتدایی رشد خود نیازمند مراقبت ویژه از سوی دیگران است و وابستگی شدیدی نسبت به والدین و اطرافیان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 ویژه را حدودا بین یک تا سه سالگی می توان محاسبه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آوردن امامه به مسجد توسط پیامبر صلی الله علیه و اله و حمل کردن او در هنگام ایستادن نشان دهنده وابستگی این کودک به دیگران است</w:t>
      </w:r>
      <w:r>
        <w:rPr>
          <w:rFonts w:eastAsia="IRNazanin" w:cs="IRNazanin"/>
          <w:color w:val="111111"/>
          <w:sz w:val="28"/>
          <w:szCs w:val="28"/>
          <w:rtl w:val="true"/>
          <w:lang w:bidi="fa-IR"/>
        </w:rPr>
        <w:t>.</w:t>
      </w:r>
    </w:p>
    <w:p>
      <w:pPr>
        <w:pStyle w:val="Heading5"/>
        <w:numPr>
          <w:ilvl w:val="4"/>
          <w:numId w:val="1"/>
        </w:numPr>
        <w:rPr/>
      </w:pPr>
      <w:bookmarkStart w:id="343" w:name="__RefHeading___Toc15165303_1280447820"/>
      <w:bookmarkStart w:id="344" w:name="_Toc127"/>
      <w:bookmarkEnd w:id="343"/>
      <w:r>
        <w:rPr/>
        <w:t>3</w:t>
      </w:r>
      <w:r>
        <w:rPr>
          <w:rtl w:val="true"/>
        </w:rPr>
        <w:t xml:space="preserve">- </w:t>
      </w:r>
      <w:r>
        <w:rPr>
          <w:rtl w:val="true"/>
        </w:rPr>
        <w:t xml:space="preserve">کودک غیر ممیز مستقل </w:t>
      </w:r>
      <w:r>
        <w:rPr>
          <w:rtl w:val="true"/>
        </w:rPr>
        <w:t>(</w:t>
      </w:r>
      <w:r>
        <w:rPr/>
        <w:t>3</w:t>
      </w:r>
      <w:r>
        <w:rPr>
          <w:rtl w:val="true"/>
        </w:rPr>
        <w:t xml:space="preserve"> </w:t>
      </w:r>
      <w:r>
        <w:rPr>
          <w:rtl w:val="true"/>
        </w:rPr>
        <w:t xml:space="preserve">تا </w:t>
      </w:r>
      <w:r>
        <w:rPr/>
        <w:t>7</w:t>
      </w:r>
      <w:r>
        <w:rPr>
          <w:rtl w:val="true"/>
        </w:rPr>
        <w:t xml:space="preserve"> </w:t>
      </w:r>
      <w:r>
        <w:rPr>
          <w:rtl w:val="true"/>
        </w:rPr>
        <w:t>سالگی</w:t>
      </w:r>
      <w:r>
        <w:rPr>
          <w:rtl w:val="true"/>
        </w:rPr>
        <w:t>)</w:t>
      </w:r>
      <w:bookmarkEnd w:id="344"/>
    </w:p>
    <w:p>
      <w:pPr>
        <w:pStyle w:val="BookText"/>
        <w:rPr/>
      </w:pPr>
      <w:r>
        <w:rPr>
          <w:rFonts w:ascii="IRNazanin" w:hAnsi="IRNazanin" w:eastAsia="IRNazanin"/>
          <w:color w:val="111111"/>
          <w:sz w:val="28"/>
          <w:sz w:val="28"/>
          <w:szCs w:val="28"/>
          <w:rtl w:val="true"/>
          <w:lang w:bidi="fa-IR"/>
        </w:rPr>
        <w:t>بعد از دوران وابستگی، کودک در سن رشد خود مقداری از بزرگترها جدا می شود و به صورت مستقل به بازی و بازیگوشی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گزارشات پیش گفته نیز حکایت از بازی مستقل و بازیگوشی کودکان در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داستان بازی حسنین بر دوش پیامبر و مدارای حضرت با آن دو بزرگوار و یا داستان طولانی شدن نماز به جهت مدارا با حسنین در نماز جماعت نشانگر اباحه ورود چنین کودکانی به مسجد است</w:t>
      </w:r>
      <w:r>
        <w:rPr>
          <w:rFonts w:eastAsia="IRNazanin" w:cs="IRNazanin"/>
          <w:color w:val="111111"/>
          <w:sz w:val="28"/>
          <w:szCs w:val="28"/>
          <w:rtl w:val="true"/>
          <w:lang w:bidi="fa-IR"/>
        </w:rPr>
        <w:t>.</w:t>
      </w:r>
    </w:p>
    <w:p>
      <w:pPr>
        <w:pStyle w:val="Heading5"/>
        <w:numPr>
          <w:ilvl w:val="4"/>
          <w:numId w:val="1"/>
        </w:numPr>
        <w:rPr/>
      </w:pPr>
      <w:bookmarkStart w:id="345" w:name="__RefHeading___Toc15165305_1280447820"/>
      <w:bookmarkStart w:id="346" w:name="_Toc128"/>
      <w:bookmarkEnd w:id="345"/>
      <w:r>
        <w:rPr/>
        <w:t>4</w:t>
      </w:r>
      <w:r>
        <w:rPr>
          <w:rtl w:val="true"/>
        </w:rPr>
        <w:t xml:space="preserve">- </w:t>
      </w:r>
      <w:r>
        <w:rPr>
          <w:rtl w:val="true"/>
        </w:rPr>
        <w:t>کودک ممیز</w:t>
      </w:r>
      <w:bookmarkEnd w:id="34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 تمییز و تشخیص در کودکان متفاوت است اما تقریبا می توان گفت که کودکان معمولا از هفت سالگی ممیز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حسنین در سال های پایانی عمر پیامبر صلی الله علیه و اله در مسجد النبی و یا حضور عبد الله بن جعفر در سخنرانی پیامبر صلی الله علیه و اله و نشستن بر منبر آن حضرت که در سن هشت سالگی دو نمونه بارز از این مساله است</w:t>
      </w:r>
      <w:r>
        <w:rPr>
          <w:rFonts w:eastAsia="IRNazanin" w:cs="IRNazanin"/>
          <w:color w:val="111111"/>
          <w:sz w:val="28"/>
          <w:szCs w:val="28"/>
          <w:rtl w:val="true"/>
          <w:lang w:bidi="fa-IR"/>
        </w:rPr>
        <w:t xml:space="preserve">. </w:t>
      </w:r>
      <w:bookmarkStart w:id="347" w:name="pg19111_195070"/>
    </w:p>
    <w:p>
      <w:pPr>
        <w:pStyle w:val="Heading4"/>
        <w:numPr>
          <w:ilvl w:val="3"/>
          <w:numId w:val="1"/>
        </w:numPr>
        <w:rPr/>
      </w:pPr>
      <w:bookmarkStart w:id="348" w:name="__RefHeading___Toc15165307_1280447820"/>
      <w:bookmarkStart w:id="349" w:name="_Toc129"/>
      <w:bookmarkEnd w:id="347"/>
      <w:bookmarkEnd w:id="348"/>
      <w:r>
        <w:rPr>
          <w:rtl w:val="true"/>
        </w:rPr>
        <w:t>گفتار دوم</w:t>
      </w:r>
      <w:r>
        <w:rPr>
          <w:rtl w:val="true"/>
        </w:rPr>
        <w:t xml:space="preserve">: </w:t>
      </w:r>
      <w:r>
        <w:rPr>
          <w:rtl w:val="true"/>
        </w:rPr>
        <w:t>ترجیح روایات سیره بر روایات کراهت</w:t>
      </w:r>
      <w:bookmarkEnd w:id="349"/>
    </w:p>
    <w:p>
      <w:pPr>
        <w:pStyle w:val="BookText"/>
        <w:rPr/>
      </w:pPr>
      <w:r>
        <w:rPr>
          <w:rFonts w:ascii="IRNazanin" w:hAnsi="IRNazanin" w:eastAsia="IRNazanin"/>
          <w:color w:val="111111"/>
          <w:sz w:val="28"/>
          <w:sz w:val="28"/>
          <w:szCs w:val="28"/>
          <w:rtl w:val="true"/>
          <w:lang w:bidi="fa-IR"/>
        </w:rPr>
        <w:t>در معارضه میان روایات سیره و روایات نهی از آوردن کودکان می توان گفت که ترجیح با روایات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یک ترجیح بلا مرجح نیست و با توجه به مطالبی که در قسمت های گذشته گفته شد، دلایل بسیاری برای این مدعا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پذیرش تواتر معنوی و تواتر اجمالی در روایات سیره عملی پیامبر صلی الله علیه و اله نسبت به آوردن کودکان به مسجد، قطع و یقین به اباحه این مساله به وجود خواهد آمد و جایی برای احتمالات دیگر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قطع حاصل شده از تواتر، دیگر جایی برای دلالت به روایات ناهیه باقی نخواهد گذاشت و به خودی خود دلالت آن را ساقط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تعارضی میان این دو دسته روایت وجود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پذیرش تواتر معنوی، شهرت روایی و استفاضه موجود در این روایات، سبب رجحان اباحه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پذیرش شهرت روایی و استفاضه نیز باید گفت که روایات صحیح السند موجود در مستندات اباحه قدرت بر مسند نشاندن این دیدگاه را خواهد داشت و بر روایات ضعیف السند دال بر کراهت تفوق خواهد یافت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عامه با اخبار ناهیه نیز می تواند یکی دیگر از دلایل رجحان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گزارش فتاوای اهل تسنن مطرح شد، شدت عمل به این روایت در میان اهل تسنن به اندازه ای است که برخی از آنها حکم به حرمت آوردن برخی از کودکان به مسجد داده اند که این می تواند یکی از مرجحات باب تعارض باشد</w:t>
      </w:r>
      <w:r>
        <w:rPr>
          <w:rFonts w:eastAsia="IRNazanin" w:cs="IRNazanin"/>
          <w:color w:val="111111"/>
          <w:sz w:val="28"/>
          <w:szCs w:val="28"/>
          <w:rtl w:val="true"/>
          <w:lang w:bidi="fa-IR"/>
        </w:rPr>
        <w:t xml:space="preserve">. </w:t>
      </w:r>
      <w:bookmarkStart w:id="350" w:name="pg19111_195071"/>
    </w:p>
    <w:p>
      <w:pPr>
        <w:pStyle w:val="Heading4"/>
        <w:numPr>
          <w:ilvl w:val="3"/>
          <w:numId w:val="1"/>
        </w:numPr>
        <w:rPr/>
      </w:pPr>
      <w:bookmarkStart w:id="351" w:name="__RefHeading___Toc15165309_1280447820"/>
      <w:bookmarkStart w:id="352" w:name="_Toc130"/>
      <w:bookmarkEnd w:id="350"/>
      <w:bookmarkEnd w:id="351"/>
      <w:r>
        <w:rPr>
          <w:rtl w:val="true"/>
        </w:rPr>
        <w:t>گفتار سوم</w:t>
      </w:r>
      <w:r>
        <w:rPr>
          <w:rtl w:val="true"/>
        </w:rPr>
        <w:t xml:space="preserve">: </w:t>
      </w:r>
      <w:r>
        <w:rPr>
          <w:rtl w:val="true"/>
        </w:rPr>
        <w:t>تعارض سیره با دیگر دلایل کراهت</w:t>
      </w:r>
      <w:bookmarkEnd w:id="352"/>
    </w:p>
    <w:p>
      <w:pPr>
        <w:pStyle w:val="BookText"/>
        <w:rPr/>
      </w:pPr>
      <w:r>
        <w:rPr>
          <w:rFonts w:ascii="IRNazanin" w:hAnsi="IRNazanin" w:eastAsia="IRNazanin"/>
          <w:color w:val="111111"/>
          <w:sz w:val="28"/>
          <w:sz w:val="28"/>
          <w:szCs w:val="28"/>
          <w:rtl w:val="true"/>
          <w:lang w:bidi="fa-IR"/>
        </w:rPr>
        <w:t>در بخش دلایل حکم به کراهت، به ملاک هایی اشاره گردید که فقهای طرفدار این نظریه به آنها تمسک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ملاک ها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کاربری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از نجاست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بیشتر در کودکان غیر ممیز ظهور و بروز دارد و بیشتر به سوی آنها نشانه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توجه در روایات سیره پیامبر صلی الله علیه و اله و دیگر روایات مرتبط با محور اباحه، نشان می دهد که میان ملاک های پیش گفته و روایات دال بر اباحه، تعارض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نتیجه این تعارض این است که پیامبر صلی الله علیه و اله با آوردن کودکانی که چنین ملاک هایی در آنها رعایت نشده است، به وضوح نشان داده که در آوردن کودکان به مسجد ملاک و مناطی وجود ندارد و حکم اولیه همان اباحه آوردن کودکان به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ملاک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از نجاست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حریم طهارت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بیشترین احتمال آن در مورد نوزادان و کودکان کم سن 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گفته شد، پیامبر صلی الله علیه و اله نه تنها از آوردن چنین کودکی نهی نکرده بلکه با ترحم نسبت به آن، نماز را زودتر به پایان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ملاک های پیش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کاربری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تواند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مزاحمت برای عبادت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ملاکی معمولا در سن و سال کمتر از پنج یا هفت سال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 الله علیه و اله نه تنها در برابر مزاحمت های معمول کودکانه، موضع نگرفته بلکه ترحم و خویشتنداری در برابر آن را سزاوار دانسته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پیامبر صلی الله علیه و اله نه تنها هیچ مخالفتی در برابر بازیگوشی کودکان دیده نمی شود بلکه همکاری و همراهی و مدارای پیامبر صلی الله علیه و اله نیز به وضوح مشهود است</w:t>
      </w:r>
      <w:r>
        <w:rPr>
          <w:rFonts w:eastAsia="IRNazanin" w:cs="IRNazanin"/>
          <w:color w:val="111111"/>
          <w:sz w:val="28"/>
          <w:szCs w:val="28"/>
          <w:rtl w:val="true"/>
          <w:lang w:bidi="fa-IR"/>
        </w:rPr>
        <w:t xml:space="preserve">. </w:t>
      </w:r>
      <w:bookmarkStart w:id="353" w:name="pg19111_195072"/>
    </w:p>
    <w:p>
      <w:pPr>
        <w:pStyle w:val="BookText"/>
        <w:rPr/>
      </w:pPr>
      <w:bookmarkEnd w:id="353"/>
      <w:r>
        <w:rPr>
          <w:rFonts w:ascii="IRNazanin" w:hAnsi="IRNazanin" w:eastAsia="IRNazanin"/>
          <w:color w:val="111111"/>
          <w:sz w:val="28"/>
          <w:sz w:val="28"/>
          <w:szCs w:val="28"/>
          <w:rtl w:val="true"/>
          <w:lang w:bidi="fa-IR"/>
        </w:rPr>
        <w:t xml:space="preserve">ممکن است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قوه 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دیگری است که باید مراعات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گزارشات سیره می توان گفت که اساسا چنین ملاکی در رفتار پیامبر صلی الله علیه و اله دیده نمی شود و دقیقا حضرت خلاف چنین ملاکی عمل کرده است</w:t>
      </w:r>
      <w:r>
        <w:rPr>
          <w:rFonts w:eastAsia="IRNazanin" w:cs="IRNazanin"/>
          <w:color w:val="111111"/>
          <w:sz w:val="28"/>
          <w:szCs w:val="28"/>
          <w:rtl w:val="true"/>
          <w:lang w:bidi="fa-IR"/>
        </w:rPr>
        <w:t>.</w:t>
      </w:r>
    </w:p>
    <w:p>
      <w:pPr>
        <w:pStyle w:val="Heading4"/>
        <w:numPr>
          <w:ilvl w:val="3"/>
          <w:numId w:val="1"/>
        </w:numPr>
        <w:rPr/>
      </w:pPr>
      <w:bookmarkStart w:id="354" w:name="__RefHeading___Toc15165311_1280447820"/>
      <w:bookmarkStart w:id="355" w:name="_Toc131"/>
      <w:bookmarkEnd w:id="354"/>
      <w:r>
        <w:rPr>
          <w:rtl w:val="true"/>
        </w:rPr>
        <w:t>گفتار چهارم</w:t>
      </w:r>
      <w:r>
        <w:rPr>
          <w:rtl w:val="true"/>
        </w:rPr>
        <w:t xml:space="preserve">: </w:t>
      </w:r>
      <w:r>
        <w:rPr>
          <w:rtl w:val="true"/>
        </w:rPr>
        <w:t>نتیجه برآمده از تعارض</w:t>
      </w:r>
      <w:bookmarkEnd w:id="355"/>
    </w:p>
    <w:p>
      <w:pPr>
        <w:pStyle w:val="BookText"/>
        <w:rPr/>
      </w:pPr>
      <w:r>
        <w:rPr>
          <w:rFonts w:ascii="IRNazanin" w:hAnsi="IRNazanin" w:eastAsia="IRNazanin"/>
          <w:color w:val="111111"/>
          <w:sz w:val="28"/>
          <w:sz w:val="28"/>
          <w:szCs w:val="28"/>
          <w:rtl w:val="true"/>
          <w:lang w:bidi="fa-IR"/>
        </w:rPr>
        <w:t>پس از بررسی روایات سیره پیامبر صلی الله علیه و اله و دیگر روایات دالّ بر اباحه آوردن کودکان به مسجد، روشن شد که میان روایات ناهیه و این دسته از روایات، تعارض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تعارض اگر تنها در سن خاصی از کودکان و یا نوع و جنسی ویژه از آنها بود، قابل انحلال بود و در نهایت امکان ارائه وجه جمع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آنچه که در این فصل گفته شد چنین بر می آید که میان روایات سیره و روایات کراهت، تعارضی جدی وجود دارد که به راحتی قابل انحلال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یک گروه از این روایات را بر دیگری ترجیج داد و گروه دیگر را به ناچار کنار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کدام گروه را بر دیگری ترجیح بدهیم روشن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روایات سیره، قدرت آن را دارد که سه روایت ضعیف السند نهی را کنار بزند و خود بر مسند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روایات سیره متواتر است و ثانیا بر فرض عدم پذیرش تواتر، در میان روایات دالّ بر اباحه اقلا دو روایت صحیح السند وجود دارد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اگر راهی برای جمع میان این دو دسته از اخبار فراهم شد، باید قائل به تفصیل میان کراهت و اباحه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بخش بعد به ادله قائلین به تفصیل بین کراهت و اباحه خواهیم پرداخت</w:t>
      </w:r>
      <w:r>
        <w:rPr>
          <w:rFonts w:eastAsia="IRNazanin" w:cs="IRNazanin"/>
          <w:color w:val="111111"/>
          <w:sz w:val="28"/>
          <w:szCs w:val="28"/>
          <w:rtl w:val="true"/>
          <w:lang w:bidi="fa-IR"/>
        </w:rPr>
        <w:t xml:space="preserve">. </w:t>
      </w:r>
      <w:bookmarkStart w:id="356" w:name="pg19111_195073"/>
    </w:p>
    <w:p>
      <w:pPr>
        <w:pStyle w:val="Heading3"/>
        <w:numPr>
          <w:ilvl w:val="2"/>
          <w:numId w:val="1"/>
        </w:numPr>
        <w:rPr/>
      </w:pPr>
      <w:bookmarkStart w:id="357" w:name="__RefHeading___Toc15165313_1280447820"/>
      <w:bookmarkStart w:id="358" w:name="_Toc132"/>
      <w:bookmarkEnd w:id="356"/>
      <w:bookmarkEnd w:id="357"/>
      <w:r>
        <w:rPr>
          <w:rtl w:val="true"/>
        </w:rPr>
        <w:t>فصل ششم</w:t>
      </w:r>
      <w:r>
        <w:rPr>
          <w:rtl w:val="true"/>
        </w:rPr>
        <w:t xml:space="preserve">: </w:t>
      </w:r>
      <w:r>
        <w:rPr>
          <w:rtl w:val="true"/>
        </w:rPr>
        <w:t>ارائه وجه جمع میان روایات در صورت عدم پذیرش رجحان روایات سیره</w:t>
      </w:r>
      <w:bookmarkEnd w:id="358"/>
    </w:p>
    <w:p>
      <w:pPr>
        <w:pStyle w:val="Heading4"/>
        <w:numPr>
          <w:ilvl w:val="3"/>
          <w:numId w:val="1"/>
        </w:numPr>
        <w:rPr/>
      </w:pPr>
      <w:bookmarkStart w:id="359" w:name="__RefHeading___Toc15165315_1280447820"/>
      <w:bookmarkStart w:id="360" w:name="_Toc133"/>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اگرچه در گفتار پیش بر رجحان روایات سیره نسبت به روایات ناهیه تاکید شد، اما با این حال یک قاعده اصولی وجود دارد که از دیرباز میان اصولیون شهرت یافته و مدعی آن است که جمع میان متعارضین بهتر از عمل نکردن به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ابتدا قدری در مورد این قاعده اصولی سخن خواهیم گفت و در نهایت به بررسی امکان جمع میان این دو دسته از روایات خواهیم پرداخت</w:t>
      </w:r>
      <w:r>
        <w:rPr>
          <w:rFonts w:eastAsia="IRNazanin" w:cs="IRNazanin"/>
          <w:color w:val="111111"/>
          <w:sz w:val="28"/>
          <w:szCs w:val="28"/>
          <w:rtl w:val="true"/>
          <w:lang w:bidi="fa-IR"/>
        </w:rPr>
        <w:t>.</w:t>
      </w:r>
    </w:p>
    <w:p>
      <w:pPr>
        <w:pStyle w:val="Heading4"/>
        <w:numPr>
          <w:ilvl w:val="3"/>
          <w:numId w:val="1"/>
        </w:numPr>
        <w:rPr/>
      </w:pPr>
      <w:bookmarkStart w:id="361" w:name="__RefHeading___Toc15165317_1280447820"/>
      <w:bookmarkStart w:id="362" w:name="_Toc134"/>
      <w:bookmarkEnd w:id="361"/>
      <w:r>
        <w:rPr>
          <w:rtl w:val="true"/>
        </w:rPr>
        <w:t>گفتار اول</w:t>
      </w:r>
      <w:r>
        <w:rPr>
          <w:rtl w:val="true"/>
        </w:rPr>
        <w:t xml:space="preserve">: </w:t>
      </w:r>
      <w:r>
        <w:rPr>
          <w:rtl w:val="true"/>
        </w:rPr>
        <w:t xml:space="preserve">قاعده </w:t>
      </w:r>
      <w:r>
        <w:rPr>
          <w:rtl w:val="true"/>
        </w:rPr>
        <w:t>«</w:t>
      </w:r>
      <w:r>
        <w:rPr>
          <w:rtl w:val="true"/>
        </w:rPr>
        <w:t>الجمع بین المتعارضین</w:t>
      </w:r>
      <w:r>
        <w:rPr>
          <w:rtl w:val="true"/>
        </w:rPr>
        <w:t>»</w:t>
      </w:r>
      <w:bookmarkEnd w:id="362"/>
    </w:p>
    <w:p>
      <w:pPr>
        <w:pStyle w:val="Heading5"/>
        <w:numPr>
          <w:ilvl w:val="4"/>
          <w:numId w:val="1"/>
        </w:numPr>
        <w:rPr/>
      </w:pPr>
      <w:bookmarkStart w:id="363" w:name="__RefHeading___Toc15165319_1280447820"/>
      <w:bookmarkStart w:id="364" w:name="_Toc135"/>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این قاعده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بین المتعارضین مهما امکن اولی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لازم بودن جمع کردن میان دو مدلول از دو دلیل متعارض البته به شرط آنکه امکان پذیر باشد،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 به هر دو دلیل، از کنار نهادن و عمل نکردن به آنها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مدرک این قاعده، حکم عقل است که البته ابن ابی الجمهور در عوالی اللئالی ادعای اجماع بر آن کرده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منظور از جمع در این قاعده، جمع دلالى است، نه جمع سندى و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رجحان و برترى نیست که با ترک چنین جمعى هم سازگار باشد، بلکه منظور، وجوب و لزوم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میان دو دلیل متعارض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عرفى، که به آن جمع مقبول و جمع دلالتى هم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تبرعى</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اصولى ها در این که این قاعده به جمع عرفى اختصاص دارد یا </w:t>
      </w:r>
      <w:bookmarkStart w:id="365" w:name="pg19111_195074"/>
    </w:p>
    <w:p>
      <w:pPr>
        <w:pStyle w:val="BookText"/>
        <w:rPr/>
      </w:pPr>
      <w:bookmarkEnd w:id="365"/>
      <w:r>
        <w:rPr>
          <w:rFonts w:ascii="IRNazanin" w:hAnsi="IRNazanin" w:eastAsia="IRNazanin"/>
          <w:color w:val="111111"/>
          <w:sz w:val="28"/>
          <w:sz w:val="28"/>
          <w:szCs w:val="28"/>
          <w:rtl w:val="true"/>
          <w:lang w:bidi="fa-IR"/>
        </w:rPr>
        <w:t>جمع هاى تبرعى را نیز شامل مى شود،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آن را شامل هر دو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عقلى و 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اما مشهور علماى اصول این قاعده را مخصوص جمع هاى عرفى دانسته و شامل جمع هاى تبرّعى نمى دانند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جمع تبرعى، مقابل جمع عرفى بوده و عبارت است از جمع میان دو دلیل متعارض از طریق دست کشیدن از ظاهر هر دو دلیل یا یکى از آن دو، یا به تأویل بردن هر دو یا یکى از آنها بى آن که شاهد عرفى بر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جمع تبرعى، جمعى است که عقل با دقت و باریک بینى به آن مى رسد ولى به درجه ظهور عرفى نمى رسد و عقلاى عالم در گفتگوهاى خود چنین بنایى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جمع، حد و مرزى ندارد؛ بلکه شدیدترین متعارض ها را مى توان با دقت عقلى به تأویل برده و بین آنها سازگارى ایجاد نمود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بنابراین در صورت یافتن وجه جمع عرفی در میان اخبار می توان به هر دو عمل کرد</w:t>
      </w:r>
      <w:r>
        <w:rPr>
          <w:rFonts w:eastAsia="IRNazanin" w:cs="IRNazanin"/>
          <w:color w:val="111111"/>
          <w:sz w:val="28"/>
          <w:szCs w:val="28"/>
          <w:rtl w:val="true"/>
          <w:lang w:bidi="fa-IR"/>
        </w:rPr>
        <w:t>.</w:t>
      </w:r>
    </w:p>
    <w:p>
      <w:pPr>
        <w:pStyle w:val="Heading5"/>
        <w:numPr>
          <w:ilvl w:val="4"/>
          <w:numId w:val="1"/>
        </w:numPr>
        <w:rPr/>
      </w:pPr>
      <w:bookmarkStart w:id="366" w:name="__RefHeading___Toc15165321_1280447820"/>
      <w:bookmarkStart w:id="367" w:name="_Toc136"/>
      <w:bookmarkEnd w:id="366"/>
      <w:r>
        <w:rPr>
          <w:rtl w:val="true"/>
        </w:rPr>
        <w:t>شرایط جمع عرفی</w:t>
      </w:r>
      <w:bookmarkEnd w:id="367"/>
    </w:p>
    <w:p>
      <w:pPr>
        <w:pStyle w:val="BookText"/>
        <w:rPr/>
      </w:pPr>
      <w:r>
        <w:rPr>
          <w:rFonts w:ascii="IRNazanin" w:hAnsi="IRNazanin" w:eastAsia="IRNazanin"/>
          <w:color w:val="111111"/>
          <w:sz w:val="28"/>
          <w:sz w:val="28"/>
          <w:szCs w:val="28"/>
          <w:rtl w:val="true"/>
          <w:lang w:bidi="fa-IR"/>
        </w:rPr>
        <w:t>برخی از اصولیون برای عمل به جمع عرفی شرایطی را مطرح کرده اند که این شرایط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دلیل در جمع عرفى، باید دلیل لفظى یا چیزى که در حکم دلیل لفظى است،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اجمالى به عدم صدور یکى از دو دلیل از سوى شارع،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حالت، در حقیقت، بین دو سند تعارض است، نه بین دو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جمع عرفى، علاج تعارض بین دو دلالت است نه بین دو 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بین دو ظاهر باشد، زیرا تعارض بین دو نص و یا بین ظاهر و نص واقع نمى شود</w:t>
      </w:r>
      <w:r>
        <w:rPr>
          <w:rFonts w:eastAsia="IRNazanin" w:cs="IRNazanin"/>
          <w:color w:val="111111"/>
          <w:sz w:val="28"/>
          <w:szCs w:val="28"/>
          <w:rtl w:val="true"/>
          <w:lang w:bidi="fa-IR"/>
        </w:rPr>
        <w:t>.</w:t>
      </w:r>
      <w:r>
        <w:rPr>
          <w:rStyle w:val="FootnoteAnchor"/>
          <w:rtl w:val="true"/>
        </w:rPr>
        <w:footnoteReference w:id="270"/>
      </w:r>
      <w:bookmarkStart w:id="368" w:name="pg19111_195075"/>
    </w:p>
    <w:p>
      <w:pPr>
        <w:pStyle w:val="Heading5"/>
        <w:numPr>
          <w:ilvl w:val="4"/>
          <w:numId w:val="1"/>
        </w:numPr>
        <w:rPr/>
      </w:pPr>
      <w:bookmarkStart w:id="369" w:name="__RefHeading___Toc15165323_1280447820"/>
      <w:bookmarkStart w:id="370" w:name="_Toc137"/>
      <w:bookmarkEnd w:id="368"/>
      <w:bookmarkEnd w:id="369"/>
      <w:r>
        <w:rPr>
          <w:rtl w:val="true"/>
        </w:rPr>
        <w:t>تحلیل وجه جمع در مورد مساله</w:t>
      </w:r>
      <w:bookmarkEnd w:id="370"/>
    </w:p>
    <w:p>
      <w:pPr>
        <w:pStyle w:val="BookText"/>
        <w:rPr/>
      </w:pPr>
      <w:r>
        <w:rPr>
          <w:rFonts w:ascii="IRNazanin" w:hAnsi="IRNazanin" w:eastAsia="IRNazanin"/>
          <w:color w:val="111111"/>
          <w:sz w:val="28"/>
          <w:sz w:val="28"/>
          <w:szCs w:val="28"/>
          <w:rtl w:val="true"/>
          <w:lang w:bidi="fa-IR"/>
        </w:rPr>
        <w:t>برای بررسی امکان جمع میان این دو دسته از روایات ابتدا باید شرایط مذکور در جمع عرفی را به این مساله عرضه کرد و پس از آن به جمع میان این دو دسته از روایات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شرط اول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روایات سیره به صراحت در مورد ورود کودکان به مسجد،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دسته از روایات در حکم تقریر معصوم صلی الله علیه و اله است و در نتیجه در حکم دلیل لفظی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شرط دوم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سند روایات سیره بر روایات ناهیه سنگینی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کلیه اسناد روایات ناهیه، ضعیف بود ولی در میان روایات سیره اسناد صحیحه ای وجود دارد که نشان از اعتبار این دسته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ممکن است با دو مبنا این شرط را نیز احراز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عمل اصحاب را جبران کننده ضعف این دسته از روایات بدانیم و دوم اینکه دلالت روایات سیره بر مدعی را ضعیف به حساب آوریم که بنابر آنچه در فصل های پیشین گفته شد، هیچ یک از این دو مبنا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از این شرط عبور کنیم، جمع میان اخبار امکان 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شرط سوم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تعارض میان دو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ظهور روایات ناهیه در نهی آوردن کودکان به مسجد و ظهور روایات سیره نیز در اباحه آوردن آنها به مسجد است</w:t>
      </w:r>
      <w:r>
        <w:rPr>
          <w:rFonts w:eastAsia="IRNazanin" w:cs="IRNazanin"/>
          <w:color w:val="111111"/>
          <w:sz w:val="28"/>
          <w:szCs w:val="28"/>
          <w:rtl w:val="true"/>
          <w:lang w:bidi="fa-IR"/>
        </w:rPr>
        <w:t>.</w:t>
      </w:r>
    </w:p>
    <w:p>
      <w:pPr>
        <w:pStyle w:val="Heading5"/>
        <w:numPr>
          <w:ilvl w:val="4"/>
          <w:numId w:val="1"/>
        </w:numPr>
        <w:rPr/>
      </w:pPr>
      <w:bookmarkStart w:id="371" w:name="__RefHeading___Toc15165325_1280447820"/>
      <w:bookmarkStart w:id="372" w:name="_Toc138"/>
      <w:bookmarkEnd w:id="371"/>
      <w:r>
        <w:rPr>
          <w:rtl w:val="true"/>
        </w:rPr>
        <w:t>ارائه وجه جمع با استفاده از اصول برداشت شده از هر دو دسته از روایات</w:t>
      </w:r>
      <w:bookmarkEnd w:id="372"/>
    </w:p>
    <w:p>
      <w:pPr>
        <w:pStyle w:val="Heading6"/>
        <w:numPr>
          <w:ilvl w:val="5"/>
          <w:numId w:val="1"/>
        </w:numPr>
        <w:rPr/>
      </w:pPr>
      <w:bookmarkStart w:id="373" w:name="__RefHeading___Toc15165327_1280447820"/>
      <w:bookmarkStart w:id="374" w:name="_Toc139"/>
      <w:bookmarkEnd w:id="373"/>
      <w:r>
        <w:rPr>
          <w:rtl w:val="true"/>
        </w:rPr>
        <w:t>اشاره</w:t>
      </w:r>
      <w:bookmarkEnd w:id="37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یافتن وجه جمع میان این دو دسته از روایات، باید تلاش کرد که تا آنجا که ممکن است، به اصول اساسی و شاخصه های مهم هر دو </w:t>
      </w:r>
      <w:bookmarkStart w:id="375" w:name="pg19111_195076"/>
    </w:p>
    <w:p>
      <w:pPr>
        <w:pStyle w:val="BookText"/>
        <w:rPr/>
      </w:pPr>
      <w:bookmarkEnd w:id="375"/>
      <w:r>
        <w:rPr>
          <w:rFonts w:ascii="IRNazanin" w:hAnsi="IRNazanin" w:eastAsia="IRNazanin"/>
          <w:color w:val="111111"/>
          <w:sz w:val="28"/>
          <w:sz w:val="28"/>
          <w:szCs w:val="28"/>
          <w:rtl w:val="true"/>
          <w:lang w:bidi="fa-IR"/>
        </w:rPr>
        <w:t>دسته از روایات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اصول اساسی را می توان در گزاره های زیر خلاصه کرد</w:t>
      </w:r>
      <w:r>
        <w:rPr>
          <w:rFonts w:eastAsia="IRNazanin" w:cs="IRNazanin"/>
          <w:color w:val="111111"/>
          <w:sz w:val="28"/>
          <w:szCs w:val="28"/>
          <w:rtl w:val="true"/>
          <w:lang w:bidi="fa-IR"/>
        </w:rPr>
        <w:t>:</w:t>
      </w:r>
    </w:p>
    <w:p>
      <w:pPr>
        <w:pStyle w:val="Heading6"/>
        <w:numPr>
          <w:ilvl w:val="5"/>
          <w:numId w:val="1"/>
        </w:numPr>
        <w:rPr/>
      </w:pPr>
      <w:bookmarkStart w:id="376" w:name="__RefHeading___Toc15165329_1280447820"/>
      <w:bookmarkStart w:id="377" w:name="_Toc140"/>
      <w:bookmarkEnd w:id="376"/>
      <w:r>
        <w:rPr/>
        <w:t>1</w:t>
      </w:r>
      <w:r>
        <w:rPr>
          <w:rtl w:val="true"/>
        </w:rPr>
        <w:t xml:space="preserve">- </w:t>
      </w:r>
      <w:r>
        <w:rPr>
          <w:rtl w:val="true"/>
        </w:rPr>
        <w:t>اباحه آوردن کودکان به مسجد</w:t>
      </w:r>
      <w:bookmarkEnd w:id="377"/>
    </w:p>
    <w:p>
      <w:pPr>
        <w:pStyle w:val="BookText"/>
        <w:rPr/>
      </w:pPr>
      <w:r>
        <w:rPr>
          <w:rFonts w:ascii="IRNazanin" w:hAnsi="IRNazanin" w:eastAsia="IRNazanin"/>
          <w:color w:val="111111"/>
          <w:sz w:val="28"/>
          <w:sz w:val="28"/>
          <w:szCs w:val="28"/>
          <w:rtl w:val="true"/>
          <w:lang w:bidi="fa-IR"/>
        </w:rPr>
        <w:t>اگر اصرار بر یافتن وجه جمع باشد، باید گفت که اصل اولی در این موضوع، اباحه آوردن کودکان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ملاک های پیش گفته در روایات ناهیه تحت الشعاع قرار گیرند و حضور کودک در مسجد با کاربری اصلی مسجد در تعارض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همانطور که در بخش بعد نیز تحلیل خواهد شد، روایات ناهیه، اطلاق ندارند و تنها گویای آن هستند که ورود برخی از کودکان به مسجد،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روایات سیره به صورت موجبه کلیه دلالت بر اباحه ورود کودکان به مسجد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جمع میان این دو دسته از روایات، می توان یک اصل کلی را به دست آورد و آن اباحه آوردن کودکان به مسجد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روایات سیره در حکم گزاره عام و روایات ناهیه در حکم گزاره خاص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عموم جواز ورود کودکان به مسجد در برخی از موارد توسط روایات ناهیه تخصیص خواهد خورد که آن موارد نیز مربوط به ملاک های روایات ناهیه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است که اگر شک کردیم که آیا نوع یا گروهی از کودکان مشمول نهی شده اند، باید اصل را بر اباحه و عدم نهی قرار داد</w:t>
      </w:r>
      <w:r>
        <w:rPr>
          <w:rFonts w:eastAsia="IRNazanin" w:cs="IRNazanin"/>
          <w:color w:val="111111"/>
          <w:sz w:val="28"/>
          <w:szCs w:val="28"/>
          <w:rtl w:val="true"/>
          <w:lang w:bidi="fa-IR"/>
        </w:rPr>
        <w:t>.</w:t>
      </w:r>
    </w:p>
    <w:p>
      <w:pPr>
        <w:pStyle w:val="Heading6"/>
        <w:numPr>
          <w:ilvl w:val="5"/>
          <w:numId w:val="1"/>
        </w:numPr>
        <w:rPr/>
      </w:pPr>
      <w:bookmarkStart w:id="378" w:name="__RefHeading___Toc15165331_1280447820"/>
      <w:bookmarkStart w:id="379" w:name="_Toc141"/>
      <w:bookmarkEnd w:id="378"/>
      <w:r>
        <w:rPr/>
        <w:t>2</w:t>
      </w:r>
      <w:r>
        <w:rPr>
          <w:rtl w:val="true"/>
        </w:rPr>
        <w:t xml:space="preserve">- </w:t>
      </w:r>
      <w:r>
        <w:rPr>
          <w:rtl w:val="true"/>
        </w:rPr>
        <w:t>پرهیز از آوردن کودکان مشکل ساز</w:t>
      </w:r>
      <w:bookmarkEnd w:id="37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ملاک های به دست آمده از روایات ناهیه می توان گفت که احتیاط بر آن است که از آوردن کودکانی که حضورشان با کاربردی اصلی مسجد در تعارض است،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بنا بر تحلیلی که در بخش بعد انجام شده، کودکان غیر ممیزی هستند که نمی توان به آنها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اعتماد به کودک نیز در سه مساله تبلور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طهارت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رعایت حریم عبادی مسجد </w:t>
      </w:r>
      <w:bookmarkStart w:id="380" w:name="pg19111_195077"/>
    </w:p>
    <w:p>
      <w:pPr>
        <w:pStyle w:val="BookText"/>
        <w:rPr/>
      </w:pPr>
      <w:bookmarkEnd w:id="380"/>
      <w:r>
        <w:rPr>
          <w:rFonts w:ascii="IRNazanin" w:hAnsi="IRNazanin" w:eastAsia="IRNazanin"/>
          <w:color w:val="111111"/>
          <w:sz w:val="28"/>
          <w:sz w:val="28"/>
          <w:szCs w:val="28"/>
          <w:rtl w:val="true"/>
          <w:lang w:bidi="fa-IR"/>
        </w:rPr>
        <w:t xml:space="preserve">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 برای عبادت نمازگزاران که در واقع جزئی از همان عدم رعایت حریم عبادی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امروزه با وجود لباس های پیش گیرنده، احتمال نجاست مسجد در اکثر کودکان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دوران کنونی تنها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حریم عبادی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مصداق کراهت آوردن کودکان به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مسجد آوردن کودکانی که رفتار آزار دهنده دارند و آداب و حرمت مسجد را رعایت نمی کنند، مکروه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حضور این کودکان در مسجد می تواند برنامه های مسجد را آنچنان تحت الشعاع قرار دهند که باعث هتک حرمت مسجد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است که رعایت حریم مسجد بر همگان لازم و واجب است و نیاوردن چنین کودکی به مسجد، بایسته خواهد بود</w:t>
      </w:r>
      <w:r>
        <w:rPr>
          <w:rFonts w:eastAsia="IRNazanin" w:cs="IRNazanin"/>
          <w:color w:val="111111"/>
          <w:sz w:val="28"/>
          <w:szCs w:val="28"/>
          <w:rtl w:val="true"/>
          <w:lang w:bidi="fa-IR"/>
        </w:rPr>
        <w:t>.</w:t>
      </w:r>
    </w:p>
    <w:p>
      <w:pPr>
        <w:pStyle w:val="Heading6"/>
        <w:numPr>
          <w:ilvl w:val="5"/>
          <w:numId w:val="1"/>
        </w:numPr>
        <w:rPr/>
      </w:pPr>
      <w:bookmarkStart w:id="381" w:name="__RefHeading___Toc15165333_1280447820"/>
      <w:bookmarkStart w:id="382" w:name="_Toc142"/>
      <w:bookmarkEnd w:id="381"/>
      <w:r>
        <w:rPr/>
        <w:t>3</w:t>
      </w:r>
      <w:r>
        <w:rPr>
          <w:rtl w:val="true"/>
        </w:rPr>
        <w:t xml:space="preserve">- </w:t>
      </w:r>
      <w:r>
        <w:rPr>
          <w:rtl w:val="true"/>
        </w:rPr>
        <w:t>لزوم برخورد صبورانه با کودکان حتی در صورت مزاحمت عادی</w:t>
      </w:r>
      <w:bookmarkEnd w:id="382"/>
    </w:p>
    <w:p>
      <w:pPr>
        <w:pStyle w:val="BookText"/>
        <w:rPr/>
      </w:pPr>
      <w:r>
        <w:rPr>
          <w:rFonts w:ascii="IRNazanin" w:hAnsi="IRNazanin" w:eastAsia="IRNazanin"/>
          <w:color w:val="111111"/>
          <w:sz w:val="28"/>
          <w:sz w:val="28"/>
          <w:szCs w:val="28"/>
          <w:rtl w:val="true"/>
          <w:lang w:bidi="fa-IR"/>
        </w:rPr>
        <w:t>عدم رعایت حریم مسجد یک عنوان کلی است که ممکن است گاه در مصداق یابی آن افراط شود و به بهانه چنین مساله ای بسیاری از کودکان از مسجد، دور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کودک به طور معمول باید رفتاری کودکانه از خود بروز دهد و اگر چنین رفتاری نداشته باشد، دیگر به او کودک نخواهند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ملاک به دست آمده از روایات ناهیه، عدم رعایت حریم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بدان معنا نیست که کودک در مسجد، حق هیچ حرکت بچه گانه ای نداشته باشد و به هیچ وجه اجازه بازیگوشی معمول کودکانه به او داده نشود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از سیره پیامبر صلی الله علیه و اله پیدا است که بزرگسالان موظفند با رفتار معمول کودکان کنار بیایند و در برابر بازیگوشی معمول کودکان مدارا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بازیگوشی از حد معمول خارج شد و به حریم عبادی مسجد، ضربه ای جدی وارد کرد، حکم به کراهت مصداق پیدا می کند</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19111_195079"/>
      <w:bookmarkStart w:id="384" w:name="pg19111_195079"/>
      <w:bookmarkEnd w:id="384"/>
    </w:p>
    <w:p>
      <w:pPr>
        <w:pStyle w:val="Heading2"/>
        <w:numPr>
          <w:ilvl w:val="1"/>
          <w:numId w:val="1"/>
        </w:numPr>
        <w:rPr/>
      </w:pPr>
      <w:bookmarkStart w:id="385" w:name="pg19111_195079"/>
      <w:bookmarkStart w:id="386" w:name="__RefHeading___Toc15165335_1280447820"/>
      <w:bookmarkStart w:id="387" w:name="_Toc143"/>
      <w:bookmarkEnd w:id="385"/>
      <w:bookmarkEnd w:id="386"/>
      <w:r>
        <w:rPr>
          <w:rtl w:val="true"/>
        </w:rPr>
        <w:t>بخش چهارم</w:t>
      </w:r>
      <w:r>
        <w:rPr>
          <w:rtl w:val="true"/>
        </w:rPr>
        <w:t xml:space="preserve">: </w:t>
      </w:r>
      <w:r>
        <w:rPr>
          <w:rtl w:val="true"/>
        </w:rPr>
        <w:t>بررسی ادله قول به تفصیل بین کراهت و اباحه</w:t>
      </w:r>
      <w:bookmarkEnd w:id="38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8" w:name="__RefHeading___Toc15165337_1280447820"/>
      <w:bookmarkStart w:id="389" w:name="_Toc144"/>
      <w:bookmarkEnd w:id="388"/>
      <w:r>
        <w:rPr>
          <w:rtl w:val="true"/>
        </w:rPr>
        <w:t>اشاره</w:t>
      </w:r>
      <w:bookmarkEnd w:id="38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19111_195081"/>
      <w:bookmarkStart w:id="391" w:name="pg19111_195081"/>
      <w:bookmarkEnd w:id="391"/>
    </w:p>
    <w:p>
      <w:pPr>
        <w:pStyle w:val="BookText"/>
        <w:rPr/>
      </w:pPr>
      <w:bookmarkStart w:id="392" w:name="pg19111_195081"/>
      <w:bookmarkEnd w:id="392"/>
      <w:r>
        <w:rPr>
          <w:rFonts w:ascii="IRNazanin" w:hAnsi="IRNazanin" w:eastAsia="IRNazanin"/>
          <w:color w:val="111111"/>
          <w:sz w:val="28"/>
          <w:sz w:val="28"/>
          <w:szCs w:val="28"/>
          <w:rtl w:val="true"/>
          <w:lang w:bidi="fa-IR"/>
        </w:rPr>
        <w:t>دلایل پیش گفته در بخش پیشین و تعارض به وجود آمده میان روایات ناهیه و سیره پیامبر صلی الله علیه و اله پیرامون آوردن کودکان به مسجد، حکم را به سوی اباحه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نظریه بسیاری از فقهای متاخر امامیه، قائل به تفصیل در این مساله شده و آوردن گروهی از کودکان به مسجد را مکروه دانسته و برای دیگر کودکان حکم به اباحه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معمول این فقیهان حکم را دائر مدار تمییز کودکان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آوردن کودکان غیر ممیز به مسجد را مکروه و آوردن کودکان ممیز به مسجد را مباح بر می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این دسته از بزرگان، اطلاق روایات ناهیه را نپذیرفته و آن را با دیگر دلایل مقیّد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بر پایه این دیدگاه می توان وجه جمعی شایسته میان روایات ناهیه و روایات دالّ بر اباحه ارائه داد و هر دو گروه از این روایات را پذیرفت</w:t>
      </w:r>
      <w:r>
        <w:rPr>
          <w:rFonts w:eastAsia="IRNazanin" w:cs="IRNazanin"/>
          <w:color w:val="111111"/>
          <w:sz w:val="28"/>
          <w:szCs w:val="28"/>
          <w:rtl w:val="true"/>
          <w:lang w:bidi="fa-IR"/>
        </w:rPr>
        <w:t>.</w:t>
      </w:r>
    </w:p>
    <w:p>
      <w:pPr>
        <w:pStyle w:val="Heading3"/>
        <w:numPr>
          <w:ilvl w:val="2"/>
          <w:numId w:val="1"/>
        </w:numPr>
        <w:rPr/>
      </w:pPr>
      <w:bookmarkStart w:id="393" w:name="__RefHeading___Toc15165339_1280447820"/>
      <w:bookmarkStart w:id="394" w:name="_Toc145"/>
      <w:bookmarkEnd w:id="393"/>
      <w:r>
        <w:rPr>
          <w:rtl w:val="true"/>
        </w:rPr>
        <w:t>فصل اول</w:t>
      </w:r>
      <w:r>
        <w:rPr>
          <w:rtl w:val="true"/>
        </w:rPr>
        <w:t xml:space="preserve">: </w:t>
      </w:r>
      <w:r>
        <w:rPr>
          <w:rtl w:val="true"/>
        </w:rPr>
        <w:t xml:space="preserve">ظهور واژه </w:t>
      </w:r>
      <w:r>
        <w:rPr>
          <w:rtl w:val="true"/>
        </w:rPr>
        <w:t>«</w:t>
      </w:r>
      <w:r>
        <w:rPr>
          <w:rtl w:val="true"/>
        </w:rPr>
        <w:t>صبیان</w:t>
      </w:r>
      <w:r>
        <w:rPr>
          <w:rtl w:val="true"/>
        </w:rPr>
        <w:t xml:space="preserve">» </w:t>
      </w:r>
      <w:r>
        <w:rPr>
          <w:rtl w:val="true"/>
        </w:rPr>
        <w:t>در کودکان غیر ممیز</w:t>
      </w:r>
      <w:bookmarkEnd w:id="394"/>
    </w:p>
    <w:p>
      <w:pPr>
        <w:pStyle w:val="Heading4"/>
        <w:numPr>
          <w:ilvl w:val="3"/>
          <w:numId w:val="1"/>
        </w:numPr>
        <w:rPr/>
      </w:pPr>
      <w:bookmarkStart w:id="395" w:name="__RefHeading___Toc15165341_1280447820"/>
      <w:bookmarkStart w:id="396" w:name="_Toc146"/>
      <w:bookmarkEnd w:id="395"/>
      <w:r>
        <w:rPr>
          <w:rtl w:val="true"/>
        </w:rPr>
        <w:t>اشاره</w:t>
      </w:r>
      <w:bookmarkEnd w:id="39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نکات پراهمیت در روایات سه گانه ناهیه، واژه شناسی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هر سه روایت این واژه تکرار شده و نهی وارد شده در این روایت به این واژه منتهی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دید که از دیدگاه لغت شناسان این واژه مرتبط با چه سن و سالی از کودکان می شود و چه گروه سنی از کودکان را در بر می گیرد</w:t>
      </w:r>
      <w:r>
        <w:rPr>
          <w:rFonts w:eastAsia="IRNazanin" w:cs="IRNazanin"/>
          <w:color w:val="111111"/>
          <w:sz w:val="28"/>
          <w:szCs w:val="28"/>
          <w:rtl w:val="true"/>
          <w:lang w:bidi="fa-IR"/>
        </w:rPr>
        <w:t xml:space="preserve">. </w:t>
      </w:r>
      <w:bookmarkStart w:id="397" w:name="pg19111_195082"/>
    </w:p>
    <w:p>
      <w:pPr>
        <w:pStyle w:val="Heading4"/>
        <w:numPr>
          <w:ilvl w:val="3"/>
          <w:numId w:val="1"/>
        </w:numPr>
        <w:rPr/>
      </w:pPr>
      <w:bookmarkStart w:id="398" w:name="__RefHeading___Toc15165343_1280447820"/>
      <w:bookmarkStart w:id="399" w:name="_Toc147"/>
      <w:bookmarkEnd w:id="397"/>
      <w:bookmarkEnd w:id="398"/>
      <w:r>
        <w:rPr>
          <w:rtl w:val="true"/>
        </w:rPr>
        <w:t xml:space="preserve">معنا شناسی واژه </w:t>
      </w:r>
      <w:r>
        <w:rPr>
          <w:rtl w:val="true"/>
        </w:rPr>
        <w:t>«</w:t>
      </w:r>
      <w:r>
        <w:rPr>
          <w:rtl w:val="true"/>
        </w:rPr>
        <w:t>صبیان</w:t>
      </w:r>
      <w:r>
        <w:rPr>
          <w:rtl w:val="true"/>
        </w:rPr>
        <w:t>»</w:t>
      </w:r>
      <w:bookmarkEnd w:id="399"/>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کودک خردسال و بسیار کم سن و سال است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ابن فارس در مورد معنای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على صغر السّنّ</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اما سوال این است که مقصود از آن، کدام دوره از دوران کودکی است؟ کودک شیر خواره، کودک خردسال، کودک ممیز، کودک نوباوه و یا نوجوان؟</w:t>
      </w:r>
    </w:p>
    <w:p>
      <w:pPr>
        <w:pStyle w:val="BookText"/>
        <w:rPr/>
      </w:pPr>
      <w:r>
        <w:rPr>
          <w:rFonts w:ascii="IRNazanin" w:hAnsi="IRNazanin" w:eastAsia="IRNazanin"/>
          <w:color w:val="111111"/>
          <w:sz w:val="28"/>
          <w:sz w:val="28"/>
          <w:szCs w:val="28"/>
          <w:rtl w:val="true"/>
          <w:lang w:bidi="fa-IR"/>
        </w:rPr>
        <w:t xml:space="preserve">بررسی ابتدایی در مجموع منابع لغت، گویای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دوران های کودکی اطلاق می شود و نمی توان دوران خاصی را برای این واژه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در منابع کهن لغوی دیدگاه دیگری را نمایان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اگرچه این واژه در تمامی اقشار کودکان استعمال شده است، اما دقت نظر در معنای این واژه نشان می دهد که معنای اصلی آن ریشه در سن و سال خاصی از کودکان دارد و اگر در دیگر سنین استعمال شده به اعتبار همان معنای اولیه است</w:t>
      </w:r>
      <w:r>
        <w:rPr>
          <w:rFonts w:eastAsia="IRNazanin" w:cs="IRNazanin"/>
          <w:color w:val="111111"/>
          <w:sz w:val="28"/>
          <w:szCs w:val="28"/>
          <w:rtl w:val="true"/>
          <w:lang w:bidi="fa-IR"/>
        </w:rPr>
        <w:t>.</w:t>
      </w:r>
    </w:p>
    <w:p>
      <w:pPr>
        <w:pStyle w:val="Heading4"/>
        <w:numPr>
          <w:ilvl w:val="3"/>
          <w:numId w:val="1"/>
        </w:numPr>
        <w:rPr/>
      </w:pPr>
      <w:bookmarkStart w:id="400" w:name="__RefHeading___Toc15165345_1280447820"/>
      <w:bookmarkStart w:id="401" w:name="_Toc148"/>
      <w:bookmarkEnd w:id="400"/>
      <w:r>
        <w:rPr>
          <w:rtl w:val="true"/>
        </w:rPr>
        <w:t>استعمالات واژه صبیان</w:t>
      </w:r>
      <w:bookmarkEnd w:id="401"/>
    </w:p>
    <w:p>
      <w:pPr>
        <w:pStyle w:val="BookText"/>
        <w:rPr/>
      </w:pPr>
      <w:r>
        <w:rPr>
          <w:rFonts w:ascii="IRNazanin" w:hAnsi="IRNazanin" w:eastAsia="IRNazanin"/>
          <w:color w:val="111111"/>
          <w:sz w:val="28"/>
          <w:sz w:val="28"/>
          <w:szCs w:val="28"/>
          <w:rtl w:val="true"/>
          <w:lang w:bidi="fa-IR"/>
        </w:rPr>
        <w:t>از مجموع کتب لغت شناسی بر می 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نوزاد شیرخواره تا هنگامی که از شیر گرفته نشده است، الصبی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یُولَد إِلى أَنْ یُفْطَم</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گاه به کودک خردسال و کم سن و سال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صِباه أی فی صغره</w:t>
      </w:r>
      <w:r>
        <w:rPr>
          <w:rFonts w:eastAsia="IRNazanin" w:cs="IRNazanin"/>
          <w:color w:val="111111"/>
          <w:sz w:val="28"/>
          <w:szCs w:val="28"/>
          <w:rtl w:val="true"/>
          <w:lang w:bidi="fa-IR"/>
        </w:rPr>
        <w:t>.</w:t>
      </w:r>
      <w:r>
        <w:rPr>
          <w:rStyle w:val="FootnoteAnchor"/>
          <w:rtl w:val="true"/>
        </w:rPr>
        <w:footnoteReference w:id="27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 به کودک نوباوه ای که نزدیک سن بلوغ است، اطلاق می گردد</w:t>
      </w:r>
      <w:r>
        <w:rPr>
          <w:rFonts w:eastAsia="IRNazanin" w:cs="IRNazanin"/>
          <w:color w:val="111111"/>
          <w:sz w:val="28"/>
          <w:szCs w:val="28"/>
          <w:rtl w:val="true"/>
          <w:lang w:bidi="fa-IR"/>
        </w:rPr>
        <w:t xml:space="preserve">: </w:t>
      </w:r>
      <w:bookmarkStart w:id="402" w:name="pg19111_195083"/>
    </w:p>
    <w:p>
      <w:pPr>
        <w:pStyle w:val="BookText"/>
        <w:rPr/>
      </w:pPr>
      <w:bookmarkEnd w:id="402"/>
      <w:r>
        <w:rPr>
          <w:rFonts w:ascii="Amiri" w:hAnsi="Amiri" w:eastAsia="Amiri" w:cs="Amiri"/>
          <w:color w:val="111111"/>
          <w:sz w:val="28"/>
          <w:sz w:val="28"/>
          <w:szCs w:val="28"/>
          <w:rtl w:val="true"/>
          <w:lang w:bidi="ar-SA"/>
        </w:rPr>
        <w:t>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یبلُغ الحلم</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گاهی هم به نوجوان،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403" w:name="__RefHeading___Toc15165347_1280447820"/>
      <w:bookmarkStart w:id="404" w:name="_Toc149"/>
      <w:bookmarkEnd w:id="403"/>
      <w:r>
        <w:rPr>
          <w:rtl w:val="true"/>
        </w:rPr>
        <w:t>معنای اصلی واژه در کتب کهن لغوی</w:t>
      </w:r>
      <w:bookmarkEnd w:id="404"/>
    </w:p>
    <w:p>
      <w:pPr>
        <w:pStyle w:val="BookText"/>
        <w:rPr/>
      </w:pPr>
      <w:r>
        <w:rPr>
          <w:rFonts w:ascii="IRNazanin" w:hAnsi="IRNazanin" w:eastAsia="IRNazanin"/>
          <w:color w:val="111111"/>
          <w:sz w:val="28"/>
          <w:sz w:val="28"/>
          <w:szCs w:val="28"/>
          <w:rtl w:val="true"/>
          <w:lang w:bidi="fa-IR"/>
        </w:rPr>
        <w:t xml:space="preserve">دقت بیشتر در واژه شناسی نشان می دهد که این لغت، در کتب کهن لغوی معمولا به کودکان بسیار کم سن و سال تر اطلاق شده است و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یبلغ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مربوط به یک منبع خاص بوده که بعدها در میان منابع متاخر نیز گسترش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ما برای فهم معنای روایت، نیازمند دستیابی به معنای این واژه در دوران معصوم، هستیم که معمولا با کنکاش در منابع کهن لغوی که نزدیک به دوران معصوم است، امکان 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گویای آن است که صبی، به معنای کودک خردسال و کم سن 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و ازهری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370</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رأیته فی صباه أی فی صغره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صِبْیَانُ 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صِغَارُ الثدی</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چنانکه گفته 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على صغر السنّ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 الصبیة و الصبیان، و رأیته فی صباه أی فی صغره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اولین کسی که الصبی را مرادف غلام دانسته،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او هم برخی همین معنا را به تقلید از او تکرار کرده 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 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لغت به معنای کودک کم سن و سال بوده و در گذر زمان توسعه یافته و به نوجوان نیز اطلاق شده است</w:t>
      </w:r>
      <w:r>
        <w:rPr>
          <w:rFonts w:eastAsia="IRNazanin" w:cs="IRNazanin"/>
          <w:color w:val="111111"/>
          <w:sz w:val="28"/>
          <w:szCs w:val="28"/>
          <w:rtl w:val="true"/>
          <w:lang w:bidi="fa-IR"/>
        </w:rPr>
        <w:t xml:space="preserve">». </w:t>
      </w:r>
      <w:bookmarkStart w:id="405" w:name="pg19111_195084"/>
    </w:p>
    <w:p>
      <w:pPr>
        <w:pStyle w:val="Heading4"/>
        <w:numPr>
          <w:ilvl w:val="3"/>
          <w:numId w:val="1"/>
        </w:numPr>
        <w:rPr/>
      </w:pPr>
      <w:bookmarkStart w:id="406" w:name="__RefHeading___Toc15165349_1280447820"/>
      <w:bookmarkStart w:id="407" w:name="_Toc150"/>
      <w:bookmarkEnd w:id="405"/>
      <w:bookmarkEnd w:id="406"/>
      <w:r>
        <w:rPr>
          <w:rtl w:val="true"/>
        </w:rPr>
        <w:t>استعمالات قرآنی واژه صبیان</w:t>
      </w:r>
      <w:bookmarkEnd w:id="407"/>
    </w:p>
    <w:p>
      <w:pPr>
        <w:pStyle w:val="BookText"/>
        <w:rPr/>
      </w:pPr>
      <w:r>
        <w:rPr>
          <w:rFonts w:ascii="IRNazanin" w:hAnsi="IRNazanin" w:eastAsia="IRNazanin"/>
          <w:color w:val="111111"/>
          <w:sz w:val="28"/>
          <w:sz w:val="28"/>
          <w:szCs w:val="28"/>
          <w:rtl w:val="true"/>
          <w:lang w:bidi="fa-IR"/>
        </w:rPr>
        <w:t>قرآن نیز شاهد این مدعا است که صبی، به معنای کودک کم سن و سالی است که مصداق آن در کودکان نوزاد و خردسالان غیر ممیز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دو بار از این واژه استفاده شده که یکی اشاره به دوران شیرخوارگی و دیگر مربوط به دوران خردسالی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 قرآن، حضرت مریم پس از آنکه کودک خود را به دنیا آورد به سوی بستگان خود بازگشت اما ولادت چنین کودکی بدون داشتن پدر، برای مردم تعجب برانگیز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عموم مردم لب به سرزنش وی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در پاسخ به این سرزنش ها چنین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فَأَشارَتْ إِلَیْهِ قالُوا کَیْفَ نُکَلِّمُ مَنْ کانَ فِي الْمَهْدِ صَبِیًّا</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 کودکى که در گاهواره است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کودک شیرخواره است و معنای دیگری نمی توان از آن برداشت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استعمال این واژه در قرآن به همین سوره و چند آیه قبل از این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حضرت زکریا در سن پیری از خداوند طلب فرزند می کند و خداوند یحیی را به او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یَحْیي خُذِ الْکِتابَ بِقُوَّةٍ وَ آتَیْناهُ الْحُکْمَ صَبِیًّا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اى یحیى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قوّت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فرمان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کافى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کودکى به او دادیم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علیه السلام در این زمان، سه ساله بوده است</w:t>
      </w:r>
      <w:r>
        <w:rPr>
          <w:rFonts w:eastAsia="IRNazanin" w:cs="IRNazanin"/>
          <w:color w:val="111111"/>
          <w:sz w:val="28"/>
          <w:szCs w:val="28"/>
          <w:rtl w:val="true"/>
          <w:lang w:bidi="fa-IR"/>
        </w:rPr>
        <w:t xml:space="preserve">. </w:t>
      </w:r>
      <w:r>
        <w:rPr>
          <w:rStyle w:val="FootnoteAnchor"/>
          <w:rtl w:val="true"/>
        </w:rPr>
        <w:footnoteReference w:id="281"/>
      </w:r>
      <w:bookmarkStart w:id="408" w:name="pg19111_195085"/>
    </w:p>
    <w:p>
      <w:pPr>
        <w:pStyle w:val="BookText"/>
        <w:rPr/>
      </w:pPr>
      <w:bookmarkEnd w:id="408"/>
      <w:r>
        <w:rPr>
          <w:rFonts w:ascii="IRNazanin" w:hAnsi="IRNazanin" w:eastAsia="IRNazanin"/>
          <w:color w:val="111111"/>
          <w:sz w:val="28"/>
          <w:sz w:val="28"/>
          <w:szCs w:val="28"/>
          <w:rtl w:val="true"/>
          <w:lang w:bidi="fa-IR"/>
        </w:rPr>
        <w:t>امام جواد علیه السلام نیز در سن پنج سالگی به این آیه احتجاج کرده و آنرا دلیلی بر صحت امامت خود دانسته است</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بنابراین استعمال قرآنی این واژه در معنای کودک غیر ممیز می باشد</w:t>
      </w:r>
      <w:r>
        <w:rPr>
          <w:rFonts w:eastAsia="IRNazanin" w:cs="IRNazanin"/>
          <w:color w:val="111111"/>
          <w:sz w:val="28"/>
          <w:szCs w:val="28"/>
          <w:rtl w:val="true"/>
          <w:lang w:bidi="fa-IR"/>
        </w:rPr>
        <w:t>.</w:t>
      </w:r>
    </w:p>
    <w:p>
      <w:pPr>
        <w:pStyle w:val="Heading4"/>
        <w:numPr>
          <w:ilvl w:val="3"/>
          <w:numId w:val="1"/>
        </w:numPr>
        <w:rPr/>
      </w:pPr>
      <w:bookmarkStart w:id="409" w:name="__RefHeading___Toc15165351_1280447820"/>
      <w:bookmarkStart w:id="410" w:name="_Toc151"/>
      <w:bookmarkEnd w:id="409"/>
      <w:r>
        <w:rPr>
          <w:rtl w:val="true"/>
        </w:rPr>
        <w:t xml:space="preserve">ظهور معنایی واژه </w:t>
      </w:r>
      <w:r>
        <w:rPr>
          <w:rtl w:val="true"/>
        </w:rPr>
        <w:t>«</w:t>
      </w:r>
      <w:r>
        <w:rPr>
          <w:rtl w:val="true"/>
        </w:rPr>
        <w:t>صبی</w:t>
      </w:r>
      <w:r>
        <w:rPr>
          <w:rtl w:val="true"/>
        </w:rPr>
        <w:t xml:space="preserve">» </w:t>
      </w:r>
      <w:r>
        <w:rPr>
          <w:rtl w:val="true"/>
        </w:rPr>
        <w:t>در کودک غیر ممیز</w:t>
      </w:r>
      <w:bookmarkEnd w:id="410"/>
    </w:p>
    <w:p>
      <w:pPr>
        <w:pStyle w:val="BookText"/>
        <w:rPr/>
      </w:pPr>
      <w:r>
        <w:rPr>
          <w:rFonts w:ascii="IRNazanin" w:hAnsi="IRNazanin" w:eastAsia="IRNazanin"/>
          <w:color w:val="111111"/>
          <w:sz w:val="28"/>
          <w:sz w:val="28"/>
          <w:szCs w:val="28"/>
          <w:rtl w:val="true"/>
          <w:lang w:bidi="fa-IR"/>
        </w:rPr>
        <w:t>ممکن است گفته شود سه ساله بودن حضرت یحیی و یا پنج ساله بودن امام جواد علیه السلام نمی تواند دلیلی بر محدود بودن معنای واژه صبی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پاسخ باید گفت که اگر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گسترده تر از آنچه گفته شد، فرض کنیم، با مفهوم اصلی آیه مطابقت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مطرح شدن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بیانگر یک امر خارق العاده است</w:t>
      </w:r>
      <w:r>
        <w:rPr>
          <w:rStyle w:val="FootnoteAnchor"/>
          <w:rtl w:val="true"/>
        </w:rPr>
        <w:footnoteReference w:id="283"/>
      </w:r>
      <w:r>
        <w:rPr>
          <w:rFonts w:ascii="IRNazanin" w:hAnsi="IRNazanin" w:eastAsia="IRNazanin"/>
          <w:color w:val="111111"/>
          <w:sz w:val="28"/>
          <w:sz w:val="28"/>
          <w:szCs w:val="28"/>
          <w:rtl w:val="true"/>
          <w:lang w:bidi="fa-IR"/>
        </w:rPr>
        <w:t>و اگر معنایی فراتر از کودک غیر ممیز داشته باشد، گویای محتوا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اول، تمام استدلال سرزنش کنندگان حضرت مریم به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کودک با آنکه در سنّ تشخیص مفاهیم نیست و نمی تواند خوب و بد را از هم تشخیص دهد، چگونه می تواند پاسخگوی سوال مهم ما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دوم نیز با آنکه فهم حکمت، مقدماتی را می طلبد که کمترین آن مقدمات، قرار گرفتن در سن فهم و تمییز است، اما خداوند در یک </w:t>
      </w:r>
    </w:p>
    <w:p>
      <w:pPr>
        <w:pStyle w:val="BookText"/>
        <w:rPr/>
      </w:pPr>
      <w:r>
        <w:rPr>
          <w:rFonts w:ascii="IRNazanin" w:hAnsi="IRNazanin" w:eastAsia="IRNazanin"/>
          <w:color w:val="111111"/>
          <w:sz w:val="28"/>
          <w:sz w:val="28"/>
          <w:szCs w:val="28"/>
          <w:rtl w:val="true"/>
          <w:lang w:bidi="fa-IR"/>
        </w:rPr>
        <w:t>عنایت ویژه به چنین کودکی، ظرف و مظروف را با هم عنایت کرده و فهم و حکمت را یکجا به او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حتی اگر به روایت امام جواد علیه السلام هم تمسک نشود، نمی توان معنای دیگری جز کودک غیر ممیز برای این واژه تصور کرد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معنای واژه در کتب لغت و همچنین استعمال قرآنی آن می توان گفت که اصل معنای این واژه در مفهوم کودک شیرخواره و خردسال استقرار یافته که قدر جامع آن، کودکان غیر ممیز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گویا که پس از دوران معصومان، گاهی به تمامی سنین کودکی نیز اطلاق شده است</w:t>
      </w:r>
      <w:r>
        <w:rPr>
          <w:rFonts w:eastAsia="IRNazanin" w:cs="IRNazanin"/>
          <w:color w:val="111111"/>
          <w:sz w:val="28"/>
          <w:szCs w:val="28"/>
          <w:rtl w:val="true"/>
          <w:lang w:bidi="fa-IR"/>
        </w:rPr>
        <w:t xml:space="preserve">. </w:t>
      </w:r>
      <w:bookmarkStart w:id="411" w:name="pg19111_195087"/>
    </w:p>
    <w:p>
      <w:pPr>
        <w:pStyle w:val="Heading3"/>
        <w:numPr>
          <w:ilvl w:val="2"/>
          <w:numId w:val="1"/>
        </w:numPr>
        <w:rPr/>
      </w:pPr>
      <w:bookmarkStart w:id="412" w:name="__RefHeading___Toc15165353_1280447820"/>
      <w:bookmarkStart w:id="413" w:name="_Toc152"/>
      <w:bookmarkEnd w:id="411"/>
      <w:bookmarkEnd w:id="412"/>
      <w:r>
        <w:rPr>
          <w:rtl w:val="true"/>
        </w:rPr>
        <w:t>فصل دوم</w:t>
      </w:r>
      <w:r>
        <w:rPr>
          <w:rtl w:val="true"/>
        </w:rPr>
        <w:t xml:space="preserve">: </w:t>
      </w:r>
      <w:r>
        <w:rPr>
          <w:rtl w:val="true"/>
        </w:rPr>
        <w:t>اطلاق روایات ناهیه و عدم اشتمال آن بر تمامی کودکان</w:t>
      </w:r>
      <w:bookmarkEnd w:id="413"/>
    </w:p>
    <w:p>
      <w:pPr>
        <w:pStyle w:val="Heading4"/>
        <w:numPr>
          <w:ilvl w:val="3"/>
          <w:numId w:val="1"/>
        </w:numPr>
        <w:rPr/>
      </w:pPr>
      <w:bookmarkStart w:id="414" w:name="__RefHeading___Toc15165355_1280447820"/>
      <w:bookmarkStart w:id="415" w:name="_Toc153"/>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در این سه روایت به صورت مطلق، دستور به اجتناب از چند کار در مسجد داده شده است که تقریبا در هیچ یک از فرازهای آن، قیدی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حکم اجتناب از کودک، دیوانه، خرید و فروش، قضاوت، اجرای احکام و دیگر فرازهایی که در این روایات آمده به صورت مطلق بیان شده و هیچ قید و شرطی برای آن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سوال جدّی این است که بر فرض پذیرش این روایت، آیا این اطلاق، شامل تمامی افراد موضوع، خواهد شد و یا اینکه مراد شارع تنها بیان کلیت آن مساله بوده است؟</w:t>
      </w:r>
    </w:p>
    <w:p>
      <w:pPr>
        <w:pStyle w:val="BookText"/>
        <w:rPr/>
      </w:pPr>
      <w:r>
        <w:rPr>
          <w:rFonts w:ascii="IRNazanin" w:hAnsi="IRNazanin" w:eastAsia="IRNazanin"/>
          <w:color w:val="111111"/>
          <w:sz w:val="28"/>
          <w:sz w:val="28"/>
          <w:szCs w:val="28"/>
          <w:rtl w:val="true"/>
          <w:lang w:bidi="fa-IR"/>
        </w:rPr>
        <w:t>به بیان دیگر مثلا در موضوع بحث ما، آیا این اطلاق شامل همه کودکان خواهد شد و تفاوتی میان گونه های مختلف کودکان وجود نخواهد داشت؟</w:t>
      </w:r>
    </w:p>
    <w:p>
      <w:pPr>
        <w:pStyle w:val="BookText"/>
        <w:rPr/>
      </w:pPr>
      <w:r>
        <w:rPr>
          <w:rFonts w:ascii="IRNazanin" w:hAnsi="IRNazanin" w:eastAsia="IRNazanin"/>
          <w:color w:val="111111"/>
          <w:sz w:val="28"/>
          <w:sz w:val="28"/>
          <w:szCs w:val="28"/>
          <w:rtl w:val="true"/>
          <w:lang w:bidi="fa-IR"/>
        </w:rPr>
        <w:t>پاسخ به این سوال بسیاری از نقاط تاریک این بحث را روشن خواهد کرد و مسیر فقهی این موضوع را هموار خواهد نمود</w:t>
      </w:r>
      <w:r>
        <w:rPr>
          <w:rFonts w:eastAsia="IRNazanin" w:cs="IRNazanin"/>
          <w:color w:val="111111"/>
          <w:sz w:val="28"/>
          <w:szCs w:val="28"/>
          <w:rtl w:val="true"/>
          <w:lang w:bidi="fa-IR"/>
        </w:rPr>
        <w:t>.</w:t>
      </w:r>
    </w:p>
    <w:p>
      <w:pPr>
        <w:pStyle w:val="Heading4"/>
        <w:numPr>
          <w:ilvl w:val="3"/>
          <w:numId w:val="1"/>
        </w:numPr>
        <w:rPr/>
      </w:pPr>
      <w:bookmarkStart w:id="416" w:name="__RefHeading___Toc15165357_1280447820"/>
      <w:bookmarkStart w:id="417" w:name="_Toc154"/>
      <w:bookmarkEnd w:id="416"/>
      <w:r>
        <w:rPr>
          <w:rtl w:val="true"/>
        </w:rPr>
        <w:t>گفتار اول</w:t>
      </w:r>
      <w:r>
        <w:rPr>
          <w:rtl w:val="true"/>
        </w:rPr>
        <w:t xml:space="preserve">: </w:t>
      </w:r>
      <w:r>
        <w:rPr>
          <w:rtl w:val="true"/>
        </w:rPr>
        <w:t xml:space="preserve">معنا شناسی مساله </w:t>
      </w:r>
      <w:r>
        <w:rPr>
          <w:rtl w:val="true"/>
        </w:rPr>
        <w:t>«</w:t>
      </w:r>
      <w:r>
        <w:rPr>
          <w:rtl w:val="true"/>
        </w:rPr>
        <w:t>اطلاق</w:t>
      </w:r>
      <w:r>
        <w:rPr>
          <w:rtl w:val="true"/>
        </w:rPr>
        <w:t xml:space="preserve">» </w:t>
      </w:r>
      <w:r>
        <w:rPr>
          <w:rtl w:val="true"/>
        </w:rPr>
        <w:t>و ارتباط آن با موضوع بحث</w:t>
      </w:r>
      <w:bookmarkEnd w:id="417"/>
    </w:p>
    <w:p>
      <w:pPr>
        <w:pStyle w:val="Heading5"/>
        <w:numPr>
          <w:ilvl w:val="4"/>
          <w:numId w:val="1"/>
        </w:numPr>
        <w:rPr/>
      </w:pPr>
      <w:bookmarkStart w:id="418" w:name="__RefHeading___Toc15165359_1280447820"/>
      <w:bookmarkStart w:id="419" w:name="_Toc155"/>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یکی از سولات اساسی در بحث لفظ مطلق این است که آیا لفظ مطلق، دلالت بر شمول افراد خود دارد یا نه؟ به بیان دیگر آیا وقتی لفظی به صورت مطلق بیان می شود، می توان از آن شمول تمامی افراد را فهمید؟</w:t>
      </w:r>
    </w:p>
    <w:p>
      <w:pPr>
        <w:pStyle w:val="BookText"/>
        <w:rPr/>
      </w:pPr>
      <w:r>
        <w:rPr>
          <w:rFonts w:ascii="IRNazanin" w:hAnsi="IRNazanin" w:eastAsia="IRNazanin"/>
          <w:color w:val="111111"/>
          <w:sz w:val="28"/>
          <w:sz w:val="28"/>
          <w:szCs w:val="28"/>
          <w:rtl w:val="true"/>
          <w:lang w:bidi="fa-IR"/>
        </w:rPr>
        <w:t xml:space="preserve">سوال دیگر این است که اگر چنین عمومیتی قابل فهم باشد، آیا این عمومیت از خود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برداشت است و یا اینکه باید پس از بررسی مقدمات حکمت، آن را پذیرفت؟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سوال دیگر این است که آیا در حکم مساله میان جمع محلی به لام با مفرد محلی به لام تفاوت وجود دارد؟ این سوال به جهت آن است که </w:t>
      </w:r>
      <w:bookmarkStart w:id="420" w:name="pg19111_195088"/>
    </w:p>
    <w:p>
      <w:pPr>
        <w:pStyle w:val="BookText"/>
        <w:rPr/>
      </w:pPr>
      <w:bookmarkEnd w:id="420"/>
      <w:r>
        <w:rPr>
          <w:rFonts w:ascii="IRNazanin" w:hAnsi="IRNazanin" w:eastAsia="IRNazanin"/>
          <w:color w:val="111111"/>
          <w:sz w:val="28"/>
          <w:sz w:val="28"/>
          <w:szCs w:val="28"/>
          <w:rtl w:val="true"/>
          <w:lang w:bidi="fa-IR"/>
        </w:rPr>
        <w:t xml:space="preserve">در روایت اول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که جمع محلی به لام است نه مفرد محلی به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اجمالی به این سوال این است که بسیاری از اصولیون متاخر معتقدند که لفظ مطلق به خودی خود و بالوضع، دلالت بر شمول تمامی افرادش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مقدمات حکمت شکل بگیرد، چنین شمولی ثابت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موضوع بحث ما نیز باید بررسی شود که آیا مقدمات حکمت ثابت شدنی است که در این صورت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کودکان خواهد شد؟ اما در صورت منفی بودن سوال، مساله از کلیت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پیش از ورود به این بحث بیان یک نکته،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این جا بحث می شود بر فرض عدم پذیرش معنای پیش گفته در واژه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بنا بر آنچه که گفته 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کودکان غیر ممیز دارد و مقصود از آن تنها قشر خاصی از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تحلیل را نپذیریم ورود به این بحث ضروری خواهد بود</w:t>
      </w:r>
      <w:r>
        <w:rPr>
          <w:rFonts w:eastAsia="IRNazanin" w:cs="IRNazanin"/>
          <w:color w:val="111111"/>
          <w:sz w:val="28"/>
          <w:szCs w:val="28"/>
          <w:rtl w:val="true"/>
          <w:lang w:bidi="fa-IR"/>
        </w:rPr>
        <w:t>.</w:t>
      </w:r>
    </w:p>
    <w:p>
      <w:pPr>
        <w:pStyle w:val="Heading5"/>
        <w:numPr>
          <w:ilvl w:val="4"/>
          <w:numId w:val="1"/>
        </w:numPr>
        <w:rPr/>
      </w:pPr>
      <w:bookmarkStart w:id="421" w:name="__RefHeading___Toc15165361_1280447820"/>
      <w:bookmarkStart w:id="422" w:name="_Toc156"/>
      <w:bookmarkEnd w:id="421"/>
      <w:r>
        <w:rPr>
          <w:rtl w:val="true"/>
        </w:rPr>
        <w:t>وضع الفاظ مطلق برای ماهیت مهمله</w:t>
      </w:r>
      <w:bookmarkEnd w:id="422"/>
    </w:p>
    <w:p>
      <w:pPr>
        <w:pStyle w:val="BookText"/>
        <w:rPr/>
      </w:pPr>
      <w:r>
        <w:rPr>
          <w:rFonts w:ascii="IRNazanin" w:hAnsi="IRNazanin" w:eastAsia="IRNazanin"/>
          <w:color w:val="111111"/>
          <w:sz w:val="28"/>
          <w:sz w:val="28"/>
          <w:szCs w:val="28"/>
          <w:rtl w:val="true"/>
          <w:lang w:bidi="fa-IR"/>
        </w:rPr>
        <w:t xml:space="preserve">مرحوم مظفر پس از آنکه ثابت می کند که الفاظ مطلق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اند، به لزوم بحث مقدمات حکمت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واضح تر، لفظی که مطلق است، به طور معمول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 مقسمی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چنین لفظی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بما هی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مطلقه به قید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نشده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به شرط 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مساله پنجم از مسائل مرتبط با الفاظ مطلقه، می گوید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الفاظ اسماء اجناس برای شمول، وضع نشده اند و بالوضع، دلالت بر شمول و سریان حکم به تمام افراد،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استفاده از اطلاق الفاظ مطلق باید به دلیل دیگر مراجعه کرد</w:t>
      </w:r>
      <w:r>
        <w:rPr>
          <w:rFonts w:eastAsia="IRNazanin" w:cs="IRNazanin"/>
          <w:color w:val="111111"/>
          <w:sz w:val="28"/>
          <w:szCs w:val="28"/>
          <w:rtl w:val="true"/>
          <w:lang w:bidi="fa-IR"/>
        </w:rPr>
        <w:t xml:space="preserve">. </w:t>
      </w:r>
      <w:bookmarkStart w:id="423" w:name="pg19111_195089"/>
    </w:p>
    <w:p>
      <w:pPr>
        <w:pStyle w:val="BookText"/>
        <w:rPr/>
      </w:pPr>
      <w:bookmarkEnd w:id="423"/>
      <w:r>
        <w:rPr>
          <w:rFonts w:ascii="IRNazanin" w:hAnsi="IRNazanin" w:eastAsia="IRNazanin"/>
          <w:color w:val="111111"/>
          <w:sz w:val="28"/>
          <w:sz w:val="28"/>
          <w:szCs w:val="28"/>
          <w:rtl w:val="true"/>
          <w:lang w:bidi="fa-IR"/>
        </w:rPr>
        <w:t>دلیل دیگر نیز ممکن است یک دلیل یا قرینه خاصه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رقبه سواء کانت مؤمنه او 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ممکن است یک قرینه عامّه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عامّه، کلام را در موقعیّتی قرار می دهد که نفس کلام، ظهور در اطلاق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عامه، مقدّمات حکمت نام دارد و معروف و مشهور آن است که قرینه عامّه از سه مقدّمه، حاصل خواهد شد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مرحوم مظفر در بحث عام و خاص نیز اشاره ای به این موضوع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وقتی پیرامون الفاظ عام سخن می گوید، استفاده عموم از الفاظ عام را به دو نوع تفسیم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وسیله وضع و دوم به وسیله مقدمات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می گوید استفاده عموم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محلی به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نیازمند مقدمات حکمت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بنابراین در هر صورت برای استفاده از اطلاق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باید از دروازه مقدمات حکمت، گذشت</w:t>
      </w:r>
      <w:r>
        <w:rPr>
          <w:rFonts w:eastAsia="IRNazanin" w:cs="IRNazanin"/>
          <w:color w:val="111111"/>
          <w:sz w:val="28"/>
          <w:szCs w:val="28"/>
          <w:rtl w:val="true"/>
          <w:lang w:bidi="fa-IR"/>
        </w:rPr>
        <w:t>.</w:t>
      </w:r>
    </w:p>
    <w:p>
      <w:pPr>
        <w:pStyle w:val="Heading5"/>
        <w:numPr>
          <w:ilvl w:val="4"/>
          <w:numId w:val="1"/>
        </w:numPr>
        <w:rPr/>
      </w:pPr>
      <w:bookmarkStart w:id="424" w:name="__RefHeading___Toc15165363_1280447820"/>
      <w:bookmarkStart w:id="425" w:name="_Toc157"/>
      <w:bookmarkEnd w:id="424"/>
      <w:r>
        <w:rPr>
          <w:rtl w:val="true"/>
        </w:rPr>
        <w:t>شمول افراد مطلق به شرط استفاده از مقدمات حکمت</w:t>
      </w:r>
      <w:bookmarkEnd w:id="425"/>
    </w:p>
    <w:p>
      <w:pPr>
        <w:pStyle w:val="BookText"/>
        <w:rPr/>
      </w:pPr>
      <w:r>
        <w:rPr>
          <w:rFonts w:ascii="IRNazanin" w:hAnsi="IRNazanin" w:eastAsia="IRNazanin"/>
          <w:color w:val="111111"/>
          <w:sz w:val="28"/>
          <w:sz w:val="28"/>
          <w:szCs w:val="28"/>
          <w:rtl w:val="true"/>
          <w:lang w:bidi="fa-IR"/>
        </w:rPr>
        <w:t>مقصود از مقدمات حکمت، جمع شدن شرایطی است که نشانه شمول مطلق بر افراد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آنکه ثابت کنیم لفظی مطلق، شامل تمامی افراد خود خواهد شد، ابتدا باید مقدمات حکمت را در مورد آن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حکمت، بنا بر مشهور متشکل از سه مقدمه است که آخوند خراسانی یک مقدمه دیگر نیز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آنکه در بحث ما نیازی به مطرح کردن آن وجود ندارد، از بیان آن پرهیز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مقدمات حکمت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اطلاق و تقیید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نصب قرینه به این معنا که قرینه متصل و یا منفصل بر تقیید وجود نداشته نباشد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بودن گوینده</w:t>
      </w:r>
      <w:r>
        <w:rPr>
          <w:rFonts w:eastAsia="IRNazanin" w:cs="IRNazanin"/>
          <w:color w:val="111111"/>
          <w:sz w:val="28"/>
          <w:szCs w:val="28"/>
          <w:rtl w:val="true"/>
          <w:lang w:bidi="fa-IR"/>
        </w:rPr>
        <w:t xml:space="preserve">. </w:t>
      </w:r>
      <w:bookmarkStart w:id="426" w:name="pg19111_195090"/>
    </w:p>
    <w:p>
      <w:pPr>
        <w:pStyle w:val="Heading4"/>
        <w:numPr>
          <w:ilvl w:val="3"/>
          <w:numId w:val="1"/>
        </w:numPr>
        <w:rPr/>
      </w:pPr>
      <w:bookmarkStart w:id="427" w:name="__RefHeading___Toc15165365_1280447820"/>
      <w:bookmarkStart w:id="428" w:name="_Toc158"/>
      <w:bookmarkEnd w:id="426"/>
      <w:bookmarkEnd w:id="427"/>
      <w:r>
        <w:rPr>
          <w:rtl w:val="true"/>
        </w:rPr>
        <w:t>گفتار دوم</w:t>
      </w:r>
      <w:r>
        <w:rPr>
          <w:rtl w:val="true"/>
        </w:rPr>
        <w:t xml:space="preserve">: </w:t>
      </w:r>
      <w:r>
        <w:rPr>
          <w:rtl w:val="true"/>
        </w:rPr>
        <w:t>بررسی مقدمات حکمت در اطلاق روایات ناهیه</w:t>
      </w:r>
      <w:bookmarkEnd w:id="428"/>
    </w:p>
    <w:p>
      <w:pPr>
        <w:pStyle w:val="Heading5"/>
        <w:numPr>
          <w:ilvl w:val="4"/>
          <w:numId w:val="1"/>
        </w:numPr>
        <w:rPr/>
      </w:pPr>
      <w:bookmarkStart w:id="429" w:name="__RefHeading___Toc15165367_1280447820"/>
      <w:bookmarkStart w:id="430" w:name="_Toc159"/>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 xml:space="preserve">حال باید ببینیم که آیا مقدمات حکمت در موضوع بحث، جریان دارد؟ به بیان دیگر اگر هر سه مقدمه ثابت شود، می توان چنین نتیجه گرفت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شامل تمامی کودکان می شود و روایت، دلالت بر کراهت آوردن همه کودکان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از این مقدمات، مورد خدشه قرار گیرد، این مساله ثابت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که یکی از الفاظی که دلالت بر عموم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محلی به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پاسخ این است که همانطور که در ابتدای بحث گفته شد،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محلی به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عام نیز بر پایه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دالّ بر تمامی کودکان خواهد بود که مقدمات حکمت محرز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ناچار به بررسی مقدمات حکمت در مدلول روایات ناهیه خواهیم بود</w:t>
      </w:r>
      <w:r>
        <w:rPr>
          <w:rFonts w:eastAsia="IRNazanin" w:cs="IRNazanin"/>
          <w:color w:val="111111"/>
          <w:sz w:val="28"/>
          <w:szCs w:val="28"/>
          <w:rtl w:val="true"/>
          <w:lang w:bidi="fa-IR"/>
        </w:rPr>
        <w:t>.</w:t>
      </w:r>
    </w:p>
    <w:p>
      <w:pPr>
        <w:pStyle w:val="Heading5"/>
        <w:numPr>
          <w:ilvl w:val="4"/>
          <w:numId w:val="1"/>
        </w:numPr>
        <w:rPr/>
      </w:pPr>
      <w:bookmarkStart w:id="431" w:name="__RefHeading___Toc15165369_1280447820"/>
      <w:bookmarkStart w:id="432" w:name="_Toc160"/>
      <w:bookmarkEnd w:id="431"/>
      <w:r>
        <w:rPr>
          <w:rtl w:val="true"/>
        </w:rPr>
        <w:t>وجود قرینه منفصل برای تقیید حکم</w:t>
      </w:r>
      <w:bookmarkEnd w:id="432"/>
    </w:p>
    <w:p>
      <w:pPr>
        <w:pStyle w:val="BookText"/>
        <w:rPr/>
      </w:pPr>
      <w:r>
        <w:rPr>
          <w:rFonts w:ascii="IRNazanin" w:hAnsi="IRNazanin" w:eastAsia="IRNazanin"/>
          <w:color w:val="111111"/>
          <w:sz w:val="28"/>
          <w:sz w:val="28"/>
          <w:szCs w:val="28"/>
          <w:rtl w:val="true"/>
          <w:lang w:bidi="fa-IR"/>
        </w:rPr>
        <w:t>دومین مقدمه از مقدمات حکمت، عدم نصب قرینه متصل یا منفصل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شمول لفظ مفرد در تمامی افراد، موقعی ثابت می شود که قرینه ای متصل یا منفصل بر تقیید آن،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موضوع بحث ما، قرائن بسیاری وجود دارد که نشان از مقید بودن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قرائن، روایات متعددی هستند که در بخش های پیشین به آنها اشاره شد و یکایک آنها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گویای اباحه آوردن کودکان به مسجد است و به طور قطع نشان می دهد ورود برخی از کودکان به مسجد اشکالی نداشته و ندارد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مقدمه دوم از مقدمات حکمت، شکل نمی گیرد و نمی توان به شمول افرادی تمسک جست</w:t>
      </w:r>
      <w:r>
        <w:rPr>
          <w:rFonts w:eastAsia="IRNazanin" w:cs="IRNazanin"/>
          <w:color w:val="111111"/>
          <w:sz w:val="28"/>
          <w:szCs w:val="28"/>
          <w:rtl w:val="true"/>
          <w:lang w:bidi="fa-IR"/>
        </w:rPr>
        <w:t xml:space="preserve">. </w:t>
      </w:r>
      <w:bookmarkStart w:id="433" w:name="pg19111_195091"/>
    </w:p>
    <w:p>
      <w:pPr>
        <w:pStyle w:val="BookText"/>
        <w:rPr/>
      </w:pPr>
      <w:bookmarkEnd w:id="433"/>
      <w:r>
        <w:rPr>
          <w:rFonts w:ascii="IRNazanin" w:hAnsi="IRNazanin" w:eastAsia="IRNazanin"/>
          <w:color w:val="111111"/>
          <w:sz w:val="28"/>
          <w:sz w:val="28"/>
          <w:szCs w:val="28"/>
          <w:rtl w:val="true"/>
          <w:lang w:bidi="fa-IR"/>
        </w:rPr>
        <w:t>اما به غیر از مقدمه دوم در مقدمه سوم نیز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حتی اگر این اشکال که به این مقدمه وارد است، مورد پذیرش قرار نگیرد، قطعا اشکال بر مقدمه سوم مورد پذیرش خواهد بود</w:t>
      </w:r>
      <w:r>
        <w:rPr>
          <w:rFonts w:eastAsia="IRNazanin" w:cs="IRNazanin"/>
          <w:color w:val="111111"/>
          <w:sz w:val="28"/>
          <w:szCs w:val="28"/>
          <w:rtl w:val="true"/>
          <w:lang w:bidi="fa-IR"/>
        </w:rPr>
        <w:t>.</w:t>
      </w:r>
    </w:p>
    <w:p>
      <w:pPr>
        <w:pStyle w:val="Heading5"/>
        <w:numPr>
          <w:ilvl w:val="4"/>
          <w:numId w:val="1"/>
        </w:numPr>
        <w:rPr/>
      </w:pPr>
      <w:bookmarkStart w:id="434" w:name="__RefHeading___Toc15165371_1280447820"/>
      <w:bookmarkStart w:id="435" w:name="_Toc161"/>
      <w:bookmarkEnd w:id="434"/>
      <w:r>
        <w:rPr>
          <w:rtl w:val="true"/>
        </w:rPr>
        <w:t>قرار نداشتن روایت در مقام بیان حکم کلی</w:t>
      </w:r>
      <w:bookmarkEnd w:id="435"/>
    </w:p>
    <w:p>
      <w:pPr>
        <w:pStyle w:val="BookText"/>
        <w:rPr/>
      </w:pPr>
      <w:r>
        <w:rPr>
          <w:rFonts w:ascii="IRNazanin" w:hAnsi="IRNazanin" w:eastAsia="IRNazanin"/>
          <w:color w:val="111111"/>
          <w:sz w:val="28"/>
          <w:sz w:val="28"/>
          <w:szCs w:val="28"/>
          <w:rtl w:val="true"/>
          <w:lang w:bidi="fa-IR"/>
        </w:rPr>
        <w:t>سومین مقدّمه از مقدمات حکمت آن است که باید احراز شود، متکلّم در مقام بیان مراد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متکلم در مقام بیان اصل تشریع حکم باشد و همه مراد خود را اراده نکرده باشد و یا اینکه از اساس در مقام اهمال بیان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مساله مورد بحث، قطعا چنین چیزی اثبات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متکلم به صورت کلی مسائل متعددی را مطرح کرده که با قرائن و شواهد متعدد می دانیم که تنها قصد ارائه بیان اصل موضوع را داشته و نظر به جزئیات مساله و قیودات و محدوده آن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مدعا، دیگر فرازهای این روایت است که برای آنها هم هیچ محدوده ای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بنا بر نصّ معتبر می دانیم که برخی از مصادیق آن نه تنها مباح بلکه مستحب نیز هست</w:t>
      </w:r>
      <w:r>
        <w:rPr>
          <w:rFonts w:eastAsia="IRNazanin" w:cs="IRNazanin"/>
          <w:color w:val="111111"/>
          <w:sz w:val="28"/>
          <w:szCs w:val="28"/>
          <w:rtl w:val="true"/>
          <w:lang w:bidi="fa-IR"/>
        </w:rPr>
        <w:t>.</w:t>
      </w:r>
    </w:p>
    <w:p>
      <w:pPr>
        <w:pStyle w:val="Heading4"/>
        <w:numPr>
          <w:ilvl w:val="3"/>
          <w:numId w:val="1"/>
        </w:numPr>
        <w:rPr/>
      </w:pPr>
      <w:bookmarkStart w:id="436" w:name="__RefHeading___Toc15165373_1280447820"/>
      <w:bookmarkStart w:id="437" w:name="_Toc162"/>
      <w:bookmarkEnd w:id="436"/>
      <w:r>
        <w:rPr>
          <w:rtl w:val="true"/>
        </w:rPr>
        <w:t>گفتار سوم</w:t>
      </w:r>
      <w:r>
        <w:rPr>
          <w:rtl w:val="true"/>
        </w:rPr>
        <w:t xml:space="preserve">: </w:t>
      </w:r>
      <w:r>
        <w:rPr>
          <w:rtl w:val="true"/>
        </w:rPr>
        <w:t>بررسی قیودات دیگر فرازهای روایت و تاثیر آن در مساله</w:t>
      </w:r>
      <w:bookmarkEnd w:id="437"/>
    </w:p>
    <w:p>
      <w:pPr>
        <w:pStyle w:val="BookText"/>
        <w:rPr/>
      </w:pPr>
      <w:r>
        <w:rPr>
          <w:rFonts w:ascii="IRNazanin" w:hAnsi="IRNazanin" w:eastAsia="IRNazanin"/>
          <w:color w:val="111111"/>
          <w:sz w:val="28"/>
          <w:sz w:val="28"/>
          <w:szCs w:val="28"/>
          <w:rtl w:val="true"/>
          <w:lang w:bidi="fa-IR"/>
        </w:rPr>
        <w:t>چنانکه گفته شد، قرائن منفصله ای در دیگر فرازهای این روایت وجود دارد که نشان می دهد، این روایت تنها در مقام بیان کلیت حکم است و نظر به جزئیات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از اطلاق آن برای اشتمال تمامی افراد آن استفاده کرد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یکی از فرازهای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فریاد کشیدن و بالا بردن صدا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مورد اذان، نه تنها کراهتی وجود ندارد بلکه مستحب است که اذان با صدای بلند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وهب همین سوال را از اما صادق علیه السلام پرسیده و چنین جواب گرفته است</w:t>
      </w:r>
      <w:r>
        <w:rPr>
          <w:rFonts w:eastAsia="IRNazanin" w:cs="IRNazanin"/>
          <w:color w:val="111111"/>
          <w:sz w:val="28"/>
          <w:szCs w:val="28"/>
          <w:rtl w:val="true"/>
          <w:lang w:bidi="fa-IR"/>
        </w:rPr>
        <w:t xml:space="preserve">: </w:t>
      </w:r>
      <w:bookmarkStart w:id="438" w:name="pg19111_195092"/>
    </w:p>
    <w:p>
      <w:pPr>
        <w:pStyle w:val="BookText"/>
        <w:rPr/>
      </w:pPr>
      <w:bookmarkEnd w:id="4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مُعَاوِیَةُ بْنُ وَهْبٍ أَبَا عَبْدِ اللَّهِ علیه السلام عَنِ الْأَذَانِ فَقَالَ اجْهَرْ وَ ارْفَعْ بِهِ صَوْتَک</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همچنین در مورد تکبیر و صلوات نیز در روایت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ارفعوا اصواتکم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مورد کراهت قضاوت و حکم کردن در مسجد چنانکه پیش از این به آن اشاره شد، بسیاری از فقها اصل کراهت داشتن این موضوع را به خاطر وجود شواهد معارض نپذیرفته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صاحب جواهر پس از بیان این مطلب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الأقوى فی النظر عدم الکراهة مطلقا، و النص إما مطرح أو محمول على إرادة الأحکام الصادرة من قضاة العامة</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پس شاید بتوان گفت که دیدگاه قوی تر، عدم کراهت قضاوت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صورت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نصّی که گویای کراهت است یا کنار نهاده می شود و یا حمل بر حکم کردن قاضیان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چنین نتیجه گرفت که این روایت در مقام بیان جزئیات احکام نبوده و تنها در صدد بیان اصل مساله بوده است</w:t>
      </w:r>
      <w:r>
        <w:rPr>
          <w:rFonts w:eastAsia="IRNazanin" w:cs="IRNazanin"/>
          <w:color w:val="111111"/>
          <w:sz w:val="28"/>
          <w:szCs w:val="28"/>
          <w:rtl w:val="true"/>
          <w:lang w:bidi="fa-IR"/>
        </w:rPr>
        <w:t>.</w:t>
      </w:r>
    </w:p>
    <w:p>
      <w:pPr>
        <w:pStyle w:val="Heading4"/>
        <w:numPr>
          <w:ilvl w:val="3"/>
          <w:numId w:val="1"/>
        </w:numPr>
        <w:rPr/>
      </w:pPr>
      <w:bookmarkStart w:id="439" w:name="__RefHeading___Toc15165375_1280447820"/>
      <w:bookmarkStart w:id="440" w:name="_Toc163"/>
      <w:bookmarkEnd w:id="439"/>
      <w:r>
        <w:rPr>
          <w:rtl w:val="true"/>
        </w:rPr>
        <w:t xml:space="preserve">گفتار چهارم </w:t>
      </w:r>
      <w:r>
        <w:rPr>
          <w:rtl w:val="true"/>
        </w:rPr>
        <w:t>(</w:t>
      </w:r>
      <w:r>
        <w:rPr>
          <w:rtl w:val="true"/>
        </w:rPr>
        <w:t>نتیجه</w:t>
      </w:r>
      <w:r>
        <w:rPr>
          <w:rtl w:val="true"/>
        </w:rPr>
        <w:t xml:space="preserve">): </w:t>
      </w:r>
      <w:r>
        <w:rPr>
          <w:rtl w:val="true"/>
        </w:rPr>
        <w:t>عدم شمول نهی روایت بر همه کودکان</w:t>
      </w:r>
      <w:bookmarkEnd w:id="440"/>
    </w:p>
    <w:p>
      <w:pPr>
        <w:pStyle w:val="BookText"/>
        <w:rPr/>
      </w:pPr>
      <w:r>
        <w:rPr>
          <w:rFonts w:ascii="IRNazanin" w:hAnsi="IRNazanin" w:eastAsia="IRNazanin"/>
          <w:color w:val="111111"/>
          <w:sz w:val="28"/>
          <w:sz w:val="28"/>
          <w:szCs w:val="28"/>
          <w:rtl w:val="true"/>
          <w:lang w:bidi="fa-IR"/>
        </w:rPr>
        <w:t>نتیجه آنکه این روایت به صورت مجمل، حکمی کلی را بیان داشته است که برای به دست آوردن محدوده و مصادیق آن باید به دیگر روایات مرتبط مراجعه 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بر فرض پذیرش این روایت، علم اجمالی پیدا می کنیم که آوردن برخی از کودکان به مسجد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روشن شدن این مطلب که این نهی به کدام گروه از کودکان تعلق </w:t>
      </w:r>
    </w:p>
    <w:p>
      <w:pPr>
        <w:pStyle w:val="BookText"/>
        <w:rPr/>
      </w:pPr>
      <w:r>
        <w:rPr>
          <w:rFonts w:ascii="IRNazanin" w:hAnsi="IRNazanin" w:eastAsia="IRNazanin"/>
          <w:color w:val="111111"/>
          <w:sz w:val="28"/>
          <w:sz w:val="28"/>
          <w:szCs w:val="28"/>
          <w:rtl w:val="true"/>
          <w:lang w:bidi="fa-IR"/>
        </w:rPr>
        <w:t>می گیرد، باید به دیگر آموزه های دینی مراجعه کرد و مصادیقی از کودکان را که یقین به اباحه یا استحباب یا وجوب آوردن آنها به مسجد داریم، از حکم این روایت خارج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است که بنابر معنا شناسی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ابتدای مباحث مطرح 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خردسال اطلاق می شود که ظهور آن در کودکان غیر ممیز خواهد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اگر چنین ظهوری را نپذیریم، باید به دستیابی ملاک نهی در روایات ناهیه بپردازیم تا به این وسیله دریابیم که در این روایت از ورود چه گروه هایی از کودکان نهی شده است</w:t>
      </w:r>
      <w:r>
        <w:rPr>
          <w:rFonts w:eastAsia="IRNazanin" w:cs="IRNazanin"/>
          <w:color w:val="111111"/>
          <w:sz w:val="28"/>
          <w:szCs w:val="28"/>
          <w:rtl w:val="true"/>
          <w:lang w:bidi="fa-IR"/>
        </w:rPr>
        <w:t xml:space="preserve">. </w:t>
      </w:r>
      <w:bookmarkStart w:id="441" w:name="pg19111_195094"/>
    </w:p>
    <w:p>
      <w:pPr>
        <w:pStyle w:val="Heading3"/>
        <w:numPr>
          <w:ilvl w:val="2"/>
          <w:numId w:val="1"/>
        </w:numPr>
        <w:rPr/>
      </w:pPr>
      <w:bookmarkStart w:id="442" w:name="__RefHeading___Toc15165377_1280447820"/>
      <w:bookmarkStart w:id="443" w:name="_Toc164"/>
      <w:bookmarkEnd w:id="441"/>
      <w:bookmarkEnd w:id="442"/>
      <w:r>
        <w:rPr>
          <w:rtl w:val="true"/>
        </w:rPr>
        <w:t>فصل سوم</w:t>
      </w:r>
      <w:r>
        <w:rPr>
          <w:rtl w:val="true"/>
        </w:rPr>
        <w:t xml:space="preserve">: </w:t>
      </w:r>
      <w:r>
        <w:rPr>
          <w:rtl w:val="true"/>
        </w:rPr>
        <w:t>دستیابی به ملاک اصلی نهی در روایات ناهیه</w:t>
      </w:r>
      <w:bookmarkEnd w:id="443"/>
    </w:p>
    <w:p>
      <w:pPr>
        <w:pStyle w:val="Heading4"/>
        <w:numPr>
          <w:ilvl w:val="3"/>
          <w:numId w:val="1"/>
        </w:numPr>
        <w:rPr/>
      </w:pPr>
      <w:bookmarkStart w:id="444" w:name="__RefHeading___Toc15165379_1280447820"/>
      <w:bookmarkStart w:id="445" w:name="_Toc165"/>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اگرچه در این روایت ملاکی برای نهی، مطرح نشده و فلسفه حکم در خود این روایت، بیان نگردیده است اما این ملاک در برخی از روایات مرتبط با دیگر فرازهای این روایت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بررسی این روایات و تحلیل این ملاک ها به نکاتی کلیدی دست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روایاتی که به صورت قرینه منفصله در کنار دیگر فرازهای این روایت، قرار دارند به صراحت ملاک هایی را برای نهی موجود در این روایت مطرح می کنند که می توان آن ملاک را در دیگر فرازها نیز تسرّی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ابتدا باید به بررسی این ملاک ها پرداخت تا روشن شود آیا این ملاک ها توانایی حاکم شدن بر کلیه فرازهای این روایات را دارند؟</w:t>
      </w:r>
    </w:p>
    <w:p>
      <w:pPr>
        <w:pStyle w:val="Heading4"/>
        <w:numPr>
          <w:ilvl w:val="3"/>
          <w:numId w:val="1"/>
        </w:numPr>
        <w:rPr/>
      </w:pPr>
      <w:bookmarkStart w:id="446" w:name="__RefHeading___Toc15165381_1280447820"/>
      <w:bookmarkStart w:id="447" w:name="_Toc166"/>
      <w:bookmarkEnd w:id="446"/>
      <w:r>
        <w:rPr>
          <w:rtl w:val="true"/>
        </w:rPr>
        <w:t>گفتار اول</w:t>
      </w:r>
      <w:r>
        <w:rPr>
          <w:rtl w:val="true"/>
        </w:rPr>
        <w:t xml:space="preserve">: </w:t>
      </w:r>
      <w:r>
        <w:rPr>
          <w:rtl w:val="true"/>
        </w:rPr>
        <w:t>مخالفت با کاربری اصلی مسجد در کلام فقها</w:t>
      </w:r>
      <w:bookmarkEnd w:id="447"/>
    </w:p>
    <w:p>
      <w:pPr>
        <w:pStyle w:val="BookText"/>
        <w:rPr/>
      </w:pPr>
      <w:r>
        <w:rPr>
          <w:rFonts w:ascii="IRNazanin" w:hAnsi="IRNazanin" w:eastAsia="IRNazanin"/>
          <w:color w:val="111111"/>
          <w:sz w:val="28"/>
          <w:sz w:val="28"/>
          <w:szCs w:val="28"/>
          <w:rtl w:val="true"/>
          <w:lang w:bidi="fa-IR"/>
        </w:rPr>
        <w:t xml:space="preserve">برخی از فقها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کاربری اصلی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ملاک های نهی از آوردن کودکان به مسجد برشمره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بزرگان از همین ملاک، بهره برده و ورود دیگر کودکان به مسجد را از دایره حکم کراهت خارج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یک ملاک شایسته عقلایی است و به طور معمول باید در هر محیطی رعایت گردد اما باید دانست که ریشه اصلی ارائه این ملاک، روایات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دسته از فقها با بهره گیری از روایات این باب، به این ملاک مهم دست یافته و آن را زمینه فتوای خود قرار داده 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فقهای متاخر شیعه با دقت نظر در دیگر روایات باب کراهت، به یک ملاک اساسی و نکته ای کلیدی در این مساله دست یافته اند که هر یک به گونه ای و با بیانی ویژه به آن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bookmarkStart w:id="448" w:name="pg19111_195095"/>
    </w:p>
    <w:p>
      <w:pPr>
        <w:pStyle w:val="BookText"/>
        <w:rPr/>
      </w:pPr>
      <w:bookmarkEnd w:id="448"/>
      <w:r>
        <w:rPr>
          <w:rFonts w:ascii="IRNazanin" w:hAnsi="IRNazanin" w:eastAsia="IRNazanin"/>
          <w:color w:val="111111"/>
          <w:sz w:val="28"/>
          <w:sz w:val="28"/>
          <w:szCs w:val="28"/>
          <w:rtl w:val="true"/>
          <w:lang w:bidi="fa-IR"/>
        </w:rPr>
        <w:t xml:space="preserve">مخالفت با کاربری اصلی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المسجد بنی لغیر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ملاک اجتناب از چنین کارهایی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کاربری اصلی مسجد، عبادت و راز و نیاز و اعمالی شبیه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چنین ملاکی ممکن است به گونه های مختلفی ظهور و بروز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فقها با عناوین مختلفی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برگزاری نماز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بازیگوشی کودکان با جایگاه و بزرگی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رعایت آداب شرعی مرتبط با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نظم عمومی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مزاحمت برای حریم عبادی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مراعات حرمت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اساسی اشاره کرده اند</w:t>
      </w:r>
      <w:r>
        <w:rPr>
          <w:rFonts w:eastAsia="IRNazanin" w:cs="IRNazanin"/>
          <w:color w:val="111111"/>
          <w:sz w:val="28"/>
          <w:szCs w:val="28"/>
          <w:rtl w:val="true"/>
          <w:lang w:bidi="fa-IR"/>
        </w:rPr>
        <w:t>.</w:t>
      </w:r>
    </w:p>
    <w:p>
      <w:pPr>
        <w:pStyle w:val="Heading4"/>
        <w:numPr>
          <w:ilvl w:val="3"/>
          <w:numId w:val="1"/>
        </w:numPr>
        <w:rPr/>
      </w:pPr>
      <w:bookmarkStart w:id="449" w:name="__RefHeading___Toc15165383_1280447820"/>
      <w:bookmarkStart w:id="450" w:name="_Toc167"/>
      <w:bookmarkEnd w:id="449"/>
      <w:r>
        <w:rPr>
          <w:rtl w:val="true"/>
        </w:rPr>
        <w:t>کلام فقها در این زمینه</w:t>
      </w:r>
      <w:bookmarkEnd w:id="450"/>
    </w:p>
    <w:p>
      <w:pPr>
        <w:pStyle w:val="BookText"/>
        <w:rPr/>
      </w:pPr>
      <w:r>
        <w:rPr>
          <w:rFonts w:ascii="IRNazanin" w:hAnsi="IRNazanin" w:eastAsia="IRNazanin"/>
          <w:color w:val="111111"/>
          <w:sz w:val="28"/>
          <w:sz w:val="28"/>
          <w:szCs w:val="28"/>
          <w:rtl w:val="true"/>
          <w:lang w:bidi="fa-IR"/>
        </w:rPr>
        <w:t xml:space="preserve">گویا 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به این نکته پراهمیت پرداخته و آن را در فتوای خود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لغیر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مبنای حکم کراهت آوردن گروهی از کودکان به مسجد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البیع و الشّراء و تمکین المجانین و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في الحدیث، عن النّبي صلّي اللّه علیه و آله من الأمر بترک فعل ذلک في المسجد، و ترک تمکین الصّبیان و المجانین، و لما تقدّم من تعلیله صلّي اللّه علیه و آله بأن المسجد بني لغیر ذلک، و لأنّه لا یؤمن حصول النّجاسة من الصّبیان و المجانین</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استدلالی شبیه به همین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البیع فیها و الشراء، و 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لقوله علیه السلام جنّبوا مساجدکم صبیانکم و مجانینکم و شراءکم و بیعکم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المسجد بُني لغیر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لا یؤمن حصول النجاسة من الصبیان و المجانین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علت کراهت تمامی فقرات روایات ناهیه را همین مطلب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البیع و الشراء، و تمکین المجانین و الصبیان، و اقامة الحدود، و رفع الصوت المتجاوز عن العادة، و إنشاد الضالة، و حدیث الدنیا، و عمل الصنائع، و کشف العورة، فإنها لغیر هذه بنیت،</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یکی از روایات ناهیه به همین نکته اما از زاویه دیگری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احتمال داده که نهی وارد شده در این روایت تنها مخصوص به زمان برگزاری نمازهای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دیدگاه او فقرات گوناگونی که در روایات ناهیه مطرح شده، مخالف کاربری اصلی مسجد یعنی عبادت و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یحتمل أن یکون النهي عن أکثر هذه الأمور مختصا بأوقاف الصلوات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محدث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که دلیل نهی در روایات ناهیه، بازیگوشی کودکان در مسجد است که با بزرگی و جایگاه مسجد منافات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حفظ حشمت و وقار مسجد را ملاک اصلی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و الشراء و تمکین المجانین و الصبیان و رفع الصوت و قید بعضهم الصبیان بالذین لا یوثق بهم فی التحفظ من النجاسات، و کأنهم فهموا ان العلة فی النهی عنهم من حیث کونهم مظنة النجاسات، و یجوز ان یکون الوجه فی المنع منهم ایضا هو اللعب فی المسجد المنافی لتوقیره و احتشامه</w:t>
      </w:r>
      <w:r>
        <w:rPr>
          <w:rFonts w:eastAsia="IRNazanin" w:cs="IRNazanin"/>
          <w:color w:val="111111"/>
          <w:sz w:val="28"/>
          <w:szCs w:val="28"/>
          <w:rtl w:val="true"/>
          <w:lang w:bidi="fa-IR"/>
        </w:rPr>
        <w:t>.</w:t>
      </w:r>
      <w:r>
        <w:rPr>
          <w:rStyle w:val="FootnoteAnchor"/>
          <w:rtl w:val="true"/>
        </w:rPr>
        <w:footnoteReference w:id="292"/>
      </w:r>
      <w:bookmarkStart w:id="451" w:name="pg19111_195097"/>
    </w:p>
    <w:p>
      <w:pPr>
        <w:pStyle w:val="BookText"/>
        <w:rPr/>
      </w:pPr>
      <w:bookmarkEnd w:id="451"/>
      <w:r>
        <w:rPr>
          <w:rFonts w:ascii="IRNazanin" w:hAnsi="IRNazanin" w:eastAsia="IRNazanin"/>
          <w:color w:val="111111"/>
          <w:sz w:val="28"/>
          <w:sz w:val="28"/>
          <w:szCs w:val="28"/>
          <w:rtl w:val="true"/>
          <w:lang w:bidi="fa-IR"/>
        </w:rPr>
        <w:t>به غیر از این فقها، فقیهان دیگری نیز همین مطلب را با بیان دیگری و با عنوان داشتن مصادیق فرعی تر مطرح کرده اند که در بخش های بعد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این ملاک اساسی از چه منبعی به دست آمده و آیا چنین ملاکی راهگشا و قابل استفاده است؟</w:t>
      </w:r>
    </w:p>
    <w:p>
      <w:pPr>
        <w:pStyle w:val="Heading4"/>
        <w:numPr>
          <w:ilvl w:val="3"/>
          <w:numId w:val="1"/>
        </w:numPr>
        <w:rPr/>
      </w:pPr>
      <w:bookmarkStart w:id="452" w:name="__RefHeading___Toc15165385_1280447820"/>
      <w:bookmarkStart w:id="453" w:name="_Toc168"/>
      <w:bookmarkEnd w:id="452"/>
      <w:r>
        <w:rPr>
          <w:rtl w:val="true"/>
        </w:rPr>
        <w:t>گفتار دوم</w:t>
      </w:r>
      <w:r>
        <w:rPr>
          <w:rtl w:val="true"/>
        </w:rPr>
        <w:t xml:space="preserve">: </w:t>
      </w:r>
      <w:r>
        <w:rPr>
          <w:rtl w:val="true"/>
        </w:rPr>
        <w:t>به دست آوردن ملاک نهی</w:t>
      </w:r>
      <w:bookmarkEnd w:id="453"/>
    </w:p>
    <w:p>
      <w:pPr>
        <w:pStyle w:val="BookText"/>
        <w:rPr/>
      </w:pPr>
      <w:r>
        <w:rPr>
          <w:rFonts w:ascii="IRNazanin" w:hAnsi="IRNazanin" w:eastAsia="IRNazanin"/>
          <w:color w:val="111111"/>
          <w:sz w:val="28"/>
          <w:sz w:val="28"/>
          <w:szCs w:val="28"/>
          <w:rtl w:val="true"/>
          <w:lang w:bidi="fa-IR"/>
        </w:rPr>
        <w:t>چنانکه در بخش دلایل کراهت مطرح گردید، با استمداد از دیگر روایات می توان به ملاک کراهت در این مساله نیز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روایاتی که در باب مکروهات مسجد مطرح شده، روایاتی وجود دارند که مخالفت با کاربری مسجد را یکی از دلایل نهی،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روایات به صورت مستقیم با بحث آوردن کودکان به مسجد مرتبط نیستند و در آنها نامی از کودکان به میان نیامده است، اما ملاکی کلی را به دست ما خواهند داد که در دیگر فقرات نیز کارگشا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صحیح السند</w:t>
      </w:r>
      <w:r>
        <w:rPr>
          <w:rStyle w:val="FootnoteAnchor"/>
          <w:rtl w:val="true"/>
        </w:rPr>
        <w:footnoteReference w:id="293"/>
      </w:r>
      <w:r>
        <w:rPr>
          <w:rFonts w:ascii="IRNazanin" w:hAnsi="IRNazanin" w:eastAsia="IRNazanin"/>
          <w:color w:val="111111"/>
          <w:sz w:val="28"/>
          <w:sz w:val="28"/>
          <w:szCs w:val="28"/>
          <w:rtl w:val="true"/>
          <w:lang w:bidi="fa-IR"/>
        </w:rPr>
        <w:t>از محمد بن مسلم نقل شده که امام باقر علیه السلام یا 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صلّی الله علیه و آله عَنْ سَلِّ السَّیْفِ فِی الْمَسْجِدِ وَ عَنْ بَرْیِ النَّبْلِ فِی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بُنِیَ لِغَیْرِ ذَلِکَ</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از شمشیر کشیدن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 کردن شمشیر از 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تراشیدن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مسجد برای غیر چنین کارهایی بنا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صدوق در روایتی مرسله آوره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النَّبِیُّ صلي الله علیه و اله وسلم رَجُلًا یُنْشِدُ ضَالَّةً فِي الْمَسْجِدِ فَقَالَ قُولُوا لَهُ لَا رَدَّ اللَّهُ عَلَیْکَ ضَالَّتَکَ فَإِنَّهَا لِغَیْرِ هَذَا بُنِیَت</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علیه و آله شنید که شخصى در مسجد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یا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اش فریاد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گم شده ات را به تو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براى غیر این کارها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شیخ صدوق در روایتی مرفوعه 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صلی الله علیه و اله وسلم مَرَّ بِرَجُلٍ یَبْرِی مَشَاقِصَ لَهُ فِی الْمَسْجِدِ فَنَهَاهُ وَ قَالَ إِنَّهَا لِغَیْرِ هَذَا بُنِیَت</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در مسجد به مردی برخورد که نوک تیرهای خود را می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برای غیر این کارها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صحیح السند</w:t>
      </w:r>
      <w:r>
        <w:rPr>
          <w:rStyle w:val="FootnoteAnchor"/>
          <w:rtl w:val="true"/>
        </w:rPr>
        <w:footnoteReference w:id="297"/>
      </w:r>
      <w:r>
        <w:rPr>
          <w:rFonts w:ascii="IRNazanin" w:hAnsi="IRNazanin" w:eastAsia="IRNazanin"/>
          <w:color w:val="111111"/>
          <w:sz w:val="28"/>
          <w:sz w:val="28"/>
          <w:szCs w:val="28"/>
          <w:rtl w:val="true"/>
          <w:lang w:bidi="fa-IR"/>
        </w:rPr>
        <w:t>دیگری از امام سجاد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صلي الله علیه و اله وسلم مَنْ سَمِعْتُمُوهُ یُنْشِدُ الشِّعْرَ فِي الْمَسَاجِدِ فَقُولُوا فَضَّ اللَّهُ فَاکَ إِنَّمَا نُصِبَتِ الْمَسَاجِدُ لِلْقُرْآنِ</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پیامبر صلی الله علیه و اله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شنیدید در مساجد شعر می خواند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دهانت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مساجد تنها برای قرآن قرار داده شده 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این ملاک در چهار موضوع مجزا 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454" w:name="pg19111_195099"/>
    </w:p>
    <w:p>
      <w:pPr>
        <w:pStyle w:val="BookText"/>
        <w:rPr/>
      </w:pPr>
      <w:bookmarkEnd w:id="454"/>
      <w:r>
        <w:rPr>
          <w:rFonts w:ascii="IRNazanin" w:hAnsi="IRNazanin" w:eastAsia="IRNazanin"/>
          <w:color w:val="111111"/>
          <w:sz w:val="28"/>
          <w:sz w:val="28"/>
          <w:szCs w:val="28"/>
          <w:rtl w:val="true"/>
          <w:lang w:bidi="fa-IR"/>
        </w:rPr>
        <w:t xml:space="preserve">شمشیر کشیدن، تراشیدن تیر و کمان، فریاد کشیدن برای یافتن گمشده و شعر خوانی در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می توان چنین نتیجه گرفت که این مطلب یک ملاک کلی است که در این روایات ظهور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چنین نتیجه گرفت که هر کاری که با کاربری اصلی مسجد، سازگاری نداشته باشد، مورد نهی شارع است و باید از ورود و اشاعه آن در مسجد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می توان نتیجه گرفت که تنها آوردن کودکانی به مسجد مکروه است که بازی و شیطنت آنها مخالف با کاربری اصلی مسجد است و مزاحمتی جدّی برای عبادت و راز و نیاز دیگر نمازگزاران به حساب می آید</w:t>
      </w:r>
      <w:r>
        <w:rPr>
          <w:rFonts w:eastAsia="IRNazanin" w:cs="IRNazanin"/>
          <w:color w:val="111111"/>
          <w:sz w:val="28"/>
          <w:szCs w:val="28"/>
          <w:rtl w:val="true"/>
          <w:lang w:bidi="fa-IR"/>
        </w:rPr>
        <w:t>.</w:t>
      </w:r>
    </w:p>
    <w:p>
      <w:pPr>
        <w:pStyle w:val="Heading4"/>
        <w:numPr>
          <w:ilvl w:val="3"/>
          <w:numId w:val="1"/>
        </w:numPr>
        <w:rPr/>
      </w:pPr>
      <w:bookmarkStart w:id="455" w:name="__RefHeading___Toc15165387_1280447820"/>
      <w:bookmarkStart w:id="456" w:name="_Toc169"/>
      <w:bookmarkEnd w:id="455"/>
      <w:r>
        <w:rPr>
          <w:rtl w:val="true"/>
        </w:rPr>
        <w:t xml:space="preserve">- </w:t>
      </w:r>
      <w:r>
        <w:rPr>
          <w:rtl w:val="true"/>
        </w:rPr>
        <w:t>مزاحمت با کاربری اصلی مسجد، ملاک اصلی روایات ناهیه</w:t>
      </w:r>
      <w:bookmarkEnd w:id="456"/>
    </w:p>
    <w:p>
      <w:pPr>
        <w:pStyle w:val="BookText"/>
        <w:rPr/>
      </w:pPr>
      <w:r>
        <w:rPr>
          <w:rFonts w:ascii="IRNazanin" w:hAnsi="IRNazanin" w:eastAsia="IRNazanin"/>
          <w:color w:val="111111"/>
          <w:sz w:val="28"/>
          <w:sz w:val="28"/>
          <w:szCs w:val="28"/>
          <w:rtl w:val="true"/>
          <w:lang w:bidi="fa-IR"/>
        </w:rPr>
        <w:t>با به دست آمدن ملاک مطرح شده توسط پیامبر صلی الله علیه و اله می توان چنین نتیجه گرفت که روح کلی حاکم بر روایات ناهیه همین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ملاکی که می گوید هیچ کس و هیچ چیز حق ندارد با کاربری اصلی مسجد یعنی عبادت و ارتباط با پروردگار مزاحمتی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کاری که با کاربری اصلی مسجد در تعارض باشد، نکوهیده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وجه مشترک تمامی فرازهای نهی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مزاحمت برای فعالیت اصلی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یک از این موارد، به صورت موجبه جزئیه، می تواند به نحوی کاربری اصلی مسجد را تحت الشعاع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کاربری اصلی مسجد همچنانکه از نام آن پیدا است و از آیات قرآن و روایات بر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أَظْلَمُ مِمَّنْ مَنَعَ مَساجِدَ اللّهِ أَنْ یُذْکَرَ فِیهَا اسْمُهُ وَ سَعي فِي خَرابِها </w:t>
      </w:r>
      <w:r>
        <w:rPr>
          <w:rFonts w:eastAsia="Amiri" w:cs="Amiri" w:ascii="Amiri" w:hAnsi="Amiri"/>
          <w:color w:val="111111"/>
          <w:sz w:val="28"/>
          <w:szCs w:val="28"/>
          <w:rtl w:val="true"/>
          <w:lang w:bidi="ar-SA"/>
        </w:rPr>
        <w:t>....»</w:t>
      </w:r>
      <w:r>
        <w:rPr>
          <w:rStyle w:val="FootnoteAnchor"/>
          <w:rtl w:val="true"/>
        </w:rPr>
        <w:footnoteReference w:id="29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ستمکارتر از آن کس که از بردن نام خدا در مساجد او جلوگیرى کرد و سعى در ویرانى آنها نمود؟</w:t>
      </w:r>
      <w:r>
        <w:rPr>
          <w:rFonts w:eastAsia="IRNazanin" w:cs="IRNazanin"/>
          <w:color w:val="111111"/>
          <w:sz w:val="28"/>
          <w:szCs w:val="28"/>
          <w:rtl w:val="true"/>
          <w:lang w:bidi="fa-IR"/>
        </w:rPr>
        <w:t xml:space="preserve">!» </w:t>
      </w:r>
      <w:bookmarkStart w:id="457" w:name="pg19111_195100"/>
    </w:p>
    <w:p>
      <w:pPr>
        <w:pStyle w:val="BookText"/>
        <w:rPr/>
      </w:pPr>
      <w:bookmarkEnd w:id="457"/>
      <w:r>
        <w:rPr>
          <w:rFonts w:ascii="IRNazanin" w:hAnsi="IRNazanin" w:eastAsia="IRNazanin"/>
          <w:color w:val="111111"/>
          <w:sz w:val="28"/>
          <w:sz w:val="28"/>
          <w:szCs w:val="28"/>
          <w:rtl w:val="true"/>
          <w:lang w:bidi="fa-IR"/>
        </w:rPr>
        <w:t>بنابراین هر چیزی که با این ملاک در تعارض باشد، حضورش در مسجد نکوهیده خواهد بود</w:t>
      </w:r>
      <w:r>
        <w:rPr>
          <w:rFonts w:eastAsia="IRNazanin" w:cs="IRNazanin"/>
          <w:color w:val="111111"/>
          <w:sz w:val="28"/>
          <w:szCs w:val="28"/>
          <w:rtl w:val="true"/>
          <w:lang w:bidi="fa-IR"/>
        </w:rPr>
        <w:t>.</w:t>
      </w:r>
    </w:p>
    <w:p>
      <w:pPr>
        <w:pStyle w:val="Heading4"/>
        <w:numPr>
          <w:ilvl w:val="3"/>
          <w:numId w:val="1"/>
        </w:numPr>
        <w:rPr/>
      </w:pPr>
      <w:bookmarkStart w:id="458" w:name="__RefHeading___Toc15165389_1280447820"/>
      <w:bookmarkStart w:id="459" w:name="_Toc170"/>
      <w:bookmarkEnd w:id="458"/>
      <w:r>
        <w:rPr>
          <w:rtl w:val="true"/>
        </w:rPr>
        <w:t>گفتار سوم</w:t>
      </w:r>
      <w:r>
        <w:rPr>
          <w:rtl w:val="true"/>
        </w:rPr>
        <w:t xml:space="preserve">: </w:t>
      </w:r>
      <w:r>
        <w:rPr>
          <w:rtl w:val="true"/>
        </w:rPr>
        <w:t>تاثیر ملاک در محدوده مباحث نهی شده</w:t>
      </w:r>
      <w:bookmarkEnd w:id="459"/>
    </w:p>
    <w:p>
      <w:pPr>
        <w:pStyle w:val="Heading5"/>
        <w:numPr>
          <w:ilvl w:val="4"/>
          <w:numId w:val="1"/>
        </w:numPr>
        <w:rPr/>
      </w:pPr>
      <w:bookmarkStart w:id="460" w:name="__RefHeading___Toc15165391_1280447820"/>
      <w:bookmarkStart w:id="461" w:name="_Toc171"/>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ملاک مطرح شده از جانب پیامبر صلی الله علیه و اله دو تاثیر ویژه در موضوعات مطرح شده در باب مکروهات مسجد،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برخی از موضوعات را به باب کراهات مسجد خواهد افزود و دوم اینکه دایره کراهت برخی از موضوعات را کاهش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دقیق تر می توان گفت دلیلی که حاکی از ملاک نهی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دلیلی ناظر، مفسّر و مبیّن حال دلیل دیگر از جهت مقدار دلالت باشد، آن دلیل را حاکم و دلیل دیگر را محکوم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این است که دلیل حاکم، دایره دلالت دلیل دیگر را توسعه یا محدود خواهد کرد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بنابراین ملاک مطرح شده در باب نهی نیز می تواند در سعه و ضیق محدوده ادله ناهیه،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تاثیر دو گونه خواهد بود</w:t>
      </w:r>
      <w:r>
        <w:rPr>
          <w:rFonts w:eastAsia="IRNazanin" w:cs="IRNazanin"/>
          <w:color w:val="111111"/>
          <w:sz w:val="28"/>
          <w:szCs w:val="28"/>
          <w:rtl w:val="true"/>
          <w:lang w:bidi="fa-IR"/>
        </w:rPr>
        <w:t>:</w:t>
      </w:r>
    </w:p>
    <w:p>
      <w:pPr>
        <w:pStyle w:val="Heading5"/>
        <w:numPr>
          <w:ilvl w:val="4"/>
          <w:numId w:val="1"/>
        </w:numPr>
        <w:rPr/>
      </w:pPr>
      <w:bookmarkStart w:id="462" w:name="__RefHeading___Toc15165393_1280447820"/>
      <w:bookmarkStart w:id="463" w:name="_Toc172"/>
      <w:bookmarkEnd w:id="462"/>
      <w:r>
        <w:rPr/>
        <w:t>1</w:t>
      </w:r>
      <w:r>
        <w:rPr>
          <w:rtl w:val="true"/>
        </w:rPr>
        <w:t xml:space="preserve">- </w:t>
      </w:r>
      <w:r>
        <w:rPr>
          <w:rtl w:val="true"/>
        </w:rPr>
        <w:t>توسعه و گسترش حکم به دیگر موضوعات</w:t>
      </w:r>
      <w:r>
        <w:rPr>
          <w:rtl w:val="true"/>
        </w:rPr>
        <w:t>:</w:t>
      </w:r>
      <w:bookmarkEnd w:id="463"/>
    </w:p>
    <w:p>
      <w:pPr>
        <w:pStyle w:val="BookText"/>
        <w:rPr/>
      </w:pPr>
      <w:r>
        <w:rPr>
          <w:rFonts w:ascii="IRNazanin" w:hAnsi="IRNazanin" w:eastAsia="IRNazanin"/>
          <w:color w:val="111111"/>
          <w:sz w:val="28"/>
          <w:sz w:val="28"/>
          <w:szCs w:val="28"/>
          <w:rtl w:val="true"/>
          <w:lang w:bidi="fa-IR"/>
        </w:rPr>
        <w:t>این ملاک سبب می شود که حکم به کراهت، از انحصار در موارد ذکر شده در روایات، خارج شده و به تمامی مواردی که چنین ملاکی داشته باشند، تسرّی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اگرچه در این روایت تنها در مورد تراشیدن تیر و یا فریاد کشیدن برای یافتن گمشده، سخن به میان آمده اما می توان با ملاک به دست آمده حکم را به دیگر مشاغل پر سر و صدا نیز سرایت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صاحب جواهر برای سرایت حکم کراهت به انجام دیگر صنایع در مسجد، از همین تعلیل استفاده کرده، می گوید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التعلیل هنا و الضالة و الأمر بتوقیر المساجد یستفاد الحکم في </w:t>
      </w:r>
    </w:p>
    <w:p>
      <w:pPr>
        <w:pStyle w:val="BookText"/>
        <w:rPr/>
      </w:pPr>
      <w:r>
        <w:rPr>
          <w:rFonts w:ascii="IRNazanin" w:hAnsi="IRNazanin" w:eastAsia="IRNazanin"/>
          <w:color w:val="111111"/>
          <w:sz w:val="28"/>
          <w:sz w:val="28"/>
          <w:szCs w:val="28"/>
          <w:rtl w:val="true"/>
          <w:lang w:bidi="fa-IR"/>
        </w:rPr>
        <w:t>غیرهما أیضا من الصنائع مثلا غیر المضرة بالمصلین و المسجد التي نص علیها غیر واحد من الأصحاب</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و از تعلیلی که از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نصبت المساجد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 آید و همچنین تعلیلی که از روایت فریاد کشیدن برای یافتن گمشده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لغیر هذا بنیت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به بزرگداشت مساجد به دست می آید، چنین استفاده می شود که حکم کراهت در غیر این دو مورد نیز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صنایع و شغل هایی که ضرری به مسجد و نمازگزاران نمی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کاربری مسجد سازگاری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بسیاری از بزرگان مطرح کرده و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عبدالاعلی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دیگری از این ملاک استفاده کرده و حکم مطرح شده در این روایت را توسعه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کراهة غیر البیع و الشراء من سائر المعاوضات،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بنی لغیر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سبق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صنع المساجد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می توان نمونه های دیگری نیز برای این مساله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با اینکه مسجد، جایگاهی برای سخنرانی است اما اگر ارائه یک سخنرانی، صرفا جهت تبلیغ از یک شخص یا یک شیئ باشد و مسجد را تبدیل به یک میتینگ تبلیغاتی کند، با کاربری مسجد در تعارض خواهد بود و شامل ملاک نهی موجود در روایات خواهد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ورزش کردن در مسجد نیز اگرچه ممکن است سبب استفاده بیشتر از فضای مسجد باشد اما به نظر می رسد که با کاربری اصلی مسجد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از فقها این کار را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آیت الله خامنه ای می گوید</w:t>
      </w:r>
      <w:r>
        <w:rPr>
          <w:rFonts w:eastAsia="IRNazanin" w:cs="IRNazanin"/>
          <w:color w:val="111111"/>
          <w:sz w:val="28"/>
          <w:szCs w:val="28"/>
          <w:rtl w:val="true"/>
          <w:lang w:bidi="fa-IR"/>
        </w:rPr>
        <w:t xml:space="preserve">: </w:t>
      </w:r>
      <w:bookmarkStart w:id="464" w:name="pg19111_195102"/>
    </w:p>
    <w:p>
      <w:pPr>
        <w:pStyle w:val="BookText"/>
        <w:rPr/>
      </w:pPr>
      <w:bookmarkEnd w:id="464"/>
      <w:r>
        <w:rPr>
          <w:rFonts w:ascii="IRNazanin" w:hAnsi="IRNazanin" w:eastAsia="IRNazanin"/>
          <w:color w:val="111111"/>
          <w:sz w:val="28"/>
          <w:sz w:val="28"/>
          <w:szCs w:val="28"/>
          <w:rtl w:val="true"/>
          <w:lang w:bidi="fa-IR"/>
        </w:rPr>
        <w:t>المسجد لیس مکاناً للریاضة و للتمرینات الریاضیة و یجب الاجتناب عن کل ما یتنافى مع شأن و منزلة المسجد، و النوم فیه مکروه</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بنابراین این یک ملاک کلی است که می تواند به دیگر کارها و مسائل نیز سرایت کند و در گذر زمان مصادیق مختلفی پیدا کند</w:t>
      </w:r>
      <w:r>
        <w:rPr>
          <w:rFonts w:eastAsia="IRNazanin" w:cs="IRNazanin"/>
          <w:color w:val="111111"/>
          <w:sz w:val="28"/>
          <w:szCs w:val="28"/>
          <w:rtl w:val="true"/>
          <w:lang w:bidi="fa-IR"/>
        </w:rPr>
        <w:t>.</w:t>
      </w:r>
    </w:p>
    <w:p>
      <w:pPr>
        <w:pStyle w:val="Heading5"/>
        <w:numPr>
          <w:ilvl w:val="4"/>
          <w:numId w:val="1"/>
        </w:numPr>
        <w:rPr/>
      </w:pPr>
      <w:bookmarkStart w:id="465" w:name="__RefHeading___Toc15165395_1280447820"/>
      <w:bookmarkStart w:id="466" w:name="_Toc173"/>
      <w:bookmarkEnd w:id="465"/>
      <w:r>
        <w:rPr/>
        <w:t>2</w:t>
      </w:r>
      <w:r>
        <w:rPr>
          <w:rtl w:val="true"/>
        </w:rPr>
        <w:t xml:space="preserve">- </w:t>
      </w:r>
      <w:r>
        <w:rPr>
          <w:rtl w:val="true"/>
        </w:rPr>
        <w:t>محدود کردن دلالت حکم در برخی از موضوعات</w:t>
      </w:r>
      <w:bookmarkEnd w:id="466"/>
    </w:p>
    <w:p>
      <w:pPr>
        <w:pStyle w:val="BookText"/>
        <w:rPr/>
      </w:pPr>
      <w:r>
        <w:rPr>
          <w:rFonts w:ascii="IRNazanin" w:hAnsi="IRNazanin" w:eastAsia="IRNazanin"/>
          <w:color w:val="111111"/>
          <w:sz w:val="28"/>
          <w:sz w:val="28"/>
          <w:szCs w:val="28"/>
          <w:rtl w:val="true"/>
          <w:lang w:bidi="fa-IR"/>
        </w:rPr>
        <w:t>این ملاک در محدوده دلالت دیگر موضوعات نیز تصرف می کند و تنها بخشی از آن موضوعات که با ملاک مطرح شده سازگاری دارند را در محدوده نهی باقی می گذارد و بخش دیگر از موضوع را که دارای آن ملاک نیستند از محدوده نهی روایت خارج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هر یک از موضوعات مطرح شده در روایات ناهیه را باید به ملاک پیش گفته عرضه کرد و پس از صدق ملاک بر آن موضوع، دلالت آن را نافذ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فریاد کشیدن در مسجد نه تنها منافاتی با کاربری مسجد نداشته باشد بلکه مصداقی از اعمال آن به حساب آید، از محدوده کراهت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مورد اذان گفتن با صدای بلند و صلوات و دعای دسته جمعی عموم مردم چنین خواهد بود</w:t>
      </w:r>
      <w:r>
        <w:rPr>
          <w:rFonts w:eastAsia="IRNazanin" w:cs="IRNazanin"/>
          <w:color w:val="111111"/>
          <w:sz w:val="28"/>
          <w:szCs w:val="28"/>
          <w:rtl w:val="true"/>
          <w:lang w:bidi="fa-IR"/>
        </w:rPr>
        <w:t>.</w:t>
      </w:r>
    </w:p>
    <w:p>
      <w:pPr>
        <w:pStyle w:val="Heading4"/>
        <w:numPr>
          <w:ilvl w:val="3"/>
          <w:numId w:val="1"/>
        </w:numPr>
        <w:rPr/>
      </w:pPr>
      <w:bookmarkStart w:id="467" w:name="__RefHeading___Toc15165397_1280447820"/>
      <w:bookmarkStart w:id="468" w:name="_Toc174"/>
      <w:bookmarkEnd w:id="467"/>
      <w:r>
        <w:rPr>
          <w:rtl w:val="true"/>
        </w:rPr>
        <w:t>گفتار چهارم</w:t>
      </w:r>
      <w:r>
        <w:rPr>
          <w:rtl w:val="true"/>
        </w:rPr>
        <w:t xml:space="preserve">: </w:t>
      </w:r>
      <w:r>
        <w:rPr>
          <w:rtl w:val="true"/>
        </w:rPr>
        <w:t>محدود شدن حکم کراهت با توجه به ملاک نهی</w:t>
      </w:r>
      <w:bookmarkEnd w:id="468"/>
    </w:p>
    <w:p>
      <w:pPr>
        <w:pStyle w:val="BookText"/>
        <w:rPr/>
      </w:pPr>
      <w:r>
        <w:rPr>
          <w:rFonts w:ascii="IRNazanin" w:hAnsi="IRNazanin" w:eastAsia="IRNazanin"/>
          <w:color w:val="111111"/>
          <w:sz w:val="28"/>
          <w:sz w:val="28"/>
          <w:szCs w:val="28"/>
          <w:rtl w:val="true"/>
          <w:lang w:bidi="fa-IR"/>
        </w:rPr>
        <w:t>در موضوع بحث ما یعنی کراهت آوردن کودکان به مسجد نیز همین مساله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دلیل حاکم که همان ملاک باشد، می گوید آوردن هر شیء یا شخصی که با کاربری اصلی مسجد در تعارض است، به مسجد مکروه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ناهیه نیز می گویند، آوردن کودکان به مسجد،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حکومت ملاک بر دلیل نهی چنین خواهد شد که تنها آوردن کودکانی به مسجد مکروه است که آوردنشان به مسجد به کاربری اصلی مسجد ضربه می زند و با آن در تعارض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w:t>
      </w:r>
    </w:p>
    <w:p>
      <w:pPr>
        <w:pStyle w:val="BookText"/>
        <w:rPr/>
      </w:pPr>
      <w:r>
        <w:rPr>
          <w:rFonts w:ascii="IRNazanin" w:hAnsi="IRNazanin" w:eastAsia="IRNazanin"/>
          <w:color w:val="111111"/>
          <w:sz w:val="28"/>
          <w:sz w:val="28"/>
          <w:szCs w:val="28"/>
          <w:rtl w:val="true"/>
          <w:lang w:bidi="fa-IR"/>
        </w:rPr>
        <w:t>ورود کودک به مسجد مزاحمتی برای عبادت کنندگان ایجاد کند، شامل حکم کراهت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که همه کودکان چنین مزاحمتی را ایجاد نمی کنند و ورود همه کودکان به مسجد با کاربری مسجد در تعارض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 فرازهای این روایت هم ممکن است چنین احتمالی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مورد از فرازهای مذکور اگر مزاحمت جدّی با کاربری اصلی مسجد پدیدار شود، نهی روایت شامل همان مورد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مصادیقی از این فرازها یافت شد که نه تنها منافاتی با کاربری اصلی مسجد نداشت بلکه بر کیفیت و کمیت آن هم افزود، شامل نهی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آوردن کودکان به مسجد هم باید به همین نکته دقیق توجه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برخی از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سنینی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مزاحمتی برای عبادت دیگران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کودکان نه تنها مزاحمتی ایجاد نمی کنند، بلکه به جهت همراهی با والدین باعث می شوند تا آنها با خیال راحت به عبادت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مادرانی که با نوزاد خود به مسجد می آیند، با خیالی آسوده و خاطری آرام به عبادت خواهند پرداخت و در کنار نگهداری از کودک خود مشغول راز و نیاز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آوردن کودکشان به مسجد مزاحمتی قابل اعتنا برای عبادت دیگران ایجاد نکند و آرامش عبادی مسجد را بر هم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ورود همه کودکان به مسجد را مکروه بدانیم، مسجد آمدن زنها، بیشتر برای پیر زن ها مصداق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هر زنی برای به دنیا آوردن هر کودکی حداقل سه سال از آمدن به مسجد محروم خواهد ماند و حتی بر فرض کم تعداد بودن فرزندان، نگهداری هر کودکی تا رسیدن به مرز بلوغ نیز محرومیت زمانی گسترده ای را برای او ایجاد خواهد کرد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اینکه در میان اقشار مختلف کودکان، گروهی هم وجود دارند که خودشان مشغول عبادت می شوند و عبادت تمرینی را در مسجد </w:t>
      </w:r>
    </w:p>
    <w:p>
      <w:pPr>
        <w:pStyle w:val="BookText"/>
        <w:rPr/>
      </w:pPr>
      <w:r>
        <w:rPr>
          <w:rFonts w:ascii="IRNazanin" w:hAnsi="IRNazanin" w:eastAsia="IRNazanin"/>
          <w:color w:val="111111"/>
          <w:sz w:val="28"/>
          <w:sz w:val="28"/>
          <w:szCs w:val="28"/>
          <w:rtl w:val="true"/>
          <w:lang w:bidi="fa-IR"/>
        </w:rPr>
        <w:t>تجربه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که معمولا ممیز هستند حتی می توانند در امورات مسجد یاری رسان بزرگترها باشند و به طرقی دیگر امورات عبادی بزرگترها را سهل و آسان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مواردی آیا می توان گفت که اذان گفتن و تکبیر گویی کودکانی که با عشق و علاقه خود پای به خانه خدا نهاده اند و گاه با تمام وجود در صفوف نماز جماعت می ایستند، از مصادیق مخالفت با کاربری اصلی مسجد است؟ آیا چنین کارهایی از سوی چنین کودکانی مزاحمتی برای عبادت نمازگزاران ایجاد می کند و یا اینکه بر عکس گاه مسیر عبادی آنها را هموارتر می نماید؟</w:t>
      </w:r>
    </w:p>
    <w:p>
      <w:pPr>
        <w:pStyle w:val="BookText"/>
        <w:rPr/>
      </w:pPr>
      <w:r>
        <w:rPr>
          <w:rFonts w:ascii="IRNazanin" w:hAnsi="IRNazanin" w:eastAsia="IRNazanin"/>
          <w:color w:val="111111"/>
          <w:sz w:val="28"/>
          <w:sz w:val="28"/>
          <w:szCs w:val="28"/>
          <w:rtl w:val="true"/>
          <w:lang w:bidi="fa-IR"/>
        </w:rPr>
        <w:t>در فقه شیعه اذان گویی کودک ممیّز برای دیگران مجزی است و اختلافی در این مساله وجود ندارد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بنابراین اگر کودکی ممیز، پیش از نماز جماعت اذان و اقامه بگوید، دیگر نیازی به تکرار آن توسط بزرگسالان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ریشه در روایات مرتبط با این مساله دارد که نشان می دهد ورود چنین کودکانی به مسجد نه تنها در دایره دلیل کراهت قرار نمی گیرد و مکروه نیست بلکه ممکن است در محدوده دیگر ادله، نظیر اطلاق استحباب ورود به مسجد قرار گیرند و مستحب نیز باشند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روایتی صحیح السند</w:t>
      </w:r>
      <w:r>
        <w:rPr>
          <w:rStyle w:val="FootnoteAnchor"/>
          <w:rtl w:val="true"/>
        </w:rPr>
        <w:footnoteReference w:id="304"/>
      </w:r>
      <w:r>
        <w:rPr>
          <w:rFonts w:ascii="IRNazanin" w:hAnsi="IRNazanin" w:eastAsia="IRNazanin"/>
          <w:color w:val="111111"/>
          <w:sz w:val="28"/>
          <w:sz w:val="28"/>
          <w:szCs w:val="28"/>
          <w:rtl w:val="true"/>
          <w:lang w:bidi="fa-IR"/>
        </w:rPr>
        <w:t xml:space="preserve">از عبدالله بن سنان و طلحه بن زید آورده است که هر دو راوی از امام صادق علیه السلام چنین </w:t>
      </w:r>
      <w:bookmarkStart w:id="469" w:name="pg19111_195105"/>
    </w:p>
    <w:p>
      <w:pPr>
        <w:pStyle w:val="BookText"/>
        <w:rPr/>
      </w:pPr>
      <w:bookmarkEnd w:id="469"/>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أَنْ یُؤَذِّنَ الْغُلَامُ الَّذِي لَمْ یَحْتَلِمْ</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اذان گفتن پسر بچه ای که محتلم نشده،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چنین روایاتی اگر دلیل بر مدعا نباشد، حداقل موید اصل مطلب خواهد بود</w:t>
      </w:r>
      <w:r>
        <w:rPr>
          <w:rFonts w:eastAsia="IRNazanin" w:cs="IRNazanin"/>
          <w:color w:val="111111"/>
          <w:sz w:val="28"/>
          <w:szCs w:val="28"/>
          <w:rtl w:val="true"/>
          <w:lang w:bidi="fa-IR"/>
        </w:rPr>
        <w:t>.</w:t>
      </w:r>
    </w:p>
    <w:p>
      <w:pPr>
        <w:pStyle w:val="Heading4"/>
        <w:numPr>
          <w:ilvl w:val="3"/>
          <w:numId w:val="1"/>
        </w:numPr>
        <w:rPr/>
      </w:pPr>
      <w:bookmarkStart w:id="470" w:name="__RefHeading___Toc15165399_1280447820"/>
      <w:bookmarkStart w:id="471" w:name="_Toc175"/>
      <w:bookmarkEnd w:id="470"/>
      <w:r>
        <w:rPr>
          <w:rtl w:val="true"/>
        </w:rPr>
        <w:t>بررسی کاربری اصلی مسجد در دیگر فرازهای روایت</w:t>
      </w:r>
      <w:bookmarkEnd w:id="471"/>
    </w:p>
    <w:p>
      <w:pPr>
        <w:pStyle w:val="BookText"/>
        <w:rPr/>
      </w:pPr>
      <w:r>
        <w:rPr>
          <w:rFonts w:ascii="IRNazanin" w:hAnsi="IRNazanin" w:eastAsia="IRNazanin"/>
          <w:color w:val="111111"/>
          <w:sz w:val="28"/>
          <w:sz w:val="28"/>
          <w:szCs w:val="28"/>
          <w:rtl w:val="true"/>
          <w:lang w:bidi="fa-IR"/>
        </w:rPr>
        <w:t>همانطور که گفته شد ملاک نهی در این روایات می تواند محدوده دلالت موضوعات را کوچک کند و بخشی از موضوعات را از ذیل نهی روایت خارج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یک از موضوعات را باید به ملاک پیش گفته عرضه کرد و محدوده نهی آن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خرید و فروش باید گفت که به طور معمول گرایش به مسائل مادی، انسان را از یاد خدا غافل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غفلت از پروردگار آنچنان تلازمی با تجارت دارد که اگر انسان غفلت کند، از مسیر بندگی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قرآن در هنگامه ستایش بندگان خاص خود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 لا بَیْعٌ عَنْ ذِکْرِ اللَّهِ</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مردانى که هیچ تجارت و معامله اى آنان را از یاد خدا غافل نمى‌کند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ممکن است که خرید و فروش و تجارت نیز گاه از ملاک نهی روایات خارج شود و در زمره مباحات و یا مستحبات قرار گیرد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با اینکه خرید و فروش و تجارت، مصداقی بارز از رویکرد مردم به سوی دنیا است اما در مورد خرید و فروش کتاب، آن هم کتبی که با رویکرد معرفتی و دینی فراهم آمده، باید به گونه دیگری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w:t>
      </w:r>
    </w:p>
    <w:p>
      <w:pPr>
        <w:pStyle w:val="BookText"/>
        <w:rPr/>
      </w:pPr>
      <w:r>
        <w:rPr>
          <w:rFonts w:ascii="IRNazanin" w:hAnsi="IRNazanin" w:eastAsia="IRNazanin"/>
          <w:color w:val="111111"/>
          <w:sz w:val="28"/>
          <w:sz w:val="28"/>
          <w:szCs w:val="28"/>
          <w:rtl w:val="true"/>
          <w:lang w:bidi="fa-IR"/>
        </w:rPr>
        <w:t>است که اگر ارائه کتب سودمند در مسجد بتواند مردم را به عبادت و یاد خدا بیش از پیش متمایل کند و آن ها را به کاربری اصلی مسجد نزدیک تر گرداند، دیگر از ذیل ملاک نهی خارج خواهد شد و در زمره تعظیم شعایر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 توان گفت که چنین کاری اگر اولویت نداشته باشد، مکروه هم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علامه مجلسی کراهت خرید و فروش در مسجد را مربوط به زمانی می داند که مزاحمت برای نمازگزاران ایجاد کند و یا کاربری اصلی مسجد را تحت تاثیر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کراهة البیع و الشراء فإن زاحم المصلین أو تضمن تغییر هیئة المسجد فلا یبعد التحریم و به قطع جماعة و أما السلاح فالمراد به تشهیره أو عمله و الأحوط ترکهما</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پس بر اساس دیدگاه علامه مجلسی، اگر این ملاک در هر مساله مرتبط با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خرید و فروش و یا دیگر مشاغل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کراهت و حتی حرمت آن ثابت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ملاک وجود نداشته باشد، هیچ یک از این کارها در مسجد مکروه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صدای بلند و پیدا کردن گمشده که آن هم لازمه اش فریاد کشیدن است باید گفت که حتی صدای مناجات هم اگر بلند باشد، مزاحم عبادت دیگران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برسد به صدای بلندی که برای یافتن گمشده و یا هر قصد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در روایتی که ملاک نهی در آن مطرح شده، بیان گردیده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اذان گفتن با صدایی رسا و بلند به جهت آنکه نه تنها مزاحمتی برای کاربری اصلی مسجد ندارد بلکه مردم را به سوی مسجد و نماز دعوت می کند، قطعا از ذیل کلیت نهی از فریاد کشیدن در مسجد خارج خواهد شد و به محدوده مستحبات ورود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همین روایات ناهیه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استثني منه الأذان و الإقامة و إسماع الإمام من خلفه القراءة و الأذکار ما لم یبلغ العلو و قراءة القرآن لیسمعه الحاضرون و یحصل لهم ثواب الاستماع و إسماع المواعظ و النصائح</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اما در مورد قضاوت و یا اجرای احکام در مسجد باید گفت که گاه ازدحام جمعیت و شلوغی غیر مرتبط با مسجد، کاربری اصلی مسجد را تحت الشعاع قرار می دهد و مزاحم عبادت دیگران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برای محکوم و خانواده او نیز خاطره ای بس دردناک و رنج آور به یادگار بگذارد و همیشه مسجد را در ذهن او نامبارک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قضاوت در مسجد چنین موانعی نداشته باشد، چنانکه پیامبر صلی الله علیه و اله و امیر المومنین علیه السلام چنین عمل می کردند و در وقت نماز به اقامه نماز مشغول می شدند، دیگر در ذیل روایات ناهیه نخواهد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دیوانه به مسجد نیز ممکن است، اذهان عموم مردم را به سوی خود مشغول کند و با حرکات غیر عاقلانه خود کاربری مسجد را بر هم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دیوانه هم قابل کنترل باشد، از ذیل نهی روایت خارج خواهد شد</w:t>
      </w:r>
      <w:r>
        <w:rPr>
          <w:rFonts w:eastAsia="IRNazanin" w:cs="IRNazanin"/>
          <w:color w:val="111111"/>
          <w:sz w:val="28"/>
          <w:szCs w:val="28"/>
          <w:rtl w:val="true"/>
          <w:lang w:bidi="fa-IR"/>
        </w:rPr>
        <w:t xml:space="preserve">. </w:t>
      </w:r>
      <w:bookmarkStart w:id="472" w:name="pg19111_195108"/>
    </w:p>
    <w:p>
      <w:pPr>
        <w:pStyle w:val="Heading3"/>
        <w:numPr>
          <w:ilvl w:val="2"/>
          <w:numId w:val="1"/>
        </w:numPr>
        <w:rPr/>
      </w:pPr>
      <w:bookmarkStart w:id="473" w:name="__RefHeading___Toc15165401_1280447820"/>
      <w:bookmarkStart w:id="474" w:name="_Toc176"/>
      <w:bookmarkEnd w:id="472"/>
      <w:bookmarkEnd w:id="473"/>
      <w:r>
        <w:rPr>
          <w:rtl w:val="true"/>
        </w:rPr>
        <w:t>فصل چهارم</w:t>
      </w:r>
      <w:r>
        <w:rPr>
          <w:rtl w:val="true"/>
        </w:rPr>
        <w:t xml:space="preserve">: </w:t>
      </w:r>
      <w:r>
        <w:rPr>
          <w:rtl w:val="true"/>
        </w:rPr>
        <w:t>ظهور ملاک کراهت در کودکان غیر قابل اعتماد</w:t>
      </w:r>
      <w:bookmarkEnd w:id="474"/>
    </w:p>
    <w:p>
      <w:pPr>
        <w:pStyle w:val="Heading4"/>
        <w:numPr>
          <w:ilvl w:val="3"/>
          <w:numId w:val="1"/>
        </w:numPr>
        <w:rPr/>
      </w:pPr>
      <w:bookmarkStart w:id="475" w:name="__RefHeading___Toc15165403_1280447820"/>
      <w:bookmarkStart w:id="476" w:name="_Toc177"/>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در فصل پیش بر اساس ملاک موجود در برخی از روایات ناهیه به این نتیجه رسیدیم که تنها آوردن کودکانی به مسجد، کراهت دارد که با کاربری اصلی مسجد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دید که این دسته از کودکان چه ویژگی یا ویژگی هایی می توانند داشته باشند و در عالم واقع ورود چه نوع کودکانی به مسجد متعارض با روح عبادی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کنکاش در کلام بزرگان و همچنین بررسی میدانی این موضوع نشان می دهد که مهمترین ویژگی چنین کودکانی، غیر قابل اعتماد بودنشان نسبت به حریم عبادی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ابتدا به تنقیح این ویژگی خواهیم پرداخت و در نهایت، مصادیق کودکان غیر قابل اعتماد را مطرح خواهیم نمود</w:t>
      </w:r>
      <w:r>
        <w:rPr>
          <w:rFonts w:eastAsia="IRNazanin" w:cs="IRNazanin"/>
          <w:color w:val="111111"/>
          <w:sz w:val="28"/>
          <w:szCs w:val="28"/>
          <w:rtl w:val="true"/>
          <w:lang w:bidi="fa-IR"/>
        </w:rPr>
        <w:t>.</w:t>
      </w:r>
    </w:p>
    <w:p>
      <w:pPr>
        <w:pStyle w:val="Heading4"/>
        <w:numPr>
          <w:ilvl w:val="3"/>
          <w:numId w:val="1"/>
        </w:numPr>
        <w:rPr/>
      </w:pPr>
      <w:bookmarkStart w:id="477" w:name="__RefHeading___Toc15165405_1280447820"/>
      <w:bookmarkStart w:id="478" w:name="_Toc178"/>
      <w:bookmarkEnd w:id="477"/>
      <w:r>
        <w:rPr>
          <w:rtl w:val="true"/>
        </w:rPr>
        <w:t>گفتار اول</w:t>
      </w:r>
      <w:r>
        <w:rPr>
          <w:rtl w:val="true"/>
        </w:rPr>
        <w:t xml:space="preserve">: </w:t>
      </w:r>
      <w:r>
        <w:rPr>
          <w:rtl w:val="true"/>
        </w:rPr>
        <w:t>ظهور ملاک نهی در کودکان غیر قابل اعتماد</w:t>
      </w:r>
      <w:bookmarkEnd w:id="478"/>
    </w:p>
    <w:p>
      <w:pPr>
        <w:pStyle w:val="BookText"/>
        <w:rPr/>
      </w:pPr>
      <w:r>
        <w:rPr>
          <w:rFonts w:ascii="IRNazanin" w:hAnsi="IRNazanin" w:eastAsia="IRNazanin"/>
          <w:color w:val="111111"/>
          <w:sz w:val="28"/>
          <w:sz w:val="28"/>
          <w:szCs w:val="28"/>
          <w:rtl w:val="true"/>
          <w:lang w:bidi="fa-IR"/>
        </w:rPr>
        <w:t>حفظ حریم عبادی مسجد که همان کاربری اصلی این مکان مقدس به حساب می آید، یکی از اساسی ترین خواسته های شارع از نمازگزاران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این خواسته پر اهمیت هم از مسیر قوه عاقله و سیره عقلا قابل برداشت است و هم در ادلّه شرعی پیش گفته به صراحت 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سوال اساسی این است که در مواجه با کودکان، چگونه می توان به این خواسته شارع دست یافت؟ به بیان دیگر شرط اساسی برای هماهنگی کودکان با این خواسته شارع چیست؟</w:t>
      </w:r>
    </w:p>
    <w:p>
      <w:pPr>
        <w:pStyle w:val="BookText"/>
        <w:rPr/>
      </w:pPr>
      <w:r>
        <w:rPr>
          <w:rFonts w:ascii="IRNazanin" w:hAnsi="IRNazanin" w:eastAsia="IRNazanin"/>
          <w:color w:val="111111"/>
          <w:sz w:val="28"/>
          <w:sz w:val="28"/>
          <w:szCs w:val="28"/>
          <w:rtl w:val="true"/>
          <w:lang w:bidi="fa-IR"/>
        </w:rPr>
        <w:t>روشن است که این یک ملاک کلی است که باید در مورد مساله کودکان همسان سازی و مصداق یابی شود تا به یک یا چند ویژگی اساسی متناسب با کودکان منتهی گردد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که شرط اساسی برای </w:t>
      </w:r>
      <w:bookmarkStart w:id="479" w:name="pg19111_195109"/>
    </w:p>
    <w:p>
      <w:pPr>
        <w:pStyle w:val="BookText"/>
        <w:rPr/>
      </w:pPr>
      <w:bookmarkEnd w:id="479"/>
      <w:r>
        <w:rPr>
          <w:rFonts w:ascii="IRNazanin" w:hAnsi="IRNazanin" w:eastAsia="IRNazanin"/>
          <w:color w:val="111111"/>
          <w:sz w:val="28"/>
          <w:sz w:val="28"/>
          <w:szCs w:val="28"/>
          <w:rtl w:val="true"/>
          <w:lang w:bidi="fa-IR"/>
        </w:rPr>
        <w:t xml:space="preserve">مراقبت از حریم عبادی مسجد در مواجهه با کودکان، دارا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کودکان و رسیدن آنها به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کودک به مرحله ای رسیده باشد که بتواند اعتماد عمومی را در رابطه با مسائل مرتبط با مسجد نظیر طهارت، نظم عمومی و برگزاری نماز جماعت، جلب کند، شامل محدوده کراهت و ملاک مطرح شده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چنین اعتماد و اطمینانی نسبت به کودک حاصل نشود، مصداقی از ملاک پیش گفته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مساله همان مطلبی است که برخی از علمای پیشین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اند</w:t>
      </w:r>
      <w:r>
        <w:rPr>
          <w:rFonts w:eastAsia="IRNazanin" w:cs="IRNazanin"/>
          <w:color w:val="111111"/>
          <w:sz w:val="28"/>
          <w:szCs w:val="28"/>
          <w:rtl w:val="true"/>
          <w:lang w:bidi="fa-IR"/>
        </w:rPr>
        <w:t>.</w:t>
      </w:r>
    </w:p>
    <w:p>
      <w:pPr>
        <w:pStyle w:val="Heading4"/>
        <w:numPr>
          <w:ilvl w:val="3"/>
          <w:numId w:val="1"/>
        </w:numPr>
        <w:rPr/>
      </w:pPr>
      <w:bookmarkStart w:id="480" w:name="__RefHeading___Toc15165407_1280447820"/>
      <w:bookmarkStart w:id="481" w:name="_Toc179"/>
      <w:bookmarkEnd w:id="480"/>
      <w:r>
        <w:rPr>
          <w:rtl w:val="true"/>
        </w:rPr>
        <w:t>گفتار دوم</w:t>
      </w:r>
      <w:r>
        <w:rPr>
          <w:rtl w:val="true"/>
        </w:rPr>
        <w:t xml:space="preserve">: </w:t>
      </w:r>
      <w:r>
        <w:rPr>
          <w:rtl w:val="true"/>
        </w:rPr>
        <w:t xml:space="preserve">مصادیق کودکان </w:t>
      </w:r>
      <w:r>
        <w:rPr>
          <w:rtl w:val="true"/>
        </w:rPr>
        <w:t>«</w:t>
      </w:r>
      <w:r>
        <w:rPr>
          <w:rtl w:val="true"/>
        </w:rPr>
        <w:t>غیر قابل اعتماد</w:t>
      </w:r>
      <w:r>
        <w:rPr>
          <w:rtl w:val="true"/>
        </w:rPr>
        <w:t xml:space="preserve">» </w:t>
      </w:r>
      <w:r>
        <w:rPr>
          <w:rtl w:val="true"/>
        </w:rPr>
        <w:t>در کلام فقها</w:t>
      </w:r>
      <w:bookmarkEnd w:id="481"/>
    </w:p>
    <w:p>
      <w:pPr>
        <w:pStyle w:val="BookText"/>
        <w:rPr/>
      </w:pPr>
      <w:r>
        <w:rPr>
          <w:rFonts w:ascii="IRNazanin" w:hAnsi="IRNazanin" w:eastAsia="IRNazanin"/>
          <w:color w:val="111111"/>
          <w:sz w:val="28"/>
          <w:sz w:val="28"/>
          <w:szCs w:val="28"/>
          <w:rtl w:val="true"/>
          <w:lang w:bidi="fa-IR"/>
        </w:rPr>
        <w:t xml:space="preserve">با توجه به ملاک به دست آمده از روایات این باب و متناسب سازی آن ملاک با مساله کودکان، به این نتیجه رسیدیم که شرط اساسی ورود کودکان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اعتماد و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دید که این اعتماد به کودک در چه مسائلی ظهور و بروز می یابد و فقها به چه نکاتی در این زمینه توجه کرده اند</w:t>
      </w:r>
      <w:r>
        <w:rPr>
          <w:rFonts w:eastAsia="IRNazanin" w:cs="IRNazanin"/>
          <w:color w:val="111111"/>
          <w:sz w:val="28"/>
          <w:szCs w:val="28"/>
          <w:rtl w:val="true"/>
          <w:lang w:bidi="fa-IR"/>
        </w:rPr>
        <w:t>.</w:t>
      </w:r>
    </w:p>
    <w:p>
      <w:pPr>
        <w:pStyle w:val="Heading4"/>
        <w:numPr>
          <w:ilvl w:val="3"/>
          <w:numId w:val="1"/>
        </w:numPr>
        <w:rPr/>
      </w:pPr>
      <w:bookmarkStart w:id="482" w:name="__RefHeading___Toc15165409_1280447820"/>
      <w:bookmarkStart w:id="483" w:name="_Toc180"/>
      <w:bookmarkEnd w:id="482"/>
      <w:r>
        <w:rPr>
          <w:rtl w:val="true"/>
        </w:rPr>
        <w:t>دیدگاه فقها در این زمینه</w:t>
      </w:r>
      <w:bookmarkEnd w:id="483"/>
    </w:p>
    <w:p>
      <w:pPr>
        <w:pStyle w:val="BookText"/>
        <w:rPr/>
      </w:pPr>
      <w:r>
        <w:rPr>
          <w:rFonts w:ascii="IRNazanin" w:hAnsi="IRNazanin" w:eastAsia="IRNazanin"/>
          <w:color w:val="111111"/>
          <w:sz w:val="28"/>
          <w:sz w:val="28"/>
          <w:szCs w:val="28"/>
          <w:rtl w:val="true"/>
          <w:lang w:bidi="fa-IR"/>
        </w:rPr>
        <w:t xml:space="preserve">تعداد فراوانی از فقهای متاخر به این نکته اشاره کرده و حکم کراهت را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اعتماد به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دیدگاه این دسته از فقها حکم کراهت، مخصوص قشری از کودکان است که نمی توان به آنها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مفهوم کلی است و به تناسب هر مکان یا زمان و یا گروهی خاص معنای مفهوم متناسبی را در بر خواهد داشت، می توان مصادیق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اعتماد در محیط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سه سر فصل اساسی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مراقبت از طهارت مسجد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رعایت حریم عبادی مسجد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مزاحمت برای دیگر نمازگزاران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فقهایی که پیرامون عدم اعتماد به کودک در محیط مسجد سخن گفته اند، به برخی از مصادیق آن نیز اشاره کرده اند که در ادامه به دیدگاه این فقیهان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آوردن کودکان به مسجد را مخصوص کودکانی می داند که اعتمادی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بیان می کند که عدم اعتماد به کودک در دو مساله، خود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مراقبت از طهارت مسجد و دوم برگزاری نمازهای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یراد بالصّبی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یوثق به، أما من علم منه ما یقتضی الوثوق به لمحافظته على التنزه من النّجاسات، و أداء الصّلوات، فالظاهر أنّه لا یکره تمکینه، بل ینبغی القول باستحباب تمرینه على فعل الصّلاة فی المسجد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پس از اشاره به اختصاص حکم کراهت به کوکان غیر قابل اعتماد، مصداق چنین کودکانی را در مساله طهارت مسجد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البیع و الشراء و تمکین المجانین و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لقول النبیّ صلّي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مساجدکم صبیانکم و مجانینکم و شراءکم و بیعکم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ینبغي اختصاص الحکم بصبیّ لا یوثق به في الطهارة، و لا یحصل به التمرین علي أداء الصلوات و إلّا لم یکره</w:t>
      </w:r>
      <w:r>
        <w:rPr>
          <w:rFonts w:eastAsia="IRNazanin" w:cs="IRNazanin"/>
          <w:color w:val="111111"/>
          <w:sz w:val="28"/>
          <w:szCs w:val="28"/>
          <w:rtl w:val="true"/>
          <w:lang w:bidi="fa-IR"/>
        </w:rPr>
        <w:t>.</w:t>
      </w:r>
      <w:r>
        <w:rPr>
          <w:rStyle w:val="FootnoteAnchor"/>
          <w:rtl w:val="true"/>
        </w:rPr>
        <w:footnoteReference w:id="31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هم همین رویه را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محقق کرکی به هر دو مصداق پیشین اشاره کرده، چنین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تمکین المجانین و الصبیان منها، مع عدم الوثوق بطهارتهم أو کونهم غیر ممیزین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الصبي الممیز الموثوق بطهارته المحافظ علي أداء الصلوات فلا یکره تمکینه، بل ینبغي تمرینه کما یمرن علي الصلاة</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صاحب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مساله اعتماد در نجاست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یستحب أن تجنب البیع و الشراء و 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الصبیان الذین لا یوثق بهم في التحفظ من النجاسات، لقوله علیه السلام في مرسلة علیّ بن أسباط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مساجدکم البیع و الشراء و المجانین و الصبیان و الأحکام و الضالة و الحدود و رفع الصوت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رویکرد به این مساله توجه کرده،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البیع و الشراء و تمکین المجانین و الصبیان الذین لا یوثق بهم في التحفّظ من النجاسات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على مدارک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تاکید بیشتری نسبت به مساله طهارت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المنع عن تمکین الصبیان و المجانین، و النهي عن دخولها إلّا طاهرا</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اصل مساله اعتماد به کودکان اشاره کرده، چنین می نویسد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یکره فیها البیع و الشراء و تمکین المجانین و الصبیان الذین لا وثوق </w:t>
      </w:r>
    </w:p>
    <w:p>
      <w:pPr>
        <w:pStyle w:val="BookText"/>
        <w:rPr/>
      </w:pPr>
      <w:r>
        <w:rPr>
          <w:rFonts w:ascii="IRNazanin" w:hAnsi="IRNazanin" w:eastAsia="IRNazanin"/>
          <w:color w:val="111111"/>
          <w:sz w:val="28"/>
          <w:sz w:val="28"/>
          <w:szCs w:val="28"/>
          <w:rtl w:val="true"/>
          <w:lang w:bidi="fa-IR"/>
        </w:rPr>
        <w:t>بهم من الدخول فیها</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نکته را با بیانی شیوا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في کراهة تمکین المجانین و الصبیان لدخول المساجد و ربما یقید الصبي بمن لا یوثق به أما من علم منه ما یقتضي الوثوق به لمحافظته علي التنزه من النجاسات و أداء الصلوات فإنه لا یکره تمکینه بل یستحب تمرینه و لا بأس به</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بحث اعتماد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فیها البیع و الشراء و تمکین المجانین و الصبیان الذین لا وثوق بهم من الدخول فیها</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شیخ محمد 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تعلیقه خود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دو نکته پیشین به مساله آزار رسانی به نمازگزاران نیز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الذین لا یؤمن من تلویثهم و لعبهم و أذیّة المصلّین، و إلّا فیستحبّ تمرینهم علي إتیانها أو تعلیمهم القرآن و العلوم فیها</w:t>
      </w:r>
      <w:r>
        <w:rPr>
          <w:rFonts w:eastAsia="IRNazanin" w:cs="IRNazanin"/>
          <w:color w:val="111111"/>
          <w:sz w:val="28"/>
          <w:szCs w:val="28"/>
          <w:rtl w:val="true"/>
          <w:lang w:bidi="fa-IR"/>
        </w:rPr>
        <w:t>.</w:t>
      </w:r>
      <w:r>
        <w:rPr>
          <w:rStyle w:val="FootnoteAnchor"/>
          <w:rtl w:val="true"/>
        </w:rPr>
        <w:footnoteReference w:id="319"/>
      </w:r>
      <w:bookmarkStart w:id="484" w:name="pg19111_195113"/>
    </w:p>
    <w:p>
      <w:pPr>
        <w:pStyle w:val="Heading4"/>
        <w:numPr>
          <w:ilvl w:val="3"/>
          <w:numId w:val="1"/>
        </w:numPr>
        <w:rPr/>
      </w:pPr>
      <w:bookmarkStart w:id="485" w:name="__RefHeading___Toc15165411_1280447820"/>
      <w:bookmarkStart w:id="486" w:name="_Toc181"/>
      <w:bookmarkEnd w:id="484"/>
      <w:bookmarkEnd w:id="485"/>
      <w:r>
        <w:rPr>
          <w:rtl w:val="true"/>
        </w:rPr>
        <w:t>گفتار سوم</w:t>
      </w:r>
      <w:r>
        <w:rPr>
          <w:rtl w:val="true"/>
        </w:rPr>
        <w:t xml:space="preserve">: </w:t>
      </w:r>
      <w:r>
        <w:rPr>
          <w:rtl w:val="true"/>
        </w:rPr>
        <w:t xml:space="preserve">بررسی و تحلیل مصادیق </w:t>
      </w:r>
      <w:r>
        <w:rPr>
          <w:rtl w:val="true"/>
        </w:rPr>
        <w:t>«</w:t>
      </w:r>
      <w:r>
        <w:rPr>
          <w:rtl w:val="true"/>
        </w:rPr>
        <w:t>کودکان غیر قابل اعتماد</w:t>
      </w:r>
      <w:r>
        <w:rPr>
          <w:rtl w:val="true"/>
        </w:rPr>
        <w:t>»</w:t>
      </w:r>
      <w:bookmarkEnd w:id="486"/>
    </w:p>
    <w:p>
      <w:pPr>
        <w:pStyle w:val="Heading5"/>
        <w:numPr>
          <w:ilvl w:val="4"/>
          <w:numId w:val="1"/>
        </w:numPr>
        <w:rPr/>
      </w:pPr>
      <w:bookmarkStart w:id="487" w:name="__RefHeading___Toc15165413_1280447820"/>
      <w:bookmarkStart w:id="488" w:name="_Toc182"/>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 xml:space="preserve">با اینکه عنوان کودکان غیر قابل اعتماد از دل ملاک اصلی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مخالفت با کاربری اصلی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 و قدری بر وضوح این مساله پیرامون کودکان افزود، اما به هر حال همین عنوان هم یک عنوان کلی است که باید مصداق یابی شده و وضوح بیشتری در موارد آن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یا عدم اعتماد به کودک، ممکن است در هر موضوعی معنای خاص خود را داشته باشد و از راه های مختلفی برای ما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مسجد باید این اعتماد یا عدم اعتماد به تناسب احکام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استفاده از نکاتی که فقهای پیشین پیرامون این مساله بیان کرده اند به این مصادیق سه گانه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مصادیق عبارتند از</w:t>
      </w:r>
      <w:r>
        <w:rPr>
          <w:rFonts w:eastAsia="IRNazanin" w:cs="IRNazanin"/>
          <w:color w:val="111111"/>
          <w:sz w:val="28"/>
          <w:szCs w:val="28"/>
          <w:rtl w:val="true"/>
          <w:lang w:bidi="fa-IR"/>
        </w:rPr>
        <w:t>:</w:t>
      </w:r>
    </w:p>
    <w:p>
      <w:pPr>
        <w:pStyle w:val="Heading5"/>
        <w:numPr>
          <w:ilvl w:val="4"/>
          <w:numId w:val="1"/>
        </w:numPr>
        <w:rPr/>
      </w:pPr>
      <w:bookmarkStart w:id="489" w:name="__RefHeading___Toc15165415_1280447820"/>
      <w:bookmarkStart w:id="490" w:name="_Toc183"/>
      <w:bookmarkEnd w:id="489"/>
      <w:r>
        <w:rPr/>
        <w:t>1</w:t>
      </w:r>
      <w:r>
        <w:rPr>
          <w:rtl w:val="true"/>
        </w:rPr>
        <w:t xml:space="preserve">- </w:t>
      </w:r>
      <w:r>
        <w:rPr>
          <w:rtl w:val="true"/>
        </w:rPr>
        <w:t>عدم رعایت طهارت مسجد</w:t>
      </w:r>
      <w:bookmarkEnd w:id="490"/>
    </w:p>
    <w:p>
      <w:pPr>
        <w:pStyle w:val="BookText"/>
        <w:rPr/>
      </w:pPr>
      <w:r>
        <w:rPr>
          <w:rFonts w:ascii="IRNazanin" w:hAnsi="IRNazanin" w:eastAsia="IRNazanin"/>
          <w:color w:val="111111"/>
          <w:sz w:val="28"/>
          <w:sz w:val="28"/>
          <w:szCs w:val="28"/>
          <w:rtl w:val="true"/>
          <w:lang w:bidi="fa-IR"/>
        </w:rPr>
        <w:t>مراقبت از طهارت مسجد و آلوده نشدن آن به نجاست از مسلّمات فقه شیعه و حتی فقه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مساله در بخش دلایل کراهت آوردن کودکان، مورد تحلیل قرار گرفت و گفته شد شیخ طوسی در این زمینه ادعای عدم وجود اختلاف دیدگاه در میان علمای فریقین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أن المساجد یجب أن تجنب النجاسات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هیچ اختلافی در اینکه واجب است مسجد از نجاست دور بماند، وجود ندارد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مسائلی که در جهت کاربری اصلی مسجد باید مورد توجه ویژه قرار گیرد، همین مساله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دیگر ممکن است ورود </w:t>
      </w:r>
    </w:p>
    <w:p>
      <w:pPr>
        <w:pStyle w:val="BookText"/>
        <w:rPr/>
      </w:pPr>
      <w:r>
        <w:rPr>
          <w:rFonts w:ascii="IRNazanin" w:hAnsi="IRNazanin" w:eastAsia="IRNazanin"/>
          <w:color w:val="111111"/>
          <w:sz w:val="28"/>
          <w:sz w:val="28"/>
          <w:szCs w:val="28"/>
          <w:rtl w:val="true"/>
          <w:lang w:bidi="fa-IR"/>
        </w:rPr>
        <w:t>بخشی از کودکان به مسجد، این مساله را تحت الشعاع خود قرار داده و طهارت مسجد را به مخاطره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آنجا که ملاک اصلی روایات ناهیه، مخالفت با کاربری اصلی مسجد مطرح گردید، ورود چنین کودکانی به مسجد، مصداقی از روایات ناهیه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طهارت کودک 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مصادیق مهم همراهی با کاربری مسجد به حساب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با اینکه در باب احکام مساجد، فتوای به کراهت آوردن کودکان به مسجد داده و آن را مستند به روایات ناهیه دانسته است اما در باب شرط طهارت در لباس نمازگزار، نهی در این روایت را مرتبط با موضوع نجاست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مساله پاک بودن بول حیوانات حلال گوشت مثل شتر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النبی صلى الله علیه و آله طاف على راحلته راکبا فلو کان بولها نجسا لما عرض المسجد للنجاسة مع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مساجدکم الأطفال و المجانین</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پیامبر صلی الله علیه و اله سوار بر مرکبش طواف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بول شتر نجس بود پیامبر صلی الله علیه و اله نجاست را به مسجد عرضه نمی کرد و آن را به مسجد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پیامبر صلی الله علیه و 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مساجدتان را از کودکانتان و مجانینتان دور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 کودکان و دیوانگان احتمال نجاست مسجد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مجموعه استدلال های گذشته می توان چنین نتیجه گرفت که یکی از مهمترین مصادیق نهی در این روایت، کودکانی است که در مقوله طهارت مسجد، قابل اعتماد نیستند و ممکن است رفت و آمدشان به مسجد، حریم طهارت مسجد را دچار مشکل 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اینکه در باب طهارت کودکان، وضعیت موجود در جامعه </w:t>
      </w:r>
      <w:bookmarkStart w:id="491" w:name="pg19111_195115"/>
    </w:p>
    <w:p>
      <w:pPr>
        <w:pStyle w:val="BookText"/>
        <w:rPr/>
      </w:pPr>
      <w:bookmarkEnd w:id="491"/>
      <w:r>
        <w:rPr>
          <w:rFonts w:ascii="IRNazanin" w:hAnsi="IRNazanin" w:eastAsia="IRNazanin"/>
          <w:color w:val="111111"/>
          <w:sz w:val="28"/>
          <w:sz w:val="28"/>
          <w:szCs w:val="28"/>
          <w:rtl w:val="true"/>
          <w:lang w:bidi="fa-IR"/>
        </w:rPr>
        <w:t>کنونی ما با دوران گذشته بسیار تفاوت پیدا کرده است و با وجود وسائل و لباس های گوناگون پیش گیرنده، احتمال نجاست مسجد در اکثر کودکان وجود ندارد</w:t>
      </w:r>
      <w:r>
        <w:rPr>
          <w:rFonts w:eastAsia="IRNazanin" w:cs="IRNazanin"/>
          <w:color w:val="111111"/>
          <w:sz w:val="28"/>
          <w:szCs w:val="28"/>
          <w:rtl w:val="true"/>
          <w:lang w:bidi="fa-IR"/>
        </w:rPr>
        <w:t>.</w:t>
      </w:r>
    </w:p>
    <w:p>
      <w:pPr>
        <w:pStyle w:val="Heading5"/>
        <w:numPr>
          <w:ilvl w:val="4"/>
          <w:numId w:val="1"/>
        </w:numPr>
        <w:rPr/>
      </w:pPr>
      <w:bookmarkStart w:id="492" w:name="__RefHeading___Toc15165417_1280447820"/>
      <w:bookmarkStart w:id="493" w:name="_Toc184"/>
      <w:bookmarkEnd w:id="492"/>
      <w:r>
        <w:rPr/>
        <w:t>2</w:t>
      </w:r>
      <w:r>
        <w:rPr>
          <w:rtl w:val="true"/>
        </w:rPr>
        <w:t xml:space="preserve">- </w:t>
      </w:r>
      <w:r>
        <w:rPr>
          <w:rtl w:val="true"/>
        </w:rPr>
        <w:t>عدم رعایت حریم عبادی مسجد</w:t>
      </w:r>
      <w:bookmarkEnd w:id="493"/>
    </w:p>
    <w:p>
      <w:pPr>
        <w:pStyle w:val="BookText"/>
        <w:rPr/>
      </w:pPr>
      <w:r>
        <w:rPr>
          <w:rFonts w:ascii="IRNazanin" w:hAnsi="IRNazanin" w:eastAsia="IRNazanin"/>
          <w:color w:val="111111"/>
          <w:sz w:val="28"/>
          <w:sz w:val="28"/>
          <w:szCs w:val="28"/>
          <w:rtl w:val="true"/>
          <w:lang w:bidi="fa-IR"/>
        </w:rPr>
        <w:t>مهمترین کاربری مسجد، عبادت و راز و نیاز با خدا است که برگزاری نماز جماعت در حریم مسجد نیز مهمترین مصداق آن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ورود کودکان به مسجد نباید با برگزاری نماز جماعت در تعارض باشد و نظم عمومی آن را بر هم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دیدگاه فقها، به نظرات فقیهانی که در این زمینه مطرح شده بود،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از فقیهان بدون اشاره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حریم عبادی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همین روایت به این نکته اشاره کرده و حتی کراهت آوردن کودکان به مسجد را تنها مخصوص زمان برگزاری نماز جماعت برمی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یحتمل أن یکون النهي عن أکثر هذه الأمور مختصا بأوقاف الصلوات</w:t>
      </w:r>
      <w:r>
        <w:rPr>
          <w:rFonts w:eastAsia="IRNazanin" w:cs="IRNazanin"/>
          <w:color w:val="111111"/>
          <w:sz w:val="28"/>
          <w:szCs w:val="28"/>
          <w:rtl w:val="true"/>
          <w:lang w:bidi="fa-IR"/>
        </w:rPr>
        <w:t>.</w:t>
      </w:r>
      <w:r>
        <w:rPr>
          <w:rStyle w:val="FootnoteAnchor"/>
          <w:rtl w:val="true"/>
        </w:rPr>
        <w:footnoteReference w:id="32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عبدالاعلی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حفظ حریم عبادی مسجد، به نکته دیگری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آموزش و تادیب کودکان را بر اساس برنامه های عبادی مسجد، لازم دانسته و ورود کودکان تربیت یافته بر اساس این آموزه ها را مکروه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دیدگاه او آموزش آداب شرعی مسجد به کودکان شرط اساسی برای ورود آنها به </w:t>
      </w:r>
    </w:p>
    <w:p>
      <w:pPr>
        <w:pStyle w:val="BookText"/>
        <w:rPr/>
      </w:pPr>
      <w:r>
        <w:rPr>
          <w:rFonts w:ascii="IRNazanin" w:hAnsi="IRNazanin" w:eastAsia="IRNazanin"/>
          <w:color w:val="111111"/>
          <w:sz w:val="28"/>
          <w:sz w:val="28"/>
          <w:szCs w:val="28"/>
          <w:rtl w:val="true"/>
          <w:lang w:bidi="fa-IR"/>
        </w:rPr>
        <w:t>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چنین آموزشی حریم مسجد از حفظ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کراهة غیر البیع و الشراء من سائر المعاوضات،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بني لغیر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سبق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صنع المساجد للقرآن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تمکین الصبیان إنّما هو فیما إذا لم یکونوا مؤدبین بآداب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فالظاهر عدم الکراهة، بل الظاهر رجحان تمرینهم علي المساجد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آیت الله اشتهاردی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مساله مراعات آداب مسجد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الصبیان و المجانین، تقدّم في أخبار کراهة البیع 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إلي ما فیه من التخفیف بعدم مراعاتهما لآداب المسجد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آیت الله بهجت به مساله مراعات آداب مسجد توسط کودکان اشاره کرده،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از ورود دیوانگان و اطفال غیرممیز که مراعات آداب مساجد را نمی نمایند به مساجد، خودداری شود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آیت الله مکارم در تعلیقه خود بر کتاب عروه الوثقی، می نویسد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الّذین یخاف من تلویثهم له أو ینافي تمکینهم لوضع المسجد و احترامه و المصلّین؛ و أمّا من ارید بهم تعلیم معالم الإسلام و التمرین الغیر المزاحمین، فلا ریب في استحبابه، و لا یصحّ منعهم و لا سیّما في هذه الأعصار الّتي غلب علي أهلها الفساد في العقیدة و العمل و </w:t>
      </w:r>
      <w:bookmarkStart w:id="494" w:name="pg19111_195117"/>
    </w:p>
    <w:p>
      <w:pPr>
        <w:pStyle w:val="BookText"/>
        <w:rPr/>
      </w:pPr>
      <w:bookmarkEnd w:id="494"/>
      <w:r>
        <w:rPr>
          <w:rFonts w:ascii="IRNazanin" w:hAnsi="IRNazanin" w:eastAsia="IRNazanin"/>
          <w:color w:val="111111"/>
          <w:sz w:val="28"/>
          <w:sz w:val="28"/>
          <w:szCs w:val="28"/>
          <w:rtl w:val="true"/>
          <w:lang w:bidi="fa-IR"/>
        </w:rPr>
        <w:t>لیس لهم ملجأ إلّا المساجد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آیت الله سیستانی در این باره چنین فتوی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دادن دیوانه به مسجد مکروه است و همچنین است راه دادن بچه نابالغی که مراعات حرمت مسجد را نمی کند و موجب مزاحمت برای نمازگزاران می شود یا اینکه احتمال می رود مسجد را نجس کند </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بنابراین کودکی که آداب مسجد را رعایت نمی کند و حریم عبادی آن را بر هم می زند، شامل ملاک نهی در روایات ناهیه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احتمال چنین مساله ای بیشتر از مسائل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برخی از مساجد که رفت و آمد کودکان در آن زیاد است، نظم مسجد تحت الشعاع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در این محور دقت نظر بیشتری انجام گیرد و راهکارهای پیشگیرانه جهت عدم بروز چنین مشکلاتی ارائه گردد</w:t>
      </w:r>
      <w:r>
        <w:rPr>
          <w:rFonts w:eastAsia="IRNazanin" w:cs="IRNazanin"/>
          <w:color w:val="111111"/>
          <w:sz w:val="28"/>
          <w:szCs w:val="28"/>
          <w:rtl w:val="true"/>
          <w:lang w:bidi="fa-IR"/>
        </w:rPr>
        <w:t>.</w:t>
      </w:r>
    </w:p>
    <w:p>
      <w:pPr>
        <w:pStyle w:val="Heading5"/>
        <w:numPr>
          <w:ilvl w:val="4"/>
          <w:numId w:val="1"/>
        </w:numPr>
        <w:rPr/>
      </w:pPr>
      <w:bookmarkStart w:id="495" w:name="__RefHeading___Toc15165419_1280447820"/>
      <w:bookmarkStart w:id="496" w:name="_Toc185"/>
      <w:bookmarkEnd w:id="495"/>
      <w:r>
        <w:rPr/>
        <w:t>3</w:t>
      </w:r>
      <w:r>
        <w:rPr>
          <w:rtl w:val="true"/>
        </w:rPr>
        <w:t xml:space="preserve">- </w:t>
      </w:r>
      <w:r>
        <w:rPr>
          <w:rtl w:val="true"/>
        </w:rPr>
        <w:t>مزاحمت کودک برای عبادت نمازگزاران</w:t>
      </w:r>
      <w:bookmarkEnd w:id="496"/>
    </w:p>
    <w:p>
      <w:pPr>
        <w:pStyle w:val="BookText"/>
        <w:rPr/>
      </w:pPr>
      <w:r>
        <w:rPr>
          <w:rFonts w:ascii="IRNazanin" w:hAnsi="IRNazanin" w:eastAsia="IRNazanin"/>
          <w:color w:val="111111"/>
          <w:sz w:val="28"/>
          <w:sz w:val="28"/>
          <w:szCs w:val="28"/>
          <w:rtl w:val="true"/>
          <w:lang w:bidi="fa-IR"/>
        </w:rPr>
        <w:t xml:space="preserve">یکی دیگر از مسائلی که با ملاک نهی سازگاری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مزاحمت کودک برای عبادت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محلی برای عبادت است و هیچ کس حق ندارد، مزاحمتی برای عبادت مردم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تقریبا فرعی از رعایت حریم عبادی مسجد است که ممکن است در مزاحمت کودک با عبادت دیگران ظهور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از فقها به صورت جداگانه به این نکته اشاره کرده 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مظاهری</w:t>
      </w:r>
      <w:r>
        <w:rPr>
          <w:rStyle w:val="FootnoteAnchor"/>
          <w:rtl w:val="true"/>
        </w:rPr>
        <w:footnoteReference w:id="328"/>
      </w:r>
      <w:r>
        <w:rPr>
          <w:rFonts w:ascii="IRNazanin" w:hAnsi="IRNazanin" w:eastAsia="IRNazanin"/>
          <w:color w:val="111111"/>
          <w:sz w:val="28"/>
          <w:sz w:val="28"/>
          <w:szCs w:val="28"/>
          <w:rtl w:val="true"/>
          <w:lang w:bidi="fa-IR"/>
        </w:rPr>
        <w:t>راه دادن کودکان به مسجد را تنها در صورت مزاحمت برای دیگران، مکروه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bookmarkStart w:id="497" w:name="pg19111_195118"/>
    </w:p>
    <w:p>
      <w:pPr>
        <w:pStyle w:val="BookText"/>
        <w:rPr/>
      </w:pPr>
      <w:bookmarkEnd w:id="497"/>
      <w:r>
        <w:rPr>
          <w:rFonts w:ascii="IRNazanin" w:hAnsi="IRNazanin" w:eastAsia="IRNazanin"/>
          <w:color w:val="111111"/>
          <w:sz w:val="28"/>
          <w:sz w:val="28"/>
          <w:szCs w:val="28"/>
          <w:rtl w:val="true"/>
          <w:lang w:bidi="fa-IR"/>
        </w:rPr>
        <w:t>در مسجد و حرم امامان علیهم السلام شش امر مکروه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دادن بچّه و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ایجاد مزاحمت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لنکرانی نیز به این نکته اشاره کرده، چنین فتوی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دادن بچه و دیوانه به مسجد مکروه است ولى اگر آوردن بچه ها مزاحمتى ایجاد نکند و باعث علاقمندى آنان به نماز و مسجد شود، مستحب است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آیت الله مکارم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دادن بچّه و دیوانه به مسجد مکروه است ولى در صورتى که آوردن بچّه ها تولید مزاحمتى نکند و آنها را به مسجد و نماز علاقه مند سازد، مستحبّ است و گاه واجب</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آیت الله سیستانی در این باره چنین فتوی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دادن دیوانه به مسجد مکروه است و همچنین است راه دادن بچه نابالغی که مراعات حرمت مسجد را نمی کند و موجب مزاحمت برای نمازگزاران می شود یا اینکه احتمال می رود مسجد را نجس کند </w:t>
      </w:r>
      <w:r>
        <w:rPr>
          <w:rFonts w:eastAsia="IRNazanin" w:cs="IRNazanin"/>
          <w:color w:val="111111"/>
          <w:sz w:val="28"/>
          <w:szCs w:val="28"/>
          <w:rtl w:val="true"/>
          <w:lang w:bidi="fa-IR"/>
        </w:rPr>
        <w:t>... .</w:t>
      </w:r>
      <w:r>
        <w:rPr>
          <w:rStyle w:val="FootnoteAnchor"/>
          <w:rtl w:val="true"/>
        </w:rPr>
        <w:footnoteReference w:id="331"/>
      </w:r>
    </w:p>
    <w:p>
      <w:pPr>
        <w:pStyle w:val="Heading4"/>
        <w:numPr>
          <w:ilvl w:val="3"/>
          <w:numId w:val="1"/>
        </w:numPr>
        <w:rPr/>
      </w:pPr>
      <w:bookmarkStart w:id="498" w:name="__RefHeading___Toc15165421_1280447820"/>
      <w:bookmarkStart w:id="499" w:name="_Toc186"/>
      <w:bookmarkEnd w:id="498"/>
      <w:r>
        <w:rPr>
          <w:rtl w:val="true"/>
        </w:rPr>
        <w:t>گفتار چهارم</w:t>
      </w:r>
      <w:r>
        <w:rPr>
          <w:rtl w:val="true"/>
        </w:rPr>
        <w:t xml:space="preserve">: </w:t>
      </w:r>
      <w:r>
        <w:rPr>
          <w:rtl w:val="true"/>
        </w:rPr>
        <w:t xml:space="preserve">ظهور شرط </w:t>
      </w:r>
      <w:r>
        <w:rPr>
          <w:rtl w:val="true"/>
        </w:rPr>
        <w:t>«</w:t>
      </w:r>
      <w:r>
        <w:rPr>
          <w:rtl w:val="true"/>
        </w:rPr>
        <w:t>قابلیت اعتماد</w:t>
      </w:r>
      <w:r>
        <w:rPr>
          <w:rtl w:val="true"/>
        </w:rPr>
        <w:t xml:space="preserve">» </w:t>
      </w:r>
      <w:r>
        <w:rPr>
          <w:rtl w:val="true"/>
        </w:rPr>
        <w:t xml:space="preserve">در </w:t>
      </w:r>
      <w:r>
        <w:rPr>
          <w:rtl w:val="true"/>
        </w:rPr>
        <w:t>«</w:t>
      </w:r>
      <w:r>
        <w:rPr>
          <w:rtl w:val="true"/>
        </w:rPr>
        <w:t>کودکان ممیز</w:t>
      </w:r>
      <w:r>
        <w:rPr>
          <w:rtl w:val="true"/>
        </w:rPr>
        <w:t>»</w:t>
      </w:r>
      <w:bookmarkEnd w:id="499"/>
    </w:p>
    <w:p>
      <w:pPr>
        <w:pStyle w:val="Heading5"/>
        <w:numPr>
          <w:ilvl w:val="4"/>
          <w:numId w:val="1"/>
        </w:numPr>
        <w:rPr/>
      </w:pPr>
      <w:bookmarkStart w:id="500" w:name="__RefHeading___Toc15165423_1280447820"/>
      <w:bookmarkStart w:id="501" w:name="_Toc187"/>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 xml:space="preserve">گفته شد که با توجه به ملاک به دست آمده از روایات ناهیه،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قابلت اعتماد به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شرط اساسی برای ورود کودکان به مسجد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بیان شد که مصادیق این شرط اساسی، در سه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عبادی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مشاهده و دستیابی خواهد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توجه به یک نکته اساسی دیگر نشان می دهد که </w:t>
      </w:r>
      <w:bookmarkStart w:id="502" w:name="pg19111_195119"/>
    </w:p>
    <w:p>
      <w:pPr>
        <w:pStyle w:val="BookText"/>
        <w:rPr/>
      </w:pPr>
      <w:bookmarkEnd w:id="502"/>
      <w:r>
        <w:rPr>
          <w:rFonts w:ascii="IRNazanin" w:hAnsi="IRNazanin" w:eastAsia="IRNazanin"/>
          <w:color w:val="111111"/>
          <w:sz w:val="28"/>
          <w:sz w:val="28"/>
          <w:szCs w:val="28"/>
          <w:rtl w:val="true"/>
          <w:lang w:bidi="fa-IR"/>
        </w:rPr>
        <w:t>اکثر قریب به اتفاق این شروط در قشر خاصی از کودکان وجود داشته و به طور معمول از دایره ملاک روایات ناهیه خارج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ممیز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قابلیت اعتماد در محورهای سه گانه مذکور را دارند و عموم مردم به چنین کودکانی اطمینان می کنند</w:t>
      </w:r>
      <w:r>
        <w:rPr>
          <w:rFonts w:eastAsia="IRNazanin" w:cs="IRNazanin"/>
          <w:color w:val="111111"/>
          <w:sz w:val="28"/>
          <w:szCs w:val="28"/>
          <w:rtl w:val="true"/>
          <w:lang w:bidi="fa-IR"/>
        </w:rPr>
        <w:t>.</w:t>
      </w:r>
    </w:p>
    <w:p>
      <w:pPr>
        <w:pStyle w:val="Heading5"/>
        <w:numPr>
          <w:ilvl w:val="4"/>
          <w:numId w:val="1"/>
        </w:numPr>
        <w:rPr/>
      </w:pPr>
      <w:bookmarkStart w:id="503" w:name="__RefHeading___Toc15165425_1280447820"/>
      <w:bookmarkStart w:id="504" w:name="_Toc188"/>
      <w:bookmarkEnd w:id="503"/>
      <w:r>
        <w:rPr>
          <w:rtl w:val="true"/>
        </w:rPr>
        <w:t>اهمیت قوه تمییز</w:t>
      </w:r>
      <w:bookmarkEnd w:id="504"/>
    </w:p>
    <w:p>
      <w:pPr>
        <w:pStyle w:val="BookText"/>
        <w:rPr/>
      </w:pPr>
      <w:r>
        <w:rPr>
          <w:rFonts w:ascii="IRNazanin" w:hAnsi="IRNazanin" w:eastAsia="IRNazanin"/>
          <w:color w:val="111111"/>
          <w:sz w:val="28"/>
          <w:sz w:val="28"/>
          <w:szCs w:val="28"/>
          <w:rtl w:val="true"/>
          <w:lang w:bidi="fa-IR"/>
        </w:rPr>
        <w:t>حقیقت آن است که اساسا اعتماد انسان به دیگران، ریشه در میزان عقلانیت طرف مقابل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در کارهای مختلف زندگی خود، به کسی اعتماد می کنند که عقلانیت بیشتری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دقیق تر سیره عقلا بر آن است که ضابطه اعتماد به دیگران را در سنجش میزان قوه عاقله او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میان عقلای عالم هر کس از این قوه خدادای بهره بیشتری داشته باشد، قابل اعتماد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مساله در مورد کودکان نیز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دارای قوه عاقله است و می تواند مسیر خوبی ها را از بدی ها تشخیص دهد، قابلیت اعتماد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تعدادی از فقها، حکم کراهت را مخصوص کودکان غیر ممیزی دانسته اند که ممکن است مصادیق پیش گفته را در خود جمع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برخی از</w:t>
      </w:r>
    </w:p>
    <w:p>
      <w:pPr>
        <w:pStyle w:val="Heading5"/>
        <w:numPr>
          <w:ilvl w:val="4"/>
          <w:numId w:val="1"/>
        </w:numPr>
        <w:rPr/>
      </w:pPr>
      <w:bookmarkStart w:id="505" w:name="__RefHeading___Toc15165427_1280447820"/>
      <w:bookmarkStart w:id="506" w:name="_Toc189"/>
      <w:bookmarkEnd w:id="505"/>
      <w:r>
        <w:rPr>
          <w:rtl w:val="true"/>
        </w:rPr>
        <w:t>استدلال علما در این زمینه</w:t>
      </w:r>
      <w:bookmarkEnd w:id="506"/>
    </w:p>
    <w:p>
      <w:pPr>
        <w:pStyle w:val="BookText"/>
        <w:rPr/>
      </w:pPr>
      <w:r>
        <w:rPr>
          <w:rFonts w:ascii="IRNazanin" w:hAnsi="IRNazanin" w:eastAsia="IRNazanin"/>
          <w:color w:val="111111"/>
          <w:sz w:val="28"/>
          <w:sz w:val="28"/>
          <w:szCs w:val="28"/>
          <w:rtl w:val="true"/>
          <w:lang w:bidi="fa-IR"/>
        </w:rPr>
        <w:t xml:space="preserve">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الفائده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آوردن کودکان به مسجد را مخصوص کودکان غیر ممیز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کراهة البیع و الشراء، و تمکین المجانین و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قد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الغیر الممیز الذی یصلى</w:t>
      </w:r>
      <w:r>
        <w:rPr>
          <w:rFonts w:eastAsia="IRNazanin" w:cs="IRNazanin"/>
          <w:color w:val="111111"/>
          <w:sz w:val="28"/>
          <w:szCs w:val="28"/>
          <w:rtl w:val="true"/>
          <w:lang w:bidi="fa-IR"/>
        </w:rPr>
        <w:t>.</w:t>
      </w:r>
      <w:r>
        <w:rPr>
          <w:rStyle w:val="FootnoteAnchor"/>
          <w:rtl w:val="true"/>
        </w:rPr>
        <w:footnoteReference w:id="33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صراحت بیشتری به این </w:t>
      </w:r>
    </w:p>
    <w:p>
      <w:pPr>
        <w:pStyle w:val="BookText"/>
        <w:rPr/>
      </w:pPr>
      <w:r>
        <w:rPr>
          <w:rFonts w:ascii="IRNazanin" w:hAnsi="IRNazanin" w:eastAsia="IRNazanin"/>
          <w:color w:val="111111"/>
          <w:sz w:val="28"/>
          <w:sz w:val="28"/>
          <w:szCs w:val="28"/>
          <w:rtl w:val="true"/>
          <w:lang w:bidi="fa-IR"/>
        </w:rPr>
        <w:t>نکته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البیع و الشراء، و تمکین المجانین و الصبیان، لروایة إبراهیم المتقدّمة، و قد تخصص الصبیان بغیر الممیز، و لا بأس به</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را بیان داشته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البیع و الشراء، و تمکین المجانین و الصبیان، و قد یخصّص الصبیّ بغیر الممیّز، و لیس ببعید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ناهیه را حمل بر کودکان غیر ممیز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جنبوا مساجدکم صبیانکم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على ما لم یکن ممیزا فإنه یستحب تمرینهم بإحضارهم إلى المساجد للصلوات للعادة فإن الخیر عادة</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همان روایت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الصبیان حمل علي غیر الممیز، فإنه یستحب تمرین الممیزین</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آیت الله اشتهاردی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الصبیان و المجانین، تقدّم في أخبار کراهة البیع 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إلي ما فیه من التخفیف بعدم مراعاتهما لآداب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تقییده بما إذا لم یکن الصبیّ ممیّزا یصحّ منه العبادة و إلّا فلربّما یستحبّ تمرینهم لها و لصحّة عباداتهم الملازمة لتحقّق العبودیة المترتّبة علیها الثواب الذي لأجل تحصیله بنیت </w:t>
      </w:r>
      <w:bookmarkStart w:id="507" w:name="pg19111_195121"/>
    </w:p>
    <w:p>
      <w:pPr>
        <w:pStyle w:val="BookText"/>
        <w:rPr/>
      </w:pPr>
      <w:bookmarkEnd w:id="507"/>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التقیید دعوي الانصراف عن الممیّز، و اللّه العالم</w:t>
      </w:r>
      <w:r>
        <w:rPr>
          <w:rFonts w:eastAsia="IRNazanin" w:cs="IRNazanin"/>
          <w:color w:val="111111"/>
          <w:sz w:val="28"/>
          <w:szCs w:val="28"/>
          <w:rtl w:val="true"/>
          <w:lang w:bidi="fa-IR"/>
        </w:rPr>
        <w:t>.</w:t>
      </w:r>
      <w:r>
        <w:rPr>
          <w:rStyle w:val="FootnoteAnchor"/>
          <w:rtl w:val="true"/>
        </w:rPr>
        <w:footnoteReference w:id="337"/>
      </w:r>
    </w:p>
    <w:p>
      <w:pPr>
        <w:pStyle w:val="Heading5"/>
        <w:numPr>
          <w:ilvl w:val="4"/>
          <w:numId w:val="1"/>
        </w:numPr>
        <w:rPr/>
      </w:pPr>
      <w:bookmarkStart w:id="508" w:name="__RefHeading___Toc15165429_1280447820"/>
      <w:bookmarkStart w:id="509" w:name="_Toc190"/>
      <w:bookmarkEnd w:id="508"/>
      <w:r>
        <w:rPr>
          <w:rtl w:val="true"/>
        </w:rPr>
        <w:t xml:space="preserve">قرینه مشترک میان </w:t>
      </w:r>
      <w:r>
        <w:rPr>
          <w:rtl w:val="true"/>
        </w:rPr>
        <w:t>«</w:t>
      </w:r>
      <w:r>
        <w:rPr>
          <w:rtl w:val="true"/>
        </w:rPr>
        <w:t>الصبیان</w:t>
      </w:r>
      <w:r>
        <w:rPr>
          <w:rtl w:val="true"/>
        </w:rPr>
        <w:t xml:space="preserve">» </w:t>
      </w:r>
      <w:r>
        <w:rPr>
          <w:rtl w:val="true"/>
        </w:rPr>
        <w:t xml:space="preserve">و </w:t>
      </w:r>
      <w:r>
        <w:rPr>
          <w:rtl w:val="true"/>
        </w:rPr>
        <w:t>«</w:t>
      </w:r>
      <w:r>
        <w:rPr>
          <w:rtl w:val="true"/>
        </w:rPr>
        <w:t>المجانین</w:t>
      </w:r>
      <w:r>
        <w:rPr>
          <w:rtl w:val="true"/>
        </w:rPr>
        <w:t>»</w:t>
      </w:r>
      <w:bookmarkEnd w:id="509"/>
    </w:p>
    <w:p>
      <w:pPr>
        <w:pStyle w:val="BookText"/>
        <w:rPr/>
      </w:pPr>
      <w:r>
        <w:rPr>
          <w:rFonts w:ascii="IRNazanin" w:hAnsi="IRNazanin" w:eastAsia="IRNazanin"/>
          <w:color w:val="111111"/>
          <w:sz w:val="28"/>
          <w:sz w:val="28"/>
          <w:szCs w:val="28"/>
          <w:rtl w:val="true"/>
          <w:lang w:bidi="fa-IR"/>
        </w:rPr>
        <w:t xml:space="preserve">توجه در این سه روایت هم مضمون در باب نهی از آوردن کودکان به مسجد، نشان دهنده آن است که در هر سه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یکدیگر آمده اند که این خود می تواند قرینه خوبی برای به دست آوردن مصادیق نهی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نهی از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مجانین و دیوانگان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در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خوب و بد 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و مدیریت رفتار چنین افرادی بسیار دشوار است و گاهی پیامدهای رفت و آمد چنین اشخاصی به مسجد قابل پیش بینی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باید دانست که حتی همین افراد هم دارای مراتب گوناگونی هستند که گاه نهی پیرامون آنها را نیز برای ما مساله ساز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بیمارا ن مبتلا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افتادگان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به بیماران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سندروم داون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 مراتب پر فراز و نشیبی وجود دارد که حقیقتا نمی توان همه آنها را یک کاسه کرد و یک حکم کلی پیرامون همه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برخی از بیماران مذکور به کلّی از قوه عاقله محروم نبوده و از این نعمت، به میزان کمتری نسبت به افراد سالم،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روشن است که ملاک تشخیص دیوانه،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مقدمه به سراغ قرینه مذکور یعنی کنار هم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مساله می تواند قرینه ای باشد بر این مطلب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دلیل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رفتارشان قابل پیش بینی نیست و کنترل رفتار و مدیریت آنها بسیار دشوار و گاه غیر ممکن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کودکان غیر ممیز نیز دارای مراتب مختلفی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رشد انسان خصوصا در کودکان، سرعت قابل توجهی دارد و قوه عاقله او نیز از همان روز تولد در حال رشد و شکوفایی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میان کودکان ممیز نیز تفاوت قائل شد و تنها کودکان غیر ممیزی را شامل نهی روایت دانست که حضورشان در مسجد با کاربری اصلی مسجد در مقابله و تعارض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در صورتی که نداشتن قوه عاقله در کودکان غیر ممیز، تعارض با کاربری اصلی مسجد داشته باشد، ملاک نهی شامل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این صورت دلیلی بر نهی چنین کودکانی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ممیز از دایره نهی روایت خارج اند و روایت تنها شامل کودکان غیر ممیز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کودکان غیر ممیز نیز گروهی که غیر قابل اعتماد هستند مورد نهی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اعتماد و عدم اعتماد به کودک به تناسب احکام مسجد است که معمولا در سه مساله ظهور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طهارت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رعایت حریم عبادی مسجد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 برای عبادت نمازگزاران که در واقع جزئی از همان عدم رعایت حریم عبادی مسجد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وجود لباس های پیش گیرنده، احتمال نجاست مسجد در اکثر کودکان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دوران کنونی تنها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حریم عبادی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مصداق کراهت آوردن کودکان به مسجد باشد</w:t>
      </w:r>
      <w:r>
        <w:rPr>
          <w:rFonts w:eastAsia="IRNazanin" w:cs="IRNazanin"/>
          <w:color w:val="111111"/>
          <w:sz w:val="28"/>
          <w:szCs w:val="28"/>
          <w:rtl w:val="true"/>
          <w:lang w:bidi="fa-IR"/>
        </w:rPr>
        <w:t xml:space="preserve">. </w:t>
      </w:r>
      <w:bookmarkStart w:id="510" w:name="pg19111_195123"/>
    </w:p>
    <w:p>
      <w:pPr>
        <w:pStyle w:val="Heading2"/>
        <w:numPr>
          <w:ilvl w:val="1"/>
          <w:numId w:val="1"/>
        </w:numPr>
        <w:rPr/>
      </w:pPr>
      <w:bookmarkStart w:id="511" w:name="__RefHeading___Toc15165431_1280447820"/>
      <w:bookmarkStart w:id="512" w:name="_Toc191"/>
      <w:bookmarkEnd w:id="510"/>
      <w:bookmarkEnd w:id="511"/>
      <w:r>
        <w:rPr>
          <w:rtl w:val="true"/>
        </w:rPr>
        <w:t>بخش پنجم</w:t>
      </w:r>
      <w:r>
        <w:rPr>
          <w:rtl w:val="true"/>
        </w:rPr>
        <w:t xml:space="preserve">: </w:t>
      </w:r>
      <w:r>
        <w:rPr>
          <w:rtl w:val="true"/>
        </w:rPr>
        <w:t>بررسی ادله قول به تفصیل بین کراهت، اباحه و استحباب</w:t>
      </w:r>
      <w:bookmarkEnd w:id="51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3" w:name="__RefHeading___Toc15165433_1280447820"/>
      <w:bookmarkStart w:id="514" w:name="_Toc192"/>
      <w:bookmarkEnd w:id="513"/>
      <w:r>
        <w:rPr>
          <w:rtl w:val="true"/>
        </w:rPr>
        <w:t>اشاره</w:t>
      </w:r>
      <w:bookmarkEnd w:id="51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5" w:name="pg19111_195125"/>
      <w:bookmarkStart w:id="516" w:name="pg19111_195125"/>
      <w:bookmarkEnd w:id="516"/>
    </w:p>
    <w:p>
      <w:pPr>
        <w:pStyle w:val="BookText"/>
        <w:rPr/>
      </w:pPr>
      <w:bookmarkStart w:id="517" w:name="pg19111_195125"/>
      <w:bookmarkEnd w:id="517"/>
      <w:r>
        <w:rPr>
          <w:rFonts w:ascii="IRNazanin" w:hAnsi="IRNazanin" w:eastAsia="IRNazanin"/>
          <w:color w:val="111111"/>
          <w:sz w:val="28"/>
          <w:sz w:val="28"/>
          <w:szCs w:val="28"/>
          <w:rtl w:val="true"/>
          <w:lang w:bidi="fa-IR"/>
        </w:rPr>
        <w:t>در مساله آوردن کودکان به مسجد، گروهی از فقها قائل به تفصیل میان کودکان هستند که خود آنها نیز به دو گروه تقسیم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تفصیل بین اباحه و کراهت را برگزیده و گروهی افزون به اباحه و کراهت، آوردن بخشی از کودکان به مسجد را مستحب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وجه تمایز میان این دو دیدگاه،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دانستن آوردن گروه خاصی از کودکان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بخش به ادله استحباب و وجوه مطرح شده ذیل این مساله خواهیم پرداخت</w:t>
      </w:r>
      <w:r>
        <w:rPr>
          <w:rFonts w:eastAsia="IRNazanin" w:cs="IRNazanin"/>
          <w:color w:val="111111"/>
          <w:sz w:val="28"/>
          <w:szCs w:val="28"/>
          <w:rtl w:val="true"/>
          <w:lang w:bidi="fa-IR"/>
        </w:rPr>
        <w:t>.</w:t>
      </w:r>
    </w:p>
    <w:p>
      <w:pPr>
        <w:pStyle w:val="Heading3"/>
        <w:numPr>
          <w:ilvl w:val="2"/>
          <w:numId w:val="1"/>
        </w:numPr>
        <w:rPr/>
      </w:pPr>
      <w:bookmarkStart w:id="518" w:name="__RefHeading___Toc15165435_1280447820"/>
      <w:bookmarkStart w:id="519" w:name="_Toc193"/>
      <w:bookmarkEnd w:id="518"/>
      <w:r>
        <w:rPr>
          <w:rtl w:val="true"/>
        </w:rPr>
        <w:t>فصل اول</w:t>
      </w:r>
      <w:r>
        <w:rPr>
          <w:rtl w:val="true"/>
        </w:rPr>
        <w:t xml:space="preserve">: </w:t>
      </w:r>
      <w:r>
        <w:rPr>
          <w:rtl w:val="true"/>
        </w:rPr>
        <w:t>رجحان و استحباب تمرین نماز جماعت در مسجد</w:t>
      </w:r>
      <w:bookmarkEnd w:id="519"/>
    </w:p>
    <w:p>
      <w:pPr>
        <w:pStyle w:val="Heading4"/>
        <w:numPr>
          <w:ilvl w:val="3"/>
          <w:numId w:val="1"/>
        </w:numPr>
        <w:rPr/>
      </w:pPr>
      <w:bookmarkStart w:id="520" w:name="__RefHeading___Toc15165437_1280447820"/>
      <w:bookmarkStart w:id="521" w:name="_Toc194"/>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همانطور که گفته شد، برخی از فقها با اینکه به مسجد آوردن کودکان غیر ممیزی را که غیر قابل اعتمادند، مکروه دانسته اند، اما آوردن دیگر کودکان را مباح و حتی مستحب برشمرده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دلیلی که از سوی این بزرگان برای استحباب این مساله مطرح شده، رجحان و استحباب تمرین دادن کودکان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عبادت در محیط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و عبادات مرتبط با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عبادت یک وجه فردی دارد که اگرچه امکان شکل گیری آن بدون در نظر گرفتن محیط مسجد هم وجود دارد، اما انجام آن در مسجد بر ثواب آن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برای عبادت یک وجه برتر و ارزشمند تر نیز وجود دارد که همان ساختار جمعی آن است که در محیط مسجد و در نماز جماعت متبلور می گردد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آوردن کودک به مسجد، از هر دو منظر می توان به این مساله نگاه کرد و رجحان این مساله را بر مسند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اولا آموزش عبادت فردی به کودکان نیازمند محیطی هم سنخ با عبادت </w:t>
      </w:r>
      <w:bookmarkStart w:id="522" w:name="pg19111_195126"/>
    </w:p>
    <w:p>
      <w:pPr>
        <w:pStyle w:val="BookText"/>
        <w:rPr/>
      </w:pPr>
      <w:bookmarkEnd w:id="522"/>
      <w:r>
        <w:rPr>
          <w:rFonts w:ascii="IRNazanin" w:hAnsi="IRNazanin" w:eastAsia="IRNazanin"/>
          <w:color w:val="111111"/>
          <w:sz w:val="28"/>
          <w:sz w:val="28"/>
          <w:szCs w:val="28"/>
          <w:rtl w:val="true"/>
          <w:lang w:bidi="fa-IR"/>
        </w:rPr>
        <w:t>است که مسجد، بهترین جایگاه برای این 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بهترین مکان برای آموزش عبادت جمعی به کودکان، مکانی است که از اساس برای همین کار یعنی عبادت جمعی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صورت رجحان آموزش این دست از آموزه ها در مسجد، روشن و واضح است</w:t>
      </w:r>
      <w:r>
        <w:rPr>
          <w:rFonts w:eastAsia="IRNazanin" w:cs="IRNazanin"/>
          <w:color w:val="111111"/>
          <w:sz w:val="28"/>
          <w:szCs w:val="28"/>
          <w:rtl w:val="true"/>
          <w:lang w:bidi="fa-IR"/>
        </w:rPr>
        <w:t>.</w:t>
      </w:r>
    </w:p>
    <w:p>
      <w:pPr>
        <w:pStyle w:val="Heading4"/>
        <w:numPr>
          <w:ilvl w:val="3"/>
          <w:numId w:val="1"/>
        </w:numPr>
        <w:rPr/>
      </w:pPr>
      <w:bookmarkStart w:id="523" w:name="__RefHeading___Toc15165439_1280447820"/>
      <w:bookmarkStart w:id="524" w:name="_Toc195"/>
      <w:bookmarkEnd w:id="523"/>
      <w:r>
        <w:rPr>
          <w:rtl w:val="true"/>
        </w:rPr>
        <w:t>گفتار اول</w:t>
      </w:r>
      <w:r>
        <w:rPr>
          <w:rtl w:val="true"/>
        </w:rPr>
        <w:t xml:space="preserve">: </w:t>
      </w:r>
      <w:r>
        <w:rPr>
          <w:rtl w:val="true"/>
        </w:rPr>
        <w:t>کلام فقها در این زمینه</w:t>
      </w:r>
      <w:bookmarkEnd w:id="524"/>
    </w:p>
    <w:p>
      <w:pPr>
        <w:pStyle w:val="BookText"/>
        <w:rPr/>
      </w:pP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این استدلال را ارائه داده و وجه رجحان آوردن کودکان به مسجد را تمرین نماز در مسجد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ینبغي أن یراد بالصّبی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یوثق به، أما من علم منه ما یقتضي الوثوق به لمحافظته علي التنزه من النّجاسات، و أداء الصّلوات، فالظاهر أنّه لا یکره تمکینه، بل ینبغي القول باستحباب تمرینه علي فعل الصّلاة في المسجد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استدلال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همانطور که دیگر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روزه و نماز فرادا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تمرین است،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هم نیازمند به تمرین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ورود کودکان قابل اعتماد به مسجد مستحب،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تمکین 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الصبیان لوجودهم معهم في النص،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مساجدکم صبیانکم و مجانینکم و شراءکم و بیعکم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ینبغي أن یراد بالصبي من لا یوثق به منهم في إزالة النجاسة، أما من یوثق به في التنزّه عن النجاسات و أداء الصلاة فإنه یستحب تمرینه علي فعل الصلاة في المسجد کما یمرّن علي غیرها من العبادات</w:t>
      </w:r>
      <w:r>
        <w:rPr>
          <w:rFonts w:eastAsia="IRNazanin" w:cs="IRNazanin"/>
          <w:color w:val="111111"/>
          <w:sz w:val="28"/>
          <w:szCs w:val="28"/>
          <w:rtl w:val="true"/>
          <w:lang w:bidi="fa-IR"/>
        </w:rPr>
        <w:t>.</w:t>
      </w:r>
      <w:r>
        <w:rPr>
          <w:rStyle w:val="FootnoteAnchor"/>
          <w:rtl w:val="true"/>
        </w:rPr>
        <w:footnoteReference w:id="33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نکته اشاره کرده،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تمکین المجانین و الصبیان منها، مع عدم الوثوق بطهارتهم أو کونهم غیر ممیزین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الصبي الممیز الموثوق بطهارته المحافظ علي أداء الصلوات فلا یکره تمکینه، بل ینبغي تمرینه کما یمرن علي الصلاة</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تمرین دادن کودکان به نماز جماعت در مسجد را عادت شدن این مساله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جنبوا مساجدکم صبیانکم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علي ما لم یکن ممیزا فإنه یستحب تمرینهم بإحضارهم إلي المساجد للصلوات للعادة فإن الخیر عادة</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صلوات الله علیه جنّبوا مساجدکم صبیانکم و مجانینکم و رفع اصواتکم و شراءکم و بیعکم و الضّالّة و الحدود و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قوى از حضرت امام جعفر صادق صلوات اللّه علیه منقولست که فرمودند که اجتناب کنید در مساجد از اطفال و مگذارید که داخل مساجد شوند مبادا مسجد را نجس کنند و حمل نموده‌اند بر اطفال غیر ممیّز که اگر تمیز داشته باشد سنّت است که ایشان را پدران با خود بمسجد برند تا عادت کنند چنانکه در سایر عبادات ایشان را بانها باز مى‌دارند و از مجانین نیز اجتناب کنید و مگذارید که مطلقا داخل مساجد شوند و مفاسد ایشان بیشتر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آوردن روایت مرتبط با موضوع، می نویسد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في کراهة تمکین المجانین و الصبیان لدخول المساجد و ربما یقید الصبي بمن لا یوثق به أما من علم منه ما یقتضي الوثوق به لمحافظته علي التنزه من النجاسات و أداء الصلوات فإنه </w:t>
      </w:r>
    </w:p>
    <w:p>
      <w:pPr>
        <w:pStyle w:val="BookText"/>
        <w:rPr/>
      </w:pPr>
      <w:r>
        <w:rPr>
          <w:rFonts w:ascii="IRNazanin" w:hAnsi="IRNazanin" w:eastAsia="IRNazanin"/>
          <w:color w:val="111111"/>
          <w:sz w:val="28"/>
          <w:sz w:val="28"/>
          <w:szCs w:val="28"/>
          <w:rtl w:val="true"/>
          <w:lang w:bidi="fa-IR"/>
        </w:rPr>
        <w:t>لا یکره تمکینه بل یستحب تمرینه و لا بأس به</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همان روایت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الصبیان حمل علي غیر الممیز، فإنه یستحب تمرین الممیزین</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یقیّد الصبي بمن لا یوثق به، أما من علم منه ما یقتضي الوثوق بمحافظته علي التنزه عن النجاسات و أداء الصلوات فإنه لا یکره تمکینه بل یستحب تمرینه</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پذیرش اصل مطلب،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فالأولي الحکم بکراهة الجمیع للنصوص السابقة المشتملة علي الأمر بتجنیب الصبیان زیادة علي ما ذکره المصنف هنا، إلا أنه ذکره هو في المعتبر و غیره من الأصحاب مطلقین للحکم فیهم کالنصوص، و قیده بعضهم بمن یخاف منهم التلویث دون غیرهم ممن یوثق بهم، فإنه یستحب تمرینهم علي إتیانها، و لا بأس به، إلا أنه ینبغي إضافة مخافة ما ینافي توقیر المسجد من اللعب و نحوه، أو أذیة المصلین و نحو ذلک إلي التلویث، و وجهه واضح</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سید عبدالاعلی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کراهة تمکین الصبیان إنّما هو فیما إذا لم یکونوا مؤدبین بآداب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الغالب و إلّا فالظاهر عدم الکراهة، بل الظاهر رجحان </w:t>
      </w:r>
      <w:bookmarkStart w:id="525" w:name="pg19111_195129"/>
    </w:p>
    <w:p>
      <w:pPr>
        <w:pStyle w:val="BookText"/>
        <w:rPr/>
      </w:pPr>
      <w:bookmarkEnd w:id="525"/>
      <w:r>
        <w:rPr>
          <w:rFonts w:ascii="IRNazanin" w:hAnsi="IRNazanin" w:eastAsia="IRNazanin"/>
          <w:color w:val="111111"/>
          <w:sz w:val="28"/>
          <w:sz w:val="28"/>
          <w:szCs w:val="28"/>
          <w:rtl w:val="true"/>
          <w:lang w:bidi="fa-IR"/>
        </w:rPr>
        <w:t>تمرینهم علي المساجد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آیت الله اشتهاردی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 اشاره می کند که یکی از آنها مساله تمرین عبادی کودکان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تقییده بما إذا لم یکن الصبیّ ممیّزا یصحّ منه العبادة و إلّا فلربّما یستحبّ تمرینهم لها و لصحّة عباداتهم الملازمة لتحقّق العبودیة المترتّبة علیها الثواب الذي لأجل تحصیله بنیت المساجد</w:t>
      </w:r>
      <w:r>
        <w:rPr>
          <w:rFonts w:eastAsia="IRNazanin" w:cs="IRNazanin"/>
          <w:color w:val="111111"/>
          <w:sz w:val="28"/>
          <w:szCs w:val="28"/>
          <w:rtl w:val="true"/>
          <w:lang w:bidi="fa-IR"/>
        </w:rPr>
        <w:t>.</w:t>
      </w:r>
      <w:r>
        <w:rPr>
          <w:rStyle w:val="FootnoteAnchor"/>
          <w:rtl w:val="true"/>
        </w:rPr>
        <w:footnoteReference w:id="348"/>
      </w:r>
    </w:p>
    <w:p>
      <w:pPr>
        <w:pStyle w:val="Heading4"/>
        <w:numPr>
          <w:ilvl w:val="3"/>
          <w:numId w:val="1"/>
        </w:numPr>
        <w:rPr/>
      </w:pPr>
      <w:bookmarkStart w:id="526" w:name="__RefHeading___Toc15165441_1280447820"/>
      <w:bookmarkStart w:id="527" w:name="_Toc196"/>
      <w:bookmarkEnd w:id="526"/>
      <w:r>
        <w:rPr>
          <w:rtl w:val="true"/>
        </w:rPr>
        <w:t>گفتار دوم</w:t>
      </w:r>
      <w:r>
        <w:rPr>
          <w:rtl w:val="true"/>
        </w:rPr>
        <w:t xml:space="preserve">: </w:t>
      </w:r>
      <w:r>
        <w:rPr>
          <w:rtl w:val="true"/>
        </w:rPr>
        <w:t>والدین و لزوم تمرین دادن کودکان به عبادت</w:t>
      </w:r>
      <w:bookmarkEnd w:id="527"/>
    </w:p>
    <w:p>
      <w:pPr>
        <w:pStyle w:val="BookText"/>
        <w:rPr/>
      </w:pPr>
      <w:r>
        <w:rPr>
          <w:rFonts w:ascii="IRNazanin" w:hAnsi="IRNazanin" w:eastAsia="IRNazanin"/>
          <w:color w:val="111111"/>
          <w:sz w:val="28"/>
          <w:sz w:val="28"/>
          <w:szCs w:val="28"/>
          <w:rtl w:val="true"/>
          <w:lang w:bidi="fa-IR"/>
        </w:rPr>
        <w:t>از بخشی از آیات قرآن و روایات معصومین علیه السلام استفاده می شود که آموزش احکام نماز به کودکان و تمرین آنها پیش از دوران تکلیف، امری مستحب و دارای رجحان عبادی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مساله در دیدگاه فقهای شیعه تا اندازه ای است که برخی از فقها فتوای به وجوب این کار داده اند و والدین را در این زمینه مسئول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الأبوین أن یؤدّبا الولد إذا بلغ سبع سنین أو ثمانیاً، و علي ولیّه أن یعلّمه الصوم و الصلاة، و إذا بلغ عشراً ضربه علي ذلک، یجب ذلک علي الولیّ دون الصبیّ</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نهایة الإحکام شبیه به همین مطلب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فیجب علي الآباء و الأمهات تعلیمهم الطهارة و الصلاة و الشرائع بعد السبع، و الضرب علي ترکها بعد العشر، لأنه زمان احتمال البلوغ </w:t>
      </w:r>
      <w:bookmarkStart w:id="528" w:name="pg19111_195130"/>
    </w:p>
    <w:p>
      <w:pPr>
        <w:pStyle w:val="BookText"/>
        <w:rPr/>
      </w:pPr>
      <w:bookmarkEnd w:id="528"/>
      <w:r>
        <w:rPr>
          <w:rFonts w:ascii="IRNazanin" w:hAnsi="IRNazanin" w:eastAsia="IRNazanin"/>
          <w:color w:val="111111"/>
          <w:sz w:val="28"/>
          <w:sz w:val="28"/>
          <w:szCs w:val="28"/>
          <w:rtl w:val="true"/>
          <w:lang w:bidi="fa-IR"/>
        </w:rPr>
        <w:t>بالاحتلام، فربما بلغ و لا یصدق، و یؤمر بالصیام مع القدرة</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ملا محمد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السعادات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بلغ سن التمییز یؤمر بالطهارة و الصلاة و بالصوم في بعض الأیام من شهر رمضان و یعلم أصول العقائد و کل ما یحتاج إلیه من حدود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تأدب الصبي بهذه الآداب في صغره صارت له بعد بلوغه ملکات راسخة فیکون خیرا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نشأ علي خلاف ذلک حتي ألف اللعب و الفحش و الوقاحة و الخرق و شره الطعام و اللباس و التزین و التفاخر بلغ و هو خبیث النفس کثیف الجوهر و کان وبالا لوالدیه و صدر منه ما یوجب الفضیحة و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علي کل والد ألا یتسامح في تأدیب ولده في حالة الصبا لأنه أمانة الله عنده و قلبه الطاهر جوهرة نفیسة ساذجة عن کل نقش و صورة و قابل للخیر و الشر و أبواه یمیلان به إلي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عود الخیر نشأ علیه و سعد في الدنیا و الآخرة و شارکه في ثوابه أبواه و کل معلم ومؤدب و إن عود الشر و أهمل شقي و هلک و کان الوزر في رقبة أبیه أو من کان فیما ولیا له</w:t>
      </w:r>
      <w:r>
        <w:rPr>
          <w:rFonts w:eastAsia="IRNazanin" w:cs="IRNazanin"/>
          <w:color w:val="111111"/>
          <w:sz w:val="28"/>
          <w:szCs w:val="28"/>
          <w:rtl w:val="true"/>
          <w:lang w:bidi="fa-IR"/>
        </w:rPr>
        <w:t>.</w:t>
      </w:r>
      <w:r>
        <w:rPr>
          <w:rStyle w:val="FootnoteAnchor"/>
          <w:rtl w:val="true"/>
        </w:rPr>
        <w:footnoteReference w:id="351"/>
      </w:r>
    </w:p>
    <w:p>
      <w:pPr>
        <w:pStyle w:val="Heading4"/>
        <w:numPr>
          <w:ilvl w:val="3"/>
          <w:numId w:val="1"/>
        </w:numPr>
        <w:rPr/>
      </w:pPr>
      <w:bookmarkStart w:id="529" w:name="__RefHeading___Toc15165443_1280447820"/>
      <w:bookmarkStart w:id="530" w:name="_Toc197"/>
      <w:bookmarkEnd w:id="529"/>
      <w:r>
        <w:rPr>
          <w:rtl w:val="true"/>
        </w:rPr>
        <w:t>گفتار سوم</w:t>
      </w:r>
      <w:r>
        <w:rPr>
          <w:rtl w:val="true"/>
        </w:rPr>
        <w:t xml:space="preserve">: </w:t>
      </w:r>
      <w:r>
        <w:rPr>
          <w:rtl w:val="true"/>
        </w:rPr>
        <w:t>دلایل قرآنی و روایی لزوم تمرین دادن کودکان به عبادت</w:t>
      </w:r>
      <w:bookmarkEnd w:id="530"/>
    </w:p>
    <w:p>
      <w:pPr>
        <w:pStyle w:val="BookText"/>
        <w:rPr/>
      </w:pPr>
      <w:r>
        <w:rPr>
          <w:rFonts w:ascii="IRNazanin" w:hAnsi="IRNazanin" w:eastAsia="IRNazanin"/>
          <w:color w:val="111111"/>
          <w:sz w:val="28"/>
          <w:sz w:val="28"/>
          <w:szCs w:val="28"/>
          <w:rtl w:val="true"/>
          <w:lang w:bidi="fa-IR"/>
        </w:rPr>
        <w:t>آیات و روایات اهل بیت علیهم السلام بیانگر لزوم و یا استحباب تمرین دادن کودکان به نماز و دیگر عبادات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أْمُرْ أَهْلَکَ بِالصَّلاةِ وَ اصْطَبِرْ عَلَیْها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خود را به نماز فرمان ده و بر انجام آن شکیبا باش</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ظاهر خطاب آیه متوجه رسول خدا صلی الله علیه و اله است و بنابر روایات، </w:t>
      </w:r>
    </w:p>
    <w:p>
      <w:pPr>
        <w:pStyle w:val="BookText"/>
        <w:rPr/>
      </w:pPr>
      <w:r>
        <w:rPr>
          <w:rFonts w:ascii="IRNazanin" w:hAnsi="IRNazanin" w:eastAsia="IRNazanin"/>
          <w:color w:val="111111"/>
          <w:sz w:val="28"/>
          <w:sz w:val="28"/>
          <w:szCs w:val="28"/>
          <w:rtl w:val="true"/>
          <w:lang w:bidi="fa-IR"/>
        </w:rPr>
        <w:t>فضیلتی برای خصوص اهل بیت علیه السلام به حساب می آید</w:t>
      </w:r>
      <w:r>
        <w:rPr>
          <w:rStyle w:val="FootnoteAnchor"/>
          <w:rtl w:val="true"/>
        </w:rPr>
        <w:footnoteReference w:id="352"/>
      </w:r>
      <w:r>
        <w:rPr>
          <w:rFonts w:ascii="IRNazanin" w:hAnsi="IRNazanin" w:eastAsia="IRNazanin"/>
          <w:color w:val="111111"/>
          <w:sz w:val="28"/>
          <w:sz w:val="28"/>
          <w:szCs w:val="28"/>
          <w:rtl w:val="true"/>
          <w:lang w:bidi="fa-IR"/>
        </w:rPr>
        <w:t>، اما مورد آیه مخصِّص کلّیت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آیه را مخصوص پیامبر صلی الله علیه و اله بدانیم، از باب رجحان تأسی به رسول خدا صلی الله علیه و اله نیز می توان، استحباب این کار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محقق استرآبادی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فیجب علینا أیضا أمر أهالینا بدلالة التأسّي به علیه السّلام؛ و یؤیّده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أَنْفُسَکُمْ وَ 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ینظر فیه لبعض ما تقدّم مما قد یقتضي تخصیص أهله علیه السّلام و نحوه مما یأتی؛ و حینئذ فقد یستحبّ لغیره فلیتأمل</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آیه شامل تمامی اعضای خانواده می شود و یکایک فرزندان و نوادگان را نیز در برخواهد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ابن منظور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الرجل عَشِیرتُه و ذَوُو قُرْباه،</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آیه دیگر که می تواند مستند این مساله باشد، پیرامون حضرت اسماعیل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یَأْمُرُ أَهْلَهُ بِالصَّلاةِ وَ الزَّکاةِ وَ کانَ عِنْدَ رَبِّهِ مَرْضِیًّا</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او همواره خانواده خود را به نماز و زکات، امر مى‌کرد و همواره مورد رضایت پروردگارش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حضرت لقمان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بُنىَّ‌َّ أَقِمِ الصَّلَوةَ وَ أْمُرْ بِالْمَعْرُوفِ وَ انْهَ عَنِ الْمُنکَرِ </w:t>
      </w:r>
      <w:r>
        <w:rPr>
          <w:rFonts w:eastAsia="Amiri" w:cs="Amiri" w:ascii="Amiri" w:hAnsi="Amiri"/>
          <w:color w:val="111111"/>
          <w:sz w:val="28"/>
          <w:szCs w:val="28"/>
          <w:rtl w:val="true"/>
          <w:lang w:bidi="ar-SA"/>
        </w:rPr>
        <w:t>...</w:t>
      </w:r>
      <w:r>
        <w:rPr>
          <w:rStyle w:val="FootnoteAnchor"/>
          <w:rtl w:val="true"/>
        </w:rPr>
        <w:footnoteReference w:id="35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پسرم، نماز را برپا دار و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پسندیده در نزد عقل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کن، و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زشت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دستور لقمان به فرزند کم سن و سالش نشان از رجحان تمرین دادن کودک به نماز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چند آیه قبل از این، آمده است که وی با زبان موعظه با فرزندش سخن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قالَ لُقْمانُ لِابْنِهِ وَ هُوَ یَعِظُهُ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موعظه نیز بنا بر آنچه طبرسی در مجمع البیان بیان کرده است، به معنای تادیب و یادآوری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در این زمینه روایات فراوانی نیز وجود دارد که هر یک به تنهایی توانایی بر مسند نشاندن این مساله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حلبی</w:t>
      </w:r>
      <w:r>
        <w:rPr>
          <w:rStyle w:val="FootnoteAnchor"/>
          <w:rtl w:val="true"/>
        </w:rPr>
        <w:footnoteReference w:id="358"/>
      </w: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نَأْمُرُ صِبْیَانَنَا بِالصَّلَاةِ إِذَا کَانُوا بَنِي خَمْسِ سِنِینَ فَمُرُوا صِبْیَانَکُمْ بِالصَّلَاةِ إِذَا کَانُوا بَنِي سَبْعِ سِنِینَ</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همچنین در صحیحه بزنطی</w:t>
      </w:r>
      <w:r>
        <w:rPr>
          <w:rStyle w:val="FootnoteAnchor"/>
          <w:rtl w:val="true"/>
        </w:rPr>
        <w:footnoteReference w:id="360"/>
      </w:r>
      <w:r>
        <w:rPr>
          <w:rFonts w:ascii="IRNazanin" w:hAnsi="IRNazanin" w:eastAsia="IRNazanin"/>
          <w:color w:val="111111"/>
          <w:sz w:val="28"/>
          <w:sz w:val="28"/>
          <w:szCs w:val="28"/>
          <w:rtl w:val="true"/>
          <w:lang w:bidi="fa-IR"/>
        </w:rPr>
        <w:t>از امام رضا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یُؤْخَذُ الْغُلَامُ بِالصَّلَاةِ وَ هُوَ ابْنُ سَبْعِ سِنِینَ </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روایات دیگری نیز نقل شده که شیخ حرّ عاملی در مجموع </w:t>
      </w:r>
      <w:bookmarkStart w:id="531" w:name="pg19111_195133"/>
    </w:p>
    <w:p>
      <w:pPr>
        <w:pStyle w:val="BookText"/>
        <w:rPr/>
      </w:pPr>
      <w:bookmarkEnd w:id="531"/>
      <w:r>
        <w:rPr>
          <w:rFonts w:ascii="Amiri" w:hAnsi="Amiri" w:eastAsia="Amiri" w:cs="Amiri"/>
          <w:color w:val="111111"/>
          <w:sz w:val="28"/>
          <w:sz w:val="28"/>
          <w:szCs w:val="28"/>
          <w:rtl w:val="true"/>
          <w:lang w:bidi="ar-SA"/>
        </w:rPr>
        <w:t xml:space="preserve">به هفت روایت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الْحَدِّ الَّذِی فِیهِ یُؤْمَرُ الصِّبْیَانُ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کرده است</w:t>
      </w:r>
      <w:r>
        <w:rPr>
          <w:rFonts w:eastAsia="Amiri" w:cs="Amiri" w:ascii="Amiri" w:hAnsi="Amiri"/>
          <w:color w:val="111111"/>
          <w:sz w:val="28"/>
          <w:szCs w:val="28"/>
          <w:rtl w:val="true"/>
          <w:lang w:bidi="ar-SA"/>
        </w:rPr>
        <w:t>.</w:t>
      </w:r>
      <w:r>
        <w:rPr>
          <w:rStyle w:val="FootnoteAnchor"/>
          <w:rtl w:val="true"/>
        </w:rPr>
        <w:footnoteReference w:id="362"/>
      </w:r>
    </w:p>
    <w:p>
      <w:pPr>
        <w:pStyle w:val="Heading4"/>
        <w:numPr>
          <w:ilvl w:val="3"/>
          <w:numId w:val="1"/>
        </w:numPr>
        <w:rPr/>
      </w:pPr>
      <w:bookmarkStart w:id="532" w:name="__RefHeading___Toc15165445_1280447820"/>
      <w:bookmarkStart w:id="533" w:name="_Toc198"/>
      <w:bookmarkEnd w:id="532"/>
      <w:r>
        <w:rPr>
          <w:rtl w:val="true"/>
        </w:rPr>
        <w:t>گفتار چهارم</w:t>
      </w:r>
      <w:r>
        <w:rPr>
          <w:rtl w:val="true"/>
        </w:rPr>
        <w:t xml:space="preserve">: </w:t>
      </w:r>
      <w:r>
        <w:rPr>
          <w:rtl w:val="true"/>
        </w:rPr>
        <w:t>رجحان تمرین دادن کودک در خصوص نماز جماعت</w:t>
      </w:r>
      <w:bookmarkEnd w:id="533"/>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آنچه که در نهایه الاحکام مبنی بر وجوب آموزش نماز به کودکان بالاتر از هفت سال، بیان داشته در تذکره الفقهاء به وظیفه دیگری نیز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آوردن کودکان به صفوف نماز جماعت را وظیفه دیگری دانسته که بر عهده والدین سنگینی می کند و ثمره آن تمرین و عادت شدن عبادت در زندگی کودکان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الطفل سبع سنین کان علي أبیه أن یعلّمه الطهارة و الصلاة و یعلّمه الجماعة و حضورها لیعتادها؛ لأنّ هذا السنّ یحصل فیه التمیز من الصبیّ في العبادة، و إذا بلغ عشر سنین ضرب علیها و إن کانت غیر واجبة؛ لاشتماله علي اللطف؛ و هو الاعتیاد و التمرّن</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مستند این فتوا، همان آیات و روایات پیشین است که کلّیت رجحان تمرین و آموزش کودکان به نماز را در پی دارد و از سوی دیگر بر مصادیق بارز عبادت تاکید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آوردن کودکان به صفوف نماز جماعت نیز مصداق بارز و تمام عیار این مساله خواهد بود که گریزی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ممکن است گفته شود که در این جا سخنی از مسجد نیامده و تنها حضور در صفوف جماعت را مطرح کرده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که اولا حضور در مسجد نیز یکی از احکام عبادی است که در ذیل رجحان مذکور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خاستگاه نماز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مسجد است و به طور عادّی آنچه که از این گونه عبادی به ذهن هر انسان متشرعی متبادر می شود، برگزاری نماز جماعت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نگوییم که لفظ نماز جماعت، انصراف به برگزاری آن در مسجد دارد، حداقل باید گفت یکی از مهمترین مصادیق آن خواهد بود</w:t>
      </w:r>
      <w:r>
        <w:rPr>
          <w:rFonts w:eastAsia="IRNazanin" w:cs="IRNazanin"/>
          <w:color w:val="111111"/>
          <w:sz w:val="28"/>
          <w:szCs w:val="28"/>
          <w:rtl w:val="true"/>
          <w:lang w:bidi="fa-IR"/>
        </w:rPr>
        <w:t xml:space="preserve">. </w:t>
      </w:r>
      <w:bookmarkStart w:id="534" w:name="pg19111_195135"/>
    </w:p>
    <w:p>
      <w:pPr>
        <w:pStyle w:val="Heading3"/>
        <w:numPr>
          <w:ilvl w:val="2"/>
          <w:numId w:val="1"/>
        </w:numPr>
        <w:rPr/>
      </w:pPr>
      <w:bookmarkStart w:id="535" w:name="__RefHeading___Toc15165447_1280447820"/>
      <w:bookmarkStart w:id="536" w:name="_Toc199"/>
      <w:bookmarkEnd w:id="534"/>
      <w:bookmarkEnd w:id="535"/>
      <w:r>
        <w:rPr>
          <w:rtl w:val="true"/>
        </w:rPr>
        <w:t>فصل دوم</w:t>
      </w:r>
      <w:r>
        <w:rPr>
          <w:rtl w:val="true"/>
        </w:rPr>
        <w:t xml:space="preserve">: </w:t>
      </w:r>
      <w:r>
        <w:rPr>
          <w:rtl w:val="true"/>
        </w:rPr>
        <w:t>رجحان آموزش قرآن و دیگر معارف دینی به کودکان در مسجد</w:t>
      </w:r>
      <w:bookmarkEnd w:id="536"/>
    </w:p>
    <w:p>
      <w:pPr>
        <w:pStyle w:val="Heading4"/>
        <w:numPr>
          <w:ilvl w:val="3"/>
          <w:numId w:val="1"/>
        </w:numPr>
        <w:rPr/>
      </w:pPr>
      <w:bookmarkStart w:id="537" w:name="__RefHeading___Toc15165449_1280447820"/>
      <w:bookmarkStart w:id="538" w:name="_Toc200"/>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در میان دلایلی که برای رجحان آوردن کودکان به مسجد بیان شده به مساله آموزش قرآن و دیگر معارف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تعلیقه خود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یزدی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لا یؤمن من تلویثهم و لعبهم و أذیّة المصلّین، و إلّا فیستحبّ تمرینهم علي إتیانها أو تعلیمهم القرآن و العلوم فیها</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آیت الله مکارم نیز در تعلیقه خود بر کتاب عروه الوثقی،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الّذین یخاف من تلویثهم له أو ینافي تمکینهم لوضع المسجد و احترامه و المصلّین؛ و أمّا من ارید بهم تعلیم معالم الإسلام و التمرین الغیر المزاحمین، فلا ریب في استحبابه، </w:t>
      </w:r>
      <w:r>
        <w:rPr>
          <w:rFonts w:eastAsia="IRNazanin" w:cs="IRNazanin"/>
          <w:color w:val="111111"/>
          <w:sz w:val="28"/>
          <w:szCs w:val="28"/>
          <w:rtl w:val="true"/>
          <w:lang w:bidi="fa-IR"/>
        </w:rPr>
        <w:t>...</w:t>
      </w:r>
      <w:r>
        <w:rPr>
          <w:rStyle w:val="FootnoteAnchor"/>
          <w:rtl w:val="true"/>
        </w:rPr>
        <w:footnoteReference w:id="365"/>
      </w:r>
    </w:p>
    <w:p>
      <w:pPr>
        <w:pStyle w:val="Heading4"/>
        <w:numPr>
          <w:ilvl w:val="3"/>
          <w:numId w:val="1"/>
        </w:numPr>
        <w:rPr/>
      </w:pPr>
      <w:bookmarkStart w:id="539" w:name="__RefHeading___Toc15165451_1280447820"/>
      <w:bookmarkStart w:id="540" w:name="_Toc201"/>
      <w:bookmarkEnd w:id="539"/>
      <w:r>
        <w:rPr>
          <w:rtl w:val="true"/>
        </w:rPr>
        <w:t>مستند این دلیل</w:t>
      </w:r>
      <w:bookmarkEnd w:id="540"/>
    </w:p>
    <w:p>
      <w:pPr>
        <w:pStyle w:val="BookText"/>
        <w:rPr/>
      </w:pPr>
      <w:r>
        <w:rPr>
          <w:rFonts w:ascii="IRNazanin" w:hAnsi="IRNazanin" w:eastAsia="IRNazanin"/>
          <w:color w:val="111111"/>
          <w:sz w:val="28"/>
          <w:sz w:val="28"/>
          <w:szCs w:val="28"/>
          <w:rtl w:val="true"/>
          <w:lang w:bidi="fa-IR"/>
        </w:rPr>
        <w:t>مستند این مطلب، افزون بر آیات و روایاتی که در فصل پیش به آنها اشاره شد، روایات دیگری است که گویای رجحان آموزش قرآن و دیگر مسائل دینی به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که به حقوق فرزندان اشاره شده، وظیفه آموزش قرآن و معارف دینی را بر عهده والدین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 علیه السلام می فرماید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الْوَلَدِ عَلَي الْوَالِدِ أَنْ یُحَسِّنَ اسْمَهُ وَ یُحَسِّنَ أَدَبَهُ وَ یُعَلِّمَهُ الْقُرْآن</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حق فرزند بر پدر این است که نامش را نیکو قرار دهد و او را خوب ادب کند و به او قرآن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امیر المومنین علی علیه السلام در وصیت خود به فرزندش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أَبْتَدِئَکَ بِتَعْلِیمِ کِتَابِ اللَّهِ عَزَّ وَ جَلَّ وَ تَأْوِیلِهِ وَ شَرَائِعِ الْإِسْلَامِ وَ أَحْکَامِهِ وَ حَلَالِهِ وَ حَرَامِهِ لَا أُجَاوِزُ ذَلِکَ بِکَ إِلَي غَیْرِهِ </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مصمم شدم که نخست کتاب خدا را به تو بیاموزم و از تأویل آن آگاهت سازم و بیش از پیش به آیین اسلام آشنایت گردانم تا احکام حلال و حرام آن را فراگیرى و از این امور به دیگر چیزها نپرداختم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امیر مومنان علی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تَعَالَي لَیُرِیدُ عَذَابَ أَهْلِ الْأَرْضِ جَمِیعاً حَتَّي لَا یُحَاشِیَ مِنْهُمْ أَحَداً فَإِذَا نَظَرَ إِلَي الشِّیبِ نَاقِلِي أَقْدَامِهِمْ إِلَي الصَّلَوَاتِ وَ الْوِلْدَانِ یَتَعَلَّمُونَ الْقُرْآنَ رَحِمَهُمُ اللَّهُ فَأَخَّرَ ذَلِکَ عَنْهُمْ</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همانا بسیار پیش می آید که خداوند تبارک و تعالى اراده می کند همه مردم زمین را عذاب کند به گونه ای که هیچ کس را از آن میانه فرو مگذارد، امّا چون سالخوردگان را که براى نماز و عبادت به سوى مسجد گام برمی دارند و نیز کودکان و نوباوگان را که قرآن مى آموزند، بنگرد به برکت ایشان بر همگان رحم کند و آن عذاب را به تأخیر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نیز نقل شده که آن حضرت به برخی از کودکان نگاه کرد و سپس 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وَیْلٌ لِأَوْلَادِ آخِرِ الزَّمَانِ مِنْ آبَائِهِمْ فَقِیلَ یَا رَسُولَ اللَّهِ مِنْ آبَائِهِمُ الْمُشْرِکِینَ فَقَالَ لَا مِنْ آبَائِهِمُ الْمُؤْمِنِینَ لَا یُعَلِّمُونَهُمْ شَیْئاً مِنَ الْفَرَائِضِ وَ إِذَا تَعَلَّمُوا أَوْلَادُهُمْ مَنَعُوهُمْ وَ رَضُوا عَنْهُمْ بِعَرَضٍ یَسِیرٍ مِنَ </w:t>
      </w:r>
      <w:bookmarkStart w:id="541" w:name="pg19111_195137"/>
    </w:p>
    <w:p>
      <w:pPr>
        <w:pStyle w:val="BookText"/>
        <w:rPr/>
      </w:pPr>
      <w:bookmarkEnd w:id="541"/>
      <w:r>
        <w:rPr>
          <w:rFonts w:ascii="Amiri" w:hAnsi="Amiri" w:eastAsia="Amiri" w:cs="Amiri"/>
          <w:color w:val="111111"/>
          <w:sz w:val="28"/>
          <w:sz w:val="28"/>
          <w:szCs w:val="28"/>
          <w:rtl w:val="true"/>
          <w:lang w:bidi="ar-SA"/>
        </w:rPr>
        <w:t>الدُّنْیَا فَأَنَا مِنْهُمْ بَرِی‌ءٌ وَ هُمْ مِنِّي بِرَاء</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وای به حال فرزندان آخر الزمان از جانب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پدرانشان که مشرک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آنها که مومن هستند اما چیزی از واجبات را به آنها نمی آموزند و هر گاه فرزندانشان به سوی یادگیری واجباتشان می روند آنها را بازمی دارند و برای فرزندانشان تنها به مسائل زودگذر و راحت دنیا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چنین پدرانی بیزارم و آنها نیز از من بیزار خواهند بود</w:t>
      </w:r>
      <w:r>
        <w:rPr>
          <w:rFonts w:eastAsia="IRNazanin" w:cs="IRNazanin"/>
          <w:color w:val="111111"/>
          <w:sz w:val="28"/>
          <w:szCs w:val="28"/>
          <w:rtl w:val="true"/>
          <w:lang w:bidi="fa-IR"/>
        </w:rPr>
        <w:t>.</w:t>
      </w:r>
    </w:p>
    <w:p>
      <w:pPr>
        <w:pStyle w:val="Heading4"/>
        <w:numPr>
          <w:ilvl w:val="3"/>
          <w:numId w:val="1"/>
        </w:numPr>
        <w:rPr/>
      </w:pPr>
      <w:bookmarkStart w:id="542" w:name="__RefHeading___Toc15165453_1280447820"/>
      <w:bookmarkStart w:id="543" w:name="_Toc202"/>
      <w:bookmarkEnd w:id="542"/>
      <w:r>
        <w:rPr>
          <w:rtl w:val="true"/>
        </w:rPr>
        <w:t>نحوه استدلال</w:t>
      </w:r>
      <w:bookmarkEnd w:id="543"/>
    </w:p>
    <w:p>
      <w:pPr>
        <w:pStyle w:val="BookText"/>
        <w:rPr/>
      </w:pPr>
      <w:r>
        <w:rPr>
          <w:rFonts w:ascii="IRNazanin" w:hAnsi="IRNazanin" w:eastAsia="IRNazanin"/>
          <w:color w:val="111111"/>
          <w:sz w:val="28"/>
          <w:sz w:val="28"/>
          <w:szCs w:val="28"/>
          <w:rtl w:val="true"/>
          <w:lang w:bidi="fa-IR"/>
        </w:rPr>
        <w:t>ظاهر این روایات بیانگر وجوب آموزش قرآن به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محقق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مهذب الاحکام، یادگیری قرآن را واجب و آموزش آن به دیگران را واجب کفایی دانسته و برای اثبات آن به اجماع فقها و همچنین روایات مرتبط با مساله،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این مباحث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یتأکّد تعلّمه بالنسبة إلي الولدان</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مرحوم خویی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على الأب تعلیم أولاده الأحکام الشرعیة، و الوظائف الدینیّة، من الواجبات و المحرّمات، و الله العالم</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بنابراین از یک سو آموزش قرآن و از سوی دیگر آموزش وظایف شرعی و معارف دینی به کودکان واجب و یا مستحب و دارای رجحان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به دو نحوه می توان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 روایات اهل بیت ع، بهترین مکانی که از سوی شارع برای آموزش قرآن قرار داده </w:t>
      </w:r>
      <w:bookmarkStart w:id="544" w:name="pg19111_195138"/>
    </w:p>
    <w:p>
      <w:pPr>
        <w:pStyle w:val="BookText"/>
        <w:rPr/>
      </w:pPr>
      <w:bookmarkEnd w:id="544"/>
      <w:r>
        <w:rPr>
          <w:rFonts w:ascii="IRNazanin" w:hAnsi="IRNazanin" w:eastAsia="IRNazanin"/>
          <w:color w:val="111111"/>
          <w:sz w:val="28"/>
          <w:sz w:val="28"/>
          <w:szCs w:val="28"/>
          <w:rtl w:val="true"/>
          <w:lang w:bidi="fa-IR"/>
        </w:rPr>
        <w:t>شده،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 بر فرمایش امام معصوم ع، مسجد برای قرآن آموزی و بهره مندی از آن تدارک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صحیح السند</w:t>
      </w:r>
      <w:r>
        <w:rPr>
          <w:rStyle w:val="FootnoteAnchor"/>
          <w:rtl w:val="true"/>
        </w:rPr>
        <w:footnoteReference w:id="372"/>
      </w:r>
      <w:r>
        <w:rPr>
          <w:rFonts w:ascii="IRNazanin" w:hAnsi="IRNazanin" w:eastAsia="IRNazanin"/>
          <w:color w:val="111111"/>
          <w:sz w:val="28"/>
          <w:sz w:val="28"/>
          <w:szCs w:val="28"/>
          <w:rtl w:val="true"/>
          <w:lang w:bidi="fa-IR"/>
        </w:rPr>
        <w:t>از امام سجاد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صلي الله علیه و آله وسلم مَنْ سَمِعْتُمُوهُ یُنْشِدُ الشِّعْرَ فِي الْمَسَاجِدِ فَقُولُوا فَضَّ اللَّهُ فَاکَ إِنَّمَا نُصِبَتِ الْمَسَاجِدُ لِلْقُرْآنِ</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پیامبر صلی الله علیه و اله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شنیدید در مساجد شعر می خواند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دهانت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مساجد تنها برای قرآن قرار داده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دوم این است که احکام مسجد و نماز جماعت نیز در میان وظایف شرعی،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آموزش آن به کودکان نیز همانند دیگر احکام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چنین نتیجه گرفت که آوردن کودکان ممیز به مسجد با هدف آموزش قرآن و معارف دینی، امری پسندیده و مستحب خواهد بود</w:t>
      </w:r>
      <w:r>
        <w:rPr>
          <w:rFonts w:eastAsia="IRNazanin" w:cs="IRNazanin"/>
          <w:color w:val="111111"/>
          <w:sz w:val="28"/>
          <w:szCs w:val="28"/>
          <w:rtl w:val="true"/>
          <w:lang w:bidi="fa-IR"/>
        </w:rPr>
        <w:t>.</w:t>
      </w:r>
    </w:p>
    <w:p>
      <w:pPr>
        <w:pStyle w:val="Heading4"/>
        <w:numPr>
          <w:ilvl w:val="3"/>
          <w:numId w:val="1"/>
        </w:numPr>
        <w:rPr/>
      </w:pPr>
      <w:bookmarkStart w:id="545" w:name="__RefHeading___Toc15165455_1280447820"/>
      <w:bookmarkStart w:id="546" w:name="_Toc203"/>
      <w:bookmarkEnd w:id="545"/>
      <w:r>
        <w:rPr>
          <w:rtl w:val="true"/>
        </w:rPr>
        <w:t>موید روایی</w:t>
      </w:r>
      <w:bookmarkEnd w:id="546"/>
    </w:p>
    <w:p>
      <w:pPr>
        <w:pStyle w:val="BookText"/>
        <w:rPr/>
      </w:pPr>
      <w:r>
        <w:rPr>
          <w:rFonts w:ascii="IRNazanin" w:hAnsi="IRNazanin" w:eastAsia="IRNazanin"/>
          <w:color w:val="111111"/>
          <w:sz w:val="28"/>
          <w:sz w:val="28"/>
          <w:szCs w:val="28"/>
          <w:rtl w:val="true"/>
          <w:lang w:bidi="fa-IR"/>
        </w:rPr>
        <w:t>ابن شهرآشوب در المنقاب چنین نقل کرده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الْحَسَنَ بْنَ عَلِیٍّ علیه السلام کَانَ یَحْضُرُ مَجْلِسَ رَسُولِ اللَّهِ صلي الله علیه و آله وسلم وَ هُوَ ابْنُ سَبْعِ سِنِینَ فَیَسْمَعُ الْوَحْیَ فَیَحْفَظُهُ فَیَأْتِي أُمَّهُ فَیُلْقِي إِلَیْهَا مَا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دَخَلَ عَلِیٌّ علیه السلام وَجَدَ عِنْدَهَا عِلْماً بِالتَّنْزِیلِ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فَیَسْأَلُهَا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مِنْ وَلَدِکَ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فَتَخَفَّي یَوْماً فِي الدَّارِ وَ قَدْ دَخَلَ الْحَسَنُ وَ قَدْ سَمِعَ الْوَحْیَ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یُلْقِیَهُ إِلَیْهَا فَأُرْتِجَ عَلَیْهِ فَعَجِبَتْ أُمُّهُ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تَعْجَبِینَ یَا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کَبِیراً یَسْمَعُنِي فَاسْتِمَاعُهُ </w:t>
      </w:r>
    </w:p>
    <w:p>
      <w:pPr>
        <w:pStyle w:val="BookText"/>
        <w:rPr/>
      </w:pPr>
      <w:r>
        <w:rPr>
          <w:rFonts w:ascii="Amiri" w:hAnsi="Amiri" w:eastAsia="Amiri" w:cs="Amiri"/>
          <w:color w:val="111111"/>
          <w:sz w:val="28"/>
          <w:sz w:val="28"/>
          <w:szCs w:val="28"/>
          <w:rtl w:val="true"/>
          <w:lang w:bidi="ar-SA"/>
        </w:rPr>
        <w:t>قَدْ أَوْقَفَنِی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عَلِیٌّ علیه السلام فَقَبَّلَهُ</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امام حسن علیه السلام در سن هفت سالگى در مجلس پیامبر صلی الله علیه و اله حاضر می شد و وحى را می شنید و حفظ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مادرش مى آمد و آنچه را که حفظ کرده بود، شرح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امیر المؤمنین على علیه السلام نزد حضرت فاطمه علیها السلام می آمد، بخشی از علم وحی را از نزد بانو می یافت و از او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مورد از حضرت زهرا علیها السلام سوال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حسن برایم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حضرت امیر علیه السّلام در خانه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مادرش فاطمه آمد، تا آنچه را که از وحى شنیده بود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نتوانست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این منظره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شخص بزرگوارى به سخن من گوش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وى مرا از سخن گفتن متوقف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امیر بیرون آمد و امام حسن را بوسید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سند این روایت می توان چنین نتیجه گرفت که فاطمه زهرا س، کودک خود را که در سن تمییز قرار داشته است، به مسجد می فرستد تا فرمایشات پیامبر صلی الله علیه و اله را بشنود و در نهایت برای مادر خود بازگو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جهت ضعف سند این روایت، می توان از آن به عنوان مؤید استفاده کرد</w:t>
      </w:r>
      <w:r>
        <w:rPr>
          <w:rFonts w:eastAsia="IRNazanin" w:cs="IRNazanin"/>
          <w:color w:val="111111"/>
          <w:sz w:val="28"/>
          <w:szCs w:val="28"/>
          <w:rtl w:val="true"/>
          <w:lang w:bidi="fa-IR"/>
        </w:rPr>
        <w:t xml:space="preserve">. </w:t>
      </w:r>
      <w:bookmarkStart w:id="547" w:name="pg19111_195140"/>
    </w:p>
    <w:p>
      <w:pPr>
        <w:pStyle w:val="Heading3"/>
        <w:numPr>
          <w:ilvl w:val="2"/>
          <w:numId w:val="1"/>
        </w:numPr>
        <w:rPr/>
      </w:pPr>
      <w:bookmarkStart w:id="548" w:name="__RefHeading___Toc15165457_1280447820"/>
      <w:bookmarkStart w:id="549" w:name="_Toc204"/>
      <w:bookmarkEnd w:id="547"/>
      <w:bookmarkEnd w:id="548"/>
      <w:r>
        <w:rPr>
          <w:rtl w:val="true"/>
        </w:rPr>
        <w:t>فصل سوم</w:t>
      </w:r>
      <w:r>
        <w:rPr>
          <w:rtl w:val="true"/>
        </w:rPr>
        <w:t xml:space="preserve">: </w:t>
      </w:r>
      <w:r>
        <w:rPr>
          <w:rtl w:val="true"/>
        </w:rPr>
        <w:t>ایجاد انگیزه و علاقه مندی کودکان به نماز</w:t>
      </w:r>
      <w:bookmarkEnd w:id="549"/>
    </w:p>
    <w:p>
      <w:pPr>
        <w:pStyle w:val="BookText"/>
        <w:rPr/>
      </w:pPr>
      <w:r>
        <w:rPr>
          <w:rFonts w:ascii="IRNazanin" w:hAnsi="IRNazanin" w:eastAsia="IRNazanin"/>
          <w:color w:val="111111"/>
          <w:sz w:val="28"/>
          <w:sz w:val="28"/>
          <w:szCs w:val="28"/>
          <w:rtl w:val="true"/>
          <w:lang w:bidi="fa-IR"/>
        </w:rPr>
        <w:t>یکی دیگر از استدلالهایی که برای رجحان آوردن کودکان به مسجد مطرح گردیده، ایجاد انگیزه عبادی در کودک و علاقه مندی او به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روایات و فتاوای پیشین که تعلیم و تمرین نماز را به کودکان واجب و یا دارای رجحان برمی شمرد، باید گفت که ابزار دستیابی به این مساله نیز ارزش خاص خود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که در محدوده مسائل دینی ما را به این هدف ارزشمند برساند، دارای رجحان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نظریه باید گفت که رفت و آمد کودکان به مسجد و حضور آنان در جمع عمومی مومنان انگیزه عبادت را در آنها بیشتر خواهد کرد و آنها را علاقه مند به مجموعه مسائل عبادی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لنکرانی چنین فتوی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دادن بچه و دیوانه به مسجد مکروه است ولى اگر آوردن بچه ها مزاحمتى ایجاد نکند و باعث علاقمندى آنان به نماز و مسجد شود، مستحب است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آیت الله مکارم چنین فتوی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دادن بچّه و دیوانه به مسجد مکروه است ولى در صورتى که آوردن بچّه ها تولید مزاحمتى نکند و آنها را به مسجد و نماز علاقه مند سازد، مستحبّ است و گاه واجب</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آیت الله سیستانی در این باره چنین فتوی داده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دادن دیوانه به مسجد مکروه است و همچنین است راه دادن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نابالغی که مراعات حرمت مسجد را نمی کند و موجب مزاحمت برای نمازگزاران می شود یا اینکه احتمال می رود مسجد را نجس کند و در غیر این حالات، راه دادن بچه به مسجد مانعی ندارد؛ بلکه گاهی، اولویت داشته و کار پسندیده ای است مثل موردی که آمدن بچه ها به مسجد باعث علاقه مندی آنان به نماز و مسجد می گردد</w:t>
      </w:r>
      <w:r>
        <w:rPr>
          <w:rFonts w:eastAsia="IRNazanin" w:cs="IRNazanin"/>
          <w:color w:val="111111"/>
          <w:sz w:val="28"/>
          <w:szCs w:val="28"/>
          <w:rtl w:val="true"/>
          <w:lang w:bidi="fa-IR"/>
        </w:rPr>
        <w:t>.</w:t>
      </w:r>
      <w:r>
        <w:rPr>
          <w:rStyle w:val="FootnoteAnchor"/>
          <w:rtl w:val="true"/>
        </w:rPr>
        <w:footnoteReference w:id="377"/>
      </w:r>
      <w:bookmarkStart w:id="550" w:name="pg19111_195142"/>
    </w:p>
    <w:p>
      <w:pPr>
        <w:pStyle w:val="Heading3"/>
        <w:numPr>
          <w:ilvl w:val="2"/>
          <w:numId w:val="1"/>
        </w:numPr>
        <w:rPr/>
      </w:pPr>
      <w:bookmarkStart w:id="551" w:name="__RefHeading___Toc15165459_1280447820"/>
      <w:bookmarkStart w:id="552" w:name="_Toc205"/>
      <w:bookmarkEnd w:id="550"/>
      <w:bookmarkEnd w:id="551"/>
      <w:r>
        <w:rPr>
          <w:rtl w:val="true"/>
        </w:rPr>
        <w:t>فصل چهارم</w:t>
      </w:r>
      <w:r>
        <w:rPr>
          <w:rtl w:val="true"/>
        </w:rPr>
        <w:t xml:space="preserve">: </w:t>
      </w:r>
      <w:r>
        <w:rPr>
          <w:rtl w:val="true"/>
        </w:rPr>
        <w:t>ملازمه صحت عبادت با استحباب عبادت در مسجد</w:t>
      </w:r>
      <w:bookmarkEnd w:id="552"/>
    </w:p>
    <w:p>
      <w:pPr>
        <w:pStyle w:val="Heading4"/>
        <w:numPr>
          <w:ilvl w:val="3"/>
          <w:numId w:val="1"/>
        </w:numPr>
        <w:rPr/>
      </w:pPr>
      <w:bookmarkStart w:id="553" w:name="__RefHeading___Toc15165461_1280447820"/>
      <w:bookmarkStart w:id="554" w:name="_Toc206"/>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یکی از مباحث مهم فقهی که پیرامون مسائل کودکان مطرح است، صحت و یا عدم صحت عبادات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فقهای شیعه معتقدند که عبادت کودکان صحیح و قابل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 از همین مساله استفاده کرده و استحباب آمدن کودکان به مسجد را ملازم با صحت و مشروعیت عبادت کودکان می دانند</w:t>
      </w:r>
      <w:r>
        <w:rPr>
          <w:rFonts w:eastAsia="IRNazanin" w:cs="IRNazanin"/>
          <w:color w:val="111111"/>
          <w:sz w:val="28"/>
          <w:szCs w:val="28"/>
          <w:rtl w:val="true"/>
          <w:lang w:bidi="fa-IR"/>
        </w:rPr>
        <w:t>.</w:t>
      </w:r>
    </w:p>
    <w:p>
      <w:pPr>
        <w:pStyle w:val="Heading4"/>
        <w:numPr>
          <w:ilvl w:val="3"/>
          <w:numId w:val="1"/>
        </w:numPr>
        <w:rPr/>
      </w:pPr>
      <w:bookmarkStart w:id="555" w:name="__RefHeading___Toc15165463_1280447820"/>
      <w:bookmarkStart w:id="556" w:name="_Toc207"/>
      <w:bookmarkEnd w:id="555"/>
      <w:r>
        <w:rPr>
          <w:rtl w:val="true"/>
        </w:rPr>
        <w:t>مشروعیت و یا صحت عبادات کودک</w:t>
      </w:r>
      <w:bookmarkEnd w:id="556"/>
    </w:p>
    <w:p>
      <w:pPr>
        <w:pStyle w:val="BookText"/>
        <w:rPr/>
      </w:pPr>
      <w:r>
        <w:rPr>
          <w:rFonts w:ascii="IRNazanin" w:hAnsi="IRNazanin" w:eastAsia="IRNazanin"/>
          <w:color w:val="111111"/>
          <w:sz w:val="28"/>
          <w:sz w:val="28"/>
          <w:szCs w:val="28"/>
          <w:rtl w:val="true"/>
          <w:lang w:bidi="fa-IR"/>
        </w:rPr>
        <w:t>در میان فقها اتفاق نظر وجود دارد که تکالیف الزام آور یعنی وجوب و حرمت، متوجه کودکان نمی باشد و کودکان حتی اگر ممیز هم باشند، شامل چنین احکامی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چنین حکمی این است که بلوغ شرط اساسی در تکلیف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این مساله را از ضروریات دین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في أکثرها أو جمیعها بل عن المنتهي و غیره الإجماع علي اشتراط البلوغ، بل لعله من ضروریات المذهب أو الدین کالعقل، فلا تجب علي غیر البالغ و المجنون المستمر جنونه إلي فواتها، نعم تصح من الممیز بناء علي الصحیح من شرعیة عباداته</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با این حال در مورد اینکه آیا احکام غیر الزامیه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استحباب یا کراهت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کودکان هم می شود،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اختلاف بر سر آن است که آیا عبادات کودکان مشروعیت دارد؟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مشرعیت عبادات کودک نیز استحباب آن عمل برای او است به گونه ای که انجام دادن چنین اعمالی را اطاعت از پروردگار به حساب آورده و آن را </w:t>
      </w:r>
    </w:p>
    <w:p>
      <w:pPr>
        <w:pStyle w:val="BookText"/>
        <w:rPr/>
      </w:pPr>
      <w:r>
        <w:rPr>
          <w:rFonts w:ascii="IRNazanin" w:hAnsi="IRNazanin" w:eastAsia="IRNazanin"/>
          <w:color w:val="111111"/>
          <w:sz w:val="28"/>
          <w:sz w:val="28"/>
          <w:szCs w:val="28"/>
          <w:rtl w:val="true"/>
          <w:lang w:bidi="fa-IR"/>
        </w:rPr>
        <w:t>مستحق ثواب و پاداش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است که چنین عبادتی صحیح شمرده شده و آثار دیگری نظیر صحت نیابت از دیگران در برخی از اعمال عبادی مثل حج معنا پیدا می کند و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مساله چهار قول وجود دارد</w:t>
      </w:r>
      <w:r>
        <w:rPr>
          <w:rStyle w:val="FootnoteAnchor"/>
          <w:rtl w:val="true"/>
        </w:rPr>
        <w:footnoteReference w:id="379"/>
      </w:r>
      <w:r>
        <w:rPr>
          <w:rFonts w:ascii="IRNazanin" w:hAnsi="IRNazanin" w:eastAsia="IRNazanin"/>
          <w:color w:val="111111"/>
          <w:sz w:val="28"/>
          <w:sz w:val="28"/>
          <w:szCs w:val="28"/>
          <w:rtl w:val="true"/>
          <w:lang w:bidi="fa-IR"/>
        </w:rPr>
        <w:t>که دیدگاه مشهور، مشروعیت عبادات کودک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مبسوط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الصبي إذا نوي صح ذلک منه و کان صوما شرعیا</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صلاته شرعیة معتد بها؟ المشهور ذلک</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محقق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شرائع الإسلام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نیة الصبی الممیز صحیحة و صومه شرعی</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یجب الصوم علي الصبي و إن أطاق، نعم یمرّن علیه لسبع، و یشدّد علیه لتسع، و یکون صوما شرعیّا بمعني استحقاق الثواب و دخوله في اسم الصائم</w:t>
      </w:r>
      <w:r>
        <w:rPr>
          <w:rFonts w:eastAsia="IRNazanin" w:cs="IRNazanin"/>
          <w:color w:val="111111"/>
          <w:sz w:val="28"/>
          <w:szCs w:val="28"/>
          <w:rtl w:val="true"/>
          <w:lang w:bidi="fa-IR"/>
        </w:rPr>
        <w:t>.</w:t>
      </w:r>
      <w:r>
        <w:rPr>
          <w:rStyle w:val="FootnoteAnchor"/>
          <w:rtl w:val="true"/>
        </w:rPr>
        <w:footnoteReference w:id="38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شهید نیز برخی دیگر از فقها به مشروعیت عبادت کودک ملتزم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محدث بحرانی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bookmarkStart w:id="557" w:name="pg19111_195144"/>
    </w:p>
    <w:p>
      <w:pPr>
        <w:pStyle w:val="BookText"/>
        <w:rPr/>
      </w:pPr>
      <w:bookmarkEnd w:id="557"/>
      <w:r>
        <w:rPr>
          <w:rFonts w:ascii="IRNazanin" w:hAnsi="IRNazanin" w:eastAsia="IRNazanin"/>
          <w:color w:val="111111"/>
          <w:sz w:val="28"/>
          <w:sz w:val="28"/>
          <w:szCs w:val="28"/>
          <w:rtl w:val="true"/>
          <w:lang w:bidi="fa-IR"/>
        </w:rPr>
        <w:t xml:space="preserve">المشهور بین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نیة الصبي الممیز صحیحة و صومه شرعي و کذا جملة عباداته شرعیة، بمعني انها مستندة الي أمر الشارع فیستحق علیها الثواب لا تمرینیة</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پس از آن نیز تا دوران معاصر، اکثر فقیهان ملتزم به این دیدگاه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هیچ یک از حاشیه نگاران عروه الوثقي بر کلام سید یزدی حاشیه ای ننگاشته و آن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یصحّ الصوم و سائر العبادات من الصبیّ الممیّز علي الأقوي من شرعیّة عباداته، و یستحبّ تمرینه علیها بل التشدید علیه لسبع من غیر فرق بین الذکر و الأنثي في ذلک کله</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بنابراین مشروعیت و صحت عبادت کودک، امری پذیرفته شده در میان فقهای متقدم و متاخر تا دوران کنونی است</w:t>
      </w:r>
      <w:r>
        <w:rPr>
          <w:rFonts w:eastAsia="IRNazanin" w:cs="IRNazanin"/>
          <w:color w:val="111111"/>
          <w:sz w:val="28"/>
          <w:szCs w:val="28"/>
          <w:rtl w:val="true"/>
          <w:lang w:bidi="fa-IR"/>
        </w:rPr>
        <w:t>.</w:t>
      </w:r>
    </w:p>
    <w:p>
      <w:pPr>
        <w:pStyle w:val="Heading4"/>
        <w:numPr>
          <w:ilvl w:val="3"/>
          <w:numId w:val="1"/>
        </w:numPr>
        <w:rPr/>
      </w:pPr>
      <w:bookmarkStart w:id="558" w:name="__RefHeading___Toc15165465_1280447820"/>
      <w:bookmarkStart w:id="559" w:name="_Toc208"/>
      <w:bookmarkEnd w:id="558"/>
      <w:r>
        <w:rPr>
          <w:rtl w:val="true"/>
        </w:rPr>
        <w:t>نحوه استدلال</w:t>
      </w:r>
      <w:bookmarkEnd w:id="559"/>
    </w:p>
    <w:p>
      <w:pPr>
        <w:pStyle w:val="BookText"/>
        <w:rPr/>
      </w:pPr>
      <w:r>
        <w:rPr>
          <w:rFonts w:ascii="IRNazanin" w:hAnsi="IRNazanin" w:eastAsia="IRNazanin"/>
          <w:color w:val="111111"/>
          <w:sz w:val="28"/>
          <w:sz w:val="28"/>
          <w:szCs w:val="28"/>
          <w:rtl w:val="true"/>
          <w:lang w:bidi="fa-IR"/>
        </w:rPr>
        <w:t>با توجه به آنچه گفته شد، مشهور فقها عبادت کودک را مشروع، قابل پذیرش و صحیح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گذشته از آنکه کودک اجازه دارد تمام اعمال عبادی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انجام دادن چنین اعمالی برای او مستحب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اگرچه نماز جماعت عبادت است، اما رفتن به مسجد و به جا آوردن نماز جماعت در این مکان مقدس، عبادتی مجزا به حساب می آید که حکم تکلیفی آن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فرض صحت عبادت کودکان، رفتن کودک به مسجد، عبادت به حساب آمده و مشمول رجحان و استحباب نیز خواهد 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استدلال از سوی آیت الله اشتهاردی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گردیده که استدلال </w:t>
      </w:r>
    </w:p>
    <w:p>
      <w:pPr>
        <w:pStyle w:val="BookText"/>
        <w:rPr/>
      </w:pPr>
      <w:r>
        <w:rPr>
          <w:rFonts w:ascii="IRNazanin" w:hAnsi="IRNazanin" w:eastAsia="IRNazanin"/>
          <w:color w:val="111111"/>
          <w:sz w:val="28"/>
          <w:sz w:val="28"/>
          <w:szCs w:val="28"/>
          <w:rtl w:val="true"/>
          <w:lang w:bidi="fa-IR"/>
        </w:rPr>
        <w:t>بسیار دقیق و به جا 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تمکین الصبیان و المجانین، تقدّم في أخبار کراهة البیع 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إلي ما فیه من التخفیف بعدم مراعاتهما لآداب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تقییده بما إذا لم یکن الصبیّ ممیّزا یصحّ منه العبادة و إلّا فلربّما یستحبّ تمرینهم لها و لصحّة عباداتهم الملازمة لتحقّق العبودیة المترتّبة علیها الثواب الذي لأجل تحصیله بنیت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التقیید دعوي الانصراف عن الممیّز، و اللّه العالم</w:t>
      </w:r>
      <w:r>
        <w:rPr>
          <w:rFonts w:eastAsia="IRNazanin" w:cs="IRNazanin"/>
          <w:color w:val="111111"/>
          <w:sz w:val="28"/>
          <w:szCs w:val="28"/>
          <w:rtl w:val="true"/>
          <w:lang w:bidi="fa-IR"/>
        </w:rPr>
        <w:t>.</w:t>
      </w:r>
      <w:r>
        <w:rPr>
          <w:rStyle w:val="FootnoteAnchor"/>
          <w:rtl w:val="true"/>
        </w:rPr>
        <w:footnoteReference w:id="386"/>
      </w:r>
      <w:bookmarkStart w:id="560" w:name="pg19111_195146"/>
    </w:p>
    <w:p>
      <w:pPr>
        <w:pStyle w:val="Heading3"/>
        <w:numPr>
          <w:ilvl w:val="2"/>
          <w:numId w:val="1"/>
        </w:numPr>
        <w:rPr/>
      </w:pPr>
      <w:bookmarkStart w:id="561" w:name="__RefHeading___Toc15165467_1280447820"/>
      <w:bookmarkStart w:id="562" w:name="_Toc209"/>
      <w:bookmarkEnd w:id="560"/>
      <w:bookmarkEnd w:id="561"/>
      <w:r>
        <w:rPr>
          <w:rtl w:val="true"/>
        </w:rPr>
        <w:t>فصل پنجم</w:t>
      </w:r>
      <w:r>
        <w:rPr>
          <w:rtl w:val="true"/>
        </w:rPr>
        <w:t xml:space="preserve">: </w:t>
      </w:r>
      <w:r>
        <w:rPr>
          <w:rtl w:val="true"/>
        </w:rPr>
        <w:t>دفع مفاسد احتمالی</w:t>
      </w:r>
      <w:bookmarkEnd w:id="562"/>
    </w:p>
    <w:p>
      <w:pPr>
        <w:pStyle w:val="Heading4"/>
        <w:numPr>
          <w:ilvl w:val="3"/>
          <w:numId w:val="1"/>
        </w:numPr>
        <w:rPr/>
      </w:pPr>
      <w:bookmarkStart w:id="563" w:name="__RefHeading___Toc15165469_1280447820"/>
      <w:bookmarkStart w:id="564" w:name="_Toc210"/>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بر اساس روایات اهل بیت ع، باید گفت که مسجد، مهمترین پایگاه مسلمانان و محیطی سرشار از معنویت و معرفت افزایی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مواجهه با هجمه های گوناگون فکری، اعتقادی، رفتاری و معنوی، پناهگاهی بهتر از مسجد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کنونی که این هجمه سهمگین بر تمامی اقشار مسلمان افزایش یافته، مکانی بهتر از مسجد برای کودکان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آوردن کودکان به مسجد به دلیل ایمن ماندن آنها از مفاسد احتمالی، امری پسندیده و مستحب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از سوی آیت الله مکارم شیرازی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تعلیقه خود بر کتاب عروه الوثقی،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یخاف من تلویثهم له أو ینافي تمکینهم لوضع المسجد و احترامه و المصلّین؛ و أمّا من ارید بهم تعلیم معالم الإسلام و التمرین الغیر المزاحمین، فلا ریب في استحبابه، و لا یصحّ منعهم و لا سیّما في هذه الأعصار الّتي غلب علي أهلها الفساد في العقیدة و العمل و لیس لهم ملجأ إلّا المساجد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به نظر می رسد این نحوه استدلال بر پایه احکام ثانویه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نظر گرفتن شرایط کنونی جامعه و فشارهای تبلیغاتی دشمن علیه کودکان و نوجوانان مسلمان، عنوانی جدید برای مساله ایجاد خواهد کرد که حکم را متناسب با شرایط تغییر خواهد داد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خود بر کتاب برادرش </w:t>
      </w:r>
      <w:bookmarkStart w:id="565" w:name="pg19111_195147"/>
    </w:p>
    <w:p>
      <w:pPr>
        <w:pStyle w:val="BookText"/>
        <w:rPr/>
      </w:pPr>
      <w:bookmarkEnd w:id="565"/>
      <w:r>
        <w:rPr>
          <w:rFonts w:ascii="IRNazanin" w:hAnsi="IRNazanin" w:eastAsia="IRNazanin"/>
          <w:color w:val="111111"/>
          <w:sz w:val="28"/>
          <w:sz w:val="28"/>
          <w:szCs w:val="28"/>
          <w:rtl w:val="true"/>
          <w:lang w:bidi="fa-IR"/>
        </w:rPr>
        <w:t xml:space="preserve">شیخ احمد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نکته بسیار ظریفی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قضاوت امیر المومنین علیه السلام در مسجد کوفه نتیجه می گیرد که احکام مطرح شده در تمامی فقرات روایات ناهیه در زمان های گوناگون، تغییر خواهد کرد و گاهی ممکن است دقیقا عکس دوران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أمیر المؤمنین علیه السلام کان یقضي في مسجد الکوفة کما یشهد له دکة القضاء المعروفة و من ذلک یتضح أن هذه المکروهات تختلف باختلاف الأزمان و الأحوال فقد ینعکس الحکم و یصیر الراجح مرجوحا و المرجوح راجحا و تشخیص ذلک إلي الفقیه العمیق الفکر الواسع النظر البعید الغور</w:t>
      </w:r>
      <w:r>
        <w:rPr>
          <w:rFonts w:eastAsia="IRNazanin" w:cs="IRNazanin"/>
          <w:color w:val="111111"/>
          <w:sz w:val="28"/>
          <w:szCs w:val="28"/>
          <w:rtl w:val="true"/>
          <w:lang w:bidi="fa-IR"/>
        </w:rPr>
        <w:t>.</w:t>
      </w:r>
      <w:r>
        <w:rPr>
          <w:rStyle w:val="FootnoteAnchor"/>
          <w:rtl w:val="true"/>
        </w:rPr>
        <w:footnoteReference w:id="388"/>
      </w:r>
    </w:p>
    <w:p>
      <w:pPr>
        <w:pStyle w:val="Heading4"/>
        <w:numPr>
          <w:ilvl w:val="3"/>
          <w:numId w:val="1"/>
        </w:numPr>
        <w:rPr/>
      </w:pPr>
      <w:bookmarkStart w:id="566" w:name="__RefHeading___Toc15165471_1280447820"/>
      <w:bookmarkStart w:id="567" w:name="_Toc211"/>
      <w:bookmarkEnd w:id="566"/>
      <w:r>
        <w:rPr>
          <w:rtl w:val="true"/>
        </w:rPr>
        <w:t>سخنی پیرامون احکام ثانویه</w:t>
      </w:r>
      <w:bookmarkEnd w:id="567"/>
    </w:p>
    <w:p>
      <w:pPr>
        <w:pStyle w:val="BookText"/>
        <w:rPr/>
      </w:pPr>
      <w:r>
        <w:rPr>
          <w:rFonts w:ascii="IRNazanin" w:hAnsi="IRNazanin" w:eastAsia="IRNazanin"/>
          <w:color w:val="111111"/>
          <w:sz w:val="28"/>
          <w:sz w:val="28"/>
          <w:szCs w:val="28"/>
          <w:rtl w:val="true"/>
          <w:lang w:bidi="fa-IR"/>
        </w:rPr>
        <w:t>افزون بر احکام اولیه، مانند وجوب نماز و حرمت نوشیدن شراب که در شرع مقدس به لحاظ عناوین اولیه و شرایط عادی وضع گردیده اند، برای موقعیت های ویژه، احکام ثانویه جعل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با وصف اضطرار، اکراه، ضرر و دیگر عناوین عارضی و ثانوی بر موضوع بار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جواز افطار در ماه رمضان برای کسی که روزه برایش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نامگذاری چنین حکمی به حکم ثانوی این است که در طول حکم اولی قرار دارد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به بیان دیگر، احکام شرع بر اساس مصلحت و دفع ضرر و مفسده از بندگان،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هر دلیلی در صورت عدم امکان عمل به احکام اولیه، شارع مقدس حکم دیگری را برای بندگان مقرر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و ضابطه جعل حکم واقعی ثانوی، ناتوانی عمل به حکم واقعی اولی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منشأ این ناتوانی متفاوت </w:t>
      </w:r>
      <w:bookmarkStart w:id="568" w:name="pg19111_195148"/>
    </w:p>
    <w:p>
      <w:pPr>
        <w:pStyle w:val="BookText"/>
        <w:rPr/>
      </w:pPr>
      <w:bookmarkEnd w:id="56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ناشی از روابط اجتماعی است، مانند تحدید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ناشی از مسائل سیاسی حاکم بر جامعه، مانند تحریم تنباکو و گاهی از روابط اقتصادی ریشه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وجوب قیمت گذاری اجناس از طرف مالک یا دولت و گاهی بسته به موقعیت زمانی و مکانی مکلف است، مانند موارد اضطرار و تقیه</w:t>
      </w:r>
      <w:r>
        <w:rPr>
          <w:rFonts w:eastAsia="IRNazanin" w:cs="IRNazanin"/>
          <w:color w:val="111111"/>
          <w:sz w:val="28"/>
          <w:szCs w:val="28"/>
          <w:rtl w:val="true"/>
          <w:lang w:bidi="fa-IR"/>
        </w:rPr>
        <w:t>.</w:t>
      </w:r>
      <w:r>
        <w:rPr>
          <w:rStyle w:val="FootnoteAnchor"/>
          <w:rtl w:val="true"/>
        </w:rPr>
        <w:footnoteReference w:id="390"/>
      </w:r>
    </w:p>
    <w:p>
      <w:pPr>
        <w:pStyle w:val="Heading4"/>
        <w:numPr>
          <w:ilvl w:val="3"/>
          <w:numId w:val="1"/>
        </w:numPr>
        <w:rPr/>
      </w:pPr>
      <w:bookmarkStart w:id="569" w:name="__RefHeading___Toc15165473_1280447820"/>
      <w:bookmarkStart w:id="570" w:name="_Toc212"/>
      <w:bookmarkEnd w:id="569"/>
      <w:r>
        <w:rPr>
          <w:rtl w:val="true"/>
        </w:rPr>
        <w:t>حکم ثانوی در مساله مذکور</w:t>
      </w:r>
      <w:bookmarkEnd w:id="570"/>
    </w:p>
    <w:p>
      <w:pPr>
        <w:pStyle w:val="BookText"/>
        <w:rPr/>
      </w:pPr>
      <w:r>
        <w:rPr>
          <w:rFonts w:ascii="IRNazanin" w:hAnsi="IRNazanin" w:eastAsia="IRNazanin"/>
          <w:color w:val="111111"/>
          <w:sz w:val="28"/>
          <w:sz w:val="28"/>
          <w:szCs w:val="28"/>
          <w:rtl w:val="true"/>
          <w:lang w:bidi="fa-IR"/>
        </w:rPr>
        <w:t>برخی از آیات و روایاتی که در فصل های پیشین مطرح گردید، گویای آن است که والدین، وظیفه سنگینی در قبال تربیت فرزندان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با توجه به شرایط دوران کنونی، عمل به این وظیفه سنگین بسیار دشوار و حساس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نیست که وضعیت حساس دنیای کنونی را کتمان کند و شرایط تربیت کودکان مسلمان را حساس و ظریف تر از گذشته نپندارد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نگاهی به جامعه کنونی نشان می دهد که هر روز بر دغدغه والدین نسبت به تربیت کودکانشان افزوده می شود و دلهره آینده ایمانی آنها در دل والدین، بیشتر از گذشته نمایان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هجمه شدید فرهنگی که بر روح و روان و دین مردم مسلمان و یکایک جوامع اسلامی وزیدن گرفته است، مأمن و مأوایی مستحکم می طلبد که بزرگ و کوچک را در برابر این جنگ ناجوانمردانه حفظ و نگهبانی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این جنگ تمام عیار، دشمن برای کودکانمان هم برنامه ای مجزا تدبیر کرده و در حال ربودن تفکر و اندیشه کودکان ما از آغازین روزهای زندگیشان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بمباران تبلیغات دشمن تنها بر قلب پیر و جوان ما نشانه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امروزه به راحتی </w:t>
      </w:r>
    </w:p>
    <w:p>
      <w:pPr>
        <w:pStyle w:val="BookText"/>
        <w:rPr/>
      </w:pPr>
      <w:r>
        <w:rPr>
          <w:rFonts w:ascii="IRNazanin" w:hAnsi="IRNazanin" w:eastAsia="IRNazanin"/>
          <w:color w:val="111111"/>
          <w:sz w:val="28"/>
          <w:sz w:val="28"/>
          <w:szCs w:val="28"/>
          <w:rtl w:val="true"/>
          <w:lang w:bidi="fa-IR"/>
        </w:rPr>
        <w:t>می توان نتایج بمباران تیرهای زهر آلود او را در کودکان و نوجوانان جامعه اسلامی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آنکه حکم اولی در مساله ورود کودکان به مسجد، کراهت و پرهیز از این کار باشد، توجه به خطرات در پیش روی کودکان مسلمان و امکان تسخیر اندیشه آنها توسط دشمنان اسلام، ما را به سوی حکمی ثانوی خواهد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شیرازی تنها به جهت اعطای امتیاز انحصار تنباکو به یک شرکت انگلیسی و به خاطر خطر مسلط شدن کفار و دشمنان بر اموال مسلمین، فتوای مشهور خود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باید گفت که آیا خطر تسلط و تسخیر دشمن بر فکر و اندیشه کودکانمان کمتر از وابستگی اقتصادی به کفار است و آیا دور اندیشی برای آینده ایمانی جامعه اسلامی کم ارزش تر از تدابیر اقتصادی و سیاسی است؟</w:t>
      </w:r>
    </w:p>
    <w:p>
      <w:pPr>
        <w:pStyle w:val="BookText"/>
        <w:rPr/>
      </w:pPr>
      <w:r>
        <w:rPr>
          <w:rFonts w:ascii="IRNazanin" w:hAnsi="IRNazanin" w:eastAsia="IRNazanin"/>
          <w:color w:val="111111"/>
          <w:sz w:val="28"/>
          <w:sz w:val="28"/>
          <w:szCs w:val="28"/>
          <w:rtl w:val="true"/>
          <w:lang w:bidi="fa-IR"/>
        </w:rPr>
        <w:t>بنابراین حتی اگر لزوم و یا استحباب آوردن کودکان به مسجد را از گزارشات سیره و دیگر روایات مطرح شده در آن باب، دریافت نکنیم، باید به تناسب شرایط کنونی به آن پایبند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بر فرض آنکه حکم اولی برای آوردن کودکان به مسجد، کراهت باشد، اما هجمه سنگین فرهنگی دشمن علیه کودکان و جوانان مسلمان در دوران کنونی، حکمی ثانویه ای ایجاد می کند که جز بردن کودکان به مسجد ما را به وظیفه دینیمان منتهی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نکنیم که تجربه پیروزی انقلاب شکوهمند اسلامی هم ضرورت تربیت ریشه ای جامعه را از دوران کودکی به ما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دریای خروشان انقلاب، بدون جوانان انقلابی که از رودخانه های مواج مساجد سر برآورده بودند، به هیچ وجه پدیدار نمی 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حتی اگر هجمه ناجوانمردانه دشمن به اندیشه کودکان مسلمان هم وجود خارجی نداشت، تدبیر عمومی برای تربیت نسل دین مدار ما را به سمت این حکم ثانویه می کشاند</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1" w:name="pg19111_195151"/>
      <w:bookmarkStart w:id="572" w:name="pg19111_195151"/>
      <w:bookmarkEnd w:id="572"/>
    </w:p>
    <w:p>
      <w:pPr>
        <w:pStyle w:val="Heading2"/>
        <w:numPr>
          <w:ilvl w:val="1"/>
          <w:numId w:val="1"/>
        </w:numPr>
        <w:rPr/>
      </w:pPr>
      <w:bookmarkStart w:id="573" w:name="pg19111_195151"/>
      <w:bookmarkStart w:id="574" w:name="__RefHeading___Toc15165475_1280447820"/>
      <w:bookmarkStart w:id="575" w:name="_Toc213"/>
      <w:bookmarkEnd w:id="573"/>
      <w:bookmarkEnd w:id="574"/>
      <w:r>
        <w:rPr>
          <w:rtl w:val="true"/>
        </w:rPr>
        <w:t>بخش ششم</w:t>
      </w:r>
      <w:r>
        <w:rPr>
          <w:rtl w:val="true"/>
        </w:rPr>
        <w:t xml:space="preserve">: </w:t>
      </w:r>
      <w:r>
        <w:rPr>
          <w:rtl w:val="true"/>
        </w:rPr>
        <w:t>راهکارهای برون رفت از کراهت احتمالی</w:t>
      </w:r>
      <w:bookmarkEnd w:id="57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6" w:name="__RefHeading___Toc15165477_1280447820"/>
      <w:bookmarkStart w:id="577" w:name="_Toc214"/>
      <w:bookmarkEnd w:id="576"/>
      <w:r>
        <w:rPr>
          <w:rtl w:val="true"/>
        </w:rPr>
        <w:t>اشاره</w:t>
      </w:r>
      <w:bookmarkEnd w:id="57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8" w:name="pg19111_195153"/>
      <w:bookmarkStart w:id="579" w:name="pg19111_195153"/>
      <w:bookmarkEnd w:id="579"/>
    </w:p>
    <w:p>
      <w:pPr>
        <w:pStyle w:val="BookText"/>
        <w:rPr/>
      </w:pPr>
      <w:bookmarkStart w:id="580" w:name="pg19111_195153"/>
      <w:bookmarkEnd w:id="580"/>
      <w:r>
        <w:rPr>
          <w:rFonts w:ascii="IRNazanin" w:hAnsi="IRNazanin" w:eastAsia="IRNazanin"/>
          <w:color w:val="111111"/>
          <w:sz w:val="28"/>
          <w:sz w:val="28"/>
          <w:szCs w:val="28"/>
          <w:rtl w:val="true"/>
          <w:lang w:bidi="fa-IR"/>
        </w:rPr>
        <w:t>بر اساس ملاک مطرح شده در روایات ناهیه، به برخی از ویژگی ها و مصادیق کودکان اختصاص یافته به روایات نهی،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آنکه وجه جمع میان روایات ناهیه و دیگر روایات، مطرح گردید، کراهت آوردن این دسته از کودکان نیز مورد پذیرش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می توان راه هایی برای برون رفت از کراهت موجود در این روایات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عملی پیامبر صلی الله علیه و اله در این زمینه نشان می دهد که آن حضرت به جای پاک کردن صورت مساله و نیاوردن کودکان به مسجد، همواره در جهت بر طرف نمودن مشکل و ارائه راه حل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باید دید که چه مشکلاتی سبب دستور اجتناب از آوردن کودکان به مسجد شده است تا در صورت امکان برای آن، راه چاره ای جُست و با حلّ آن معضل، راه را برای ورود کودک به مسجد هموار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برای برون رفت از حکم مساله می توان از قرار گرفتن در موضوع مساله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شد، با توجه به ملاک به دست آمده از روایات ناهیه، آوردن کودکانی به مسجد مکروه است که ورودشان به این محیط با کاربری اصلی این مکان مقدس یعنی روح عبادی آن، در تعارض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می توان تدابیری اندیشید که ورود کودک به مسجد به چنین تعارضی نیانجامد و رفت و آمد او به مسجد، روح عبادی آن را تحت الشعاع خود قرار ندهد</w:t>
      </w:r>
      <w:r>
        <w:rPr>
          <w:rFonts w:eastAsia="IRNazanin" w:cs="IRNazanin"/>
          <w:color w:val="111111"/>
          <w:sz w:val="28"/>
          <w:szCs w:val="28"/>
          <w:rtl w:val="true"/>
          <w:lang w:bidi="fa-IR"/>
        </w:rPr>
        <w:t>.</w:t>
      </w:r>
    </w:p>
    <w:p>
      <w:pPr>
        <w:pStyle w:val="Heading3"/>
        <w:numPr>
          <w:ilvl w:val="2"/>
          <w:numId w:val="1"/>
        </w:numPr>
        <w:rPr/>
      </w:pPr>
      <w:bookmarkStart w:id="581" w:name="__RefHeading___Toc15165479_1280447820"/>
      <w:bookmarkStart w:id="582" w:name="_Toc215"/>
      <w:bookmarkEnd w:id="581"/>
      <w:r>
        <w:rPr>
          <w:rtl w:val="true"/>
        </w:rPr>
        <w:t>گام اول</w:t>
      </w:r>
      <w:r>
        <w:rPr>
          <w:rtl w:val="true"/>
        </w:rPr>
        <w:t xml:space="preserve">: </w:t>
      </w:r>
      <w:r>
        <w:rPr>
          <w:rtl w:val="true"/>
        </w:rPr>
        <w:t>افزایش سعه صدر نمازگزاران در برخورد با کودکان در مسجد</w:t>
      </w:r>
      <w:bookmarkEnd w:id="58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ظاهر گزارشات سیره پیامبر صلی الله علیه و اله بر می آید که پیامبر صلی الله علیه و اله به عنوان امام جماعت و یا سخنران دائمی مسجد، بالا رفتن کودکان از دوش خود را در </w:t>
      </w:r>
      <w:bookmarkStart w:id="583" w:name="pg19111_195154"/>
    </w:p>
    <w:p>
      <w:pPr>
        <w:pStyle w:val="BookText"/>
        <w:rPr/>
      </w:pPr>
      <w:bookmarkEnd w:id="583"/>
      <w:r>
        <w:rPr>
          <w:rFonts w:ascii="IRNazanin" w:hAnsi="IRNazanin" w:eastAsia="IRNazanin"/>
          <w:color w:val="111111"/>
          <w:sz w:val="28"/>
          <w:sz w:val="28"/>
          <w:szCs w:val="28"/>
          <w:rtl w:val="true"/>
          <w:lang w:bidi="fa-IR"/>
        </w:rPr>
        <w:t>حین نماز و سخنرانی، مزاحمتی جدّی به حساب نمی آورده و نه تنها از آمدن کودک به مسجد پرهیز نمی کرده، بلکه با ادامه سخنرانی و نماز، چنین رفتارهایی را عادی انگاشته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هیچ کس متوقع نیست که در شرایط کنونی نیز مردم در مساجد چنین سعه صدری را به خرج دهند و همانند پیامبر صلی الله علیه و اله تا این اندازه با کودکان مدارا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این رفتار پیامبر صلی الله علیه و اله حاکی از آن است که نمازگزاران باید سعه صدر بیشتری داشته باشند و رفتارهای معمول و کودکانه بچه های مسجد را مزاحمتی جدّی به حساب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اگر این رفتارها از حدّ عادی گذشت باید به فکر راه چاره بود و تدبیری برای برون رفت از این معضل اندیشید</w:t>
      </w:r>
      <w:r>
        <w:rPr>
          <w:rFonts w:eastAsia="IRNazanin" w:cs="IRNazanin"/>
          <w:color w:val="111111"/>
          <w:sz w:val="28"/>
          <w:szCs w:val="28"/>
          <w:rtl w:val="true"/>
          <w:lang w:bidi="fa-IR"/>
        </w:rPr>
        <w:t>.</w:t>
      </w:r>
    </w:p>
    <w:p>
      <w:pPr>
        <w:pStyle w:val="Heading3"/>
        <w:numPr>
          <w:ilvl w:val="2"/>
          <w:numId w:val="1"/>
        </w:numPr>
        <w:rPr/>
      </w:pPr>
      <w:bookmarkStart w:id="584" w:name="__RefHeading___Toc15165481_1280447820"/>
      <w:bookmarkStart w:id="585" w:name="_Toc216"/>
      <w:bookmarkEnd w:id="584"/>
      <w:r>
        <w:rPr>
          <w:rtl w:val="true"/>
        </w:rPr>
        <w:t>گام دوم</w:t>
      </w:r>
      <w:r>
        <w:rPr>
          <w:rtl w:val="true"/>
        </w:rPr>
        <w:t xml:space="preserve">: </w:t>
      </w:r>
      <w:r>
        <w:rPr>
          <w:rtl w:val="true"/>
        </w:rPr>
        <w:t>فرهنگ سازی عمومی برای حضور کودکان در مسجد</w:t>
      </w:r>
      <w:bookmarkEnd w:id="585"/>
    </w:p>
    <w:p>
      <w:pPr>
        <w:pStyle w:val="BookText"/>
        <w:rPr/>
      </w:pPr>
      <w:r>
        <w:rPr>
          <w:rFonts w:ascii="IRNazanin" w:hAnsi="IRNazanin" w:eastAsia="IRNazanin"/>
          <w:color w:val="111111"/>
          <w:sz w:val="28"/>
          <w:sz w:val="28"/>
          <w:szCs w:val="28"/>
          <w:rtl w:val="true"/>
          <w:lang w:bidi="fa-IR"/>
        </w:rPr>
        <w:t>برخی از نمازگراران با مشاهده نونهالان در صفهای نماز جماعت به سرعت عکس العمل منفی نشان داده و با عصبانیت آنان را از اجتماع نمازگزاران کنار می زنند و یا متاسفانه گاهی کودکان را از مسجد بیرون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برخوردهای غلط که از سر ناآگاهی و جمود رخ می‌دهد، روحیه مذهبی کودکان را تضعیف می کند و آنان را نسبت به اعمال مذهبی و مراکز عبادی بی رغبت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حضور کودکان در مسجد پیش از هر چیز لازم است که نماز گزاران بزرگوار مسجد، پیرامون حضور کودکان در مسجد، توجیه شوند و فرهنگ مواجهه با کودکان را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وظیفه در گام اول با امام جماعت مسجد و در گام دوم با دیگر مسئولین فرهنگی مسجد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بستر سازی فرهنگی در اندیشه و فکر نمازگزاران، ذهنیت آنها را نسبت به این مساله آماده و همراه می کند و عموم مردم را برای رسیدن به تدابیر و راه های چاره ای که از پیش تعیین شده، همراه و هم نوا می سازد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برای رسیدن به یک </w:t>
      </w:r>
      <w:bookmarkStart w:id="586" w:name="pg19111_195155"/>
    </w:p>
    <w:p>
      <w:pPr>
        <w:pStyle w:val="BookText"/>
        <w:rPr/>
      </w:pPr>
      <w:bookmarkEnd w:id="586"/>
      <w:r>
        <w:rPr>
          <w:rFonts w:ascii="IRNazanin" w:hAnsi="IRNazanin" w:eastAsia="IRNazanin"/>
          <w:color w:val="111111"/>
          <w:sz w:val="28"/>
          <w:sz w:val="28"/>
          <w:szCs w:val="28"/>
          <w:rtl w:val="true"/>
          <w:lang w:bidi="fa-IR"/>
        </w:rPr>
        <w:t>حرکت ماندگار در مسجد، لازم است که از دستان پرتوان دیگر نمازگزاران نیز یاری طلبید و آنها را هم در این کار مبارک سهیم کرد</w:t>
      </w:r>
      <w:r>
        <w:rPr>
          <w:rFonts w:eastAsia="IRNazanin" w:cs="IRNazanin"/>
          <w:color w:val="111111"/>
          <w:sz w:val="28"/>
          <w:szCs w:val="28"/>
          <w:rtl w:val="true"/>
          <w:lang w:bidi="fa-IR"/>
        </w:rPr>
        <w:t>.</w:t>
      </w:r>
    </w:p>
    <w:p>
      <w:pPr>
        <w:pStyle w:val="Heading3"/>
        <w:numPr>
          <w:ilvl w:val="2"/>
          <w:numId w:val="1"/>
        </w:numPr>
        <w:rPr/>
      </w:pPr>
      <w:bookmarkStart w:id="587" w:name="__RefHeading___Toc15165483_1280447820"/>
      <w:bookmarkStart w:id="588" w:name="_Toc217"/>
      <w:bookmarkEnd w:id="587"/>
      <w:r>
        <w:rPr>
          <w:rtl w:val="true"/>
        </w:rPr>
        <w:t>گام سوم</w:t>
      </w:r>
      <w:r>
        <w:rPr>
          <w:rtl w:val="true"/>
        </w:rPr>
        <w:t xml:space="preserve">: </w:t>
      </w:r>
      <w:r>
        <w:rPr>
          <w:rtl w:val="true"/>
        </w:rPr>
        <w:t>پراکندگی کودکان در بین نماز گزاران در قالب مشارکت عمومی</w:t>
      </w:r>
      <w:bookmarkEnd w:id="588"/>
    </w:p>
    <w:p>
      <w:pPr>
        <w:pStyle w:val="BookText"/>
        <w:rPr/>
      </w:pPr>
      <w:r>
        <w:rPr>
          <w:rFonts w:ascii="IRNazanin" w:hAnsi="IRNazanin" w:eastAsia="IRNazanin"/>
          <w:color w:val="111111"/>
          <w:sz w:val="28"/>
          <w:sz w:val="28"/>
          <w:szCs w:val="28"/>
          <w:rtl w:val="true"/>
          <w:lang w:bidi="fa-IR"/>
        </w:rPr>
        <w:t>برخی از آموزه های دینی موید این نکته است که به جای پرهیز از ورود کودکان به مسجد باید به فکر راه چاره و بر طرف نمودن ملاک های مانعیت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الصِّبْیَانِ إِذَا صَفُّوا فِي الصَّلَاةِ الْمَکْتُوبَةِ قَالَ لَا تُؤَخِّرُوهُمْ عَنِ الصَّلَاةِ وَ فَرِّقُوا بَیْنَهُمْ</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در مورد کودکانی که در نماز واجب صف بسته اند،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بیرون نکنید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را در میان بزرگسالان پراکنده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راهکار می تواند نگرانی 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حریم عبادی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طرف کند و از بر هم خوردن فضای عبادی مسجد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کودکان معمولا خیلی زود با هم مرتبط می شوند و تشکیل اجتماعی غیر قابل کنترل می دهند که معمولا دردسر ساز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مدیریت یک به یک آنها توسط نماز گزاران می تواند تا حدود زیادی از این معضل، پیشگیری کند</w:t>
      </w:r>
      <w:r>
        <w:rPr>
          <w:rFonts w:eastAsia="IRNazanin" w:cs="IRNazanin"/>
          <w:color w:val="111111"/>
          <w:sz w:val="28"/>
          <w:szCs w:val="28"/>
          <w:rtl w:val="true"/>
          <w:lang w:bidi="fa-IR"/>
        </w:rPr>
        <w:t>.</w:t>
      </w:r>
    </w:p>
    <w:p>
      <w:pPr>
        <w:pStyle w:val="Heading3"/>
        <w:numPr>
          <w:ilvl w:val="2"/>
          <w:numId w:val="1"/>
        </w:numPr>
        <w:rPr/>
      </w:pPr>
      <w:bookmarkStart w:id="589" w:name="__RefHeading___Toc15165485_1280447820"/>
      <w:bookmarkStart w:id="590" w:name="_Toc218"/>
      <w:bookmarkEnd w:id="589"/>
      <w:r>
        <w:rPr>
          <w:rtl w:val="true"/>
        </w:rPr>
        <w:t>گام چهارم</w:t>
      </w:r>
      <w:r>
        <w:rPr>
          <w:rtl w:val="true"/>
        </w:rPr>
        <w:t xml:space="preserve">: </w:t>
      </w:r>
      <w:r>
        <w:rPr>
          <w:rtl w:val="true"/>
        </w:rPr>
        <w:t>مراقبت و مدیریت والدین از فرزندان</w:t>
      </w:r>
      <w:bookmarkEnd w:id="59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تدبیر مطرح شده از سوی امام باقر علیه السلام می توان گفت که اولین و مهمترین مجری این مساله باید خود والدین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ولیّ </w:t>
      </w:r>
      <w:bookmarkStart w:id="591" w:name="pg19111_195156"/>
    </w:p>
    <w:p>
      <w:pPr>
        <w:pStyle w:val="BookText"/>
        <w:rPr/>
      </w:pPr>
      <w:bookmarkEnd w:id="591"/>
      <w:r>
        <w:rPr>
          <w:rFonts w:ascii="IRNazanin" w:hAnsi="IRNazanin" w:eastAsia="IRNazanin"/>
          <w:color w:val="111111"/>
          <w:sz w:val="28"/>
          <w:sz w:val="28"/>
          <w:szCs w:val="28"/>
          <w:rtl w:val="true"/>
          <w:lang w:bidi="fa-IR"/>
        </w:rPr>
        <w:t>کودک نسبت به مدیریت او بر دیگران اولویت دارد و کودک معمولا از والدین خود حرف شنوی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همراهی کودکان با خویشاوندان و نزدیکان نیز راه چاره ای مشابه است که می توان از آن نیز در جهت آرامش حریم عبادی مسجد، بهره جست</w:t>
      </w:r>
      <w:r>
        <w:rPr>
          <w:rFonts w:eastAsia="IRNazanin" w:cs="IRNazanin"/>
          <w:color w:val="111111"/>
          <w:sz w:val="28"/>
          <w:szCs w:val="28"/>
          <w:rtl w:val="true"/>
          <w:lang w:bidi="fa-IR"/>
        </w:rPr>
        <w:t>.</w:t>
      </w:r>
    </w:p>
    <w:p>
      <w:pPr>
        <w:pStyle w:val="Heading3"/>
        <w:numPr>
          <w:ilvl w:val="2"/>
          <w:numId w:val="1"/>
        </w:numPr>
        <w:rPr/>
      </w:pPr>
      <w:bookmarkStart w:id="592" w:name="__RefHeading___Toc15165487_1280447820"/>
      <w:bookmarkStart w:id="593" w:name="_Toc219"/>
      <w:bookmarkEnd w:id="592"/>
      <w:r>
        <w:rPr>
          <w:rtl w:val="true"/>
        </w:rPr>
        <w:t>گام پنجم</w:t>
      </w:r>
      <w:r>
        <w:rPr>
          <w:rtl w:val="true"/>
        </w:rPr>
        <w:t xml:space="preserve">: </w:t>
      </w:r>
      <w:r>
        <w:rPr>
          <w:rtl w:val="true"/>
        </w:rPr>
        <w:t>قرار دادن مسئول نظم کودکان در مسجد</w:t>
      </w:r>
      <w:bookmarkEnd w:id="593"/>
    </w:p>
    <w:p>
      <w:pPr>
        <w:pStyle w:val="BookText"/>
        <w:rPr/>
      </w:pPr>
      <w:r>
        <w:rPr>
          <w:rFonts w:ascii="IRNazanin" w:hAnsi="IRNazanin" w:eastAsia="IRNazanin"/>
          <w:color w:val="111111"/>
          <w:sz w:val="28"/>
          <w:sz w:val="28"/>
          <w:szCs w:val="28"/>
          <w:rtl w:val="true"/>
          <w:lang w:bidi="fa-IR"/>
        </w:rPr>
        <w:t>یکی دیگر از کارهایی که به صورت مجزا باید انجام شود، قرار دادن مسئولی برای مراقبت و برقراری نظم کودکان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می توان فردی خوش سیما، خوش صحبت و خوش برخورد را مسئول نظم کودکان در مسجد قرار داد تا در صورت بروز مشکل، مدیریت کودکان را بر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اگر چه به ظاهر، کاری کوچک و پیش پا افتاده است اما در حقیقت می تواند گره از معضلی بزرگ یعنی عدم حضور کودکان در مسجد بگشاید</w:t>
      </w:r>
      <w:r>
        <w:rPr>
          <w:rFonts w:eastAsia="IRNazanin" w:cs="IRNazanin"/>
          <w:color w:val="111111"/>
          <w:sz w:val="28"/>
          <w:szCs w:val="28"/>
          <w:rtl w:val="true"/>
          <w:lang w:bidi="fa-IR"/>
        </w:rPr>
        <w:t>.</w:t>
      </w:r>
    </w:p>
    <w:p>
      <w:pPr>
        <w:pStyle w:val="Heading3"/>
        <w:numPr>
          <w:ilvl w:val="2"/>
          <w:numId w:val="1"/>
        </w:numPr>
        <w:rPr/>
      </w:pPr>
      <w:bookmarkStart w:id="594" w:name="__RefHeading___Toc15165489_1280447820"/>
      <w:bookmarkStart w:id="595" w:name="_Toc220"/>
      <w:bookmarkEnd w:id="594"/>
      <w:r>
        <w:rPr>
          <w:rtl w:val="true"/>
        </w:rPr>
        <w:t>گام ششم</w:t>
      </w:r>
      <w:r>
        <w:rPr>
          <w:rtl w:val="true"/>
        </w:rPr>
        <w:t xml:space="preserve">: </w:t>
      </w:r>
      <w:r>
        <w:rPr>
          <w:rtl w:val="true"/>
        </w:rPr>
        <w:t>مدیریت و آموزش کودکان در قالب فعالیت های فرهنگی</w:t>
      </w:r>
      <w:bookmarkEnd w:id="595"/>
    </w:p>
    <w:p>
      <w:pPr>
        <w:pStyle w:val="BookText"/>
        <w:rPr/>
      </w:pPr>
      <w:r>
        <w:rPr>
          <w:rFonts w:ascii="IRNazanin" w:hAnsi="IRNazanin" w:eastAsia="IRNazanin"/>
          <w:color w:val="111111"/>
          <w:sz w:val="28"/>
          <w:sz w:val="28"/>
          <w:szCs w:val="28"/>
          <w:rtl w:val="true"/>
          <w:lang w:bidi="fa-IR"/>
        </w:rPr>
        <w:t>اگر قرار باشد که خیل انبوه کودکان همانند رودخانه ای زلال و پرجنب و جوش به دریای معنویت مسجد سرازیر شود، برنامه ریزی و سازماندهی شایسته خواهد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بیش از دیگران تشنه آموختن هستند و خیلی زود آنچه را که می شنوند و می بینند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در آموزش و تربیت آنها روش ها و شیوه های مناسب و متناسب به کارگیری شود و جذابیت زبان و عمل و رفتار در آمیخته با سخن شایسته گردد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آموزش کودکان پیش از ورود آنها به مسجد به شکلی شایسته انجام گیرد و سازماندهی آنها نیز به صورت دسته هایی </w:t>
      </w:r>
      <w:bookmarkStart w:id="596" w:name="pg19111_195157"/>
    </w:p>
    <w:p>
      <w:pPr>
        <w:pStyle w:val="BookText"/>
        <w:rPr/>
      </w:pPr>
      <w:bookmarkEnd w:id="596"/>
      <w:r>
        <w:rPr>
          <w:rFonts w:ascii="IRNazanin" w:hAnsi="IRNazanin" w:eastAsia="IRNazanin"/>
          <w:color w:val="111111"/>
          <w:sz w:val="28"/>
          <w:sz w:val="28"/>
          <w:szCs w:val="28"/>
          <w:rtl w:val="true"/>
          <w:lang w:bidi="fa-IR"/>
        </w:rPr>
        <w:t>منظم و مرتبط با یکدیگر صورت پذیرد، هیچ اشکالی نخواهد داشت که کودکان به صورت دسته جمعی در کنار هم بنشینند و صف هایی مجزا را در مسجد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آنکه این کودکان، به سن تمییز رسیده باشند و از صفوف جماعت مراقبت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 علیه السلام شرط تشکیل صف نماز جماعت توسط کودک را همین مساله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البَختَری از امام صادق علیه السلام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 عَنْ یَمِینِ الرَّجُلِ فِي الصَّلَاةِ إِذَا ضَبَطَ الصَّفَّ جَمَاعَةٌ</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امیر 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مردی بایستد،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صف جماعت را مراقبت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نگهداری و مراقبتی است که همراه با هوشیاری باشد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بنابراین از واژه ضبط در این روایت فهمیده می شود که مراد از آن، کودک ممیز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علامه مجلسی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ضبط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ممیزا لا یلعب و لا یتقدم و لا یتأخر</w:t>
      </w:r>
      <w:r>
        <w:rPr>
          <w:rFonts w:eastAsia="IRNazanin" w:cs="IRNazanin"/>
          <w:color w:val="111111"/>
          <w:sz w:val="28"/>
          <w:szCs w:val="28"/>
          <w:rtl w:val="true"/>
          <w:lang w:bidi="fa-IR"/>
        </w:rPr>
        <w:t>.</w:t>
      </w:r>
      <w:r>
        <w:rPr>
          <w:rStyle w:val="FootnoteAnchor"/>
          <w:rtl w:val="true"/>
        </w:rPr>
        <w:footnoteReference w:id="394"/>
      </w:r>
    </w:p>
    <w:p>
      <w:pPr>
        <w:pStyle w:val="Heading3"/>
        <w:numPr>
          <w:ilvl w:val="2"/>
          <w:numId w:val="1"/>
        </w:numPr>
        <w:rPr/>
      </w:pPr>
      <w:bookmarkStart w:id="597" w:name="__RefHeading___Toc15165491_1280447820"/>
      <w:bookmarkStart w:id="598" w:name="_Toc221"/>
      <w:bookmarkEnd w:id="597"/>
      <w:r>
        <w:rPr>
          <w:rtl w:val="true"/>
        </w:rPr>
        <w:t>گام هفتم</w:t>
      </w:r>
      <w:r>
        <w:rPr>
          <w:rtl w:val="true"/>
        </w:rPr>
        <w:t xml:space="preserve">: </w:t>
      </w:r>
      <w:r>
        <w:rPr>
          <w:rtl w:val="true"/>
        </w:rPr>
        <w:t>مسئولیت سپاري به کودکان در مسجد</w:t>
      </w:r>
      <w:bookmarkEnd w:id="59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مساجد، فعالیت های گوناگون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برای سنین مختلف کودکان و نوجوانان دارند که همین مساله می تواند، در سازماندهی کودکان در محیط مسجد تاثیر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فعالیت های </w:t>
      </w:r>
      <w:bookmarkStart w:id="599" w:name="pg19111_195158"/>
    </w:p>
    <w:p>
      <w:pPr>
        <w:pStyle w:val="BookText"/>
        <w:rPr/>
      </w:pPr>
      <w:bookmarkEnd w:id="599"/>
      <w:r>
        <w:rPr>
          <w:rFonts w:ascii="IRNazanin" w:hAnsi="IRNazanin" w:eastAsia="IRNazanin"/>
          <w:color w:val="111111"/>
          <w:sz w:val="28"/>
          <w:sz w:val="28"/>
          <w:szCs w:val="28"/>
          <w:rtl w:val="true"/>
          <w:lang w:bidi="fa-IR"/>
        </w:rPr>
        <w:t>جانبی اگر به صورت صحیح انجام شود از کودک پر جنب و جوش، یک مسجدی فعال و متدیّن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می توان از طراوت و تلاش فوق العاده کودک استفاده کرد و برخی از کارهای مسجد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گذشته از آنکه به نوعی پشتیبانی فعالیت های عبادی مسجد خواهد بود، رشد و بالندگی کودک را به دنبال خواهد داشت و اعتماد به نفس او را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کار، آینده فعالیت های مسجد را در قالب تربیت مداوم نیروهای کارآمد و کادر سازی مستمر، تامین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سپاری به کودکان می تواند از کارهای بسیار معمولی همچون نظافت، تزئین، مراقبت از وسائل عمومی، کمک رسانی به بزرگ ترها، رساندن قرآن ها و ادعیه به دست نمازگزاران آغاز شود و به اذان و تکبیر گویی و قرآن خوانی و قرائت ادعیه و مرثیه سرایی و کارهایی شبیه به این،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روایتی صحیح السند از امام صادق علیه السلام نقل شده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أَنْ یُؤَذِّنَ الْغُلَامُ الَّذِي لَمْ یَحْتَلِمْ</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اذان گفتن پسر بچه ای که محتلم نشده، اشکال ندارد</w:t>
      </w:r>
      <w:r>
        <w:rPr>
          <w:rFonts w:eastAsia="IRNazanin" w:cs="IRNazanin"/>
          <w:color w:val="111111"/>
          <w:sz w:val="28"/>
          <w:szCs w:val="28"/>
          <w:rtl w:val="true"/>
          <w:lang w:bidi="fa-IR"/>
        </w:rPr>
        <w:t>.</w:t>
      </w:r>
    </w:p>
    <w:p>
      <w:pPr>
        <w:pStyle w:val="Heading3"/>
        <w:numPr>
          <w:ilvl w:val="2"/>
          <w:numId w:val="1"/>
        </w:numPr>
        <w:rPr/>
      </w:pPr>
      <w:bookmarkStart w:id="600" w:name="__RefHeading___Toc15165493_1280447820"/>
      <w:bookmarkStart w:id="601" w:name="_Toc222"/>
      <w:bookmarkEnd w:id="600"/>
      <w:r>
        <w:rPr>
          <w:rtl w:val="true"/>
        </w:rPr>
        <w:t>گام هشتم</w:t>
      </w:r>
      <w:r>
        <w:rPr>
          <w:rtl w:val="true"/>
        </w:rPr>
        <w:t xml:space="preserve">: </w:t>
      </w:r>
      <w:r>
        <w:rPr>
          <w:rtl w:val="true"/>
        </w:rPr>
        <w:t>فراهم آوردن محیط بازی در کنار مسجد برای کودکان کوچکتر</w:t>
      </w:r>
      <w:bookmarkEnd w:id="601"/>
    </w:p>
    <w:p>
      <w:pPr>
        <w:pStyle w:val="BookText"/>
        <w:rPr/>
      </w:pPr>
      <w:r>
        <w:rPr>
          <w:rFonts w:ascii="IRNazanin" w:hAnsi="IRNazanin" w:eastAsia="IRNazanin"/>
          <w:color w:val="111111"/>
          <w:sz w:val="28"/>
          <w:sz w:val="28"/>
          <w:szCs w:val="28"/>
          <w:rtl w:val="true"/>
          <w:lang w:bidi="fa-IR"/>
        </w:rPr>
        <w:t>برای عده ای از کودکان آن هم در سنینی خاص که در داخل مسجد راهکاری برای نگهداری آنها موجود نیست، می توان اتاقی مخصوص، فراهم کرد تا در آنجا به بازی و شادمانی خود مشغول باشند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نظر می رسد که این اتاق باید در نزدیک ترین مکان ممکن به صحن اصلی مسجد قرار داشته باشد تا هم والدین، نگران کودک خود نباشند و هم کودک، حسّ </w:t>
      </w:r>
      <w:bookmarkStart w:id="602" w:name="pg19111_195159"/>
    </w:p>
    <w:p>
      <w:pPr>
        <w:pStyle w:val="BookText"/>
        <w:rPr/>
      </w:pPr>
      <w:bookmarkEnd w:id="602"/>
      <w:r>
        <w:rPr>
          <w:rFonts w:ascii="IRNazanin" w:hAnsi="IRNazanin" w:eastAsia="IRNazanin"/>
          <w:color w:val="111111"/>
          <w:sz w:val="28"/>
          <w:sz w:val="28"/>
          <w:szCs w:val="28"/>
          <w:rtl w:val="true"/>
          <w:lang w:bidi="fa-IR"/>
        </w:rPr>
        <w:t>حضور در مسجد را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کار، صرف ساماندهی یک محیط بازی همانند هزاران محیط مشابه در خارج از مسجد نیست؛ بلکه هدف، بستر سازی و مهیا کردن کودک برای ورود به محیط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مراقب بود، فراهم آوردن چنین محیطی کودک را از محیط اصلی مسجد دور نکند و او را به بهانه بازی به طور دائم از عبادت دور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نتیجه گرفت که چنین مکانی باید برای کودکان غیر ممیز و کم سن و سال تر، باشد و اگر برای کودکان با سنین بالاتر هم برنامه ای تنظیم می شود، نباید در هنگامه نماز و مراسمات اصلی مسجد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کودکان بزرگتر می توان محیط را ساعتی پیش یا پس از نماز جماعت فراهم کرد و به همین بهانه آنها را با محیط عبادی و نظم مخصوص آن نیز آشنا ساخت</w:t>
      </w:r>
      <w:r>
        <w:rPr>
          <w:rFonts w:eastAsia="IRNazanin" w:cs="IRNazanin"/>
          <w:color w:val="111111"/>
          <w:sz w:val="28"/>
          <w:szCs w:val="28"/>
          <w:rtl w:val="true"/>
          <w:lang w:bidi="fa-IR"/>
        </w:rPr>
        <w:t>.</w:t>
      </w:r>
    </w:p>
    <w:p>
      <w:pPr>
        <w:pStyle w:val="Heading3"/>
        <w:numPr>
          <w:ilvl w:val="2"/>
          <w:numId w:val="1"/>
        </w:numPr>
        <w:rPr/>
      </w:pPr>
      <w:bookmarkStart w:id="603" w:name="__RefHeading___Toc15165495_1280447820"/>
      <w:bookmarkStart w:id="604" w:name="_Toc223"/>
      <w:bookmarkEnd w:id="603"/>
      <w:r>
        <w:rPr>
          <w:rtl w:val="true"/>
        </w:rPr>
        <w:t>گام نهم</w:t>
      </w:r>
      <w:r>
        <w:rPr>
          <w:rtl w:val="true"/>
        </w:rPr>
        <w:t xml:space="preserve">: </w:t>
      </w:r>
      <w:r>
        <w:rPr>
          <w:rtl w:val="true"/>
        </w:rPr>
        <w:t>حضور برخی از کودکان در یکی از نمازهای جماعت</w:t>
      </w:r>
      <w:bookmarkEnd w:id="604"/>
    </w:p>
    <w:p>
      <w:pPr>
        <w:pStyle w:val="BookText"/>
        <w:rPr/>
      </w:pPr>
      <w:r>
        <w:rPr>
          <w:rFonts w:ascii="IRNazanin" w:hAnsi="IRNazanin" w:eastAsia="IRNazanin"/>
          <w:color w:val="111111"/>
          <w:sz w:val="28"/>
          <w:sz w:val="28"/>
          <w:szCs w:val="28"/>
          <w:rtl w:val="true"/>
          <w:lang w:bidi="fa-IR"/>
        </w:rPr>
        <w:t>کودکان به طور عادی در پی بازی و جنب و جوش هستند و از نشستن در یک مکان ثابت فراری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مساجد، ما بین دو نماز جماعت فاصله قابل توجهی قرار داده می شود که ممکن است این طولانی شدن زمان، برای کودک، خسته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می توان کودکان را در یکی از نماز ها شرکت داد و به آنها اجازه داد تا نماز دیگر را به صورت فرادا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آماده سازی آنها برای عبادت و برای تمرین و یادگیری نماز جماعت می توان آنها را تنها در یکی از نمازهای جماعت شرکت داد و پس از آن در محیطی هم جوار مسجد با آنها به بازی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ملاکی کارآمد برای نماز کودکان مطرح گردیده که البته مخصوص به نماز جماعت نیست و به صورت عمومی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همین روایت می توان استفاده کرد و در نماز جماعت نیز تدبیری مشابه به آن، اندیشید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این روایت، به نوعی در </w:t>
      </w:r>
      <w:bookmarkStart w:id="605" w:name="pg19111_195160"/>
    </w:p>
    <w:p>
      <w:pPr>
        <w:pStyle w:val="BookText"/>
        <w:rPr/>
      </w:pPr>
      <w:bookmarkEnd w:id="605"/>
      <w:r>
        <w:rPr>
          <w:rFonts w:ascii="IRNazanin" w:hAnsi="IRNazanin" w:eastAsia="IRNazanin"/>
          <w:color w:val="111111"/>
          <w:sz w:val="28"/>
          <w:sz w:val="28"/>
          <w:szCs w:val="28"/>
          <w:rtl w:val="true"/>
          <w:lang w:bidi="fa-IR"/>
        </w:rPr>
        <w:t>پی ارائه راهکار برای پیوند کودکان با عبادت و محیط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پدرش 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کَانَ یَأْمُرُ الصِّبْیَانَ یَجْمَعُونَ بَیْنَ الصَّلَاتَیْنِ الْأُولَي وَ الْعَصْرِ وَ الْمَغْرِبِ وَ الْعِشَاءِ یَقُولُ مَا دَامُوا عَلَي وُضُوءٍ قَبْلَ أَنْ یَشْتَغِلُوا</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پدرم امام باقر علیه السلام کودکان را فرمان می داد که هر دو نماز را با هم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ظهر و عصر با هم و مغرب و عشاء نیز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وضو دارند و قبل از اینکه مشغول شوند، بخوانند</w:t>
      </w:r>
      <w:r>
        <w:rPr>
          <w:rFonts w:eastAsia="IRNazanin" w:cs="IRNazanin"/>
          <w:color w:val="111111"/>
          <w:sz w:val="28"/>
          <w:szCs w:val="28"/>
          <w:rtl w:val="true"/>
          <w:lang w:bidi="fa-IR"/>
        </w:rPr>
        <w:t>.</w:t>
      </w:r>
    </w:p>
    <w:p>
      <w:pPr>
        <w:pStyle w:val="Heading3"/>
        <w:numPr>
          <w:ilvl w:val="2"/>
          <w:numId w:val="1"/>
        </w:numPr>
        <w:rPr/>
      </w:pPr>
      <w:bookmarkStart w:id="606" w:name="__RefHeading___Toc15165497_1280447820"/>
      <w:bookmarkStart w:id="607" w:name="_Toc224"/>
      <w:bookmarkEnd w:id="606"/>
      <w:r>
        <w:rPr>
          <w:rtl w:val="true"/>
        </w:rPr>
        <w:t>گام دهم</w:t>
      </w:r>
      <w:r>
        <w:rPr>
          <w:rtl w:val="true"/>
        </w:rPr>
        <w:t xml:space="preserve">: </w:t>
      </w:r>
      <w:r>
        <w:rPr>
          <w:rtl w:val="true"/>
        </w:rPr>
        <w:t>مراقبت از طهارت مسجد</w:t>
      </w:r>
      <w:bookmarkEnd w:id="607"/>
    </w:p>
    <w:p>
      <w:pPr>
        <w:pStyle w:val="BookText"/>
        <w:rPr/>
      </w:pPr>
      <w:r>
        <w:rPr>
          <w:rFonts w:ascii="IRNazanin" w:hAnsi="IRNazanin" w:eastAsia="IRNazanin"/>
          <w:color w:val="111111"/>
          <w:sz w:val="28"/>
          <w:sz w:val="28"/>
          <w:szCs w:val="28"/>
          <w:rtl w:val="true"/>
          <w:lang w:bidi="fa-IR"/>
        </w:rPr>
        <w:t xml:space="preserve">چنانکه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حریم طهارت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مصادیق روایات ناهیه است که باید مورد توجه ویژه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کنونی زندگی بشری تقریبا چنین مساله ای نگران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لباس های پیش دارنده کنونی، نگرانی نجاست مسجد را برای کودکانی که چنین احتمالی برای آنها متصور هست، بر 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برای مراقبت و مواظبت بیشتر می توان این مساله را با بیانی لطیف و به دور از توهین با والدین کودکان کم سن و سال تر در میان گذاشت و مراقبت بیشتر را به آنها گوشزد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 از آنکه همان فردی که مسئولیت مراقبت از نظم کودکان را بر عهده می گیرد می تواند با رصد کلی، کودکانی را که احتمال چنین مساله ای در مورد آنها وجود دارد، بیابد و با توجه بیشتری به آنها نظر اندازد و در صورت احتمال بروز مشکل، این نکته را به والدین آنها متذکر 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رب العالمین </w:t>
      </w:r>
      <w:bookmarkStart w:id="608" w:name="pg19111_195161"/>
    </w:p>
    <w:p>
      <w:pPr>
        <w:pStyle w:val="Heading2"/>
        <w:numPr>
          <w:ilvl w:val="1"/>
          <w:numId w:val="1"/>
        </w:numPr>
        <w:rPr/>
      </w:pPr>
      <w:bookmarkStart w:id="609" w:name="__RefHeading___Toc15165499_1280447820"/>
      <w:bookmarkStart w:id="610" w:name="_Toc225"/>
      <w:bookmarkEnd w:id="608"/>
      <w:bookmarkEnd w:id="609"/>
      <w:r>
        <w:rPr>
          <w:rtl w:val="true"/>
        </w:rPr>
        <w:t>کتاب نامه</w:t>
      </w:r>
      <w:bookmarkEnd w:id="6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ترجمه آیت الله مکارم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 الهجره،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 ملا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کاشف الغطاء، احمد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النجاة و مشکاة الهدى و مصباح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کاشف الغطاء،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 فی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الحاوی لتحریر الفتاوی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المستطرفات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فی الحوزة العلمیة بقم، مؤسسة النشر الإسلامی،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اشعث کوفی،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النینوی الحدیثة،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حوزه علمیه قم، دفتر انتشارات اسلامی،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الداوری،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فی الحوزة العلمیة بقم، مؤسسة النشر الإسلامی،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 احمد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 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علی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 النشر و التوزیع،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اسلامی حوزه علیمه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 حلی،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العشر لابن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 حلّی،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 و نجاح 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 قزوینی، محمد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 النشر و التوزیع،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مذحجی شافعی، احمد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العباب المحیط بمعظم نصوص الشافعی و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محمد بن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 النشر و التوزیعدار صادر،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نجیم مصری، زین الدین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الرائق شرح کنز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داود سجستانی، سلیمان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 النشر و التوزیع، </w:t>
      </w:r>
      <w:r>
        <w:rPr>
          <w:rFonts w:eastAsia="IRNazanin" w:cs="IRNazanin"/>
          <w:color w:val="111111"/>
          <w:sz w:val="28"/>
          <w:szCs w:val="28"/>
          <w:lang w:bidi="fa-IR"/>
        </w:rPr>
        <w:t>1410</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 المسائل آیت 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تحقیقات و نشر معارف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ازهری،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الأحکام فی تفسیر کلام الملک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معراجی،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اشتهاردی، علی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للطباعة و النشر،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البهوتی الحنبلی، منصور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 النشر و التوزیع،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الحطاب الرعینی،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الجلیل لشرح مختصر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الدارمی، عبد الله بن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الاعتدال،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الشربینی الشافعی،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المحتاج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الشروانی،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الشروانی علی تحفة المحتاج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الصنعانی،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العلمی، </w:t>
      </w:r>
      <w:r>
        <w:rPr>
          <w:rFonts w:eastAsia="IRNazanin" w:cs="IRNazanin"/>
          <w:color w:val="111111"/>
          <w:sz w:val="28"/>
          <w:szCs w:val="28"/>
          <w:lang w:bidi="fa-IR"/>
        </w:rPr>
        <w:t>1403</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النراقی، ملا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الاعلمی للمطبوعات،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الواقدی،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دانش اسلامی،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سید روح الله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نوشته‌ی جعفر سبحانی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فی الحوزة العلمیة بقم، مؤسسة النشر الإسلامی،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سید روح الله موسوی و سایر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 المسایل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 قدرت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احکام الاطفال و ادلتها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یوسف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الناضرة فی احکام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فی الحوزة العلمیة بقم، مؤسسة النشر الإسلامی،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 النشر و التوزیع،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احمد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المخطوطات بجامعة الدول العربیة مع دار المعارف بمصر، </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فومنی،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 المسائل 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احمد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 النشر و التوزیع،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 میرزا جواد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 المسائل 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 المسائل آیت الله مجتبی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آزادی، </w:t>
      </w:r>
      <w:r>
        <w:rPr>
          <w:rFonts w:eastAsia="IRNazanin" w:cs="IRNazanin"/>
          <w:color w:val="111111"/>
          <w:sz w:val="28"/>
          <w:szCs w:val="28"/>
          <w:lang w:bidi="fa-IR"/>
        </w:rPr>
        <w:t>1429</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جزایری،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الدرایة فی توضیح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 الکتاب الجزایری،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نامه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و فرهنگ اسلامی،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 الشیعة إلی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علیهم السلام لاحیاء التراث،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روحانی، سید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 المسائل آیت الله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آیت الله روحانی،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عاملی، سید جواد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الکرامة فی شرح قواعد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فی الحوزة العلمیة بقم، مؤسسة النشر الإسلامی،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حصفکی،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المختار فی شرح تنویر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پناه،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اولی و ثانوی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دانشگاه علوم اسلامی رضوی آموزه های فقه مدنی، 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العلمیه،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علیهم السلام لاحیاء التراث،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حویزی، عبد علی بن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 ای،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أجوبة الاستفتاءات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الاسلامیة، </w:t>
      </w:r>
      <w:r>
        <w:rPr>
          <w:rFonts w:eastAsia="IRNazanin" w:cs="IRNazanin"/>
          <w:color w:val="111111"/>
          <w:sz w:val="28"/>
          <w:szCs w:val="28"/>
          <w:lang w:bidi="fa-IR"/>
        </w:rPr>
        <w:t>1420</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 سید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 المسائل 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نشر المنتخب،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الداوری،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الإمام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إحیاء آثار الإمام الخوئی ره،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الشامیه،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تبریزی،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الحدیث و احکامه فی علم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فی الحوزة العلمیة بقم، مؤسسة النشر الإسلامی،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 المسائل آیت الله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1430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 سید عبدالاعلی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الأحکام فی بیان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المنار،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سحنون، عبدالسلام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المدونة الکبرى لمالک بن انس الاصبحی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 سید علی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 المسائل جامع 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آیت الله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شبیری زنجانی، سید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نشر الفقاهه،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شعیری،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 محمد بن مکی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الحسونبنیاد فرهنگی 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 الشرعیة فی فقه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فی الحوزة العلمیة بقم، مؤسسة النشر الإسلامی،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اللمعة الدمشقیة فی فقه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الاسلامیه،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اسلامی حوزه علیمه قم،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الشیعة فی أحکام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زین الدین بن علی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الرعایة فی علم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داوری،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الملیة لشرح الرسالة النفلیة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اسلامی حوزه علیمه قم،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فی شرح إرشاد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اسلامی حوزه علیمه قم،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الأفهام إلی تنقیح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صدر، 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المنتظر،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مرتضی بن محمدامین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جهانى بزرگداشت شیخ اعظم انصارى، </w:t>
      </w:r>
      <w:r>
        <w:rPr>
          <w:rFonts w:eastAsia="IRNazanin" w:cs="IRNazanin"/>
          <w:color w:val="111111"/>
          <w:sz w:val="28"/>
          <w:szCs w:val="28"/>
          <w:lang w:bidi="fa-IR"/>
        </w:rPr>
        <w:t>1414</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w:t>
      </w:r>
    </w:p>
    <w:p>
      <w:pPr>
        <w:pStyle w:val="BookText"/>
        <w:rPr/>
      </w:pPr>
      <w:r>
        <w:rPr>
          <w:rFonts w:ascii="IRNazanin" w:hAnsi="IRNazanin" w:eastAsia="IRNazanin"/>
          <w:color w:val="111111"/>
          <w:sz w:val="28"/>
          <w:sz w:val="28"/>
          <w:szCs w:val="28"/>
          <w:rtl w:val="true"/>
          <w:lang w:bidi="fa-IR"/>
        </w:rPr>
        <w:t xml:space="preserve">جهانی بزرگداشت شیخ اعظم انصاری،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 محمد بن حسین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حوزه علمیه قم، دفتر انتشارات اسلامی، </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المحیط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الکتاب،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محمد حسن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 فی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گلپایگانی، لطف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 المسائل 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آیت الله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بروجردی، 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الحاشیة 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توضیح المسائل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المقلدین فی احکام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کربلایی، سید علی بن محمد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الصغیر فی شرح مختصر 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المسایل فی بیان الاحکام بالدلایل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علیهم السلام لاحیاء التراث،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سلیمان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1417</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طرابلسی، قاضی ابن 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فی الحوزة العلمیة بقم، مؤسسة النشر الإسلامی،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نشر دانشگاه مشهد،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فی الحوزة العلمیة بقم، مؤسسة النشر الإسلامی،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حوزه علمیه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فی فقه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المرتضویه،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فی مجرد الفقه و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فی الحوزة العلمیة بقم، مؤسسة النشر الإسلامی،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 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تبصرة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فی الحوزة العلمیة بقم، مؤسسة النشر الإسلامی،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فی الحوزة العلمیة بقم، مؤسسة النشر الإسلامی،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حسن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الأذهان إلى أحکام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فی الحوزة العلمیة بقم، مؤسسة النشر الإسلامی، </w:t>
      </w:r>
      <w:r>
        <w:rPr>
          <w:rFonts w:eastAsia="IRNazanin" w:cs="IRNazanin"/>
          <w:color w:val="111111"/>
          <w:sz w:val="28"/>
          <w:szCs w:val="28"/>
          <w:lang w:bidi="fa-IR"/>
        </w:rPr>
        <w:t>1410</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المتعلمین فی أحکام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مؤسسه چاپ و نشر وابسته به وزارت فرهنگ و ارشاد اسلامى،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الأحکام الشرعیة على مذهب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علیه السلام،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المرام فی معرفة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اسلامی حوزه علیمه قم،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الأحکام فی معرفة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فی الحوزة العلمیة بقم، مؤسسة النشر الإسلامی،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الشیعة فی أحکام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فی الحوزة العلمیة بقم، مؤسسة النشر الإسلامی،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المطلب فی تحقیق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الرضویه المقدسه، مجمع البحوث الاسلامیه،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الإحکام فی معرفة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 نائینی،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مصطفوی،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فی الحوزة العلمیة بقم، مؤسسة النشر الإسلامی،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اللثام و الابهام عن قواعد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النشر الاسلامی التابعه لجماعه المدرسین بقم، </w:t>
      </w:r>
      <w:r>
        <w:rPr>
          <w:rFonts w:eastAsia="IRNazanin" w:cs="IRNazanin"/>
          <w:color w:val="111111"/>
          <w:sz w:val="28"/>
          <w:szCs w:val="28"/>
          <w:lang w:bidi="fa-IR"/>
        </w:rPr>
        <w:t>1416</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لنکرانی،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إیضاح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 المسائل آیت الله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آدینه سبز،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 خلیل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 هجرت،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محمد بن شاه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أمیرالمؤمنین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الشیعة فی أحکام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عالى شهید مطهرى، </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فیومی، احمد بن محمد مقرى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نعمان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علیهم السلام لاحیاء التراث،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 جعفر بن خضر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الغطاء عن مبهمات الشریعة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حوزه علمیه قم،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 سید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توضیح المسائل آیت الله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مقباس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1428</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المتقین فی شرح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اسلامى کوشانبور،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صاحبقرانی المشتهر بشرح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علامه محمدباقر بن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الجامعة لدرر أخبار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فی شرح أخبار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 الأخیار فی فهم تهذیب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حوزه”، ش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 جعفر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النافع فی فقه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المطبوعات الدینیه،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و نکتها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فی الحوزة العلمیة بقم، مؤسسة النشر الإسلامی،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مسایل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 محمد باقر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 المعاد فی شرح إرشاد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علیهم 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الفقه المشتهر بکفایه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فی الحوزة العلمیة بقم، مؤسسة النشر الإسلامی،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 فی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1414</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حجاج 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 </w:t>
      </w:r>
    </w:p>
    <w:p>
      <w:pPr>
        <w:pStyle w:val="BookText"/>
        <w:rPr/>
      </w:pPr>
      <w:r>
        <w:rPr>
          <w:rFonts w:ascii="IRNazanin" w:hAnsi="IRNazanin" w:eastAsia="IRNazanin"/>
          <w:color w:val="111111"/>
          <w:sz w:val="28"/>
          <w:sz w:val="28"/>
          <w:szCs w:val="28"/>
          <w:rtl w:val="true"/>
          <w:lang w:bidi="fa-IR"/>
        </w:rPr>
        <w:t xml:space="preserve">النشر و التوزیع،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فی کلمات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نشر و ترجمه کتاب،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 المسائل آیت الله مظاهری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الزهرا سلام الله علیها،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محمد بن محمد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فی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الفائدة و البرهان فی شرح إرشاد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فی الحوزة العلمیة بقم، مؤسسة النشر الإسلامی،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 المسائل 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اردبیلی، سید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 المسائل آیت الله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عاملی،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الأحکام فی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علیهم السلام لاحیاء التراث،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 ابو القاسم بن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الأیّام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اسلامی حوزه علیمه قم،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 الاحکام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فی الحوزة العلمیة بقم، مؤسسة النشر الإسلامی،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احمد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فی الحوزة العلمیة بقم، مؤسسة النشر الإسلامی، </w:t>
      </w:r>
      <w:r>
        <w:rPr>
          <w:rFonts w:eastAsia="IRNazanin" w:cs="IRNazanin"/>
          <w:color w:val="111111"/>
          <w:sz w:val="28"/>
          <w:szCs w:val="28"/>
          <w:lang w:bidi="fa-IR"/>
        </w:rPr>
        <w:t>1406</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 احمد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p>
    <w:p>
      <w:pPr>
        <w:pStyle w:val="BookText"/>
        <w:rPr/>
      </w:pPr>
      <w:r>
        <w:rPr>
          <w:rFonts w:ascii="IRNazanin" w:hAnsi="IRNazanin" w:eastAsia="IRNazanin"/>
          <w:color w:val="111111"/>
          <w:sz w:val="28"/>
          <w:sz w:val="28"/>
          <w:szCs w:val="28"/>
          <w:rtl w:val="true"/>
          <w:lang w:bidi="fa-IR"/>
        </w:rPr>
        <w:t xml:space="preserve">للطباعة و النشر و التوزیع،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همدانی،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 المسائل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آیت الله نوری همدانی،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 محیی الدین بن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المهذب الامام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واسطی زبیدی، محمد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من جواهر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 النشر و التوزیع،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زاده خراسانی،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و انسجام اسلامی از نگاه 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فرهنگی، ش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الحاشیة على مدارک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علیهم السلام لاحیاء التراث،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خراسانی،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 المسائل آیت الله وحید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الباقر علیه السلام، </w:t>
      </w:r>
      <w:r>
        <w:rPr>
          <w:rFonts w:eastAsia="IRNazanin" w:cs="IRNazanin"/>
          <w:color w:val="111111"/>
          <w:sz w:val="28"/>
          <w:szCs w:val="28"/>
          <w:lang w:bidi="fa-IR"/>
        </w:rPr>
        <w:t>1433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شاهرودی، سید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آیت الله هاشمی 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فقه و معارف اهل بیت علیهم السلام،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 سید محمد کاظم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 الوثقی فیما تعم به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الاعلمی للمطبوعات،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فیما تعم به البلوی مع تعلیقات عده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نوشته‌ی عده من الفقهاء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فی الحوزة العلمیة بقم، مؤسسة النشر الإسلامی، </w:t>
      </w:r>
      <w:r>
        <w:rPr>
          <w:rFonts w:eastAsia="IRNazanin" w:cs="IRNazanin"/>
          <w:color w:val="111111"/>
          <w:sz w:val="28"/>
          <w:szCs w:val="28"/>
          <w:lang w:bidi="fa-IR"/>
        </w:rPr>
        <w:t>1419</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الوثقى مع 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مدرسه امام علی علیه السلام،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أَمَرَ رَبِّي بِالْقِسْطِ وَأَقِيمُوا وُجُوهَكُمْ عِنْدَ كُلِّ مَسْجِدٍ وَادْعُوهُ مُخْلِصِينَ لَهُ الدِّينَ كَمَا بَدَأَكُمْ تَعُودُونَ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حر عاملی ،تفصیل وسائل الشیعة إلی تحصیل مسائل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المَسَاجد، بَابُ تأَکد اسْتحْباَب الصَّلَاة في المَسْجد وَ إتْیانِهِ حَتیَّ مَسَاجِدِ العَامَّة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جَوَازِ مُرُورِ الْجُنُبِ وَالْحَائِضِ فِي الْمَسَاجِدِ إِلَّا الْمَسْجِدَ الْحَرَامَ وَمَسْجِدَ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عَدَمِ جَوَازِ وَضْعِ الْجُنُبِ وَالْحَائِضِ شَيئاً فِي الْمَسْجِدِ وَ جَوَازِ أَخْذِهِمَا مِنْه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جَوَازِ الصَّلَاةِ عَلَي الْجِنَازَةِ فِي الْمَسْجِدِ عَلَي كَرَاهِية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تهذیب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یزدی، العروة الوثقى فيما تعم به البلوى،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فصل في الجماعة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بَابُ اسْتِحْبَابِ الْجُلُوسِ فِي الْمَسْجِدِ وَانْتِظَارِ الصَّلَاةِ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الرسائل العشر،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مدرسین حوزه علمیه قم،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محمد واعظ زاده خراسانی،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واعظ زاده خراسانی، “وحدت و انسجام اسلامی از نگاه آیت الله بروجردی”، کیهان فرهنگی، ش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مصاحبه با آیه الله شیخ لطف الله صافی گلپایگانی،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بخش مصاحبه با آیت الله محمد فاضل لنکرانی،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حصفکی، الدر المختار في شرح تنویر الابصار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بن ابراهیم ابن نجیم مصری، البحر الرائق شرح کنز الدقائق،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العلمیه،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عبدالسلام بن سعید سحنون، المدونة الکبري لمالک بن انس الاصبحي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 بدون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الحطاب الرعینی، مواهب الجلیل لشرح مختصر خلیل،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محیی الدین بن شرف نووی،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الامام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الشربینی الشافعی، مغنی المحتاج،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العلمیه،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عبدالحمید الشروانی، حواشی الشروانی علی تحفة المحتاج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 بدون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عمر ابن مذحجی شافعی، العباب المحیط بمعظم نصوص الشافعی و الاصحاب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یونس البهوتي الحنبلی، کشف القناع،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العلمیه،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بن محمد حسینی عاملی، مفتاح الکرامة في شرح قواعد العلامة،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المدرسین في الحوزة العلمیة بقم، مؤسسة النشر الإسلامی،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النهایة فی مجرد الفقه و الفتاوی،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المبسوط في فقه الامامیه، چاپ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 المرتضویه،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ابن براج طرابلسی، المهذب،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المدرسین في الحوزة العلمیة بقم، مؤسسة النشر الإسلامی،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ابن ادریس، السرائر الحاوي لتحریر الفتاوي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المستطرفات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المدرسین في الحوزة العلمیة بقم، مؤسسة النشر الإسلامی،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حسن محقق حلی، المعتبر في شرح المختصر،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سید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حسن محقق حلی، النهایة و نکتها،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المدرسین في الحوزة العلمیة بقم، مؤسسة النشر الإسلامی،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یحیي بن سعید حلّی، الجامع الشرائع،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سید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العلمیه،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یوسف علامه حلی، منتهي المطلب في تحقیق المذهب،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آستانه الرضویه المقدسه، مجمع البحوث الاسلامیه،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یوسف علامه حلی، نهایة الإحکام في معرفة الأحکام،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موسسة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لإحیاء التراث،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یوسف علامه حلی، تحریر الأحکام الشرعیة علي مذهب الإمامیة،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امام صادق علیه السلام،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یوسف علامه حلی، قواعد الأحکام في معرفة الحلال و الحرام،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جماعة المدرسین في الحوزة العلمیة بقم، مؤسسة النشر الإسلامی،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عاملی شهید اول، الدروس الشرعیة في فقه الإمامیة،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المدرسین في الحوزة العلمیة بقم، مؤسسة النشر الإسلامی،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عاملی شهید اول، البیان،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الحسونبنیاد فرهنگی 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عاملی شهید اول، ذکری الشیعة في أحکام الشریعة،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موسسة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لإحیاء التراث،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عاملی شهید اول، النفلیه،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دفتر تبلیغات اسلامی حوزه علیمه قم،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عاملی شهید اول، اللمعة الدمشقیة فی فقه الإمامیة،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الاسلامیه،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ابن فهد حلی، الرسائل العشر لابن فهد،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آیت الله العظمی مرعشی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تفصیل وسائل الشیعة إلي تحصیل مسائل الشریعة،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شاه مرتضی فیض کاشانی، مفاتیح الشرایع،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آیت الله العظمی مرعشی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بدون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فاضل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اللثام و الابهام عن قواعد الاحکام،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النشر الاسلامی التابعه لجماعه المدرسین بقم،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عاملی شیخ بهایی، جامع عباسی،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مدرسین حوزه علمیه قم، دفتر انتشارات اسلامی،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خضر نجفي کاشف الغطاء، کشف الغطاء عن مبهمات الشریعة الغراء،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تبلیغات اسلامی حوزه علمیه قم،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العروه الوثقي فیما تعم به البلوی،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طباطبایی یزدی، العروة الوثقي فیما تعم به البلوي مع تعلیقات عده من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نقدي بر ، چاپ اول، توسط عده من الفقهاء العظام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المدرسین في الحوزة العلمیة بقم، مؤسسة النشر الإسلامی،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الدین عراقی، شرح تبصرة المتعلمین،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المدرسین في الحوزة العلمیة بقم، مؤسسة النشر الإسلامی،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طباطبایی بروجردی، رساله توضیح المسائل آیت الله بروجردی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انیس المقلدین فی احکام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آیت الله بروجردی، بدون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موسوی امام خمینی و سایر مراجع، رساله توضیح المسایل مراجع، چاپ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انتشارات اسلامی وابسته به جامعه مدرسین حوزه علمیه قم،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 القاسم خوئی، رساله توضیح المسائل آیت الله خویی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رستگار،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رضا گلپایگانی، رساله توضیح المسائل آیت الله گلپایگانی، بدون تاریخ مساله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اراکی، رساله توضیح المسائل آیت الله اراکی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تحقیقات و نشر معارف اهل بیت علیهم السلام، بدون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جواد آقا تبریزی، رساله توضیح المسائل آیت الله تبریزی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هجرت،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صافی گلپایگانی، رساله توضیح المسائل آیت الله صافی گلپایگانی، چاپ شصتم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آیت الله صافی، بدون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وحید خراسانی، رساله توضیح المسائل آیت الله وحید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امام الباقر علیه السلام،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موسی شبیری زنجانی، المسائل الشرعیه،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نشر الفقاهه،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تبریزی، رساله توضیح المسائل آیت الله سبحانی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هاتف،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همدانی، رساله توضیح المسائل آیت الله نوری 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آیت الله نوری همدانی،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صادق حسینی روحانی، رساله توضیح المسائل آیت الله روحانی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آیت الله روحانی،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تهرانی، رساله توضیح المسائل آیت الله مجتبی تهرانی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آزادی،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هاشمی شاهرودی، رساله آیت الله هاشمی شاهرودی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فقه و معارف اهل بیت علیهم السلام،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حسیني عاملی، مفتاح الکرامة في شرح قواعد العلامة،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حسن محقق حلی، شرایع الاسلام في مسایل الحلال و الحرام،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اسماعیلیان،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حسن محقق حلی، المختصر النافع في فقه الإمامیة، چاپ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المطبوعات الدینیه،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یوسف علامه حلی، إرشاد الأذهان إلي أحکام الإیمان،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المدرسین في الحوزة العلمیة بقم، مؤسسة النشر الإسلامی،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بن محمدامین شیخ انصاری، کتاب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کنگره جهانی بزرگداشت شیخ اعظم انصاری،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یوسف علامه حلی، تذکرة الفقهاء،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موسسة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لإحیاء التراث،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یوسف علامه حلی، تبصرة المتعلمین في أحکام الدین،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چاپ و نشر وابسته به وزارت فرهنگ و ارشاد اسلامى،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یوسف علامه حلی، تلخیص المرام في معرفة الأحکام،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دفتر تبلیغات اسلامي حوزه علیمه قم،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بن محمد محقق سبزواری، کفایه الفقه المشتهر بکفایه الاحکام،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المدرسین في الحوزة العلمیة بقم، مؤسسة النشر الإسلامی،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بن علي عاملي شهید ثانی، الفوائد الملیة لشرح الرسالة النفلیة،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دفتر تبلیغات اسلامی حوزه علیمه قم،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مقدس اردبیلی، مجمع الفائدة و البرهان في شرح إرشاد الأذهان،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المدرسین في الحوزة العلمیة بقم، مؤسسة النشر الإسلامی،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موسوی عاملی، مدارک الأحکام فی شرح شرائع الإسلام،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آل البیت علیهم السلام لاحیاء التراث،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شاه مرتضی فیض کاشانی، معتصم الشیعة فی أحکام الشریعة،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عالى شهید مطهرى،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شاه مرتضي فیض کاشانی، الوافی،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الإمام أمیرالمؤمنین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وحید بهبهانی، الحاشیة علي مدارک الأحکام،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آل البیت علیهم السلام لاحیاء التراث،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علي بن محمد حائري طباطبایي کربلایی، الشرح الصغیر في شرح مختصر النافع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حدیقة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آیت الله العظمي مرعشي 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بن محمد حسن میرزاي قمی، غنائم الأیّام في مسائل الحلال و الحرام،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دفتر تبلیغات اسلامی حوزه علیمه 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بن محمد حسن میرزای قمی، مناهج الاحکام فی مسائل الحلال و الحرام،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المدرسین فی الحوزة العلمیة بقم، مؤسسة النشر الإسلامی،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عبدالکریم موسوی اردبیلی، رساله توضیح المسائل آیت الله اردبیلی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بهجت فومنی، رساله توضیح المسائل آیت الله بهجت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احکام مسجد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مظاهری، رساله توضیح المسائل آیت الله مظاهری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فرهنگی الزهرا سلام الله علیها،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حسین محقق کرکی، جامع المقاصد في شرح القواعد،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موسسة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لإحیاء التراث،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بن علي عاملي شهید ثانی، مسالک الأفهام إلي تنقیح شرائع الإسلام،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المعارف الاسلامیه،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بن علي عاملي شهید ثانی، الروضة البهیة في شرح اللمعة الدمشقیة،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کتابفروشی داوری،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بن علي عاملي شهید ثانی، روض الجنان في شرح إرشاد الأذهان،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دفتر تبلیغات اسلامی حوزه علیمه قم،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عاملی، مفتاح الکرامة فی شرح قواعد العلامة،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اللثام و الابهام عن قواعد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مجلسی اول، روضة المتقین فی شرح من لا یحضره الفقیه،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فرهنگى اسلامى کوشانبور،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مجلسی اول، لوامع صاحبقرانی المشتهر بشرح الفقیه،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بن محمد محقق سبزواری، ذخیرة المعاد في شرح إرشاد الأذهان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آل البیت علیهم السلام لاحیاء التراث، بدون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محمدباقر بن محمدتقی مجلسی، بحار الأنوار الجامعة لدرر أخبار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محمدباقر بن محمدتقي مجلسی، ملاذ الأخیار في فهم تهذیب الأخبار،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آیت الله العظمي مرعشي 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احمد بحرانی، الحدائق الناضرة في احکام العترة الطاهرة،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المدرسین في الحوزة العلمیة بقم، مؤسسة النشر الإسلامی،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بن محمد حائری طباطبایی کربلایی، ریاض المسایل فی بیان الاحکام بالدلایل،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آل البیت علیهم السلام لاحیاء التراث،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کربلایی، الشرح الصغیر فی شرح مختصر النافع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حدیقة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نجفي صاحب جواهر، جواهر الکلام في شرح شرائع الإسلام، چاپ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العروة الوثقي فیما تعم به البلوي مع تعلیقات عده من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عبدالاعلي سبزواری، مهذّب الأحکام في بیان الحلال و الحرام، چاپ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المنار،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پناه اشتهاردی، مدارک العروة،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الأسوة للطباعة و النشر،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فاضل لنکرانی، رساله توضیح المسائل آیت الله فاضل لنکرانی، چاپ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آدینه سبز،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رساله توضیح المسائل آیت الله مکارم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نسل جوان،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یزدی، العروة الوثقى مع التعلیقات،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مدرسه امام علی علیه السلام،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حسینی سیستانی، رساله توضیح المسائل جامع آیت الله سیستانی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آیت الله سیستانی، بدون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علل الشرائع،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مدرسین حوزه علمیه قم، دفتر انتشارات اسلامی،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الْحَسَنِ بْنِ أَحْمَدَ بْنِ الْوَلِیدِ رَضِیَ اللَّهُ عَنْهُ قَالَ حَدَّثَنَا مُحَمَّدُ بْنُ الْحَسَنِ الصَّفَّارُ عَنِ الْحَسَنِ بْنِ مُوسَي الْخَشَّابِ عَنْ عَلِیِّ بْنِ أَسْبَاطٍ عَنْ بَعْضِ رِجَالِهِ قَالَ قَالَ أَبُو عَبْدِ اللَّهِ علیه السلام </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عَنْ مُحَمَّدِ بْنِ أَحْمَدَ عَنِ الْحَسَنِ بْنِ مُوسَي الْخَشَّابِ عَنْ عَلِیِّ بْنِ أَسْبَاطٍ عَنْ بَعْضِ رِجَالِهِ قَالَ قَالَ أَبُو عَبْدِ اللَّهِ علیه السلام </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مُوسَى الْخَشَّابِ عَنْ عَلِیِّ بْنِ أَسْبَاطٍ عَنْ بَعْضِ رِجَالِهِ قَالَ قَالَ أَبُو عَبْدِ اللَّهِ علیه السلام </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النجاشی، چاپ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المدرسین فی الحوزة العلمیة بقم، مؤسسة النشر الإسلامی،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الحدائق الناضرة فی احکام العترة الطاهرة،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اول، لوامع صاحبقرانی المشتهر بشرح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یوسف علامه حلی، مختلف الشیعة فی أحکام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المدرسین فی الحوزة العلمیة بقم، مؤسسة النشر الإسلامی،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النجاشی،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ثقة فی الحدیث إلا أن أصحابنا قالوا کان یروی عن الضعفاء و یعتمد المراسیل و لا یبالی عمن أخذ و ما علیه فی نفسه مطعن فی شی‌ء</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رجال الطوسی، چاپ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المدرسین فی الحوزة العلمیة بقم، مؤسسة النشر الإسلامی،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یکنى أبا سعید، ثقة، رازی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الفهرست الطوسی،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یکنّى أبا سعید، ضعیف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النجاشی،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ضعیفا فی الحدیث، غیر معتمد فیه</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له کتاب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الحدائق الناضرة فی احکام العترة الطاهرة،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حدثني موسي حدثنا أبي عن أبیه عن جده جعفر بن محمد عن أبیه عن علي علیه السلام قال قال رسول الله صلی الله علیه و اله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السید الراوندی کله مأخوذ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قلیلا من أواخره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الصنعانی، المصنف،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 العلمی،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ابن ماجه قزوینی، سنن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للطباعة و النشر و التوزیع، بدون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احمد طبرانی، المعجم الکبیر،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الحسین بیهقی، 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الفکر للطباعة و النشر و التوزیع،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اشعث کوفی، الجعفریات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حَدَّثَنِي مُوسَي حَدَّثَنَا أَبِي عَنْ أَبِیهِ عَنْ جَدِّهِ جَعْفَرِ بْنِ مُحَمَّدٍ عَنْ أَبِیهِ عَنْ عَلِیٍّ علیه السلام قَالَ قَالَ رَسُولُ اللَّهِ صلی الله علیه و اله لَتَمْنَعُنَّ مِنْ مَسَاجِدِکُمْ یَهُودَکُمْ وَ نَصَارَاکُمْ وَ صِبْیَانَکُمْ أَوْ لَیَمْسَخَنَّکُمُ اللَّهُ قِرَدَةً أَوْ خَنَازِیرَ رُکَّعاً أَوْ سُجَّداً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نعمان مغربی، دعائم الإسلام،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آل البیت علیهم السلام لاحیاء التراث،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صلی الله علیه و اله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لَتَمْنَعُنَّ مَسَاجِدَکُمْ یَهُودَکُمْ وَ نَصَارَاکُمْ وَ صِبْیَانَکُمْ وَ مَجَانِینَکُمْ أَوْ لَیَمْسَخَنَّکُمُ اللَّهُ قِرَدَةً وَ خَنَازِیرَ رُکَّعاً وَ سُجَّداً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الجامعة لدرر أخبار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الْإِسْنَادِ قَالَ قَالَ رَسُولُ اللَّهِ صلی الله علیه و اله لَیَمْنَعَنَّ أَحَدُکُمْ مَسَاجِدَکُمْ یَهُودَکُمْ وَ نَصَارَاکُمْ وَ صِبْیَانَکُمْ أَوْ لَیَمْسَخَنَّ اللَّهُ تَعَالَي قِرَدَةً وَ خَنَازِیرَ رُکَّعاً سُجَّداً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مظفر، أصول الفقه، چاپ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اسماعیلیان، بدون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جزایری، منتهي الدرایة في توضیح الکفایة،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دار الکتاب الجزایری،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الشهرة هي التي عدها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المرجحات السندیة في باب تعارض الخبرین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غروی نائینی، اجود التقریرات،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مصطفوی،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أصول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فاضل لنکرانی، إیضاح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أصول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 القاسم خوئی، مصباح الأصول، چاپ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 الداوری،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غروی نائینی، فوائد الاصول، چاپ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المدرسین فی الحوزة العلمیة بقم، مؤسسة النشر الإسلامی،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أصول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اول، روضة المتقین فی شرح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جواهر، جواهر الکلام فی شرح شرائع الإسلام،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تهذیب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الحدائق الناضرة في احکام العترة الطاهرة،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تفصیل وسائل الشیعة إلی تحصیل مسائل الشریعة،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ذکری الشیعة فی أحکام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ابن فهد حلّی، عدة الداعی و نجاح الساعی،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بن محمدامین شیخ انصاری، رسائل فقهیة،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کنگره جهانى بزرگداشت شیخ اعظم انصارى،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التسامح فی أدلة السنن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مصباح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رسائل فقهیة،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السادس</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الدین عراقی، نهایة الأفکار، چاپ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المدرسین فی الحوزة العلمیة بقم، مؤسسة النشر الإسلامی،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شرایع الاسلام فی مسایل الحلال و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اللیل،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ابن فارس، معجم مقاییس اللغة،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دفتر تبلیغات اسلامی حوزه علیمه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بن عباد، المحیط فی اللغة،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الکتاب،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بن احمد فراهیدی، کتاب العین،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انتشارات هجرت،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راغب اصفهانی، مفردات ألفاظ القرآن،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الشامیه،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کتاب 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مقرى فیومی، 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دار الرضی، بدون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مرتضی واسطی زبیدی، تاج العروس من جواهر القاموس،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للطباعة و النشر و التوزیع،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کرکی، جامع المقاصد فی شرح القواعد،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مفاتیح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عبارت است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عِیسَي عَنْ یُونُسَ عَنِ الْعَلَاءِ عَنْ مُحَمَّدِ بْنِ مُسْلِمٍ عَنْ أَحَدِهِمَا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همه راویان آن دارای توثیق خاص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علامه مجلسی نیز این روایت را صحیح السند نامیده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محمدباقر بن محمدتقی مجلسی، مرآة العقول فی شرح أخبار آل الرسول،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الاسلامیه،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چاپ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الاسلامیه،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عبارت است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عَنِ الْحَسَنِ بْنِ مَحْبُوبٍ عَنْ عَبْدِ الرَّحْمَنِ بْنِ الْحَجَّاجِ عَنْ جَعْفَرِ بْنِ إِبْرَاهِیمَ عَنْ عَلِیِّ بْنِ الْحُسَیْنِ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تمامی راویان آن دارای توثیق خاص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نیز این روایت را صحیح السند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ملاذ الأخیار فی فهم تهذیب الأخبار،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منتهی المطلب فی تحقیق المذهب،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نهایة الإحکام فی معرفة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کرکی، جامع المقاصد فی شرح القواعد،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اللثام و الابهام عن قواعد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عراقی، شرح تبصرة المتعلمین،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الخلاف،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المدرسین فی الحوزة العلمیة بقم، مؤسسة النشر الإسلامی،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السرائر الحاوی لتحریر الفتاوی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المستطرفات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 القاسم خوئی، موسوعة الإمام الخوئی،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إحیاء آثار الإمام الخوئی ره،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مساله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فی احکام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العروة الوثقی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طباطبایی بروجردی، الحاشیة علی الکفایة،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مقدمه الحرام و المکروه فلا تکاد تتصف بالحرمة أو الکراهة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روح الله موسوی امام خمینی، 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بر ، توسط جعفر سبحانی تبریزی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المدرسین فی الحوزة العلمیة بقم، مؤسسة النشر الإسلامی،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مقدمة الحرام قد اسمعناک قول الحق و عرفناک مغزى البحث فى الملازمة و ان الحق عدمها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کاظم آخوند خراسانی، کفایة الأصول،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موسسة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لإحیاء التراث،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محققان، فرهنگ نامه اصول فقه،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پژوهشگاه علوم و فرهنگ اسلامی،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أصول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مختلف الشیعة فی أحکام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مغربی، 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جواهر، جواهر الکلام فی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اسْتَیْقَظَا حَمَلَ النَّبِیُّ صلی الله علیه و اله الْحَسَنَ وَ حَمَلَ جَبْرَئِیلُ الْحُسَیْنَ فَخَرَجَ مِنَ الْحَظِیرَةِ وَ هُوَ یَقُولُ وَ اللَّهِ لَأُشَرِّفَنَّکُمَا کَمَا شَرَّفَکُمُ اللَّهُ عَزَّ وَ جَلَّ فَقَالَ لَهُ أَبُو بَکْرٍ نَاوِلْنِي أَحَدَ الصَّبِیَّیْنِ أُخَفِّفْ عَنْکَ فَقَالَ یَا أَبَا بَکْرٍ نِعْمَ الْحَامِلَانِ وَ نِعْمَ الرَّاکِبَانِ وَ أَبُوهُمَا أَفْضَلُ مِنْهُمَا فَخَرَجَ مِنْهَا حَتَّي أَتَي بَابَ الْمَسْجِدِ فَقَالَ یَا بِلَالُ هَلُمَّ عَلَیَّ بِالنَّاسِ فَنَادَي مُنَادِي رَسُولِ اللَّهِ صلی الله علیه و اله فِي الْمَدِینَةِ فَاجْتَمَعَ النَّاسُ عِنْدَ رَسُولِ اللَّهِ صلی الله علیه و اله 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ابن بابویه، أمالی الصدوق، چاپ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کتابچی، بدون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 عُرْوَةَ الْبَارِقِیِّ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حَجَجْتُ فِی بَعْضِ السِّنِینَ فَدَخَلْتُ مَسْجِدَ رَسُولِ اللَّهِ صلی الله علیه و اله فَوَجَدْتُ رَسُولَ اللَّهِ جَالِساً وَ حَوْلَهُ غُلَامَانِ یَافِعَانِ وَ هُوَ یُقَبِّلُ هَذَا مَرَّةً وَ هَذَا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الجامعة لدرر أخبار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رَأَیْتُ رَسُولَ اللَّهِ صلی الله علیه و اله یُصَلِّي فَسَجَدَ فَجَاءَ الْحَسَنُ علیه السلام فَرَکِبَ ظَهْرَهُ وَ هُوَ سَاجِدٌ ثُمَّ جَاءَ الْحُسَیْنُ علیه السلام فَرَکِبَ ظَهْرَهُ مَعَ أَخِیهِ وَ هُوَ سَاجِدٌ فَثَقُلَا عَلَي ظَهْرِهِ فَجِئْتُ فَأَخَذْتُهُمَا عَنْ ظَهْرِهِ وَ ذَکَرَ کَلَاماً سَقَطَ عَلَي أَبِي یَعْلَي وَ مَسَحَ عَلَي رُءُوسِهِمَا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عیسي اربلی، کشف الغمة في معرفة الأئمة،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هاشمی،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قَضَي رَسُولُ اللَّهِ صلی الله علیه و اله الصَّلَاةَ قَالَ النَّاسُ یَا رَسُولَ اللَّهِ إِنَّکَ سَجَدْتَ بَیْنَ ظَهْرَانَیْ صَلَاتِکَ سَجْدَةً أَطَلْتَهَا حَتَّي ظَنَنَّا أَنَّهُ قَدْ حَدَثَ أَمْرٌ أَوْ أَنَّهُ یُوحَي إِلَیْکَ قَالَ کُلُّ ذَلِکَ لَمْ یَکُنْ وَ لَکِنَّ ابْنِي ارْتَحَلَنِي فَکَرِهْتُ أَنْ أُعَجِّلَهُ حَتَّي یَقْضِیَ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السنن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شیخ صدوق نیز شبیه همین روایت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النَّبِیُّ صلی الله علیه و اله یُصَلِّی فَجَاءَ الْحَسَنُ وَ الْحُسَیْنُ علیه السلام فَارْتَدَفَاهُ فَلَمَّا رَفَعَ رَأْسَهُ أَخَذَهُمَا أَخْذاً رَفِیقاً فَلَمَّا عَادَ عَادَا فَلَمَّا انْصَرَفَ أَجْلَسَ هَذَا عَلَى فَخِذِهِ الْأَیْمَنِ وَ هَذَا عَلَي فَخِذِهِ الْأَیْسَرِ ثُمَّ قَالَ مَنْ أَحَبَّنِي فَلْیُحِبَّ هَذَیْنِ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مفید، الإرشاد في معرفة حجج الله على العباد،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کنگره شیخ مفید،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سَمِعَ رَسُولُ اللَّهِ صلی الله علیه و اله بُکَاءَ الْحَسَنِ وَ الْحُسَیْنِ وَ هُوَ عَلَي الْمِنْبَرِ فَقَامَ فَزِعاً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ابن شهر آشوب، مناقب آل أبی طالب علیهم السلام،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الْحُسَیْنُ علیه السلام یَجِی‌ءُ إِلَي رَسُولِ اللَّهِ صلی الله علیه و اله وَ هُوَ سَاجِدٌ فَیَتَخَطَّي الصُّفُوفَ حَتَّي یَأْتِیَ النَّبِیَّ صلی الله علیه و اله فَیَرْکَبَ ظَهْرَهُ فَیَقُومُ رَسُولُ اللَّهِ صلی الله علیه و اله وَ قَدْ وَضَعَ یَدَهُ عَلَي ظَهْرِ الْحُسَیْنِ علیه السلام وَ یَدَهُ الْأُخْرَي عَلَي رُکْبَتِهِ حَتَّي یَفْرُغَ مِنْ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هلالی، کتاب سلیم بن قیس هلالی،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همین مطلب در دیگر منابع در مورد امام حسن علیه 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حسن ابن عساکر، تاریخ مدینة دمشق،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للطباعة و النشر و التوزیع،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الْحَسَنُ علیه السلام یَأْتِیهِ وَ هُوَ عَلَي الْمِنْبَرِ یَخْطُبُ فَیَصْعَدُ إِلَیْهِ فَیَرْکَبُ عَلَي عَاتِقِ النَّبِیِّ صلی الله علیه و اله وَ یُدْلِي رِجْلَیْهِ عَلَي صَدْرِ النَّبِیِّ صلی الله علیه و اله حَتَّي یُرَي بَرِیقُ خَلْخَالِهِ وَ رَسُولُ اللَّهِ صلی الله علیه و اله یَخْطُبُ فَیُمْسِکُهُ کَذَلِکَ حَتَّي یَفْرُغَ مِنْ 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هلالی، کتاب سلیم بن قیس 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اله یَخْطُبُ عَلَى الْمِنْبَرِ فَجَاءَ الْحَسَنُ وَ الْحُسَیْنُ وَ عَلَیْهِمَا قَمِیصَانِ أَحْمَرَانِ یَمْشِیَانِ وَ یَعْثُرَانِ فَنَزَلَ رَسُولُ اللَّهِ صلی الله علیه و اله مِنَ الْمِنْبَرِ فَحَمَلَهُمَا وَ وَضَعَهُمَا بَیْنَ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الترمذی، سنن الترمذی،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للطباعة و النشر و التوزیع،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احمد بن شعیب نسائی، سنن النسائی،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للطباعة و النشر و التوزیع،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الْأَنْصَارِیِّ عَنِ النَّبِیِّ صلی الله علیه و 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یَوْماً وَ مَعَهُ الْحَسَنُ وَ الْحُسَیْنُ فَخَطَبَ النَّاسَ مجلسی، بحار الأنوار الجامعة لدرر أخبار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رأیت رسول الله صلى الله علیه وسلم على المنبر و حسن علیه السلام معه و هو یقبل على الناس مرة و علیه مرة و یقول إن ابنی هذا سید و لعل الله تبارک و تعالى ان یصلح به بین فئتین من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 بدون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أبی طالب علیهم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بلغت رواته فی الکثره مبلغاً أحالت العاده تواطؤهم علی الکذب و إستمر ذلک الوصف فی جمیع الطبقات حیث یتعدّد بأن یرویه قوم عن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بن علی عاملی شهید ثانی، الرعایة فی علم الدرایة،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آیت الله العظمی مرعشی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مامقانی، مقباس الهدایة،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ما،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تبریزی، اصول الحدیث و احکامه فی علم الدرایة، چاپ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المدرسین فی الحوزة العلمیة بقم، مؤسسة النشر الإسلامی،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خراسانی، کفایة الأصول،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تبریزی، اصول الحدیث و احکامه فی علم الدرایة،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انس، الموطأ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سعد، 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 بدون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الرحمن الدارمی، سنن الدارمی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الاعتدال،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بخاری، صحیح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للطباعة و النشر و التوزیع،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نیسابوری،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للطباعة و النشر و التوزیع، بدون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اشعث ابو داود سجستانی، سنن أبی داود،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للطباعة و النشر و التوزیع،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سنن النسائی،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الجامعة لدرر أخبار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منتهی المطلب فی تحقیق المذهب،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الروضة البهیة فی شرح اللمعة الدمشقیة،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مسالک الأفهام إلی تنقیح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اللثام و الابهام عن قواعد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إعلام الوری بأعلام الهدی،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موسسة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لإحیاء التراث،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الجامعة لدرر أخبار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الواقدی، المغازی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دانش اسلامی،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مدینة دمشق،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مهاجرت اول به حبشه در سال پنجم بعثت رخ داده اما از تاریخ دقیق مهاجرت دوم اطلاع دقیقی وجود ندارد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 مولود ولد فی الاسلام بأرض الحبشة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ابن اثیر، أسد الغابة فی معرفة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اسماعیلیان، بدون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مدینة دمشق،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یحیی بلاذری،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المخطوطات بجامعة الدول العربیة مع دار المعارف بمصر،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صلى الله علیه وسلم اعتم لیلة من اللیالی بصلاة العشاء و هی التی یقول الناس لها صلاة العتمة قالت فلم یخرج رسول الله صلى الله علیه وسلم حتى قال عمر الصلاة قد نام النساء و الصبیان فخرج رسول الله صلى الله علیه وسلم فقال لأهل المسجد حین خرج علیهم ما ینتظرها أحد من أهل الأرض غیرکم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بخاری، 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مسلم بن حجاج نیسابوری،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مولى علی بن الحسین صاحب المصنفات الأهوازی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رجال الطوسی،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طوسی، الفهرست الطوسی،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النجاشی،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ملاذ الأخیار فی فهم تهذیب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حلّی، عدة الداعی و نجاح الساعی،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فی شرح أخبار آل الرسول،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النجاشی،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اختیار معرفة الرجال،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نشر دانشگاه مشهد،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النجاشی،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رجال الطوسی،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النجاشی،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الفهرست الطوسی،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النجاشی،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اول، روضة المتقین فی شرح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نیسابوری،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قزوینی،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سجستانی، سنن أبی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سنن الترمذی،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سنن النسائی،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على انصداعٍ فى الشى‌ء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أصاب فلانا شقّ و مشقة و ذلک الأمر الشدید کأنّه من شدّته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یشقّ الإنسان شقّا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مقائیس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یعبّر عن الحزن و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855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فی شرح أخبار آل الرسول،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ملاذ الأخیار فی فهم تهذیب الأخبار،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ابن حجر عسقلانی، فتح الباری شرح صحیح البخاری،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للطباعة و النشر، بدون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اول، روضة المتقین فی شرح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أصول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محققان، فرهنگ نامه اصول فقه،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شهید صدر، دروس فی علم الاصول،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المنتظر،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عامة للجمع العرفی؛ جمعی از محققان، فرهنگ نامه اصول فقه،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مقاییس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مکرم ابن منظور، لسان العرب، چاپ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للطباعة و النشر و التوزیعدار صادر،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کتاب العین،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ألفاظ القرآن،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کتاب العین،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ازهری، تهذیب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 بدون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المحیط فی اللغة،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فی تفسیر القرآن، چاپ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ناصر خسرو،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أَسْبَاطٍ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أَبَا جَعْفَرٍ علیه السلام وَ قَدْ خَرَجَ عَلَیَّ فَأَخَذْتُ النَّظَرَ إِلَیْهِ وَ جَعَلْتُ أَنْظُرُ إِلَي رَأْسِهِ وَ رِجْلَیْهِ لِأَصِفَ قَامَتَهُ لِأَصْحَابِنَا بِمِصْرَ فَبَیْنَا أَنَا کَذَلِکَ حَتَّي قَعَدَ فَقَالَ یَا عَلِیُّ إِنَّ اللَّهَ احْتَجَّ فِي الْإِمَامَةِ بِمِثْلِ مَا احْتَجَّ بِهِ فِي النُّبُوَّةِ فَقَالَ وَ آتَیْناهُ الْحُکْمَ صَبِیًّا وَ لَمَّا بَلَغَ أَشُدَّهُ وَ بَلَغَ أَرْبَعِینَ سَنَةً فَقَدْ یَجُوزُ أَنْ یُؤْتَي الْحِکْمَةَ وَ هُوَ صَبِیٌّ وَ یَجُوزُ أَنْ یُؤْتَاهَا وَ هُوَ ابْنُ أَرْبَعِینَ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الي أنّ یحیي و عیسي علیهما السلام قد أوتیا الوحي و النبوّة في صغر سنّهما، و في مرحلة خارجة عن الاعتدال و في سنین لا یري من الناس فیها إلّا الانخفاض و التوغّل في اللهو و اللعب، و هذا برهان آخر و إعجاز و جریان علي خلاف الطبیعة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التحقیق في کلمات القرآن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بنگاه نشر و ترجمه کتاب،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أصول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جواهر، جواهر الکلام فی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کرکی، جامع المقاصد في شرح القواعد،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مفاتیح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الوافی،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الحدائق الناضرة فی احکام العترة الطاهرة،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عبارت است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عِیسَي عَنْ یُونُسَ عَنِ الْعَلَاءِ عَنْ مُحَمَّدِ بْنِ مُسْلِمٍ عَنْ أَحَدِهِمَا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همه راویان آن دارای توثیق خاص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علامه مجلسی نیز این روایت را صحیح السند نامیده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فی شرح أخبار آل الرسول،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عبارت است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عَنِ الْحَسَنِ بْنِ مَحْبُوبٍ عَنْ عَبْدِ الرَّحْمَنِ بْنِ الْحَجَّاجِ عَنْ جَعْفَرِ بْنِ إِبْرَاهِیمَ عَنْ عَلِیِّ بْنِ الْحُسَیْنِ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تمامی راویان آن دارای توثیق خاص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نیز این روایت را صحیح السند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ملاذ الأخیار فی فهم تهذیب الأخبار،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رسائل فقهیة،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جواهر، جواهر الکلام في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خامنه ای، أجوبة الاستفتاءات، چاپ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الاسلامیة،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عاملی، مفتاح الکرامة فی شرح قواعد العلامة،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شیخ طوسی به عبدالله بن سنان عبارت است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عَلِیِّ بْنِ مَحْبُوبٍ عَنِ الْعَبَّاسِ بْنِ مَعْرُوفٍ عَنْ عَبْدِ اللَّهِ بْنِ الْمُغِیرَةِ عَنِ ابْنِ سِنَانٍ عَنْ أَبِی عَبْدِ اللَّهِ علیه السلام فِی حَدِیثٍ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 صحیح بودن همین سند در روایتی که مربوط به گریه کودک و کوتاه شدن نماز پیامبر صلی الله علیه و اله بود، تحلیل و بررسی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آنکه علامه مجلسی نیز تصریح به صحیح بودن این سند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ملاذ الأخیار فی فهم تهذیب الأخبار،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سند شیخ طوسی به طلحه بن زید نیز عبارت است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أَحْمَدَ بْنِ یَحْیَي عَنْ أَحْمَدَ بْنِ مُحَمَّدٍ عَنْ مُحَمَّدِ بْنِ یَحْیَي عَنْ طَلْحَةَ بْنِ زَیْدٍ عَنْ جَعْفَرٍ عَنْ أَبِیهِ عَنْ عَلِیٍّ علیه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 بنا بر گفته مجلسی اول، موثق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اول، روضة المتقین فی شرح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37</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الجامعة لدرر أخبار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مجلسي اول، روضة المتقین في شرح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کرکی، جامع المقاصد فی شرح القواعد،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الفوائد الملیة لشرح الرسالة النفلیة،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مسالک الأفهام إلی تنقیح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الروضة البهیة في شرح اللمعة الدمشقیة،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عاملی، مدارک الأحکام فی شرح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معتصم الشیعة في أحکام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بهبهانی، الحاشیة علي مدارک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کربلایی، الشرح الصغیر فی شرح مختصر النافع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حدیقة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الجامعة لدرر أخبار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کربلایی، الشرح الصغیر فی شرح مختصر النافع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حدیقة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العروة الوثقي فیما تعم به البلوي مع تعلیقات عده من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الوافی،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مهذّب الأحکام في بیان الحلال و الحرام،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اشتهاردی، مدارک العروة،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بهجت فومنی، رساله توضیح المسائل آیت الله بهجت مساله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احکام مسجد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العروة الوثقي مع التعلیقات،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سیستانی، رساله توضیح المسائل جامع آیت الله سیستانی،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مظاهری، رساله توضیح المسائل آیت الله مظاهری مساله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رساله توضیح المسائل آیت الله فاضل لنکرانی مساله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رساله توضیح المسائل آیت الله مکارم شیرازی مساله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سیستانی، رساله توضیح المسائل جامع آیت الله سیستانی،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اردبیلی، مجمع الفائدة و البرهان فی شرح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میرزای قمی، غنائم الأیّام فی مسائل الحلال و الحرام،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میرزای قمی، مناهج الاحکام فی مسائل الحلال و الحرام،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اول، روضة المتقین فی شرح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ملاذ الأخیار في فهم تهذیب الأخبار،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اشتهاردی، مدارک العروة،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کرکی، جامع المقاصد فی شرح القواعد،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مسالک الأفهام إلي تنقیح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الروضة البهیة في شرح اللمعة الدمشقیة،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مجلسي اول، روضة المتقین في شرح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اول، لوامع صاحبقرانی المشتهر بشرح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الجامعة لدرر أخبار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ملاذ الأخیار في فهم تهذیب الأخبار،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طباطبایي کربلایی، ریاض المسایل في بیان الاحکام بالدلایل،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جواهر، جواهر الکلام في شرح شرائع الإسلام،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مهذّب الأحکام في بیان الحلال و الحرام،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اشتهاردی، مدارک العروة،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نهایة الإحکام في معرفة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مهدي النراقی، جامع السعادات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الاعلمی للمطبوعات، بدون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علی بن جمعه حویزی، تفسیر نور الثقلین، چاپ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استرآبادی، آیات الأحکام في تفسیر کلام الملک العلام،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کتابفروشی معراجی،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یعظه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یؤدّبه، و یذکّره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فی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عبارت است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إِبْرَاهِیمَ عَنْ أَبِیهِ عَنِ ابْنِ أَبِی عُمَیْرٍ عَنْ حَمَّادٍ عَنِ الْحَلَبِیِّ عَنْ أَبِي عَبْدِ اللَّهِ علیه السلام عَنْ أَبِیهِ علیه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 همگی جز ابراهیم بن هاشم که وثاقتش مورد پذیرش است، دارای توثیق خاص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علامه مجلسی این روایت را به خاطر وجود ابراهیم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ملاذ الأخیار فی فهم تهذیب الأخبار،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اول، روضة المتقین فی شرح من لا یحضره الفقیه،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تفصیل وسائل الشیعة إلی تحصیل مسائل الشریعة،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تذکرة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العروة الوثقي فیما تعم به البلوي مع تعلیقات عده من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العروة الوثقي مع التعلیقات،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صبحی صالح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دار الهجره، بدون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شعیری، جامع الأخبار،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 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الحیدریة،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سبزواری، مهذّب الأحکام فی بیان الحلال و الحرام،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 القاسم خوئی، صراط النجاة،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نشر المنتخب،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عبارت است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عَنِ الْحَسَنِ بْنِ مَحْبُوبٍ عَنْ عَبْدِ الرَّحْمَنِ بْنِ الْحَجَّاجِ عَنْ جَعْفَرِ بْنِ إِبْرَاهِیمَ عَنْ عَلِیِّ بْنِ الْحُسَیْنِ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تمامی راویان آن دارای توثیق خاص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نیز این روایت را صحیح السند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ملاذ الأخیار فی فهم تهذیب الأخبار،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علیهم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رساله توضیح المسائل آیت الله فاضل لنکرانی مساله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رساله توضیح المسائل آیت الله مکارم شیرازی مساله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سیستانی، رساله توضیح المسائل جامع آیت الله سیستانی،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جواهر، جواهر الکلام في شرح شرائع الإسلام،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مشروعیت عبادات کودک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تمرینی بودن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بودن آن در عین عدم مشروعیت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بین واجبات و مستحبات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الله انصاری، موسوعه احکام الاطفال و ادلتها،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فقهی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المبسوط في فقه الامامیه،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تذکرة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شرایع الاسلام فی مسایل الحلال و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الدروس الشرعیة في فقه الإمامیة،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الحدائق الناضرة في احکام العترة الطاهرة،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العروه الوثقی فیما تعم به البلوی،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اشتهاردی، مدارک العروة،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العروة الوثقى مع التعلیقات،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علي آل کاشف الغطاء، سفینة النجاة و مشکاة الهدي و مصباح السعادات،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 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کاشف الغطاء،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محققان، فرهنگ نامه اصول فقه،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حق پناه، “حکم اولی و ثانوی در قرآن”، مجله تخصصی دانشگاه علوم اسلامی رضوی آموزه های فقه مدنی،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الشی‌ء حِفْظُه بالحزم و الرجل ضابِطٌ أَي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ملاذ الأخیار في فهم تهذیب الأخبار،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حمیری، قرب الإسناد، چاپ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آل البیت علیهم السلام لاحیاء التراث،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image" Target="media/image2.jpeg"/><Relationship Id="rId265" Type="http://schemas.openxmlformats.org/officeDocument/2006/relationships/image" Target="media/image2.jpeg"/><Relationship Id="rId266" Type="http://schemas.openxmlformats.org/officeDocument/2006/relationships/footer" Target="footer249.xml"/><Relationship Id="rId267" Type="http://schemas.openxmlformats.org/officeDocument/2006/relationships/footnotes" Target="footnotes.xml"/><Relationship Id="rId268" Type="http://schemas.openxmlformats.org/officeDocument/2006/relationships/numbering" Target="numbering.xml"/><Relationship Id="rId269" Type="http://schemas.openxmlformats.org/officeDocument/2006/relationships/fontTable" Target="fontTable.xml"/><Relationship Id="rId270" Type="http://schemas.openxmlformats.org/officeDocument/2006/relationships/settings" Target="settings.xml"/><Relationship Id="rId2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256</Pages>
  <Words>31538</Words>
  <Characters>122930</Characters>
  <CharactersWithSpaces>153401</CharactersWithSpaces>
  <Paragraphs>1139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2026-08-25T18:52:28Z</dcterms:created>
  <dc:creator>ghaemiyeh.com</dc:creator>
  <dc:description/>
  <dc:language>en-US</dc:language>
  <cp:lastModifiedBy/>
  <dcterms:modified xsi:type="dcterms:W3CDTF">2026-08-25T22:22:38Z</dcterms:modified>
  <cp:revision>1</cp:revision>
  <dc:subject/>
  <dc:title>بررسی فقهی مسئله حضور کودکان در مسجد</dc:title>
</cp:coreProperties>
</file>

<file path=docProps/custom.xml><?xml version="1.0" encoding="utf-8"?>
<Properties xmlns="http://schemas.openxmlformats.org/officeDocument/2006/custom-properties" xmlns:vt="http://schemas.openxmlformats.org/officeDocument/2006/docPropsVTypes"/>
</file>