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png" ContentType="image/png"/>
  <Override PartName="/word/media/image13.png" ContentType="image/png"/>
  <Override PartName="/word/media/image15.jpeg" ContentType="image/jpeg"/>
  <Override PartName="/word/media/image14.png" ContentType="image/png"/>
  <Override PartName="/word/media/image1.png" ContentType="image/png"/>
  <Override PartName="/word/media/image3.jpeg" ContentType="image/jpeg"/>
  <Override PartName="/word/media/image2.jpeg" ContentType="image/jpeg"/>
  <Override PartName="/word/media/image4.png" ContentType="image/png"/>
  <Override PartName="/word/media/image5.jpeg" ContentType="image/jpeg"/>
  <Override PartName="/word/media/image10.jpeg" ContentType="image/jpe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36</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2370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23705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23707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4423709_1280447820">
            <w:r>
              <w:rPr>
                <w:webHidden/>
                <w:rStyle w:val="IndexLink"/>
                <w:rtl w:val="true"/>
              </w:rPr>
              <w:t xml:space="preserve">ترجمه و نقد مقاله </w:t>
            </w:r>
            <w:r>
              <w:rPr>
                <w:rStyle w:val="IndexLink"/>
                <w:rtl w:val="true"/>
              </w:rPr>
              <w:t>«</w:t>
            </w:r>
            <w:r>
              <w:rPr>
                <w:rStyle w:val="IndexLink"/>
                <w:rtl w:val="true"/>
              </w:rPr>
              <w:t>حسین بن علی</w:t>
            </w:r>
            <w:r>
              <w:rPr>
                <w:rStyle w:val="IndexLink"/>
                <w:rtl w:val="true"/>
              </w:rPr>
              <w:t xml:space="preserve">» </w:t>
            </w:r>
            <w:r>
              <w:rPr>
                <w:rStyle w:val="IndexLink"/>
                <w:rtl w:val="true"/>
              </w:rPr>
              <w:t xml:space="preserve">در ویراست سوم دایرةالمعارف اسلام چاپ بریل </w:t>
            </w:r>
            <w:r>
              <w:rPr>
                <w:rStyle w:val="IndexLink"/>
                <w:rtl w:val="true"/>
              </w:rPr>
              <w:t>(</w:t>
            </w:r>
            <w:r>
              <w:rPr>
                <w:rStyle w:val="IndexLink"/>
              </w:rPr>
              <w:t>EI3</w:t>
            </w:r>
            <w:r>
              <w:rPr>
                <w:rStyle w:val="IndexLink"/>
                <w:rtl w:val="true"/>
              </w:rPr>
              <w:t>)</w:t>
              <w:tab/>
            </w:r>
            <w:r>
              <w:rPr>
                <w:rStyle w:val="IndexLink"/>
              </w:rPr>
              <w:t>12</w:t>
            </w:r>
          </w:hyperlink>
        </w:p>
        <w:p>
          <w:pPr>
            <w:pStyle w:val="Contents3"/>
            <w:tabs>
              <w:tab w:val="clear" w:pos="8459"/>
              <w:tab w:val="right" w:pos="9026" w:leader="dot"/>
            </w:tabs>
            <w:rPr/>
          </w:pPr>
          <w:hyperlink w:anchor="__RefHeading___Toc14423711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423713_128044782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4423715_1280447820">
            <w:r>
              <w:rPr>
                <w:webHidden/>
                <w:rStyle w:val="IndexLink"/>
                <w:rtl w:val="true"/>
              </w:rPr>
              <w:t xml:space="preserve">ترجمه فارسی مدخل </w:t>
            </w:r>
            <w:r>
              <w:rPr>
                <w:rStyle w:val="IndexLink"/>
                <w:rtl w:val="true"/>
              </w:rPr>
              <w:t>«</w:t>
            </w:r>
            <w:r>
              <w:rPr>
                <w:rStyle w:val="IndexLink"/>
                <w:rtl w:val="true"/>
              </w:rPr>
              <w:t>حسین بن علی</w:t>
            </w:r>
            <w:r>
              <w:rPr>
                <w:rStyle w:val="IndexLink"/>
                <w:rtl w:val="true"/>
              </w:rPr>
              <w:t>»</w:t>
              <w:tab/>
            </w:r>
            <w:r>
              <w:rPr>
                <w:rStyle w:val="IndexLink"/>
              </w:rPr>
              <w:t>14</w:t>
            </w:r>
          </w:hyperlink>
        </w:p>
        <w:p>
          <w:pPr>
            <w:pStyle w:val="Contents4"/>
            <w:tabs>
              <w:tab w:val="clear" w:pos="8176"/>
              <w:tab w:val="right" w:pos="9026" w:leader="dot"/>
            </w:tabs>
            <w:rPr/>
          </w:pPr>
          <w:hyperlink w:anchor="__RefHeading___Toc14423717_12804478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4423719_1280447820">
            <w:r>
              <w:rPr>
                <w:webHidden/>
                <w:rStyle w:val="IndexLink"/>
              </w:rPr>
              <w:t>1</w:t>
            </w:r>
            <w:r>
              <w:rPr>
                <w:rStyle w:val="IndexLink"/>
                <w:rtl w:val="true"/>
              </w:rPr>
              <w:t xml:space="preserve">. </w:t>
            </w:r>
            <w:r>
              <w:rPr>
                <w:rStyle w:val="IndexLink"/>
                <w:rtl w:val="true"/>
              </w:rPr>
              <w:t>زندگانی حسین بن علی</w:t>
            </w:r>
            <w:r>
              <w:rPr>
                <w:rStyle w:val="IndexLink"/>
                <w:rtl w:val="true"/>
              </w:rPr>
              <w:tab/>
            </w:r>
            <w:r>
              <w:rPr>
                <w:rStyle w:val="IndexLink"/>
              </w:rPr>
              <w:t>14</w:t>
            </w:r>
          </w:hyperlink>
        </w:p>
        <w:p>
          <w:pPr>
            <w:pStyle w:val="Contents4"/>
            <w:tabs>
              <w:tab w:val="clear" w:pos="8176"/>
              <w:tab w:val="right" w:pos="9026" w:leader="dot"/>
            </w:tabs>
            <w:rPr/>
          </w:pPr>
          <w:hyperlink w:anchor="__RefHeading___Toc14423721_1280447820">
            <w:r>
              <w:rPr>
                <w:webHidden/>
                <w:rStyle w:val="IndexLink"/>
              </w:rPr>
              <w:t>2</w:t>
            </w:r>
            <w:r>
              <w:rPr>
                <w:rStyle w:val="IndexLink"/>
                <w:rtl w:val="true"/>
              </w:rPr>
              <w:t xml:space="preserve">. </w:t>
            </w:r>
            <w:r>
              <w:rPr>
                <w:rStyle w:val="IndexLink"/>
                <w:rtl w:val="true"/>
              </w:rPr>
              <w:t>کربلا و شهادت حسین</w:t>
            </w:r>
            <w:r>
              <w:rPr>
                <w:rStyle w:val="IndexLink"/>
                <w:rtl w:val="true"/>
              </w:rPr>
              <w:tab/>
            </w:r>
            <w:r>
              <w:rPr>
                <w:rStyle w:val="IndexLink"/>
              </w:rPr>
              <w:t>16</w:t>
            </w:r>
          </w:hyperlink>
        </w:p>
        <w:p>
          <w:pPr>
            <w:pStyle w:val="Contents3"/>
            <w:tabs>
              <w:tab w:val="clear" w:pos="8459"/>
              <w:tab w:val="right" w:pos="9026" w:leader="dot"/>
            </w:tabs>
            <w:rPr/>
          </w:pPr>
          <w:hyperlink w:anchor="__RefHeading___Toc14423723_1280447820">
            <w:r>
              <w:rPr>
                <w:webHidden/>
                <w:rStyle w:val="IndexLink"/>
                <w:rtl w:val="true"/>
              </w:rPr>
              <w:t>نقد و بررسی مقاله</w:t>
            </w:r>
            <w:r>
              <w:rPr>
                <w:rStyle w:val="IndexLink"/>
                <w:rtl w:val="true"/>
              </w:rPr>
              <w:tab/>
            </w:r>
            <w:r>
              <w:rPr>
                <w:rStyle w:val="IndexLink"/>
              </w:rPr>
              <w:t>23</w:t>
            </w:r>
          </w:hyperlink>
        </w:p>
        <w:p>
          <w:pPr>
            <w:pStyle w:val="Contents3"/>
            <w:tabs>
              <w:tab w:val="clear" w:pos="8459"/>
              <w:tab w:val="right" w:pos="9026" w:leader="dot"/>
            </w:tabs>
            <w:rPr/>
          </w:pPr>
          <w:hyperlink w:anchor="__RefHeading___Toc14423725_1280447820">
            <w:r>
              <w:rPr>
                <w:webHidden/>
                <w:rStyle w:val="IndexLink"/>
                <w:rtl w:val="true"/>
              </w:rPr>
              <w:t>نتیجه</w:t>
            </w:r>
            <w:r>
              <w:rPr>
                <w:rStyle w:val="IndexLink"/>
                <w:rtl w:val="true"/>
              </w:rPr>
              <w:tab/>
            </w:r>
            <w:r>
              <w:rPr>
                <w:rStyle w:val="IndexLink"/>
              </w:rPr>
              <w:t>27</w:t>
            </w:r>
          </w:hyperlink>
        </w:p>
        <w:p>
          <w:pPr>
            <w:pStyle w:val="Contents3"/>
            <w:tabs>
              <w:tab w:val="clear" w:pos="8459"/>
              <w:tab w:val="right" w:pos="9026" w:leader="dot"/>
            </w:tabs>
            <w:rPr/>
          </w:pPr>
          <w:hyperlink w:anchor="__RefHeading___Toc14423727_1280447820">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14423729_1280447820">
            <w:r>
              <w:rPr>
                <w:webHidden/>
                <w:rStyle w:val="IndexLink"/>
                <w:rtl w:val="true"/>
              </w:rPr>
              <w:t>ویلیام چیتیک و جستجوی روح اسلام در نیایش‌های حسینی و مفاهیم عاشورایی</w:t>
            </w:r>
            <w:r>
              <w:rPr>
                <w:rStyle w:val="IndexLink"/>
                <w:rtl w:val="true"/>
              </w:rPr>
              <w:tab/>
            </w:r>
            <w:r>
              <w:rPr>
                <w:rStyle w:val="IndexLink"/>
              </w:rPr>
              <w:t>30</w:t>
            </w:r>
          </w:hyperlink>
        </w:p>
        <w:p>
          <w:pPr>
            <w:pStyle w:val="Contents3"/>
            <w:tabs>
              <w:tab w:val="clear" w:pos="8459"/>
              <w:tab w:val="right" w:pos="9026" w:leader="dot"/>
            </w:tabs>
            <w:rPr/>
          </w:pPr>
          <w:hyperlink w:anchor="__RefHeading___Toc14423731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4423733_1280447820">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14423735_1280447820">
            <w:r>
              <w:rPr>
                <w:webHidden/>
                <w:rStyle w:val="IndexLink"/>
                <w:rtl w:val="true"/>
              </w:rPr>
              <w:t xml:space="preserve">نیایش‌های اسلامی و دعای عرفه امام حسین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4423737_1280447820">
            <w:r>
              <w:rPr>
                <w:webHidden/>
                <w:rStyle w:val="IndexLink"/>
                <w:rtl w:val="true"/>
              </w:rPr>
              <w:t>برابری مفاهیم عاشورایی با مفاهیم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14423739_1280447820">
            <w:r>
              <w:rPr>
                <w:webHidden/>
                <w:rStyle w:val="IndexLink"/>
                <w:rtl w:val="true"/>
              </w:rPr>
              <w:t>تاثیر چندگانه سنایی از مفاهیم عاشورایی</w:t>
            </w:r>
            <w:r>
              <w:rPr>
                <w:rStyle w:val="IndexLink"/>
                <w:rtl w:val="true"/>
              </w:rPr>
              <w:tab/>
            </w:r>
            <w:r>
              <w:rPr>
                <w:rStyle w:val="IndexLink"/>
              </w:rPr>
              <w:t>42</w:t>
            </w:r>
          </w:hyperlink>
        </w:p>
        <w:p>
          <w:pPr>
            <w:pStyle w:val="Contents3"/>
            <w:tabs>
              <w:tab w:val="clear" w:pos="8459"/>
              <w:tab w:val="right" w:pos="9026" w:leader="dot"/>
            </w:tabs>
            <w:rPr/>
          </w:pPr>
          <w:hyperlink w:anchor="__RefHeading___Toc14423741_1280447820">
            <w:r>
              <w:rPr>
                <w:webHidden/>
                <w:rStyle w:val="IndexLink"/>
                <w:rtl w:val="true"/>
              </w:rPr>
              <w:t>مفاهیم عاشورایی در اشعار مولوی</w:t>
            </w:r>
            <w:r>
              <w:rPr>
                <w:rStyle w:val="IndexLink"/>
                <w:rtl w:val="true"/>
              </w:rPr>
              <w:tab/>
            </w:r>
            <w:r>
              <w:rPr>
                <w:rStyle w:val="IndexLink"/>
              </w:rPr>
              <w:t>44</w:t>
            </w:r>
          </w:hyperlink>
        </w:p>
        <w:p>
          <w:pPr>
            <w:pStyle w:val="Contents4"/>
            <w:tabs>
              <w:tab w:val="clear" w:pos="8176"/>
              <w:tab w:val="right" w:pos="9026" w:leader="dot"/>
            </w:tabs>
            <w:rPr/>
          </w:pPr>
          <w:hyperlink w:anchor="__RefHeading___Toc14423743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423745_1280447820">
            <w:r>
              <w:rPr>
                <w:webHidden/>
                <w:rStyle w:val="IndexLink"/>
              </w:rPr>
              <w:t>1</w:t>
            </w:r>
            <w:r>
              <w:rPr>
                <w:rStyle w:val="IndexLink"/>
                <w:rtl w:val="true"/>
              </w:rPr>
              <w:t xml:space="preserve"> .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مظهر عشق حقیقی به حق تعالی</w:t>
            </w:r>
            <w:r>
              <w:rPr>
                <w:rStyle w:val="IndexLink"/>
                <w:rtl w:val="true"/>
              </w:rPr>
              <w:tab/>
            </w:r>
            <w:r>
              <w:rPr>
                <w:rStyle w:val="IndexLink"/>
              </w:rPr>
              <w:t>44</w:t>
            </w:r>
          </w:hyperlink>
        </w:p>
        <w:p>
          <w:pPr>
            <w:pStyle w:val="Contents4"/>
            <w:tabs>
              <w:tab w:val="clear" w:pos="8176"/>
              <w:tab w:val="right" w:pos="9026" w:leader="dot"/>
            </w:tabs>
            <w:rPr/>
          </w:pPr>
          <w:hyperlink w:anchor="__RefHeading___Toc14423747_1280447820">
            <w:r>
              <w:rPr>
                <w:webHidden/>
                <w:rStyle w:val="IndexLink"/>
              </w:rPr>
              <w:t>2</w:t>
            </w:r>
            <w:r>
              <w:rPr>
                <w:rStyle w:val="IndexLink"/>
                <w:rtl w:val="true"/>
              </w:rPr>
              <w:t xml:space="preserve">. </w:t>
            </w:r>
            <w:r>
              <w:rPr>
                <w:rStyle w:val="IndexLink"/>
                <w:rtl w:val="true"/>
              </w:rPr>
              <w:t>عاشورا مظهر پیروزی در جهاد اکبر</w:t>
            </w:r>
            <w:r>
              <w:rPr>
                <w:rStyle w:val="IndexLink"/>
                <w:rtl w:val="true"/>
              </w:rPr>
              <w:tab/>
            </w:r>
            <w:r>
              <w:rPr>
                <w:rStyle w:val="IndexLink"/>
              </w:rPr>
              <w:t>46</w:t>
            </w:r>
          </w:hyperlink>
        </w:p>
        <w:p>
          <w:pPr>
            <w:pStyle w:val="Contents4"/>
            <w:tabs>
              <w:tab w:val="clear" w:pos="8176"/>
              <w:tab w:val="right" w:pos="9026" w:leader="dot"/>
            </w:tabs>
            <w:rPr/>
          </w:pPr>
          <w:hyperlink w:anchor="__RefHeading___Toc14423749_1280447820">
            <w:r>
              <w:rPr>
                <w:webHidden/>
                <w:rStyle w:val="IndexLink"/>
              </w:rPr>
              <w:t>3</w:t>
            </w:r>
            <w:r>
              <w:rPr>
                <w:rStyle w:val="IndexLink"/>
                <w:rtl w:val="true"/>
              </w:rPr>
              <w:t xml:space="preserve">. </w:t>
            </w:r>
            <w:r>
              <w:rPr>
                <w:rStyle w:val="IndexLink"/>
                <w:rtl w:val="true"/>
              </w:rPr>
              <w:t>عاشورا مظهر شادی وصال</w:t>
            </w:r>
            <w:r>
              <w:rPr>
                <w:rStyle w:val="IndexLink"/>
                <w:rtl w:val="true"/>
              </w:rPr>
              <w:tab/>
            </w:r>
            <w:r>
              <w:rPr>
                <w:rStyle w:val="IndexLink"/>
              </w:rPr>
              <w:t>48</w:t>
            </w:r>
          </w:hyperlink>
        </w:p>
        <w:p>
          <w:pPr>
            <w:pStyle w:val="Contents3"/>
            <w:tabs>
              <w:tab w:val="clear" w:pos="8459"/>
              <w:tab w:val="right" w:pos="9026" w:leader="dot"/>
            </w:tabs>
            <w:rPr/>
          </w:pPr>
          <w:hyperlink w:anchor="__RefHeading___Toc14423751_1280447820">
            <w:r>
              <w:rPr>
                <w:webHidden/>
                <w:rStyle w:val="IndexLink"/>
                <w:rtl w:val="true"/>
              </w:rPr>
              <w:t>نتیجه</w:t>
            </w:r>
            <w:r>
              <w:rPr>
                <w:rStyle w:val="IndexLink"/>
                <w:rtl w:val="true"/>
              </w:rPr>
              <w:tab/>
            </w:r>
            <w:r>
              <w:rPr>
                <w:rStyle w:val="IndexLink"/>
              </w:rPr>
              <w:t>50</w:t>
            </w:r>
          </w:hyperlink>
        </w:p>
        <w:p>
          <w:pPr>
            <w:pStyle w:val="Contents3"/>
            <w:tabs>
              <w:tab w:val="clear" w:pos="8459"/>
              <w:tab w:val="right" w:pos="9026" w:leader="dot"/>
            </w:tabs>
            <w:rPr/>
          </w:pPr>
          <w:hyperlink w:anchor="__RefHeading___Toc14423753_1280447820">
            <w:r>
              <w:rPr>
                <w:webHidden/>
                <w:rStyle w:val="IndexLink"/>
                <w:rtl w:val="true"/>
              </w:rPr>
              <w:t>منابع</w:t>
            </w:r>
            <w:r>
              <w:rPr>
                <w:rStyle w:val="IndexLink"/>
                <w:rtl w:val="true"/>
              </w:rPr>
              <w:tab/>
            </w:r>
            <w:r>
              <w:rPr>
                <w:rStyle w:val="IndexLink"/>
              </w:rPr>
              <w:t>51</w:t>
            </w:r>
          </w:hyperlink>
        </w:p>
        <w:p>
          <w:pPr>
            <w:pStyle w:val="Contents2"/>
            <w:tabs>
              <w:tab w:val="clear" w:pos="8743"/>
              <w:tab w:val="right" w:pos="9026" w:leader="dot"/>
            </w:tabs>
            <w:rPr/>
          </w:pPr>
          <w:hyperlink w:anchor="__RefHeading___Toc14423755_1280447820">
            <w:r>
              <w:rPr>
                <w:webHidden/>
                <w:rStyle w:val="IndexLink"/>
                <w:rtl w:val="true"/>
              </w:rPr>
              <w:t xml:space="preserve">تحلیل شاخص‌های هویت معنوی و اخلاقی فرهنگ حسینی </w:t>
            </w:r>
            <w:r>
              <w:rPr>
                <w:rStyle w:val="IndexLink"/>
                <w:rtl w:val="true"/>
              </w:rPr>
              <w:t>(</w:t>
            </w:r>
            <w:r>
              <w:rPr>
                <w:rStyle w:val="IndexLink"/>
                <w:rtl w:val="true"/>
              </w:rPr>
              <w:t>علیه السلام</w:t>
            </w:r>
            <w:r>
              <w:rPr>
                <w:rStyle w:val="IndexLink"/>
                <w:rtl w:val="true"/>
              </w:rPr>
              <w:t xml:space="preserve">) </w:t>
            </w:r>
            <w:r>
              <w:rPr>
                <w:rStyle w:val="IndexLink"/>
                <w:rtl w:val="true"/>
              </w:rPr>
              <w:t>در محتوای کتاب‌های درسی</w:t>
            </w:r>
            <w:r>
              <w:rPr>
                <w:rStyle w:val="IndexLink"/>
                <w:rtl w:val="true"/>
              </w:rPr>
              <w:tab/>
            </w:r>
            <w:r>
              <w:rPr>
                <w:rStyle w:val="IndexLink"/>
              </w:rPr>
              <w:t>54</w:t>
            </w:r>
          </w:hyperlink>
        </w:p>
        <w:p>
          <w:pPr>
            <w:pStyle w:val="Contents3"/>
            <w:tabs>
              <w:tab w:val="clear" w:pos="8459"/>
              <w:tab w:val="right" w:pos="9026" w:leader="dot"/>
            </w:tabs>
            <w:rPr/>
          </w:pPr>
          <w:hyperlink w:anchor="__RefHeading___Toc14423757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4423759_1280447820">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14423761_1280447820">
            <w:r>
              <w:rPr>
                <w:webHidden/>
                <w:rStyle w:val="IndexLink"/>
                <w:rtl w:val="true"/>
              </w:rPr>
              <w:t>بیان مسئله</w:t>
            </w:r>
            <w:r>
              <w:rPr>
                <w:rStyle w:val="IndexLink"/>
                <w:rtl w:val="true"/>
              </w:rPr>
              <w:tab/>
            </w:r>
            <w:r>
              <w:rPr>
                <w:rStyle w:val="IndexLink"/>
              </w:rPr>
              <w:t>56</w:t>
            </w:r>
          </w:hyperlink>
        </w:p>
        <w:p>
          <w:pPr>
            <w:pStyle w:val="Contents3"/>
            <w:tabs>
              <w:tab w:val="clear" w:pos="8459"/>
              <w:tab w:val="right" w:pos="9026" w:leader="dot"/>
            </w:tabs>
            <w:rPr/>
          </w:pPr>
          <w:hyperlink w:anchor="__RefHeading___Toc14423763_1280447820">
            <w:r>
              <w:rPr>
                <w:webHidden/>
                <w:rStyle w:val="IndexLink"/>
                <w:rtl w:val="true"/>
              </w:rPr>
              <w:t>پیشینه پژوهش</w:t>
            </w:r>
            <w:r>
              <w:rPr>
                <w:rStyle w:val="IndexLink"/>
                <w:rtl w:val="true"/>
              </w:rPr>
              <w:tab/>
            </w:r>
            <w:r>
              <w:rPr>
                <w:rStyle w:val="IndexLink"/>
              </w:rPr>
              <w:t>62</w:t>
            </w:r>
          </w:hyperlink>
        </w:p>
        <w:p>
          <w:pPr>
            <w:pStyle w:val="Contents3"/>
            <w:tabs>
              <w:tab w:val="clear" w:pos="8459"/>
              <w:tab w:val="right" w:pos="9026" w:leader="dot"/>
            </w:tabs>
            <w:rPr/>
          </w:pPr>
          <w:hyperlink w:anchor="__RefHeading___Toc14423765_1280447820">
            <w:r>
              <w:rPr>
                <w:webHidden/>
                <w:rStyle w:val="IndexLink"/>
                <w:rtl w:val="true"/>
              </w:rPr>
              <w:t>روش‌شناسی</w:t>
            </w:r>
            <w:r>
              <w:rPr>
                <w:rStyle w:val="IndexLink"/>
                <w:rtl w:val="true"/>
              </w:rPr>
              <w:tab/>
            </w:r>
            <w:r>
              <w:rPr>
                <w:rStyle w:val="IndexLink"/>
              </w:rPr>
              <w:t>66</w:t>
            </w:r>
          </w:hyperlink>
        </w:p>
        <w:p>
          <w:pPr>
            <w:pStyle w:val="Contents3"/>
            <w:tabs>
              <w:tab w:val="clear" w:pos="8459"/>
              <w:tab w:val="right" w:pos="9026" w:leader="dot"/>
            </w:tabs>
            <w:rPr/>
          </w:pPr>
          <w:hyperlink w:anchor="__RefHeading___Toc14423767_1280447820">
            <w:r>
              <w:rPr>
                <w:webHidden/>
                <w:rStyle w:val="IndexLink"/>
                <w:rtl w:val="true"/>
              </w:rPr>
              <w:t>یافته‌ها</w:t>
            </w:r>
            <w:r>
              <w:rPr>
                <w:rStyle w:val="IndexLink"/>
                <w:rtl w:val="true"/>
              </w:rPr>
              <w:tab/>
            </w:r>
            <w:r>
              <w:rPr>
                <w:rStyle w:val="IndexLink"/>
              </w:rPr>
              <w:t>67</w:t>
            </w:r>
          </w:hyperlink>
        </w:p>
        <w:p>
          <w:pPr>
            <w:pStyle w:val="Contents3"/>
            <w:tabs>
              <w:tab w:val="clear" w:pos="8459"/>
              <w:tab w:val="right" w:pos="9026" w:leader="dot"/>
            </w:tabs>
            <w:rPr/>
          </w:pPr>
          <w:hyperlink w:anchor="__RefHeading___Toc14423769_1280447820">
            <w:r>
              <w:rPr>
                <w:webHidden/>
                <w:rStyle w:val="IndexLink"/>
                <w:rtl w:val="true"/>
              </w:rPr>
              <w:t>نتیجه</w:t>
            </w:r>
            <w:r>
              <w:rPr>
                <w:rStyle w:val="IndexLink"/>
                <w:rtl w:val="true"/>
              </w:rPr>
              <w:tab/>
            </w:r>
            <w:r>
              <w:rPr>
                <w:rStyle w:val="IndexLink"/>
              </w:rPr>
              <w:t>70</w:t>
            </w:r>
          </w:hyperlink>
        </w:p>
        <w:p>
          <w:pPr>
            <w:pStyle w:val="Contents3"/>
            <w:tabs>
              <w:tab w:val="clear" w:pos="8459"/>
              <w:tab w:val="right" w:pos="9026" w:leader="dot"/>
            </w:tabs>
            <w:rPr/>
          </w:pPr>
          <w:hyperlink w:anchor="__RefHeading___Toc14423771_1280447820">
            <w:r>
              <w:rPr>
                <w:webHidden/>
                <w:rStyle w:val="IndexLink"/>
                <w:rtl w:val="true"/>
              </w:rPr>
              <w:t>منابع</w:t>
            </w:r>
            <w:r>
              <w:rPr>
                <w:rStyle w:val="IndexLink"/>
                <w:rtl w:val="true"/>
              </w:rPr>
              <w:tab/>
            </w:r>
            <w:r>
              <w:rPr>
                <w:rStyle w:val="IndexLink"/>
              </w:rPr>
              <w:t>72</w:t>
            </w:r>
          </w:hyperlink>
        </w:p>
        <w:p>
          <w:pPr>
            <w:pStyle w:val="Contents2"/>
            <w:tabs>
              <w:tab w:val="clear" w:pos="8743"/>
              <w:tab w:val="right" w:pos="9026" w:leader="dot"/>
            </w:tabs>
            <w:rPr/>
          </w:pPr>
          <w:hyperlink w:anchor="__RefHeading___Toc14423773_1280447820">
            <w:r>
              <w:rPr>
                <w:webHidden/>
                <w:rStyle w:val="IndexLink"/>
                <w:rtl w:val="true"/>
              </w:rPr>
              <w:t xml:space="preserve">مردم‌نگاری رویدادهای میدانی آیین پیاده‌روی اربعین </w:t>
            </w:r>
            <w:r>
              <w:rPr>
                <w:rStyle w:val="IndexLink"/>
                <w:rtl w:val="true"/>
              </w:rPr>
              <w:t>(</w:t>
            </w:r>
            <w:r>
              <w:rPr>
                <w:rStyle w:val="IndexLink"/>
                <w:rtl w:val="true"/>
              </w:rPr>
              <w:t xml:space="preserve">با تأکید بر مسیر ابتدای شهر کربلا تا بین الحرمین در سال </w:t>
            </w:r>
            <w:r>
              <w:rPr>
                <w:rStyle w:val="IndexLink"/>
              </w:rPr>
              <w:t>1402</w:t>
            </w:r>
            <w:r>
              <w:rPr>
                <w:rStyle w:val="IndexLink"/>
                <w:rtl w:val="true"/>
              </w:rPr>
              <w:t>ش</w:t>
            </w:r>
            <w:r>
              <w:rPr>
                <w:rStyle w:val="IndexLink"/>
                <w:rtl w:val="true"/>
              </w:rPr>
              <w:t>/</w:t>
            </w:r>
            <w:r>
              <w:rPr>
                <w:rStyle w:val="IndexLink"/>
              </w:rPr>
              <w:t>1445</w:t>
            </w:r>
            <w:r>
              <w:rPr>
                <w:rStyle w:val="IndexLink"/>
                <w:rtl w:val="true"/>
              </w:rPr>
              <w:t>ق</w:t>
            </w:r>
            <w:r>
              <w:rPr>
                <w:rStyle w:val="IndexLink"/>
                <w:rtl w:val="true"/>
              </w:rPr>
              <w:t>)</w:t>
              <w:tab/>
            </w:r>
            <w:r>
              <w:rPr>
                <w:rStyle w:val="IndexLink"/>
              </w:rPr>
              <w:t>76</w:t>
            </w:r>
          </w:hyperlink>
        </w:p>
        <w:p>
          <w:pPr>
            <w:pStyle w:val="Contents3"/>
            <w:tabs>
              <w:tab w:val="clear" w:pos="8459"/>
              <w:tab w:val="right" w:pos="9026" w:leader="dot"/>
            </w:tabs>
            <w:rPr/>
          </w:pPr>
          <w:hyperlink w:anchor="__RefHeading___Toc14423775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423777_1280447820">
            <w:r>
              <w:rPr>
                <w:webHidden/>
                <w:rStyle w:val="IndexLink"/>
                <w:rtl w:val="true"/>
              </w:rPr>
              <w:t>مقدمه</w:t>
            </w:r>
            <w:r>
              <w:rPr>
                <w:rStyle w:val="IndexLink"/>
                <w:rtl w:val="true"/>
              </w:rPr>
              <w:tab/>
            </w:r>
            <w:r>
              <w:rPr>
                <w:rStyle w:val="IndexLink"/>
              </w:rPr>
              <w:t>77</w:t>
            </w:r>
          </w:hyperlink>
        </w:p>
        <w:p>
          <w:pPr>
            <w:pStyle w:val="Contents3"/>
            <w:tabs>
              <w:tab w:val="clear" w:pos="8459"/>
              <w:tab w:val="right" w:pos="9026" w:leader="dot"/>
            </w:tabs>
            <w:rPr/>
          </w:pPr>
          <w:hyperlink w:anchor="__RefHeading___Toc14423779_1280447820">
            <w:r>
              <w:rPr>
                <w:webHidden/>
                <w:rStyle w:val="IndexLink"/>
                <w:rtl w:val="true"/>
              </w:rPr>
              <w:t>پیشینه پژوهش</w:t>
            </w:r>
            <w:r>
              <w:rPr>
                <w:rStyle w:val="IndexLink"/>
                <w:rtl w:val="true"/>
              </w:rPr>
              <w:tab/>
            </w:r>
            <w:r>
              <w:rPr>
                <w:rStyle w:val="IndexLink"/>
              </w:rPr>
              <w:t>78</w:t>
            </w:r>
          </w:hyperlink>
        </w:p>
        <w:p>
          <w:pPr>
            <w:pStyle w:val="Contents3"/>
            <w:tabs>
              <w:tab w:val="clear" w:pos="8459"/>
              <w:tab w:val="right" w:pos="9026" w:leader="dot"/>
            </w:tabs>
            <w:rPr/>
          </w:pPr>
          <w:hyperlink w:anchor="__RefHeading___Toc14423781_1280447820">
            <w:r>
              <w:rPr>
                <w:webHidden/>
                <w:rStyle w:val="IndexLink"/>
                <w:rtl w:val="true"/>
              </w:rPr>
              <w:t>روش پژوهش</w:t>
            </w:r>
            <w:r>
              <w:rPr>
                <w:rStyle w:val="IndexLink"/>
                <w:rtl w:val="true"/>
              </w:rPr>
              <w:tab/>
            </w:r>
            <w:r>
              <w:rPr>
                <w:rStyle w:val="IndexLink"/>
              </w:rPr>
              <w:t>79</w:t>
            </w:r>
          </w:hyperlink>
        </w:p>
        <w:p>
          <w:pPr>
            <w:pStyle w:val="Contents4"/>
            <w:tabs>
              <w:tab w:val="clear" w:pos="8176"/>
              <w:tab w:val="right" w:pos="9026" w:leader="dot"/>
            </w:tabs>
            <w:rPr/>
          </w:pPr>
          <w:hyperlink w:anchor="__RefHeading___Toc14423783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4423785_1280447820">
            <w:r>
              <w:rPr>
                <w:webHidden/>
                <w:rStyle w:val="IndexLink"/>
              </w:rPr>
              <w:t>1</w:t>
            </w:r>
            <w:r>
              <w:rPr>
                <w:rStyle w:val="IndexLink"/>
                <w:rtl w:val="true"/>
              </w:rPr>
              <w:t xml:space="preserve">. </w:t>
            </w:r>
            <w:r>
              <w:rPr>
                <w:rStyle w:val="IndexLink"/>
                <w:rtl w:val="true"/>
              </w:rPr>
              <w:t>خدمات و امکانات ارائه شده در طول مسیر برگزاری آیین</w:t>
            </w:r>
            <w:r>
              <w:rPr>
                <w:rStyle w:val="IndexLink"/>
                <w:rtl w:val="true"/>
              </w:rPr>
              <w:tab/>
            </w:r>
            <w:r>
              <w:rPr>
                <w:rStyle w:val="IndexLink"/>
              </w:rPr>
              <w:t>80</w:t>
            </w:r>
          </w:hyperlink>
        </w:p>
        <w:p>
          <w:pPr>
            <w:pStyle w:val="Contents5"/>
            <w:tabs>
              <w:tab w:val="clear" w:pos="7892"/>
              <w:tab w:val="right" w:pos="9026" w:leader="dot"/>
            </w:tabs>
            <w:rPr/>
          </w:pPr>
          <w:hyperlink w:anchor="__RefHeading___Toc14423787_1280447820">
            <w:r>
              <w:rPr>
                <w:webHidden/>
                <w:rStyle w:val="IndexLink"/>
              </w:rPr>
              <w:t>1-1</w:t>
            </w:r>
            <w:r>
              <w:rPr>
                <w:rStyle w:val="IndexLink"/>
                <w:rtl w:val="true"/>
              </w:rPr>
              <w:t xml:space="preserve">. </w:t>
            </w:r>
            <w:r>
              <w:rPr>
                <w:rStyle w:val="IndexLink"/>
                <w:rtl w:val="true"/>
              </w:rPr>
              <w:t>ارائه وعده‌های غذایی</w:t>
            </w:r>
            <w:r>
              <w:rPr>
                <w:rStyle w:val="IndexLink"/>
                <w:rtl w:val="true"/>
              </w:rPr>
              <w:tab/>
            </w:r>
            <w:r>
              <w:rPr>
                <w:rStyle w:val="IndexLink"/>
              </w:rPr>
              <w:t>80</w:t>
            </w:r>
          </w:hyperlink>
        </w:p>
        <w:p>
          <w:pPr>
            <w:pStyle w:val="Contents5"/>
            <w:tabs>
              <w:tab w:val="clear" w:pos="7892"/>
              <w:tab w:val="right" w:pos="9026" w:leader="dot"/>
            </w:tabs>
            <w:rPr/>
          </w:pPr>
          <w:hyperlink w:anchor="__RefHeading___Toc14423789_1280447820">
            <w:r>
              <w:rPr>
                <w:webHidden/>
                <w:rStyle w:val="IndexLink"/>
              </w:rPr>
              <w:t>1-2</w:t>
            </w:r>
            <w:r>
              <w:rPr>
                <w:rStyle w:val="IndexLink"/>
                <w:rtl w:val="true"/>
              </w:rPr>
              <w:t xml:space="preserve">. </w:t>
            </w:r>
            <w:r>
              <w:rPr>
                <w:rStyle w:val="IndexLink"/>
                <w:rtl w:val="true"/>
              </w:rPr>
              <w:t>خدمات شبانه‌روزی</w:t>
            </w:r>
            <w:r>
              <w:rPr>
                <w:rStyle w:val="IndexLink"/>
                <w:rtl w:val="true"/>
              </w:rPr>
              <w:tab/>
            </w:r>
            <w:r>
              <w:rPr>
                <w:rStyle w:val="IndexLink"/>
              </w:rPr>
              <w:t>82</w:t>
            </w:r>
          </w:hyperlink>
        </w:p>
        <w:p>
          <w:pPr>
            <w:pStyle w:val="Contents5"/>
            <w:tabs>
              <w:tab w:val="clear" w:pos="7892"/>
              <w:tab w:val="right" w:pos="9026" w:leader="dot"/>
            </w:tabs>
            <w:rPr/>
          </w:pPr>
          <w:hyperlink w:anchor="__RefHeading___Toc14423791_1280447820">
            <w:r>
              <w:rPr>
                <w:webHidden/>
                <w:rStyle w:val="IndexLink"/>
              </w:rPr>
              <w:t>1-3</w:t>
            </w:r>
            <w:r>
              <w:rPr>
                <w:rStyle w:val="IndexLink"/>
                <w:rtl w:val="true"/>
              </w:rPr>
              <w:t xml:space="preserve">. </w:t>
            </w:r>
            <w:r>
              <w:rPr>
                <w:rStyle w:val="IndexLink"/>
                <w:rtl w:val="true"/>
              </w:rPr>
              <w:t>خدمات نظافت محیطی</w:t>
            </w:r>
            <w:r>
              <w:rPr>
                <w:rStyle w:val="IndexLink"/>
                <w:rtl w:val="true"/>
              </w:rPr>
              <w:tab/>
            </w:r>
            <w:r>
              <w:rPr>
                <w:rStyle w:val="IndexLink"/>
              </w:rPr>
              <w:t>83</w:t>
            </w:r>
          </w:hyperlink>
        </w:p>
        <w:p>
          <w:pPr>
            <w:pStyle w:val="Contents5"/>
            <w:tabs>
              <w:tab w:val="clear" w:pos="7892"/>
              <w:tab w:val="right" w:pos="9026" w:leader="dot"/>
            </w:tabs>
            <w:rPr/>
          </w:pPr>
          <w:hyperlink w:anchor="__RefHeading___Toc14423793_1280447820">
            <w:r>
              <w:rPr>
                <w:webHidden/>
                <w:rStyle w:val="IndexLink"/>
              </w:rPr>
              <w:t>1-4</w:t>
            </w:r>
            <w:r>
              <w:rPr>
                <w:rStyle w:val="IndexLink"/>
                <w:rtl w:val="true"/>
              </w:rPr>
              <w:t xml:space="preserve">. </w:t>
            </w:r>
            <w:r>
              <w:rPr>
                <w:rStyle w:val="IndexLink"/>
                <w:rtl w:val="true"/>
              </w:rPr>
              <w:t>خدمات انتظامی و امنیتی</w:t>
            </w:r>
            <w:r>
              <w:rPr>
                <w:rStyle w:val="IndexLink"/>
                <w:rtl w:val="true"/>
              </w:rPr>
              <w:tab/>
            </w:r>
            <w:r>
              <w:rPr>
                <w:rStyle w:val="IndexLink"/>
              </w:rPr>
              <w:t>83</w:t>
            </w:r>
          </w:hyperlink>
        </w:p>
        <w:p>
          <w:pPr>
            <w:pStyle w:val="Contents5"/>
            <w:tabs>
              <w:tab w:val="clear" w:pos="7892"/>
              <w:tab w:val="right" w:pos="9026" w:leader="dot"/>
            </w:tabs>
            <w:rPr/>
          </w:pPr>
          <w:hyperlink w:anchor="__RefHeading___Toc14423795_1280447820">
            <w:r>
              <w:rPr>
                <w:webHidden/>
                <w:rStyle w:val="IndexLink"/>
              </w:rPr>
              <w:t>1-5</w:t>
            </w:r>
            <w:r>
              <w:rPr>
                <w:rStyle w:val="IndexLink"/>
                <w:rtl w:val="true"/>
              </w:rPr>
              <w:t xml:space="preserve">. </w:t>
            </w:r>
            <w:r>
              <w:rPr>
                <w:rStyle w:val="IndexLink"/>
                <w:rtl w:val="true"/>
              </w:rPr>
              <w:t>خدمات درمانی و پزشکی</w:t>
            </w:r>
            <w:r>
              <w:rPr>
                <w:rStyle w:val="IndexLink"/>
                <w:rtl w:val="true"/>
              </w:rPr>
              <w:tab/>
            </w:r>
            <w:r>
              <w:rPr>
                <w:rStyle w:val="IndexLink"/>
              </w:rPr>
              <w:t>84</w:t>
            </w:r>
          </w:hyperlink>
        </w:p>
        <w:p>
          <w:pPr>
            <w:pStyle w:val="Contents5"/>
            <w:tabs>
              <w:tab w:val="clear" w:pos="7892"/>
              <w:tab w:val="right" w:pos="9026" w:leader="dot"/>
            </w:tabs>
            <w:rPr/>
          </w:pPr>
          <w:hyperlink w:anchor="__RefHeading___Toc14423797_1280447820">
            <w:r>
              <w:rPr>
                <w:webHidden/>
                <w:rStyle w:val="IndexLink"/>
              </w:rPr>
              <w:t>1-6</w:t>
            </w:r>
            <w:r>
              <w:rPr>
                <w:rStyle w:val="IndexLink"/>
                <w:rtl w:val="true"/>
              </w:rPr>
              <w:t xml:space="preserve">. </w:t>
            </w:r>
            <w:r>
              <w:rPr>
                <w:rStyle w:val="IndexLink"/>
                <w:rtl w:val="true"/>
              </w:rPr>
              <w:t>خدمات رسانه ای و ارتباطی</w:t>
            </w:r>
            <w:r>
              <w:rPr>
                <w:rStyle w:val="IndexLink"/>
                <w:rtl w:val="true"/>
              </w:rPr>
              <w:tab/>
            </w:r>
            <w:r>
              <w:rPr>
                <w:rStyle w:val="IndexLink"/>
              </w:rPr>
              <w:t>85</w:t>
            </w:r>
          </w:hyperlink>
        </w:p>
        <w:p>
          <w:pPr>
            <w:pStyle w:val="Contents5"/>
            <w:tabs>
              <w:tab w:val="clear" w:pos="7892"/>
              <w:tab w:val="right" w:pos="9026" w:leader="dot"/>
            </w:tabs>
            <w:rPr/>
          </w:pPr>
          <w:hyperlink w:anchor="__RefHeading___Toc14423799_1280447820">
            <w:r>
              <w:rPr>
                <w:webHidden/>
                <w:rStyle w:val="IndexLink"/>
              </w:rPr>
              <w:t>1-7</w:t>
            </w:r>
            <w:r>
              <w:rPr>
                <w:rStyle w:val="IndexLink"/>
                <w:rtl w:val="true"/>
              </w:rPr>
              <w:t xml:space="preserve">. </w:t>
            </w:r>
            <w:r>
              <w:rPr>
                <w:rStyle w:val="IndexLink"/>
                <w:rtl w:val="true"/>
              </w:rPr>
              <w:t>خدمات حمل و نقل</w:t>
            </w:r>
            <w:r>
              <w:rPr>
                <w:rStyle w:val="IndexLink"/>
                <w:rtl w:val="true"/>
              </w:rPr>
              <w:tab/>
            </w:r>
            <w:r>
              <w:rPr>
                <w:rStyle w:val="IndexLink"/>
              </w:rPr>
              <w:t>86</w:t>
            </w:r>
          </w:hyperlink>
        </w:p>
        <w:p>
          <w:pPr>
            <w:pStyle w:val="Contents5"/>
            <w:tabs>
              <w:tab w:val="clear" w:pos="7892"/>
              <w:tab w:val="right" w:pos="9026" w:leader="dot"/>
            </w:tabs>
            <w:rPr/>
          </w:pPr>
          <w:hyperlink w:anchor="__RefHeading___Toc14423801_1280447820">
            <w:r>
              <w:rPr>
                <w:webHidden/>
                <w:rStyle w:val="IndexLink"/>
              </w:rPr>
              <w:t>1-8</w:t>
            </w:r>
            <w:r>
              <w:rPr>
                <w:rStyle w:val="IndexLink"/>
                <w:rtl w:val="true"/>
              </w:rPr>
              <w:t xml:space="preserve">. </w:t>
            </w:r>
            <w:r>
              <w:rPr>
                <w:rStyle w:val="IndexLink"/>
                <w:rtl w:val="true"/>
              </w:rPr>
              <w:t>خدمات فرهنگی</w:t>
            </w:r>
            <w:r>
              <w:rPr>
                <w:rStyle w:val="IndexLink"/>
                <w:rtl w:val="true"/>
              </w:rPr>
              <w:tab/>
            </w:r>
            <w:r>
              <w:rPr>
                <w:rStyle w:val="IndexLink"/>
              </w:rPr>
              <w:t>88</w:t>
            </w:r>
          </w:hyperlink>
        </w:p>
        <w:p>
          <w:pPr>
            <w:pStyle w:val="Contents5"/>
            <w:tabs>
              <w:tab w:val="clear" w:pos="7892"/>
              <w:tab w:val="right" w:pos="9026" w:leader="dot"/>
            </w:tabs>
            <w:rPr/>
          </w:pPr>
          <w:hyperlink w:anchor="__RefHeading___Toc14423803_1280447820">
            <w:r>
              <w:rPr>
                <w:webHidden/>
                <w:rStyle w:val="IndexLink"/>
              </w:rPr>
              <w:t>1-9</w:t>
            </w:r>
            <w:r>
              <w:rPr>
                <w:rStyle w:val="IndexLink"/>
                <w:rtl w:val="true"/>
              </w:rPr>
              <w:t xml:space="preserve">. </w:t>
            </w:r>
            <w:r>
              <w:rPr>
                <w:rStyle w:val="IndexLink"/>
                <w:rtl w:val="true"/>
              </w:rPr>
              <w:t>آذین‌بندی و نماسازی</w:t>
            </w:r>
            <w:r>
              <w:rPr>
                <w:rStyle w:val="IndexLink"/>
                <w:rtl w:val="true"/>
              </w:rPr>
              <w:tab/>
            </w:r>
            <w:r>
              <w:rPr>
                <w:rStyle w:val="IndexLink"/>
              </w:rPr>
              <w:t>89</w:t>
            </w:r>
          </w:hyperlink>
        </w:p>
        <w:p>
          <w:pPr>
            <w:pStyle w:val="Contents4"/>
            <w:tabs>
              <w:tab w:val="clear" w:pos="8176"/>
              <w:tab w:val="right" w:pos="9026" w:leader="dot"/>
            </w:tabs>
            <w:rPr/>
          </w:pPr>
          <w:hyperlink w:anchor="__RefHeading___Toc14423805_1280447820">
            <w:r>
              <w:rPr>
                <w:webHidden/>
                <w:rStyle w:val="IndexLink"/>
              </w:rPr>
              <w:t>2</w:t>
            </w:r>
            <w:r>
              <w:rPr>
                <w:rStyle w:val="IndexLink"/>
                <w:rtl w:val="true"/>
              </w:rPr>
              <w:t xml:space="preserve">. </w:t>
            </w:r>
            <w:r>
              <w:rPr>
                <w:rStyle w:val="IndexLink"/>
                <w:rtl w:val="true"/>
              </w:rPr>
              <w:t>تلاقی‌های سنتی، فرهنگی و مناسک دینی در پیاده‌روی اربعین</w:t>
            </w:r>
            <w:r>
              <w:rPr>
                <w:rStyle w:val="IndexLink"/>
                <w:rtl w:val="true"/>
              </w:rPr>
              <w:tab/>
            </w:r>
            <w:r>
              <w:rPr>
                <w:rStyle w:val="IndexLink"/>
              </w:rPr>
              <w:t>89</w:t>
            </w:r>
          </w:hyperlink>
        </w:p>
        <w:p>
          <w:pPr>
            <w:pStyle w:val="Contents5"/>
            <w:tabs>
              <w:tab w:val="clear" w:pos="7892"/>
              <w:tab w:val="right" w:pos="9026" w:leader="dot"/>
            </w:tabs>
            <w:rPr/>
          </w:pPr>
          <w:hyperlink w:anchor="__RefHeading___Toc14423807_1280447820">
            <w:r>
              <w:rPr>
                <w:webHidden/>
                <w:rStyle w:val="IndexLink"/>
              </w:rPr>
              <w:t>2-1</w:t>
            </w:r>
            <w:r>
              <w:rPr>
                <w:rStyle w:val="IndexLink"/>
                <w:rtl w:val="true"/>
              </w:rPr>
              <w:t xml:space="preserve">. </w:t>
            </w:r>
            <w:r>
              <w:rPr>
                <w:rStyle w:val="IndexLink"/>
                <w:rtl w:val="true"/>
              </w:rPr>
              <w:t>طیفی از الگوهای رفتاری</w:t>
            </w:r>
            <w:r>
              <w:rPr>
                <w:rStyle w:val="IndexLink"/>
                <w:rtl w:val="true"/>
              </w:rPr>
              <w:tab/>
            </w:r>
            <w:r>
              <w:rPr>
                <w:rStyle w:val="IndexLink"/>
              </w:rPr>
              <w:t>89</w:t>
            </w:r>
          </w:hyperlink>
        </w:p>
        <w:p>
          <w:pPr>
            <w:pStyle w:val="Contents5"/>
            <w:tabs>
              <w:tab w:val="clear" w:pos="7892"/>
              <w:tab w:val="right" w:pos="9026" w:leader="dot"/>
            </w:tabs>
            <w:rPr/>
          </w:pPr>
          <w:hyperlink w:anchor="__RefHeading___Toc14423809_1280447820">
            <w:r>
              <w:rPr>
                <w:webHidden/>
                <w:rStyle w:val="IndexLink"/>
              </w:rPr>
              <w:t>2-2</w:t>
            </w:r>
            <w:r>
              <w:rPr>
                <w:rStyle w:val="IndexLink"/>
                <w:rtl w:val="true"/>
              </w:rPr>
              <w:t xml:space="preserve">. </w:t>
            </w:r>
            <w:r>
              <w:rPr>
                <w:rStyle w:val="IndexLink"/>
                <w:rtl w:val="true"/>
              </w:rPr>
              <w:t>الگوی بدیع از تعریف دیگری</w:t>
            </w:r>
            <w:r>
              <w:rPr>
                <w:rStyle w:val="IndexLink"/>
                <w:rtl w:val="true"/>
              </w:rPr>
              <w:tab/>
            </w:r>
            <w:r>
              <w:rPr>
                <w:rStyle w:val="IndexLink"/>
              </w:rPr>
              <w:t>90</w:t>
            </w:r>
          </w:hyperlink>
        </w:p>
        <w:p>
          <w:pPr>
            <w:pStyle w:val="Contents5"/>
            <w:tabs>
              <w:tab w:val="clear" w:pos="7892"/>
              <w:tab w:val="right" w:pos="9026" w:leader="dot"/>
            </w:tabs>
            <w:rPr/>
          </w:pPr>
          <w:hyperlink w:anchor="__RefHeading___Toc14423811_1280447820">
            <w:r>
              <w:rPr>
                <w:webHidden/>
                <w:rStyle w:val="IndexLink"/>
              </w:rPr>
              <w:t>2-3</w:t>
            </w:r>
            <w:r>
              <w:rPr>
                <w:rStyle w:val="IndexLink"/>
                <w:rtl w:val="true"/>
              </w:rPr>
              <w:t xml:space="preserve">. </w:t>
            </w:r>
            <w:r>
              <w:rPr>
                <w:rStyle w:val="IndexLink"/>
                <w:rtl w:val="true"/>
              </w:rPr>
              <w:t>برپایی آیین‌های مختلف با تلفیق فرهنگی</w:t>
            </w:r>
            <w:r>
              <w:rPr>
                <w:rStyle w:val="IndexLink"/>
                <w:rtl w:val="true"/>
              </w:rPr>
              <w:tab/>
            </w:r>
            <w:r>
              <w:rPr>
                <w:rStyle w:val="IndexLink"/>
              </w:rPr>
              <w:t>90</w:t>
            </w:r>
          </w:hyperlink>
        </w:p>
        <w:p>
          <w:pPr>
            <w:pStyle w:val="Contents5"/>
            <w:tabs>
              <w:tab w:val="clear" w:pos="7892"/>
              <w:tab w:val="right" w:pos="9026" w:leader="dot"/>
            </w:tabs>
            <w:rPr/>
          </w:pPr>
          <w:hyperlink w:anchor="__RefHeading___Toc14423813_1280447820">
            <w:r>
              <w:rPr>
                <w:webHidden/>
                <w:rStyle w:val="IndexLink"/>
              </w:rPr>
              <w:t>2-4</w:t>
            </w:r>
            <w:r>
              <w:rPr>
                <w:rStyle w:val="IndexLink"/>
                <w:rtl w:val="true"/>
              </w:rPr>
              <w:t xml:space="preserve">. </w:t>
            </w:r>
            <w:r>
              <w:rPr>
                <w:rStyle w:val="IndexLink"/>
                <w:rtl w:val="true"/>
              </w:rPr>
              <w:t>تلفیق آداب و سنت‌ها در شیوه ارائه خدمات</w:t>
            </w:r>
            <w:r>
              <w:rPr>
                <w:rStyle w:val="IndexLink"/>
                <w:rtl w:val="true"/>
              </w:rPr>
              <w:tab/>
            </w:r>
            <w:r>
              <w:rPr>
                <w:rStyle w:val="IndexLink"/>
              </w:rPr>
              <w:t>91</w:t>
            </w:r>
          </w:hyperlink>
        </w:p>
        <w:p>
          <w:pPr>
            <w:pStyle w:val="Contents5"/>
            <w:tabs>
              <w:tab w:val="clear" w:pos="7892"/>
              <w:tab w:val="right" w:pos="9026" w:leader="dot"/>
            </w:tabs>
            <w:rPr/>
          </w:pPr>
          <w:hyperlink w:anchor="__RefHeading___Toc14423815_1280447820">
            <w:r>
              <w:rPr>
                <w:webHidden/>
                <w:rStyle w:val="IndexLink"/>
              </w:rPr>
              <w:t>2-5</w:t>
            </w:r>
            <w:r>
              <w:rPr>
                <w:rStyle w:val="IndexLink"/>
                <w:rtl w:val="true"/>
              </w:rPr>
              <w:t xml:space="preserve">. </w:t>
            </w:r>
            <w:r>
              <w:rPr>
                <w:rStyle w:val="IndexLink"/>
                <w:rtl w:val="true"/>
              </w:rPr>
              <w:t>مجالس عزاداری و شبیه‌سازی فارسی و عربی</w:t>
            </w:r>
            <w:r>
              <w:rPr>
                <w:rStyle w:val="IndexLink"/>
                <w:rtl w:val="true"/>
              </w:rPr>
              <w:tab/>
            </w:r>
            <w:r>
              <w:rPr>
                <w:rStyle w:val="IndexLink"/>
              </w:rPr>
              <w:t>91</w:t>
            </w:r>
          </w:hyperlink>
        </w:p>
        <w:p>
          <w:pPr>
            <w:pStyle w:val="Contents4"/>
            <w:tabs>
              <w:tab w:val="clear" w:pos="8176"/>
              <w:tab w:val="right" w:pos="9026" w:leader="dot"/>
            </w:tabs>
            <w:rPr/>
          </w:pPr>
          <w:hyperlink w:anchor="__RefHeading___Toc14423817_1280447820">
            <w:r>
              <w:rPr>
                <w:webHidden/>
                <w:rStyle w:val="IndexLink"/>
              </w:rPr>
              <w:t>3</w:t>
            </w:r>
            <w:r>
              <w:rPr>
                <w:rStyle w:val="IndexLink"/>
                <w:rtl w:val="true"/>
              </w:rPr>
              <w:t xml:space="preserve">. </w:t>
            </w:r>
            <w:r>
              <w:rPr>
                <w:rStyle w:val="IndexLink"/>
                <w:rtl w:val="true"/>
              </w:rPr>
              <w:t>کژ کارکردها و بد کارکردهای منشعب شده</w:t>
            </w:r>
            <w:r>
              <w:rPr>
                <w:rStyle w:val="IndexLink"/>
                <w:rtl w:val="true"/>
              </w:rPr>
              <w:tab/>
            </w:r>
            <w:r>
              <w:rPr>
                <w:rStyle w:val="IndexLink"/>
              </w:rPr>
              <w:t>93</w:t>
            </w:r>
          </w:hyperlink>
        </w:p>
        <w:p>
          <w:pPr>
            <w:pStyle w:val="Contents5"/>
            <w:tabs>
              <w:tab w:val="clear" w:pos="7892"/>
              <w:tab w:val="right" w:pos="9026" w:leader="dot"/>
            </w:tabs>
            <w:rPr/>
          </w:pPr>
          <w:hyperlink w:anchor="__RefHeading___Toc14423819_1280447820">
            <w:r>
              <w:rPr>
                <w:webHidden/>
                <w:rStyle w:val="IndexLink"/>
              </w:rPr>
              <w:t>3-1</w:t>
            </w:r>
            <w:r>
              <w:rPr>
                <w:rStyle w:val="IndexLink"/>
                <w:rtl w:val="true"/>
              </w:rPr>
              <w:t xml:space="preserve">. </w:t>
            </w:r>
            <w:r>
              <w:rPr>
                <w:rStyle w:val="IndexLink"/>
                <w:rtl w:val="true"/>
              </w:rPr>
              <w:t>دخالت بی‌ضابطه برخی ارگان‌های حکومتی و دولتی</w:t>
            </w:r>
            <w:r>
              <w:rPr>
                <w:rStyle w:val="IndexLink"/>
                <w:rtl w:val="true"/>
              </w:rPr>
              <w:tab/>
            </w:r>
            <w:r>
              <w:rPr>
                <w:rStyle w:val="IndexLink"/>
              </w:rPr>
              <w:t>93</w:t>
            </w:r>
          </w:hyperlink>
        </w:p>
        <w:p>
          <w:pPr>
            <w:pStyle w:val="Contents5"/>
            <w:tabs>
              <w:tab w:val="clear" w:pos="7892"/>
              <w:tab w:val="right" w:pos="9026" w:leader="dot"/>
            </w:tabs>
            <w:rPr/>
          </w:pPr>
          <w:hyperlink w:anchor="__RefHeading___Toc14423821_1280447820">
            <w:r>
              <w:rPr>
                <w:webHidden/>
                <w:rStyle w:val="IndexLink"/>
              </w:rPr>
              <w:t>3-2</w:t>
            </w:r>
            <w:r>
              <w:rPr>
                <w:rStyle w:val="IndexLink"/>
                <w:rtl w:val="true"/>
              </w:rPr>
              <w:t xml:space="preserve">. </w:t>
            </w:r>
            <w:r>
              <w:rPr>
                <w:rStyle w:val="IndexLink"/>
                <w:rtl w:val="true"/>
              </w:rPr>
              <w:t>وضعیت محیط زیستی و تولید زباله‌های انبوه</w:t>
            </w:r>
            <w:r>
              <w:rPr>
                <w:rStyle w:val="IndexLink"/>
                <w:rtl w:val="true"/>
              </w:rPr>
              <w:tab/>
            </w:r>
            <w:r>
              <w:rPr>
                <w:rStyle w:val="IndexLink"/>
              </w:rPr>
              <w:t>94</w:t>
            </w:r>
          </w:hyperlink>
        </w:p>
        <w:p>
          <w:pPr>
            <w:pStyle w:val="Contents5"/>
            <w:tabs>
              <w:tab w:val="clear" w:pos="7892"/>
              <w:tab w:val="right" w:pos="9026" w:leader="dot"/>
            </w:tabs>
            <w:rPr/>
          </w:pPr>
          <w:hyperlink w:anchor="__RefHeading___Toc14423823_1280447820">
            <w:r>
              <w:rPr>
                <w:webHidden/>
                <w:rStyle w:val="IndexLink"/>
              </w:rPr>
              <w:t>3-3</w:t>
            </w:r>
            <w:r>
              <w:rPr>
                <w:rStyle w:val="IndexLink"/>
                <w:rtl w:val="true"/>
              </w:rPr>
              <w:t xml:space="preserve">. </w:t>
            </w:r>
            <w:r>
              <w:rPr>
                <w:rStyle w:val="IndexLink"/>
                <w:rtl w:val="true"/>
              </w:rPr>
              <w:t>مشاهده آسیب‌های اجتماعی</w:t>
            </w:r>
            <w:r>
              <w:rPr>
                <w:rStyle w:val="IndexLink"/>
                <w:rtl w:val="true"/>
              </w:rPr>
              <w:tab/>
            </w:r>
            <w:r>
              <w:rPr>
                <w:rStyle w:val="IndexLink"/>
              </w:rPr>
              <w:t>95</w:t>
            </w:r>
          </w:hyperlink>
        </w:p>
        <w:p>
          <w:pPr>
            <w:pStyle w:val="Contents3"/>
            <w:tabs>
              <w:tab w:val="clear" w:pos="8459"/>
              <w:tab w:val="right" w:pos="9026" w:leader="dot"/>
            </w:tabs>
            <w:rPr/>
          </w:pPr>
          <w:hyperlink w:anchor="__RefHeading___Toc14423825_1280447820">
            <w:r>
              <w:rPr>
                <w:webHidden/>
                <w:rStyle w:val="IndexLink"/>
                <w:rtl w:val="true"/>
              </w:rPr>
              <w:t>نتیجه</w:t>
            </w:r>
            <w:r>
              <w:rPr>
                <w:rStyle w:val="IndexLink"/>
                <w:rtl w:val="true"/>
              </w:rPr>
              <w:tab/>
            </w:r>
            <w:r>
              <w:rPr>
                <w:rStyle w:val="IndexLink"/>
              </w:rPr>
              <w:t>95</w:t>
            </w:r>
          </w:hyperlink>
        </w:p>
        <w:p>
          <w:pPr>
            <w:pStyle w:val="Contents3"/>
            <w:tabs>
              <w:tab w:val="clear" w:pos="8459"/>
              <w:tab w:val="right" w:pos="9026" w:leader="dot"/>
            </w:tabs>
            <w:rPr/>
          </w:pPr>
          <w:hyperlink w:anchor="__RefHeading___Toc14423827_1280447820">
            <w:r>
              <w:rPr>
                <w:webHidden/>
                <w:rStyle w:val="IndexLink"/>
                <w:rtl w:val="true"/>
              </w:rPr>
              <w:t>منابع</w:t>
            </w:r>
            <w:r>
              <w:rPr>
                <w:rStyle w:val="IndexLink"/>
                <w:rtl w:val="true"/>
              </w:rPr>
              <w:tab/>
            </w:r>
            <w:r>
              <w:rPr>
                <w:rStyle w:val="IndexLink"/>
              </w:rPr>
              <w:t>96</w:t>
            </w:r>
          </w:hyperlink>
        </w:p>
        <w:p>
          <w:pPr>
            <w:pStyle w:val="Contents2"/>
            <w:tabs>
              <w:tab w:val="clear" w:pos="8743"/>
              <w:tab w:val="right" w:pos="9026" w:leader="dot"/>
            </w:tabs>
            <w:rPr/>
          </w:pPr>
          <w:hyperlink w:anchor="__RefHeading___Toc14423829_1280447820">
            <w:r>
              <w:rPr>
                <w:webHidden/>
                <w:rStyle w:val="IndexLink"/>
                <w:rtl w:val="true"/>
              </w:rPr>
              <w:t>واکاوی لایه‌های عمیق یک زیارت؛ بازخوانی و تحلیل چند سفرنامه پیاده‌روی اربعین حسینی</w:t>
            </w:r>
            <w:r>
              <w:rPr>
                <w:rStyle w:val="IndexLink"/>
                <w:rtl w:val="true"/>
              </w:rPr>
              <w:tab/>
            </w:r>
            <w:r>
              <w:rPr>
                <w:rStyle w:val="IndexLink"/>
              </w:rPr>
              <w:t>99</w:t>
            </w:r>
          </w:hyperlink>
        </w:p>
        <w:p>
          <w:pPr>
            <w:pStyle w:val="Contents3"/>
            <w:tabs>
              <w:tab w:val="clear" w:pos="8459"/>
              <w:tab w:val="right" w:pos="9026" w:leader="dot"/>
            </w:tabs>
            <w:rPr/>
          </w:pPr>
          <w:hyperlink w:anchor="__RefHeading___Toc14423831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4423833_1280447820">
            <w:r>
              <w:rPr>
                <w:webHidden/>
                <w:rStyle w:val="IndexLink"/>
                <w:rtl w:val="true"/>
              </w:rPr>
              <w:t>مقدمه</w:t>
            </w:r>
            <w:r>
              <w:rPr>
                <w:rStyle w:val="IndexLink"/>
                <w:rtl w:val="true"/>
              </w:rPr>
              <w:tab/>
            </w:r>
            <w:r>
              <w:rPr>
                <w:rStyle w:val="IndexLink"/>
              </w:rPr>
              <w:t>100</w:t>
            </w:r>
          </w:hyperlink>
        </w:p>
        <w:p>
          <w:pPr>
            <w:pStyle w:val="Contents4"/>
            <w:tabs>
              <w:tab w:val="clear" w:pos="8176"/>
              <w:tab w:val="right" w:pos="9026" w:leader="dot"/>
            </w:tabs>
            <w:rPr/>
          </w:pPr>
          <w:hyperlink w:anchor="__RefHeading___Toc14423835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4423837_1280447820">
            <w:r>
              <w:rPr>
                <w:webHidden/>
                <w:rStyle w:val="IndexLink"/>
              </w:rPr>
              <w:t>1</w:t>
            </w:r>
            <w:r>
              <w:rPr>
                <w:rStyle w:val="IndexLink"/>
                <w:rtl w:val="true"/>
              </w:rPr>
              <w:t xml:space="preserve">. </w:t>
            </w:r>
            <w:r>
              <w:rPr>
                <w:rStyle w:val="IndexLink"/>
                <w:rtl w:val="true"/>
              </w:rPr>
              <w:t>نذری</w:t>
            </w:r>
            <w:r>
              <w:rPr>
                <w:rStyle w:val="IndexLink"/>
                <w:rtl w:val="true"/>
              </w:rPr>
              <w:tab/>
            </w:r>
            <w:r>
              <w:rPr>
                <w:rStyle w:val="IndexLink"/>
              </w:rPr>
              <w:t>105</w:t>
            </w:r>
          </w:hyperlink>
        </w:p>
        <w:p>
          <w:pPr>
            <w:pStyle w:val="Contents4"/>
            <w:tabs>
              <w:tab w:val="clear" w:pos="8176"/>
              <w:tab w:val="right" w:pos="9026" w:leader="dot"/>
            </w:tabs>
            <w:rPr/>
          </w:pPr>
          <w:hyperlink w:anchor="__RefHeading___Toc14423839_1280447820">
            <w:r>
              <w:rPr>
                <w:webHidden/>
                <w:rStyle w:val="IndexLink"/>
              </w:rPr>
              <w:t>2</w:t>
            </w:r>
            <w:r>
              <w:rPr>
                <w:rStyle w:val="IndexLink"/>
                <w:rtl w:val="true"/>
              </w:rPr>
              <w:t xml:space="preserve">. </w:t>
            </w:r>
            <w:r>
              <w:rPr>
                <w:rStyle w:val="IndexLink"/>
                <w:rtl w:val="true"/>
              </w:rPr>
              <w:t>مشارکت و همدلی</w:t>
            </w:r>
            <w:r>
              <w:rPr>
                <w:rStyle w:val="IndexLink"/>
                <w:rtl w:val="true"/>
              </w:rPr>
              <w:tab/>
            </w:r>
            <w:r>
              <w:rPr>
                <w:rStyle w:val="IndexLink"/>
              </w:rPr>
              <w:t>105</w:t>
            </w:r>
          </w:hyperlink>
        </w:p>
        <w:p>
          <w:pPr>
            <w:pStyle w:val="Contents4"/>
            <w:tabs>
              <w:tab w:val="clear" w:pos="8176"/>
              <w:tab w:val="right" w:pos="9026" w:leader="dot"/>
            </w:tabs>
            <w:rPr/>
          </w:pPr>
          <w:hyperlink w:anchor="__RefHeading___Toc14423841_1280447820">
            <w:r>
              <w:rPr>
                <w:webHidden/>
                <w:rStyle w:val="IndexLink"/>
              </w:rPr>
              <w:t>3</w:t>
            </w:r>
            <w:r>
              <w:rPr>
                <w:rStyle w:val="IndexLink"/>
                <w:rtl w:val="true"/>
              </w:rPr>
              <w:t xml:space="preserve">. </w:t>
            </w:r>
            <w:r>
              <w:rPr>
                <w:rStyle w:val="IndexLink"/>
                <w:rtl w:val="true"/>
              </w:rPr>
              <w:t>اهمیت</w:t>
            </w:r>
            <w:r>
              <w:rPr>
                <w:rStyle w:val="IndexLink"/>
                <w:rtl w:val="true"/>
              </w:rPr>
              <w:tab/>
            </w:r>
            <w:r>
              <w:rPr>
                <w:rStyle w:val="IndexLink"/>
              </w:rPr>
              <w:t>105</w:t>
            </w:r>
          </w:hyperlink>
        </w:p>
        <w:p>
          <w:pPr>
            <w:pStyle w:val="Contents4"/>
            <w:tabs>
              <w:tab w:val="clear" w:pos="8176"/>
              <w:tab w:val="right" w:pos="9026" w:leader="dot"/>
            </w:tabs>
            <w:rPr/>
          </w:pPr>
          <w:hyperlink w:anchor="__RefHeading___Toc14423843_1280447820">
            <w:r>
              <w:rPr>
                <w:webHidden/>
                <w:rStyle w:val="IndexLink"/>
              </w:rPr>
              <w:t>4</w:t>
            </w:r>
            <w:r>
              <w:rPr>
                <w:rStyle w:val="IndexLink"/>
                <w:rtl w:val="true"/>
              </w:rPr>
              <w:t xml:space="preserve">. </w:t>
            </w:r>
            <w:r>
              <w:rPr>
                <w:rStyle w:val="IndexLink"/>
                <w:rtl w:val="true"/>
              </w:rPr>
              <w:t>تنوع</w:t>
            </w:r>
            <w:r>
              <w:rPr>
                <w:rStyle w:val="IndexLink"/>
                <w:rtl w:val="true"/>
              </w:rPr>
              <w:tab/>
            </w:r>
            <w:r>
              <w:rPr>
                <w:rStyle w:val="IndexLink"/>
              </w:rPr>
              <w:t>105</w:t>
            </w:r>
          </w:hyperlink>
        </w:p>
        <w:p>
          <w:pPr>
            <w:pStyle w:val="Contents4"/>
            <w:tabs>
              <w:tab w:val="clear" w:pos="8176"/>
              <w:tab w:val="right" w:pos="9026" w:leader="dot"/>
            </w:tabs>
            <w:rPr/>
          </w:pPr>
          <w:hyperlink w:anchor="__RefHeading___Toc14423845_1280447820">
            <w:r>
              <w:rPr>
                <w:webHidden/>
                <w:rStyle w:val="IndexLink"/>
              </w:rPr>
              <w:t>5</w:t>
            </w:r>
            <w:r>
              <w:rPr>
                <w:rStyle w:val="IndexLink"/>
                <w:rtl w:val="true"/>
              </w:rPr>
              <w:t xml:space="preserve">. </w:t>
            </w:r>
            <w:r>
              <w:rPr>
                <w:rStyle w:val="IndexLink"/>
                <w:rtl w:val="true"/>
              </w:rPr>
              <w:t>فراوانی</w:t>
            </w:r>
            <w:r>
              <w:rPr>
                <w:rStyle w:val="IndexLink"/>
                <w:rtl w:val="true"/>
              </w:rPr>
              <w:tab/>
            </w:r>
            <w:r>
              <w:rPr>
                <w:rStyle w:val="IndexLink"/>
              </w:rPr>
              <w:t>106</w:t>
            </w:r>
          </w:hyperlink>
        </w:p>
        <w:p>
          <w:pPr>
            <w:pStyle w:val="Contents4"/>
            <w:tabs>
              <w:tab w:val="clear" w:pos="8176"/>
              <w:tab w:val="right" w:pos="9026" w:leader="dot"/>
            </w:tabs>
            <w:rPr/>
          </w:pPr>
          <w:hyperlink w:anchor="__RefHeading___Toc14423847_1280447820">
            <w:r>
              <w:rPr>
                <w:webHidden/>
                <w:rStyle w:val="IndexLink"/>
              </w:rPr>
              <w:t>6</w:t>
            </w:r>
            <w:r>
              <w:rPr>
                <w:rStyle w:val="IndexLink"/>
                <w:rtl w:val="true"/>
              </w:rPr>
              <w:t xml:space="preserve">. </w:t>
            </w:r>
            <w:r>
              <w:rPr>
                <w:rStyle w:val="IndexLink"/>
                <w:rtl w:val="true"/>
              </w:rPr>
              <w:t>کیفیت</w:t>
            </w:r>
            <w:r>
              <w:rPr>
                <w:rStyle w:val="IndexLink"/>
                <w:rtl w:val="true"/>
              </w:rPr>
              <w:tab/>
            </w:r>
            <w:r>
              <w:rPr>
                <w:rStyle w:val="IndexLink"/>
              </w:rPr>
              <w:t>106</w:t>
            </w:r>
          </w:hyperlink>
        </w:p>
        <w:p>
          <w:pPr>
            <w:pStyle w:val="Contents4"/>
            <w:tabs>
              <w:tab w:val="clear" w:pos="8176"/>
              <w:tab w:val="right" w:pos="9026" w:leader="dot"/>
            </w:tabs>
            <w:rPr/>
          </w:pPr>
          <w:hyperlink w:anchor="__RefHeading___Toc14423849_1280447820">
            <w:r>
              <w:rPr>
                <w:webHidden/>
                <w:rStyle w:val="IndexLink"/>
              </w:rPr>
              <w:t>7</w:t>
            </w:r>
            <w:r>
              <w:rPr>
                <w:rStyle w:val="IndexLink"/>
                <w:rtl w:val="true"/>
              </w:rPr>
              <w:t xml:space="preserve">. </w:t>
            </w:r>
            <w:r>
              <w:rPr>
                <w:rStyle w:val="IndexLink"/>
                <w:rtl w:val="true"/>
              </w:rPr>
              <w:t>نکات فرهنگی</w:t>
            </w:r>
            <w:r>
              <w:rPr>
                <w:rStyle w:val="IndexLink"/>
                <w:rtl w:val="true"/>
              </w:rPr>
              <w:tab/>
            </w:r>
            <w:r>
              <w:rPr>
                <w:rStyle w:val="IndexLink"/>
              </w:rPr>
              <w:t>106</w:t>
            </w:r>
          </w:hyperlink>
        </w:p>
        <w:p>
          <w:pPr>
            <w:pStyle w:val="Contents3"/>
            <w:tabs>
              <w:tab w:val="clear" w:pos="8459"/>
              <w:tab w:val="right" w:pos="9026" w:leader="dot"/>
            </w:tabs>
            <w:rPr/>
          </w:pPr>
          <w:hyperlink w:anchor="__RefHeading___Toc14423851_1280447820">
            <w:r>
              <w:rPr>
                <w:webHidden/>
                <w:rStyle w:val="IndexLink"/>
              </w:rPr>
              <w:t>1</w:t>
            </w:r>
            <w:r>
              <w:rPr>
                <w:rStyle w:val="IndexLink"/>
                <w:rtl w:val="true"/>
              </w:rPr>
              <w:t xml:space="preserve">. </w:t>
            </w:r>
            <w:r>
              <w:rPr>
                <w:rStyle w:val="IndexLink"/>
                <w:rtl w:val="true"/>
              </w:rPr>
              <w:t>تنوع زبانی</w:t>
            </w:r>
            <w:r>
              <w:rPr>
                <w:rStyle w:val="IndexLink"/>
                <w:rtl w:val="true"/>
              </w:rPr>
              <w:tab/>
            </w:r>
            <w:r>
              <w:rPr>
                <w:rStyle w:val="IndexLink"/>
              </w:rPr>
              <w:t>111</w:t>
            </w:r>
          </w:hyperlink>
        </w:p>
        <w:p>
          <w:pPr>
            <w:pStyle w:val="Contents3"/>
            <w:tabs>
              <w:tab w:val="clear" w:pos="8459"/>
              <w:tab w:val="right" w:pos="9026" w:leader="dot"/>
            </w:tabs>
            <w:rPr/>
          </w:pPr>
          <w:hyperlink w:anchor="__RefHeading___Toc14423853_1280447820">
            <w:r>
              <w:rPr>
                <w:webHidden/>
                <w:rStyle w:val="IndexLink"/>
              </w:rPr>
              <w:t>2</w:t>
            </w:r>
            <w:r>
              <w:rPr>
                <w:rStyle w:val="IndexLink"/>
                <w:rtl w:val="true"/>
              </w:rPr>
              <w:t xml:space="preserve">. </w:t>
            </w:r>
            <w:r>
              <w:rPr>
                <w:rStyle w:val="IndexLink"/>
                <w:rtl w:val="true"/>
              </w:rPr>
              <w:t>چالش‌های ارتباطی</w:t>
            </w:r>
            <w:r>
              <w:rPr>
                <w:rStyle w:val="IndexLink"/>
                <w:rtl w:val="true"/>
              </w:rPr>
              <w:tab/>
            </w:r>
            <w:r>
              <w:rPr>
                <w:rStyle w:val="IndexLink"/>
              </w:rPr>
              <w:t>112</w:t>
            </w:r>
          </w:hyperlink>
        </w:p>
        <w:p>
          <w:pPr>
            <w:pStyle w:val="Contents3"/>
            <w:tabs>
              <w:tab w:val="clear" w:pos="8459"/>
              <w:tab w:val="right" w:pos="9026" w:leader="dot"/>
            </w:tabs>
            <w:rPr/>
          </w:pPr>
          <w:hyperlink w:anchor="__RefHeading___Toc14423855_1280447820">
            <w:r>
              <w:rPr>
                <w:webHidden/>
                <w:rStyle w:val="IndexLink"/>
              </w:rPr>
              <w:t>3</w:t>
            </w:r>
            <w:r>
              <w:rPr>
                <w:rStyle w:val="IndexLink"/>
                <w:rtl w:val="true"/>
              </w:rPr>
              <w:t xml:space="preserve">. </w:t>
            </w:r>
            <w:r>
              <w:rPr>
                <w:rStyle w:val="IndexLink"/>
                <w:rtl w:val="true"/>
              </w:rPr>
              <w:t>خلاقیت زبانی</w:t>
            </w:r>
            <w:r>
              <w:rPr>
                <w:rStyle w:val="IndexLink"/>
                <w:rtl w:val="true"/>
              </w:rPr>
              <w:tab/>
            </w:r>
            <w:r>
              <w:rPr>
                <w:rStyle w:val="IndexLink"/>
              </w:rPr>
              <w:t>112</w:t>
            </w:r>
          </w:hyperlink>
        </w:p>
        <w:p>
          <w:pPr>
            <w:pStyle w:val="Contents3"/>
            <w:tabs>
              <w:tab w:val="clear" w:pos="8459"/>
              <w:tab w:val="right" w:pos="9026" w:leader="dot"/>
            </w:tabs>
            <w:rPr/>
          </w:pPr>
          <w:hyperlink w:anchor="__RefHeading___Toc14423857_1280447820">
            <w:r>
              <w:rPr>
                <w:webHidden/>
                <w:rStyle w:val="IndexLink"/>
              </w:rPr>
              <w:t>4</w:t>
            </w:r>
            <w:r>
              <w:rPr>
                <w:rStyle w:val="IndexLink"/>
                <w:rtl w:val="true"/>
              </w:rPr>
              <w:t xml:space="preserve">. </w:t>
            </w:r>
            <w:r>
              <w:rPr>
                <w:rStyle w:val="IndexLink"/>
                <w:rtl w:val="true"/>
              </w:rPr>
              <w:t>اشتباهات زبانی</w:t>
            </w:r>
            <w:r>
              <w:rPr>
                <w:rStyle w:val="IndexLink"/>
                <w:rtl w:val="true"/>
              </w:rPr>
              <w:tab/>
            </w:r>
            <w:r>
              <w:rPr>
                <w:rStyle w:val="IndexLink"/>
              </w:rPr>
              <w:t>112</w:t>
            </w:r>
          </w:hyperlink>
        </w:p>
        <w:p>
          <w:pPr>
            <w:pStyle w:val="Contents3"/>
            <w:tabs>
              <w:tab w:val="clear" w:pos="8459"/>
              <w:tab w:val="right" w:pos="9026" w:leader="dot"/>
            </w:tabs>
            <w:rPr/>
          </w:pPr>
          <w:hyperlink w:anchor="__RefHeading___Toc14423859_1280447820">
            <w:r>
              <w:rPr>
                <w:webHidden/>
                <w:rStyle w:val="IndexLink"/>
              </w:rPr>
              <w:t>5</w:t>
            </w:r>
            <w:r>
              <w:rPr>
                <w:rStyle w:val="IndexLink"/>
                <w:rtl w:val="true"/>
              </w:rPr>
              <w:t xml:space="preserve">. </w:t>
            </w:r>
            <w:r>
              <w:rPr>
                <w:rStyle w:val="IndexLink"/>
                <w:rtl w:val="true"/>
              </w:rPr>
              <w:t>یادگیری زبان</w:t>
            </w:r>
            <w:r>
              <w:rPr>
                <w:rStyle w:val="IndexLink"/>
                <w:rtl w:val="true"/>
              </w:rPr>
              <w:tab/>
            </w:r>
            <w:r>
              <w:rPr>
                <w:rStyle w:val="IndexLink"/>
              </w:rPr>
              <w:t>112</w:t>
            </w:r>
          </w:hyperlink>
        </w:p>
        <w:p>
          <w:pPr>
            <w:pStyle w:val="Contents3"/>
            <w:tabs>
              <w:tab w:val="clear" w:pos="8459"/>
              <w:tab w:val="right" w:pos="9026" w:leader="dot"/>
            </w:tabs>
            <w:rPr/>
          </w:pPr>
          <w:hyperlink w:anchor="__RefHeading___Toc14423861_1280447820">
            <w:r>
              <w:rPr>
                <w:webHidden/>
                <w:rStyle w:val="IndexLink"/>
              </w:rPr>
              <w:t>6</w:t>
            </w:r>
            <w:r>
              <w:rPr>
                <w:rStyle w:val="IndexLink"/>
                <w:rtl w:val="true"/>
              </w:rPr>
              <w:t xml:space="preserve">. </w:t>
            </w:r>
            <w:r>
              <w:rPr>
                <w:rStyle w:val="IndexLink"/>
                <w:rtl w:val="true"/>
              </w:rPr>
              <w:t>همدلی و صبر</w:t>
            </w:r>
            <w:r>
              <w:rPr>
                <w:rStyle w:val="IndexLink"/>
                <w:rtl w:val="true"/>
              </w:rPr>
              <w:tab/>
            </w:r>
            <w:r>
              <w:rPr>
                <w:rStyle w:val="IndexLink"/>
              </w:rPr>
              <w:t>112</w:t>
            </w:r>
          </w:hyperlink>
        </w:p>
        <w:p>
          <w:pPr>
            <w:pStyle w:val="Contents3"/>
            <w:tabs>
              <w:tab w:val="clear" w:pos="8459"/>
              <w:tab w:val="right" w:pos="9026" w:leader="dot"/>
            </w:tabs>
            <w:rPr/>
          </w:pPr>
          <w:hyperlink w:anchor="__RefHeading___Toc14423863_1280447820">
            <w:r>
              <w:rPr>
                <w:webHidden/>
                <w:rStyle w:val="IndexLink"/>
              </w:rPr>
              <w:t>7</w:t>
            </w:r>
            <w:r>
              <w:rPr>
                <w:rStyle w:val="IndexLink"/>
                <w:rtl w:val="true"/>
              </w:rPr>
              <w:t xml:space="preserve">. </w:t>
            </w:r>
            <w:r>
              <w:rPr>
                <w:rStyle w:val="IndexLink"/>
                <w:rtl w:val="true"/>
              </w:rPr>
              <w:t>غرور ملی</w:t>
            </w:r>
            <w:r>
              <w:rPr>
                <w:rStyle w:val="IndexLink"/>
                <w:rtl w:val="true"/>
              </w:rPr>
              <w:tab/>
            </w:r>
            <w:r>
              <w:rPr>
                <w:rStyle w:val="IndexLink"/>
              </w:rPr>
              <w:t>112</w:t>
            </w:r>
          </w:hyperlink>
        </w:p>
        <w:p>
          <w:pPr>
            <w:pStyle w:val="Contents3"/>
            <w:tabs>
              <w:tab w:val="clear" w:pos="8459"/>
              <w:tab w:val="right" w:pos="9026" w:leader="dot"/>
            </w:tabs>
            <w:rPr/>
          </w:pPr>
          <w:hyperlink w:anchor="__RefHeading___Toc14423865_1280447820">
            <w:r>
              <w:rPr>
                <w:webHidden/>
                <w:rStyle w:val="IndexLink"/>
              </w:rPr>
              <w:t>8</w:t>
            </w:r>
            <w:r>
              <w:rPr>
                <w:rStyle w:val="IndexLink"/>
                <w:rtl w:val="true"/>
              </w:rPr>
              <w:t xml:space="preserve">. </w:t>
            </w:r>
            <w:r>
              <w:rPr>
                <w:rStyle w:val="IndexLink"/>
                <w:rtl w:val="true"/>
              </w:rPr>
              <w:t>طنز</w:t>
            </w:r>
            <w:r>
              <w:rPr>
                <w:rStyle w:val="IndexLink"/>
                <w:rtl w:val="true"/>
              </w:rPr>
              <w:tab/>
            </w:r>
            <w:r>
              <w:rPr>
                <w:rStyle w:val="IndexLink"/>
              </w:rPr>
              <w:t>112</w:t>
            </w:r>
          </w:hyperlink>
        </w:p>
        <w:p>
          <w:pPr>
            <w:pStyle w:val="Contents3"/>
            <w:tabs>
              <w:tab w:val="clear" w:pos="8459"/>
              <w:tab w:val="right" w:pos="9026" w:leader="dot"/>
            </w:tabs>
            <w:rPr/>
          </w:pPr>
          <w:hyperlink w:anchor="__RefHeading___Toc14423867_1280447820">
            <w:r>
              <w:rPr>
                <w:webHidden/>
                <w:rStyle w:val="IndexLink"/>
              </w:rPr>
              <w:t>9</w:t>
            </w:r>
            <w:r>
              <w:rPr>
                <w:rStyle w:val="IndexLink"/>
                <w:rtl w:val="true"/>
              </w:rPr>
              <w:t xml:space="preserve">. </w:t>
            </w:r>
            <w:r>
              <w:rPr>
                <w:rStyle w:val="IndexLink"/>
                <w:rtl w:val="true"/>
              </w:rPr>
              <w:t>تجارب زبانی</w:t>
            </w:r>
            <w:r>
              <w:rPr>
                <w:rStyle w:val="IndexLink"/>
                <w:rtl w:val="true"/>
              </w:rPr>
              <w:tab/>
            </w:r>
            <w:r>
              <w:rPr>
                <w:rStyle w:val="IndexLink"/>
              </w:rPr>
              <w:t>113</w:t>
            </w:r>
          </w:hyperlink>
        </w:p>
        <w:p>
          <w:pPr>
            <w:pStyle w:val="Contents3"/>
            <w:tabs>
              <w:tab w:val="clear" w:pos="8459"/>
              <w:tab w:val="right" w:pos="9026" w:leader="dot"/>
            </w:tabs>
            <w:rPr/>
          </w:pPr>
          <w:hyperlink w:anchor="__RefHeading___Toc14423869_1280447820">
            <w:r>
              <w:rPr>
                <w:webHidden/>
                <w:rStyle w:val="IndexLink"/>
              </w:rPr>
              <w:t>10</w:t>
            </w:r>
            <w:r>
              <w:rPr>
                <w:rStyle w:val="IndexLink"/>
                <w:rtl w:val="true"/>
              </w:rPr>
              <w:t xml:space="preserve">. </w:t>
            </w:r>
            <w:r>
              <w:rPr>
                <w:rStyle w:val="IndexLink"/>
                <w:rtl w:val="true"/>
              </w:rPr>
              <w:t>همبستگی</w:t>
            </w:r>
            <w:r>
              <w:rPr>
                <w:rStyle w:val="IndexLink"/>
                <w:rtl w:val="true"/>
              </w:rPr>
              <w:tab/>
            </w:r>
            <w:r>
              <w:rPr>
                <w:rStyle w:val="IndexLink"/>
              </w:rPr>
              <w:t>113</w:t>
            </w:r>
          </w:hyperlink>
        </w:p>
        <w:p>
          <w:pPr>
            <w:pStyle w:val="Contents4"/>
            <w:tabs>
              <w:tab w:val="clear" w:pos="8176"/>
              <w:tab w:val="right" w:pos="9026" w:leader="dot"/>
            </w:tabs>
            <w:rPr/>
          </w:pPr>
          <w:hyperlink w:anchor="__RefHeading___Toc14423871_12804478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423873_1280447820">
            <w:r>
              <w:rPr>
                <w:webHidden/>
                <w:rStyle w:val="IndexLink"/>
              </w:rPr>
              <w:t>1</w:t>
            </w:r>
            <w:r>
              <w:rPr>
                <w:rStyle w:val="IndexLink"/>
                <w:rtl w:val="true"/>
              </w:rPr>
              <w:t xml:space="preserve">. </w:t>
            </w:r>
            <w:r>
              <w:rPr>
                <w:rStyle w:val="IndexLink"/>
                <w:rtl w:val="true"/>
              </w:rPr>
              <w:t>لطافت روح و معنویت</w:t>
            </w:r>
            <w:r>
              <w:rPr>
                <w:rStyle w:val="IndexLink"/>
                <w:rtl w:val="true"/>
              </w:rPr>
              <w:tab/>
            </w:r>
            <w:r>
              <w:rPr>
                <w:rStyle w:val="IndexLink"/>
              </w:rPr>
              <w:t>115</w:t>
            </w:r>
          </w:hyperlink>
        </w:p>
        <w:p>
          <w:pPr>
            <w:pStyle w:val="Contents4"/>
            <w:tabs>
              <w:tab w:val="clear" w:pos="8176"/>
              <w:tab w:val="right" w:pos="9026" w:leader="dot"/>
            </w:tabs>
            <w:rPr/>
          </w:pPr>
          <w:hyperlink w:anchor="__RefHeading___Toc14423875_1280447820">
            <w:r>
              <w:rPr>
                <w:webHidden/>
                <w:rStyle w:val="IndexLink"/>
              </w:rPr>
              <w:t>2</w:t>
            </w:r>
            <w:r>
              <w:rPr>
                <w:rStyle w:val="IndexLink"/>
                <w:rtl w:val="true"/>
              </w:rPr>
              <w:t xml:space="preserve">. </w:t>
            </w:r>
            <w:r>
              <w:rPr>
                <w:rStyle w:val="IndexLink"/>
                <w:rtl w:val="true"/>
              </w:rPr>
              <w:t>تحمل سختی و صبر</w:t>
            </w:r>
            <w:r>
              <w:rPr>
                <w:rStyle w:val="IndexLink"/>
                <w:rtl w:val="true"/>
              </w:rPr>
              <w:tab/>
            </w:r>
            <w:r>
              <w:rPr>
                <w:rStyle w:val="IndexLink"/>
              </w:rPr>
              <w:t>115</w:t>
            </w:r>
          </w:hyperlink>
        </w:p>
        <w:p>
          <w:pPr>
            <w:pStyle w:val="Contents4"/>
            <w:tabs>
              <w:tab w:val="clear" w:pos="8176"/>
              <w:tab w:val="right" w:pos="9026" w:leader="dot"/>
            </w:tabs>
            <w:rPr/>
          </w:pPr>
          <w:hyperlink w:anchor="__RefHeading___Toc14423877_1280447820">
            <w:r>
              <w:rPr>
                <w:webHidden/>
                <w:rStyle w:val="IndexLink"/>
              </w:rPr>
              <w:t>3</w:t>
            </w:r>
            <w:r>
              <w:rPr>
                <w:rStyle w:val="IndexLink"/>
                <w:rtl w:val="true"/>
              </w:rPr>
              <w:t xml:space="preserve">. </w:t>
            </w:r>
            <w:r>
              <w:rPr>
                <w:rStyle w:val="IndexLink"/>
                <w:rtl w:val="true"/>
              </w:rPr>
              <w:t>ایثار و فداکاری</w:t>
            </w:r>
            <w:r>
              <w:rPr>
                <w:rStyle w:val="IndexLink"/>
                <w:rtl w:val="true"/>
              </w:rPr>
              <w:tab/>
            </w:r>
            <w:r>
              <w:rPr>
                <w:rStyle w:val="IndexLink"/>
              </w:rPr>
              <w:t>115</w:t>
            </w:r>
          </w:hyperlink>
        </w:p>
        <w:p>
          <w:pPr>
            <w:pStyle w:val="Contents4"/>
            <w:tabs>
              <w:tab w:val="clear" w:pos="8176"/>
              <w:tab w:val="right" w:pos="9026" w:leader="dot"/>
            </w:tabs>
            <w:rPr/>
          </w:pPr>
          <w:hyperlink w:anchor="__RefHeading___Toc14423879_1280447820">
            <w:r>
              <w:rPr>
                <w:webHidden/>
                <w:rStyle w:val="IndexLink"/>
              </w:rPr>
              <w:t>4</w:t>
            </w:r>
            <w:r>
              <w:rPr>
                <w:rStyle w:val="IndexLink"/>
                <w:rtl w:val="true"/>
              </w:rPr>
              <w:t xml:space="preserve">. </w:t>
            </w:r>
            <w:r>
              <w:rPr>
                <w:rStyle w:val="IndexLink"/>
                <w:rtl w:val="true"/>
              </w:rPr>
              <w:t>قناعت و ساده‌زیستی</w:t>
            </w:r>
            <w:r>
              <w:rPr>
                <w:rStyle w:val="IndexLink"/>
                <w:rtl w:val="true"/>
              </w:rPr>
              <w:tab/>
            </w:r>
            <w:r>
              <w:rPr>
                <w:rStyle w:val="IndexLink"/>
              </w:rPr>
              <w:t>115</w:t>
            </w:r>
          </w:hyperlink>
        </w:p>
        <w:p>
          <w:pPr>
            <w:pStyle w:val="Contents4"/>
            <w:tabs>
              <w:tab w:val="clear" w:pos="8176"/>
              <w:tab w:val="right" w:pos="9026" w:leader="dot"/>
            </w:tabs>
            <w:rPr/>
          </w:pPr>
          <w:hyperlink w:anchor="__RefHeading___Toc14423881_1280447820">
            <w:r>
              <w:rPr>
                <w:webHidden/>
                <w:rStyle w:val="IndexLink"/>
              </w:rPr>
              <w:t>5</w:t>
            </w:r>
            <w:r>
              <w:rPr>
                <w:rStyle w:val="IndexLink"/>
                <w:rtl w:val="true"/>
              </w:rPr>
              <w:t xml:space="preserve">. </w:t>
            </w:r>
            <w:r>
              <w:rPr>
                <w:rStyle w:val="IndexLink"/>
                <w:rtl w:val="true"/>
              </w:rPr>
              <w:t>تربیت حس مسئولیت‌پذیری</w:t>
            </w:r>
            <w:r>
              <w:rPr>
                <w:rStyle w:val="IndexLink"/>
                <w:rtl w:val="true"/>
              </w:rPr>
              <w:tab/>
            </w:r>
            <w:r>
              <w:rPr>
                <w:rStyle w:val="IndexLink"/>
              </w:rPr>
              <w:t>115</w:t>
            </w:r>
          </w:hyperlink>
        </w:p>
        <w:p>
          <w:pPr>
            <w:pStyle w:val="Contents4"/>
            <w:tabs>
              <w:tab w:val="clear" w:pos="8176"/>
              <w:tab w:val="right" w:pos="9026" w:leader="dot"/>
            </w:tabs>
            <w:rPr/>
          </w:pPr>
          <w:hyperlink w:anchor="__RefHeading___Toc14423883_1280447820">
            <w:r>
              <w:rPr>
                <w:webHidden/>
                <w:rStyle w:val="IndexLink"/>
              </w:rPr>
              <w:t>6</w:t>
            </w:r>
            <w:r>
              <w:rPr>
                <w:rStyle w:val="IndexLink"/>
                <w:rtl w:val="true"/>
              </w:rPr>
              <w:t xml:space="preserve">. </w:t>
            </w:r>
            <w:r>
              <w:rPr>
                <w:rStyle w:val="IndexLink"/>
                <w:rtl w:val="true"/>
              </w:rPr>
              <w:t xml:space="preserve">تربیت حس تعلق خاطر به اهل بیت </w:t>
            </w:r>
            <w:r>
              <w:rPr>
                <w:rStyle w:val="IndexLink"/>
                <w:rtl w:val="true"/>
              </w:rPr>
              <w:t>(</w:t>
            </w:r>
            <w:r>
              <w:rPr>
                <w:rStyle w:val="IndexLink"/>
                <w:rtl w:val="true"/>
              </w:rPr>
              <w:t>علیهم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14423885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4423887_1280447820">
            <w:r>
              <w:rPr>
                <w:webHidden/>
                <w:rStyle w:val="IndexLink"/>
              </w:rPr>
              <w:t>1</w:t>
            </w:r>
            <w:r>
              <w:rPr>
                <w:rStyle w:val="IndexLink"/>
                <w:rtl w:val="true"/>
              </w:rPr>
              <w:t xml:space="preserve">. </w:t>
            </w:r>
            <w:r>
              <w:rPr>
                <w:rStyle w:val="IndexLink"/>
                <w:rtl w:val="true"/>
              </w:rPr>
              <w:t>اربعین به‌عنوان یک همایش جهانی با گرایش سیاسی و عقیدتی</w:t>
            </w:r>
            <w:r>
              <w:rPr>
                <w:rStyle w:val="IndexLink"/>
                <w:rtl w:val="true"/>
              </w:rPr>
              <w:tab/>
            </w:r>
            <w:r>
              <w:rPr>
                <w:rStyle w:val="IndexLink"/>
              </w:rPr>
              <w:t>117</w:t>
            </w:r>
          </w:hyperlink>
        </w:p>
        <w:p>
          <w:pPr>
            <w:pStyle w:val="Contents5"/>
            <w:tabs>
              <w:tab w:val="clear" w:pos="7892"/>
              <w:tab w:val="right" w:pos="9026" w:leader="dot"/>
            </w:tabs>
            <w:rPr/>
          </w:pPr>
          <w:hyperlink w:anchor="__RefHeading___Toc14423889_1280447820">
            <w:r>
              <w:rPr>
                <w:webHidden/>
                <w:rStyle w:val="IndexLink"/>
              </w:rPr>
              <w:t>2</w:t>
            </w:r>
            <w:r>
              <w:rPr>
                <w:rStyle w:val="IndexLink"/>
                <w:rtl w:val="true"/>
              </w:rPr>
              <w:t xml:space="preserve">. </w:t>
            </w:r>
            <w:r>
              <w:rPr>
                <w:rStyle w:val="IndexLink"/>
                <w:rtl w:val="true"/>
              </w:rPr>
              <w:t>تمایز بین حق و باطل</w:t>
            </w:r>
            <w:r>
              <w:rPr>
                <w:rStyle w:val="IndexLink"/>
                <w:rtl w:val="true"/>
              </w:rPr>
              <w:tab/>
            </w:r>
            <w:r>
              <w:rPr>
                <w:rStyle w:val="IndexLink"/>
              </w:rPr>
              <w:t>118</w:t>
            </w:r>
          </w:hyperlink>
        </w:p>
        <w:p>
          <w:pPr>
            <w:pStyle w:val="Contents5"/>
            <w:tabs>
              <w:tab w:val="clear" w:pos="7892"/>
              <w:tab w:val="right" w:pos="9026" w:leader="dot"/>
            </w:tabs>
            <w:rPr/>
          </w:pPr>
          <w:hyperlink w:anchor="__RefHeading___Toc14423891_1280447820">
            <w:r>
              <w:rPr>
                <w:webHidden/>
                <w:rStyle w:val="IndexLink"/>
              </w:rPr>
              <w:t>3</w:t>
            </w:r>
            <w:r>
              <w:rPr>
                <w:rStyle w:val="IndexLink"/>
                <w:rtl w:val="true"/>
              </w:rPr>
              <w:t xml:space="preserve">. </w:t>
            </w:r>
            <w:r>
              <w:rPr>
                <w:rStyle w:val="IndexLink"/>
                <w:rtl w:val="true"/>
              </w:rPr>
              <w:t>نقد سیاست‌های داخلی و خارجی</w:t>
            </w:r>
            <w:r>
              <w:rPr>
                <w:rStyle w:val="IndexLink"/>
                <w:rtl w:val="true"/>
              </w:rPr>
              <w:tab/>
            </w:r>
            <w:r>
              <w:rPr>
                <w:rStyle w:val="IndexLink"/>
              </w:rPr>
              <w:t>118</w:t>
            </w:r>
          </w:hyperlink>
        </w:p>
        <w:p>
          <w:pPr>
            <w:pStyle w:val="Contents5"/>
            <w:tabs>
              <w:tab w:val="clear" w:pos="7892"/>
              <w:tab w:val="right" w:pos="9026" w:leader="dot"/>
            </w:tabs>
            <w:rPr/>
          </w:pPr>
          <w:hyperlink w:anchor="__RefHeading___Toc14423893_1280447820">
            <w:r>
              <w:rPr>
                <w:webHidden/>
                <w:rStyle w:val="IndexLink"/>
              </w:rPr>
              <w:t>4</w:t>
            </w:r>
            <w:r>
              <w:rPr>
                <w:rStyle w:val="IndexLink"/>
                <w:rtl w:val="true"/>
              </w:rPr>
              <w:t xml:space="preserve">. </w:t>
            </w:r>
            <w:r>
              <w:rPr>
                <w:rStyle w:val="IndexLink"/>
                <w:rtl w:val="true"/>
              </w:rPr>
              <w:t>تقابل با دشمنان</w:t>
            </w:r>
            <w:r>
              <w:rPr>
                <w:rStyle w:val="IndexLink"/>
                <w:rtl w:val="true"/>
              </w:rPr>
              <w:tab/>
            </w:r>
            <w:r>
              <w:rPr>
                <w:rStyle w:val="IndexLink"/>
              </w:rPr>
              <w:t>118</w:t>
            </w:r>
          </w:hyperlink>
        </w:p>
        <w:p>
          <w:pPr>
            <w:pStyle w:val="Contents5"/>
            <w:tabs>
              <w:tab w:val="clear" w:pos="7892"/>
              <w:tab w:val="right" w:pos="9026" w:leader="dot"/>
            </w:tabs>
            <w:rPr/>
          </w:pPr>
          <w:hyperlink w:anchor="__RefHeading___Toc14423895_1280447820">
            <w:r>
              <w:rPr>
                <w:webHidden/>
                <w:rStyle w:val="IndexLink"/>
              </w:rPr>
              <w:t>5</w:t>
            </w:r>
            <w:r>
              <w:rPr>
                <w:rStyle w:val="IndexLink"/>
                <w:rtl w:val="true"/>
              </w:rPr>
              <w:t xml:space="preserve">. </w:t>
            </w:r>
            <w:r>
              <w:rPr>
                <w:rStyle w:val="IndexLink"/>
                <w:rtl w:val="true"/>
              </w:rPr>
              <w:t>ترویج فرهنگ ایثار و شهادت</w:t>
            </w:r>
            <w:r>
              <w:rPr>
                <w:rStyle w:val="IndexLink"/>
                <w:rtl w:val="true"/>
              </w:rPr>
              <w:tab/>
            </w:r>
            <w:r>
              <w:rPr>
                <w:rStyle w:val="IndexLink"/>
              </w:rPr>
              <w:t>118</w:t>
            </w:r>
          </w:hyperlink>
        </w:p>
        <w:p>
          <w:pPr>
            <w:pStyle w:val="Contents5"/>
            <w:tabs>
              <w:tab w:val="clear" w:pos="7892"/>
              <w:tab w:val="right" w:pos="9026" w:leader="dot"/>
            </w:tabs>
            <w:rPr/>
          </w:pPr>
          <w:hyperlink w:anchor="__RefHeading___Toc14423897_1280447820">
            <w:r>
              <w:rPr>
                <w:webHidden/>
                <w:rStyle w:val="IndexLink"/>
              </w:rPr>
              <w:t>6</w:t>
            </w:r>
            <w:r>
              <w:rPr>
                <w:rStyle w:val="IndexLink"/>
                <w:rtl w:val="true"/>
              </w:rPr>
              <w:t xml:space="preserve">. </w:t>
            </w:r>
            <w:r>
              <w:rPr>
                <w:rStyle w:val="IndexLink"/>
                <w:rtl w:val="true"/>
              </w:rPr>
              <w:t>اهمیت پیاده‌روی اربعین</w:t>
            </w:r>
            <w:r>
              <w:rPr>
                <w:rStyle w:val="IndexLink"/>
                <w:rtl w:val="true"/>
              </w:rPr>
              <w:tab/>
            </w:r>
            <w:r>
              <w:rPr>
                <w:rStyle w:val="IndexLink"/>
              </w:rPr>
              <w:t>119</w:t>
            </w:r>
          </w:hyperlink>
        </w:p>
        <w:p>
          <w:pPr>
            <w:pStyle w:val="Contents5"/>
            <w:tabs>
              <w:tab w:val="clear" w:pos="7892"/>
              <w:tab w:val="right" w:pos="9026" w:leader="dot"/>
            </w:tabs>
            <w:rPr/>
          </w:pPr>
          <w:hyperlink w:anchor="__RefHeading___Toc14423899_1280447820">
            <w:r>
              <w:rPr>
                <w:webHidden/>
                <w:rStyle w:val="IndexLink"/>
              </w:rPr>
              <w:t>7</w:t>
            </w:r>
            <w:r>
              <w:rPr>
                <w:rStyle w:val="IndexLink"/>
                <w:rtl w:val="true"/>
              </w:rPr>
              <w:t xml:space="preserve">. </w:t>
            </w:r>
            <w:r>
              <w:rPr>
                <w:rStyle w:val="IndexLink"/>
                <w:rtl w:val="true"/>
              </w:rPr>
              <w:t>تحولات و بیداری اسلامی</w:t>
            </w:r>
            <w:r>
              <w:rPr>
                <w:rStyle w:val="IndexLink"/>
                <w:rtl w:val="true"/>
              </w:rPr>
              <w:tab/>
            </w:r>
            <w:r>
              <w:rPr>
                <w:rStyle w:val="IndexLink"/>
              </w:rPr>
              <w:t>119</w:t>
            </w:r>
          </w:hyperlink>
        </w:p>
        <w:p>
          <w:pPr>
            <w:pStyle w:val="Contents5"/>
            <w:tabs>
              <w:tab w:val="clear" w:pos="7892"/>
              <w:tab w:val="right" w:pos="9026" w:leader="dot"/>
            </w:tabs>
            <w:rPr/>
          </w:pPr>
          <w:hyperlink w:anchor="__RefHeading___Toc14423901_1280447820">
            <w:r>
              <w:rPr>
                <w:webHidden/>
                <w:rStyle w:val="IndexLink"/>
              </w:rPr>
              <w:t>8</w:t>
            </w:r>
            <w:r>
              <w:rPr>
                <w:rStyle w:val="IndexLink"/>
                <w:rtl w:val="true"/>
              </w:rPr>
              <w:t xml:space="preserve">. </w:t>
            </w:r>
            <w:r>
              <w:rPr>
                <w:rStyle w:val="IndexLink"/>
                <w:rtl w:val="true"/>
              </w:rPr>
              <w:t>امید به آینده</w:t>
            </w:r>
            <w:r>
              <w:rPr>
                <w:rStyle w:val="IndexLink"/>
                <w:rtl w:val="true"/>
              </w:rPr>
              <w:tab/>
            </w:r>
            <w:r>
              <w:rPr>
                <w:rStyle w:val="IndexLink"/>
              </w:rPr>
              <w:t>119</w:t>
            </w:r>
          </w:hyperlink>
        </w:p>
        <w:p>
          <w:pPr>
            <w:pStyle w:val="Contents3"/>
            <w:tabs>
              <w:tab w:val="clear" w:pos="8459"/>
              <w:tab w:val="right" w:pos="9026" w:leader="dot"/>
            </w:tabs>
            <w:rPr/>
          </w:pPr>
          <w:hyperlink w:anchor="__RefHeading___Toc14423903_1280447820">
            <w:r>
              <w:rPr>
                <w:webHidden/>
                <w:rStyle w:val="IndexLink"/>
                <w:rtl w:val="true"/>
              </w:rPr>
              <w:t>نتیجه</w:t>
            </w:r>
            <w:r>
              <w:rPr>
                <w:rStyle w:val="IndexLink"/>
                <w:rtl w:val="true"/>
              </w:rPr>
              <w:tab/>
            </w:r>
            <w:r>
              <w:rPr>
                <w:rStyle w:val="IndexLink"/>
              </w:rPr>
              <w:t>119</w:t>
            </w:r>
          </w:hyperlink>
        </w:p>
        <w:p>
          <w:pPr>
            <w:pStyle w:val="Contents3"/>
            <w:tabs>
              <w:tab w:val="clear" w:pos="8459"/>
              <w:tab w:val="right" w:pos="9026" w:leader="dot"/>
            </w:tabs>
            <w:rPr/>
          </w:pPr>
          <w:hyperlink w:anchor="__RefHeading___Toc14423905_1280447820">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14423907_1280447820">
            <w:r>
              <w:rPr>
                <w:webHidden/>
                <w:rStyle w:val="IndexLink"/>
                <w:rtl w:val="true"/>
              </w:rPr>
              <w:t xml:space="preserve">ارتباط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w:t>
            </w:r>
            <w:r>
              <w:rPr>
                <w:rStyle w:val="IndexLink"/>
                <w:rtl w:val="true"/>
              </w:rPr>
              <w:t>«</w:t>
            </w:r>
            <w:r>
              <w:rPr>
                <w:rStyle w:val="IndexLink"/>
                <w:rtl w:val="true"/>
              </w:rPr>
              <w:t>ذبح عظیم</w:t>
            </w:r>
            <w:r>
              <w:rPr>
                <w:rStyle w:val="IndexLink"/>
                <w:rtl w:val="true"/>
              </w:rPr>
              <w:t xml:space="preserve">» </w:t>
            </w:r>
            <w:r>
              <w:rPr>
                <w:rStyle w:val="IndexLink"/>
                <w:rtl w:val="true"/>
              </w:rPr>
              <w:t xml:space="preserve">در آیه </w:t>
            </w:r>
            <w:r>
              <w:rPr>
                <w:rStyle w:val="IndexLink"/>
              </w:rPr>
              <w:t>107</w:t>
            </w:r>
            <w:r>
              <w:rPr>
                <w:rStyle w:val="IndexLink"/>
                <w:rtl w:val="true"/>
              </w:rPr>
              <w:t xml:space="preserve"> </w:t>
            </w:r>
            <w:r>
              <w:rPr>
                <w:rStyle w:val="IndexLink"/>
                <w:rtl w:val="true"/>
              </w:rPr>
              <w:t>سوره صافات</w:t>
            </w:r>
            <w:r>
              <w:rPr>
                <w:rStyle w:val="IndexLink"/>
                <w:rtl w:val="true"/>
              </w:rPr>
              <w:tab/>
            </w:r>
            <w:r>
              <w:rPr>
                <w:rStyle w:val="IndexLink"/>
              </w:rPr>
              <w:t>121</w:t>
            </w:r>
          </w:hyperlink>
        </w:p>
        <w:p>
          <w:pPr>
            <w:pStyle w:val="Contents3"/>
            <w:tabs>
              <w:tab w:val="clear" w:pos="8459"/>
              <w:tab w:val="right" w:pos="9026" w:leader="dot"/>
            </w:tabs>
            <w:rPr/>
          </w:pPr>
          <w:hyperlink w:anchor="__RefHeading___Toc14423909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4423911_1280447820">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14423913_1280447820">
            <w:r>
              <w:rPr>
                <w:webHidden/>
                <w:rStyle w:val="IndexLink"/>
              </w:rPr>
              <w:t>1</w:t>
            </w:r>
            <w:r>
              <w:rPr>
                <w:rStyle w:val="IndexLink"/>
                <w:rtl w:val="true"/>
              </w:rPr>
              <w:t xml:space="preserve">. </w:t>
            </w:r>
            <w:r>
              <w:rPr>
                <w:rStyle w:val="IndexLink"/>
                <w:rtl w:val="true"/>
              </w:rPr>
              <w:t>دیدگاه مفسران</w:t>
            </w:r>
            <w:r>
              <w:rPr>
                <w:rStyle w:val="IndexLink"/>
                <w:rtl w:val="true"/>
              </w:rPr>
              <w:tab/>
            </w:r>
            <w:r>
              <w:rPr>
                <w:rStyle w:val="IndexLink"/>
              </w:rPr>
              <w:t>122</w:t>
            </w:r>
          </w:hyperlink>
        </w:p>
        <w:p>
          <w:pPr>
            <w:pStyle w:val="Contents4"/>
            <w:tabs>
              <w:tab w:val="clear" w:pos="8176"/>
              <w:tab w:val="right" w:pos="9026" w:leader="dot"/>
            </w:tabs>
            <w:rPr/>
          </w:pPr>
          <w:hyperlink w:anchor="__RefHeading___Toc14423915_12804478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4423917_12804478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معنای فداء و مرجع ضمیر در </w:t>
            </w:r>
            <w:r>
              <w:rPr>
                <w:rStyle w:val="IndexLink"/>
                <w:rtl w:val="true"/>
              </w:rPr>
              <w:t>«</w:t>
            </w:r>
            <w:r>
              <w:rPr>
                <w:rStyle w:val="IndexLink"/>
                <w:rtl w:val="true"/>
              </w:rPr>
              <w:t>فدیناه</w:t>
            </w:r>
            <w:r>
              <w:rPr>
                <w:rStyle w:val="IndexLink"/>
                <w:rtl w:val="true"/>
              </w:rPr>
              <w:t>»</w:t>
              <w:tab/>
            </w:r>
            <w:r>
              <w:rPr>
                <w:rStyle w:val="IndexLink"/>
              </w:rPr>
              <w:t>123</w:t>
            </w:r>
          </w:hyperlink>
        </w:p>
        <w:p>
          <w:pPr>
            <w:pStyle w:val="Contents4"/>
            <w:tabs>
              <w:tab w:val="clear" w:pos="8176"/>
              <w:tab w:val="right" w:pos="9026" w:leader="dot"/>
            </w:tabs>
            <w:rPr/>
          </w:pPr>
          <w:hyperlink w:anchor="__RefHeading___Toc14423919_12804478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علت به‌کارگیری لفظ </w:t>
            </w:r>
            <w:r>
              <w:rPr>
                <w:rStyle w:val="IndexLink"/>
                <w:rtl w:val="true"/>
              </w:rPr>
              <w:t>«</w:t>
            </w:r>
            <w:r>
              <w:rPr>
                <w:rStyle w:val="IndexLink"/>
                <w:rtl w:val="true"/>
              </w:rPr>
              <w:t>ذبح</w:t>
            </w:r>
            <w:r>
              <w:rPr>
                <w:rStyle w:val="IndexLink"/>
                <w:rtl w:val="true"/>
              </w:rPr>
              <w:t xml:space="preserve">» </w:t>
            </w:r>
            <w:r>
              <w:rPr>
                <w:rStyle w:val="IndexLink"/>
                <w:rtl w:val="true"/>
              </w:rPr>
              <w:t xml:space="preserve">و مصداق آن و اتصاف </w:t>
            </w:r>
            <w:r>
              <w:rPr>
                <w:rStyle w:val="IndexLink"/>
                <w:rtl w:val="true"/>
              </w:rPr>
              <w:t>«</w:t>
            </w:r>
            <w:r>
              <w:rPr>
                <w:rStyle w:val="IndexLink"/>
                <w:rtl w:val="true"/>
              </w:rPr>
              <w:t>ذبح</w:t>
            </w:r>
            <w:r>
              <w:rPr>
                <w:rStyle w:val="IndexLink"/>
                <w:rtl w:val="true"/>
              </w:rPr>
              <w:t xml:space="preserve">» </w:t>
            </w:r>
            <w:r>
              <w:rPr>
                <w:rStyle w:val="IndexLink"/>
                <w:rtl w:val="true"/>
              </w:rPr>
              <w:t xml:space="preserve">به وصف </w:t>
            </w:r>
            <w:r>
              <w:rPr>
                <w:rStyle w:val="IndexLink"/>
                <w:rtl w:val="true"/>
              </w:rPr>
              <w:t>«</w:t>
            </w:r>
            <w:r>
              <w:rPr>
                <w:rStyle w:val="IndexLink"/>
                <w:rtl w:val="true"/>
              </w:rPr>
              <w:t>عظیم</w:t>
            </w:r>
            <w:r>
              <w:rPr>
                <w:rStyle w:val="IndexLink"/>
                <w:rtl w:val="true"/>
              </w:rPr>
              <w:t>»</w:t>
              <w:tab/>
            </w:r>
            <w:r>
              <w:rPr>
                <w:rStyle w:val="IndexLink"/>
              </w:rPr>
              <w:t>125</w:t>
            </w:r>
          </w:hyperlink>
        </w:p>
        <w:p>
          <w:pPr>
            <w:pStyle w:val="Contents3"/>
            <w:tabs>
              <w:tab w:val="clear" w:pos="8459"/>
              <w:tab w:val="right" w:pos="9026" w:leader="dot"/>
            </w:tabs>
            <w:rPr/>
          </w:pPr>
          <w:hyperlink w:anchor="__RefHeading___Toc14423921_1280447820">
            <w:r>
              <w:rPr>
                <w:webHidden/>
                <w:rStyle w:val="IndexLink"/>
              </w:rPr>
              <w:t>2</w:t>
            </w:r>
            <w:r>
              <w:rPr>
                <w:rStyle w:val="IndexLink"/>
                <w:rtl w:val="true"/>
              </w:rPr>
              <w:t xml:space="preserve">. </w:t>
            </w:r>
            <w:r>
              <w:rPr>
                <w:rStyle w:val="IndexLink"/>
                <w:rtl w:val="true"/>
              </w:rPr>
              <w:t xml:space="preserve">نگاه روایات در معنی </w:t>
            </w:r>
            <w:r>
              <w:rPr>
                <w:rStyle w:val="IndexLink"/>
                <w:rtl w:val="true"/>
              </w:rPr>
              <w:t>«</w:t>
            </w:r>
            <w:r>
              <w:rPr>
                <w:rStyle w:val="IndexLink"/>
                <w:rtl w:val="true"/>
              </w:rPr>
              <w:t>ذبح عظیم</w:t>
            </w:r>
            <w:r>
              <w:rPr>
                <w:rStyle w:val="IndexLink"/>
                <w:rtl w:val="true"/>
              </w:rPr>
              <w:t>»</w:t>
              <w:tab/>
            </w:r>
            <w:r>
              <w:rPr>
                <w:rStyle w:val="IndexLink"/>
              </w:rPr>
              <w:t>127</w:t>
            </w:r>
          </w:hyperlink>
        </w:p>
        <w:p>
          <w:pPr>
            <w:pStyle w:val="Contents4"/>
            <w:tabs>
              <w:tab w:val="clear" w:pos="8176"/>
              <w:tab w:val="right" w:pos="9026" w:leader="dot"/>
            </w:tabs>
            <w:rPr/>
          </w:pPr>
          <w:hyperlink w:anchor="__RefHeading___Toc14423923_128044782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4423925_12804478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بررسی روایت خصال از امام رضا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4423927_1280447820">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14423929_1280447820">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14423931_1280447820">
            <w:r>
              <w:rPr>
                <w:webHidden/>
                <w:rStyle w:val="IndexLink"/>
                <w:rtl w:val="true"/>
              </w:rPr>
              <w:t>نکته‌هایی از معارف حسینی</w:t>
            </w:r>
            <w:r>
              <w:rPr>
                <w:rStyle w:val="IndexLink"/>
                <w:rtl w:val="true"/>
              </w:rPr>
              <w:tab/>
            </w:r>
            <w:r>
              <w:rPr>
                <w:rStyle w:val="IndexLink"/>
              </w:rPr>
              <w:t>139</w:t>
            </w:r>
          </w:hyperlink>
        </w:p>
        <w:p>
          <w:pPr>
            <w:pStyle w:val="Contents3"/>
            <w:tabs>
              <w:tab w:val="clear" w:pos="8459"/>
              <w:tab w:val="right" w:pos="9026" w:leader="dot"/>
            </w:tabs>
            <w:rPr/>
          </w:pPr>
          <w:hyperlink w:anchor="__RefHeading___Toc14423933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4423935_1280447820">
            <w:r>
              <w:rPr>
                <w:webHidden/>
                <w:rStyle w:val="IndexLink"/>
                <w:rtl w:val="true"/>
              </w:rPr>
              <w:t>سیره علامه طباطبایی در مجالس روضه</w:t>
            </w:r>
            <w:r>
              <w:rPr>
                <w:rStyle w:val="IndexLink"/>
                <w:rtl w:val="true"/>
              </w:rPr>
              <w:tab/>
            </w:r>
            <w:r>
              <w:rPr>
                <w:rStyle w:val="IndexLink"/>
              </w:rPr>
              <w:t>139</w:t>
            </w:r>
          </w:hyperlink>
        </w:p>
        <w:p>
          <w:pPr>
            <w:pStyle w:val="Contents2"/>
            <w:tabs>
              <w:tab w:val="clear" w:pos="8743"/>
              <w:tab w:val="right" w:pos="9026" w:leader="dot"/>
            </w:tabs>
            <w:rPr/>
          </w:pPr>
          <w:hyperlink w:anchor="__RefHeading___Toc14423937_1280447820">
            <w:r>
              <w:rPr>
                <w:webHidden/>
                <w:rStyle w:val="IndexLink"/>
                <w:rtl w:val="true"/>
              </w:rPr>
              <w:t>معرفی کتاب</w:t>
            </w:r>
            <w:r>
              <w:rPr>
                <w:rStyle w:val="IndexLink"/>
                <w:rtl w:val="true"/>
              </w:rPr>
              <w:tab/>
            </w:r>
            <w:r>
              <w:rPr>
                <w:rStyle w:val="IndexLink"/>
              </w:rPr>
              <w:t>141</w:t>
            </w:r>
          </w:hyperlink>
        </w:p>
        <w:p>
          <w:pPr>
            <w:pStyle w:val="Contents2"/>
            <w:tabs>
              <w:tab w:val="clear" w:pos="8743"/>
              <w:tab w:val="right" w:pos="9026" w:leader="dot"/>
            </w:tabs>
            <w:rPr/>
          </w:pPr>
          <w:hyperlink w:anchor="__RefHeading___Toc14423939_1280447820">
            <w:r>
              <w:rPr>
                <w:webHidden/>
                <w:rStyle w:val="IndexLink"/>
              </w:rPr>
              <w:t>International of Husayni Research Studies</w:t>
            </w:r>
            <w:r>
              <w:rPr>
                <w:rStyle w:val="IndexLink"/>
                <w:rtl w:val="true"/>
              </w:rPr>
              <w:tab/>
            </w:r>
            <w:r>
              <w:rPr>
                <w:rStyle w:val="IndexLink"/>
              </w:rPr>
              <w:t>145</w:t>
            </w:r>
          </w:hyperlink>
        </w:p>
        <w:p>
          <w:pPr>
            <w:pStyle w:val="Contents2"/>
            <w:tabs>
              <w:tab w:val="clear" w:pos="8743"/>
              <w:tab w:val="right" w:pos="9026" w:leader="dot"/>
            </w:tabs>
            <w:rPr/>
          </w:pPr>
          <w:hyperlink w:anchor="__RefHeading___Toc14423941_1280447820">
            <w:r>
              <w:rPr>
                <w:webHidden/>
                <w:rStyle w:val="IndexLink"/>
              </w:rPr>
              <w:t>Editorial Board:</w:t>
            </w:r>
            <w:r>
              <w:rPr>
                <w:rStyle w:val="IndexLink"/>
                <w:rtl w:val="true"/>
              </w:rPr>
              <w:tab/>
            </w:r>
            <w:r>
              <w:rPr>
                <w:rStyle w:val="IndexLink"/>
              </w:rPr>
              <w:t>145</w:t>
            </w:r>
          </w:hyperlink>
        </w:p>
        <w:p>
          <w:pPr>
            <w:pStyle w:val="Contents2"/>
            <w:tabs>
              <w:tab w:val="clear" w:pos="8743"/>
              <w:tab w:val="right" w:pos="9026" w:leader="dot"/>
            </w:tabs>
            <w:rPr/>
          </w:pPr>
          <w:hyperlink w:anchor="__RefHeading___Toc14423943_1280447820">
            <w:r>
              <w:rPr>
                <w:webHidden/>
                <w:rStyle w:val="IndexLink"/>
              </w:rPr>
              <w:t>ABSTRACTS</w:t>
            </w:r>
            <w:r>
              <w:rPr>
                <w:rStyle w:val="IndexLink"/>
                <w:rtl w:val="true"/>
              </w:rPr>
              <w:tab/>
            </w:r>
            <w:r>
              <w:rPr>
                <w:rStyle w:val="IndexLink"/>
              </w:rPr>
              <w:t>146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42_238139"/>
      <w:bookmarkStart w:id="1" w:name="pg18842_238139"/>
      <w:bookmarkEnd w:id="1"/>
    </w:p>
    <w:p>
      <w:pPr>
        <w:pStyle w:val="Heading2"/>
        <w:numPr>
          <w:ilvl w:val="1"/>
          <w:numId w:val="1"/>
        </w:numPr>
        <w:rPr/>
      </w:pPr>
      <w:bookmarkStart w:id="2" w:name="pg18842_238139"/>
      <w:bookmarkStart w:id="3" w:name="__RefHeading___Toc1442370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فصل‌نامه بین‌المللی</w:t>
      </w:r>
    </w:p>
    <w:p>
      <w:pPr>
        <w:pStyle w:val="BookText"/>
        <w:rPr/>
      </w:pPr>
      <w:r>
        <w:rPr>
          <w:rFonts w:ascii="IRNazanin" w:hAnsi="IRNazanin" w:eastAsia="IRNazanin"/>
          <w:color w:val="111111"/>
          <w:sz w:val="28"/>
          <w:sz w:val="28"/>
          <w:szCs w:val="28"/>
          <w:rtl w:val="true"/>
          <w:lang w:bidi="fa-IR"/>
        </w:rPr>
        <w:t>معارف حسینی</w:t>
      </w:r>
    </w:p>
    <w:p>
      <w:pPr>
        <w:pStyle w:val="BookText"/>
        <w:rPr/>
      </w:pPr>
      <w:r>
        <w:rPr>
          <w:rFonts w:ascii="IRNazanin" w:hAnsi="IRNazanin" w:eastAsia="IRNazanin"/>
          <w:color w:val="111111"/>
          <w:sz w:val="28"/>
          <w:sz w:val="28"/>
          <w:szCs w:val="28"/>
          <w:rtl w:val="true"/>
          <w:lang w:bidi="fa-IR"/>
        </w:rPr>
        <w:t xml:space="preserve">سال نهم،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 لک‌زایی استاد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 استاد دانشگاه تهران</w:t>
      </w:r>
    </w:p>
    <w:p>
      <w:pPr>
        <w:pStyle w:val="BookText"/>
        <w:rPr/>
      </w:pPr>
      <w:r>
        <w:rPr>
          <w:rFonts w:ascii="IRNazanin" w:hAnsi="IRNazanin" w:eastAsia="IRNazanin"/>
          <w:color w:val="111111"/>
          <w:sz w:val="28"/>
          <w:sz w:val="28"/>
          <w:szCs w:val="28"/>
          <w:rtl w:val="true"/>
          <w:lang w:bidi="fa-IR"/>
        </w:rPr>
        <w:t>دکتر محمدجواد رودگر استاد پژوهشگاه فرهنگ و هنر و اندیشۀ اسلامی</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حاجی‌خانی دانشیار دانشگاه تربیت مدرس</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پژوهشکده علوم اسلامی</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فصل‌نامه پژوهش‌نامه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صندوق پستی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23705_1280447820"/>
      <w:bookmarkStart w:id="6" w:name="_Toc2"/>
      <w:bookmarkEnd w:id="5"/>
      <w:r>
        <w:rPr>
          <w:rtl w:val="true"/>
        </w:rPr>
        <w:t>اشاره</w:t>
      </w:r>
      <w:bookmarkStart w:id="7" w:name="pg18842_238140"/>
      <w:bookmarkEnd w:id="6"/>
    </w:p>
    <w:p>
      <w:pPr>
        <w:pStyle w:val="Heading2"/>
        <w:numPr>
          <w:ilvl w:val="1"/>
          <w:numId w:val="1"/>
        </w:numPr>
        <w:rPr/>
      </w:pPr>
      <w:bookmarkStart w:id="8" w:name="__RefHeading___Toc14423707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فصل‌نامه بین‌المللی پژوهش‌نامه معارف حسینی نشریه‌ای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بین‌الملل و جهان اسلام و نوع انتشار مجله‌ای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بین‌المللی پژوهش‌نامه معارف حسینی در پایگاه‌های زیر نمایه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شیوه‌نامه نگارش و چگونگی پذیرش مقاله در پژوهش‌نامه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مقاله‌ها با بررسی و نظر هیئت تحریریه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حروف‌چینی و به دفتر فصل‌نامه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صفحه‌ای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تصویر‌ها،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روش‌ها و بحث و نتیجه‌گیری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پژوهش‌نامه معارف حسینی محفوظ است و نویسنده نمی‌تواند آن را به نشریه دیگر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مقاله‌های دریافت شده، بازگردانده نمی‌شود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پژوهش‌نامه معارف حسینی </w:t>
      </w:r>
    </w:p>
    <w:p>
      <w:pPr>
        <w:pStyle w:val="BookText"/>
        <w:rPr/>
      </w:pPr>
      <w:r>
        <w:rPr>
          <w:rFonts w:ascii="IRNazanin" w:hAnsi="IRNazanin" w:eastAsia="IRNazanin"/>
          <w:color w:val="111111"/>
          <w:sz w:val="28"/>
          <w:sz w:val="28"/>
          <w:szCs w:val="28"/>
          <w:rtl w:val="true"/>
          <w:lang w:bidi="fa-IR"/>
        </w:rPr>
        <w:t xml:space="preserve">ترجمه و 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سوم دایرةالمعارف اسلام چاپ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محمد تقوی</w:t>
      </w:r>
    </w:p>
    <w:p>
      <w:pPr>
        <w:pStyle w:val="BookText"/>
        <w:rPr/>
      </w:pPr>
      <w:r>
        <w:rPr>
          <w:rFonts w:ascii="IRNazanin" w:hAnsi="IRNazanin" w:eastAsia="IRNazanin"/>
          <w:color w:val="111111"/>
          <w:sz w:val="28"/>
          <w:sz w:val="28"/>
          <w:szCs w:val="28"/>
          <w:rtl w:val="true"/>
          <w:lang w:bidi="fa-IR"/>
        </w:rPr>
        <w:t>ویلیام چیتیک و جستجوی روح اسلام در نیایش‌های حسینی و مفاهیم عاشورایی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محمدرضا زارع خورمیزی</w:t>
      </w:r>
    </w:p>
    <w:p>
      <w:pPr>
        <w:pStyle w:val="BookText"/>
        <w:rPr/>
      </w:pPr>
      <w:r>
        <w:rPr>
          <w:rFonts w:ascii="IRNazanin" w:hAnsi="IRNazanin" w:eastAsia="IRNazanin"/>
          <w:color w:val="111111"/>
          <w:sz w:val="28"/>
          <w:sz w:val="28"/>
          <w:szCs w:val="28"/>
          <w:rtl w:val="true"/>
          <w:lang w:bidi="fa-IR"/>
        </w:rPr>
        <w:t xml:space="preserve">تحلیل شاخص‌های هویت معنوی و اخلاقی فرهنگ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کتاب‌های درسی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مهدی میرزایی، پروین روشنی‌نسب، اقدس روشنی، فاطمه شیخانی، زینب حیدری‌زاده</w:t>
      </w:r>
    </w:p>
    <w:p>
      <w:pPr>
        <w:pStyle w:val="BookText"/>
        <w:rPr/>
      </w:pPr>
      <w:r>
        <w:rPr>
          <w:rFonts w:ascii="IRNazanin" w:hAnsi="IRNazanin" w:eastAsia="IRNazanin"/>
          <w:color w:val="111111"/>
          <w:sz w:val="28"/>
          <w:sz w:val="28"/>
          <w:szCs w:val="28"/>
          <w:rtl w:val="true"/>
          <w:lang w:bidi="fa-IR"/>
        </w:rPr>
        <w:t>مردم‌نگاری رویدادهای میدانی آیین پیاده‌روی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اکرم گروسی</w:t>
      </w:r>
    </w:p>
    <w:p>
      <w:pPr>
        <w:pStyle w:val="BookText"/>
        <w:rPr/>
      </w:pPr>
      <w:r>
        <w:rPr>
          <w:rFonts w:ascii="IRNazanin" w:hAnsi="IRNazanin" w:eastAsia="IRNazanin"/>
          <w:color w:val="111111"/>
          <w:sz w:val="28"/>
          <w:sz w:val="28"/>
          <w:szCs w:val="28"/>
          <w:rtl w:val="true"/>
          <w:lang w:bidi="fa-IR"/>
        </w:rPr>
        <w:t>واکاوی لایه‌های عمیق یک زیارت؛ بازخوانی و تحلیل چند سفرنامه پیاده‌روی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سیدکمال کشیک‌نویس رضوی</w:t>
      </w:r>
    </w:p>
    <w:p>
      <w:pPr>
        <w:pStyle w:val="BookText"/>
        <w:rPr/>
      </w:pPr>
      <w:r>
        <w:rPr>
          <w:rFonts w:ascii="IRNazanin" w:hAnsi="IRNazanin" w:eastAsia="IRNazanin"/>
          <w:color w:val="111111"/>
          <w:sz w:val="28"/>
          <w:sz w:val="28"/>
          <w:szCs w:val="28"/>
          <w:rtl w:val="true"/>
          <w:lang w:bidi="fa-IR"/>
        </w:rPr>
        <w:t xml:space="preserve">ارتباط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علیرضا نوری فروشانی</w:t>
      </w:r>
    </w:p>
    <w:p>
      <w:pPr>
        <w:pStyle w:val="BookText"/>
        <w:rPr/>
      </w:pPr>
      <w:r>
        <w:rPr>
          <w:rFonts w:ascii="IRNazanin" w:hAnsi="IRNazanin" w:eastAsia="IRNazanin"/>
          <w:color w:val="111111"/>
          <w:sz w:val="28"/>
          <w:sz w:val="28"/>
          <w:szCs w:val="28"/>
          <w:rtl w:val="true"/>
          <w:lang w:bidi="fa-IR"/>
        </w:rPr>
        <w:t>نکته‌هایی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42_238145"/>
      <w:bookmarkStart w:id="11" w:name="pg18842_238145"/>
      <w:bookmarkEnd w:id="11"/>
    </w:p>
    <w:p>
      <w:pPr>
        <w:pStyle w:val="Heading2"/>
        <w:numPr>
          <w:ilvl w:val="1"/>
          <w:numId w:val="1"/>
        </w:numPr>
        <w:rPr/>
      </w:pPr>
      <w:bookmarkStart w:id="12" w:name="pg18842_238145"/>
      <w:bookmarkStart w:id="13" w:name="__RefHeading___Toc14423709_1280447820"/>
      <w:bookmarkStart w:id="14" w:name="_Toc4"/>
      <w:bookmarkEnd w:id="12"/>
      <w:bookmarkEnd w:id="13"/>
      <w:r>
        <w:rPr>
          <w:rtl w:val="true"/>
        </w:rPr>
        <w:t xml:space="preserve">ترجمه و نقد مقاله </w:t>
      </w:r>
      <w:r>
        <w:rPr>
          <w:rtl w:val="true"/>
        </w:rPr>
        <w:t>«</w:t>
      </w:r>
      <w:r>
        <w:rPr>
          <w:rtl w:val="true"/>
        </w:rPr>
        <w:t>حسین بن علی</w:t>
      </w:r>
      <w:r>
        <w:rPr>
          <w:rtl w:val="true"/>
        </w:rPr>
        <w:t xml:space="preserve">» </w:t>
      </w:r>
      <w:r>
        <w:rPr>
          <w:rtl w:val="true"/>
        </w:rPr>
        <w:t xml:space="preserve">در ویراست سوم دایرةالمعارف اسلام چاپ بریل </w:t>
      </w:r>
      <w:r>
        <w:rPr>
          <w:rtl w:val="true"/>
        </w:rPr>
        <w:t>(</w:t>
      </w:r>
      <w:r>
        <w:rPr/>
        <w:t>EI3</w:t>
      </w:r>
      <w:r>
        <w:rPr>
          <w:rtl w:val="true"/>
        </w:rPr>
        <w:t>)</w:t>
      </w:r>
      <w:bookmarkEnd w:id="14"/>
    </w:p>
    <w:p>
      <w:pPr>
        <w:pStyle w:val="Heading3"/>
        <w:numPr>
          <w:ilvl w:val="2"/>
          <w:numId w:val="1"/>
        </w:numPr>
        <w:rPr/>
      </w:pPr>
      <w:bookmarkStart w:id="15" w:name="__RefHeading___Toc14423711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محمد تقوی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23/05/1403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ویرایش سوم دایرةالمعارف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Encyclopedia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بریل به قلم نَجَم حیدر نگاشته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این مدخل را با تأکید بر قیام عاشورا نوشته است و به سایر وجوه و مراحل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بسیار مختصر پرداخته یا اصلاً ذکری از آن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ضمن ترجمه، به نقد و ارزیابی محتوای این مقاله توجه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نشان داد که برخی از گزاره‌های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اعتبار تاریخی محل تردید جدی است و حیدر نیز احتمالاً بر اساس همین روایت‌ها، برداشت نادرستی از برخی وجوه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توجه نویسنده به قیام عاشورا سبب شده تا او از سایر وجوه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ادعای حضور ایشان در فتوحات دوره عثمان، ازدواج با شهربانو و مانند اینها غافل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دایرة‌المعارف اسلام، عاشورا، مطالعات اسلامی در غرب، نجم حیدر</w:t>
      </w:r>
      <w:r>
        <w:rPr>
          <w:rFonts w:eastAsia="IRNazanin" w:cs="IRNazanin"/>
          <w:color w:val="111111"/>
          <w:sz w:val="28"/>
          <w:szCs w:val="28"/>
          <w:rtl w:val="true"/>
          <w:lang w:bidi="fa-IR"/>
        </w:rPr>
        <w:t xml:space="preserve">. </w:t>
      </w:r>
      <w:bookmarkStart w:id="17" w:name="pg18842_238146"/>
    </w:p>
    <w:p>
      <w:pPr>
        <w:pStyle w:val="Heading3"/>
        <w:numPr>
          <w:ilvl w:val="2"/>
          <w:numId w:val="1"/>
        </w:numPr>
        <w:rPr/>
      </w:pPr>
      <w:bookmarkStart w:id="18" w:name="__RefHeading___Toc14423713_1280447820"/>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نَجَم حیدر از اسلام‌پژوهان معاصر است که در زمینه تشیع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 او با عنوان خاستگاه‌های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دانشگاه کمبریج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او نیز با عنوان اسلام شیعی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همان ناشر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بررسی تشیع اسماعیلی، زیدی و دوازده‌امامی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اینها، مقالات متعددی در حوزه تاریخ تشیع، صدر اسلام و تاریخ‌نگاری اسلامی نیز به رشته تحریر درآورده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دایرةالمعارف اسلام چاپ بریل مهم‌ترین دانشنامه غربی در حوزه مطالعات اسلامی است که تاکنون سه ویراست آن منتشر شده و نویسندگان آن، عموما در زمره برجسته‌ترین محققان حوزه مطالعات اسلامی در غرب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آن با بیش از نه هزار مقاله، عنوانی فرعی داشت که انتشارات بریل لیدن و اتو هاراسویتس لایپزیگ آلمان در چهار جلد اصلی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جلد تکمله </w:t>
      </w:r>
      <w:r>
        <w:rPr>
          <w:rFonts w:eastAsia="IRNazanin" w:cs="IRNazanin"/>
          <w:color w:val="111111"/>
          <w:sz w:val="28"/>
          <w:szCs w:val="28"/>
          <w:rtl w:val="true"/>
          <w:lang w:bidi="fa-IR"/>
        </w:rPr>
        <w:t>(</w:t>
      </w:r>
      <w:r>
        <w:rPr>
          <w:rFonts w:eastAsia="IRNazanin" w:cs="IRNazanin"/>
          <w:color w:val="111111"/>
          <w:sz w:val="28"/>
          <w:szCs w:val="28"/>
          <w:lang w:bidi="fa-IR"/>
        </w:rPr>
        <w:t>1938/1317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به زبان‌های آلمانی، فرانسه و انگلیسی چاپ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مؤلفان ویرایش اول اروپاییِ غیرمسلمان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ویرایش دوم، با عنوان ویرایش جدید و بدون عنوان فرعی، فقط به زبان‌های انگلیسی و فرانسه، از </w:t>
      </w:r>
      <w:r>
        <w:rPr>
          <w:rFonts w:eastAsia="IRNazanin" w:cs="IRNazanin"/>
          <w:color w:val="111111"/>
          <w:sz w:val="28"/>
          <w:szCs w:val="28"/>
          <w:lang w:bidi="fa-IR"/>
        </w:rPr>
        <w:t>1954/1333</w:t>
      </w:r>
      <w:r>
        <w:rPr>
          <w:rFonts w:ascii="IRNazanin" w:hAnsi="IRNazanin" w:eastAsia="IRNazanin"/>
          <w:color w:val="111111"/>
          <w:sz w:val="28"/>
          <w:sz w:val="28"/>
          <w:szCs w:val="28"/>
          <w:rtl w:val="true"/>
          <w:lang w:bidi="fa-IR"/>
        </w:rPr>
        <w:t xml:space="preserve">ش شروع شد و انتشار کامل آن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و در تألیف آن، ترکیبی از مؤلفان اروپایی و آمریکایی غیرمسلمان، ایرانی، عرب، ترک، هندی و پاکستانیِ مسلمان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سوم این دایرةالمعارف از </w:t>
      </w:r>
      <w:r>
        <w:rPr>
          <w:rFonts w:eastAsia="IRNazanin" w:cs="IRNazanin"/>
          <w:color w:val="111111"/>
          <w:sz w:val="28"/>
          <w:szCs w:val="28"/>
          <w:lang w:bidi="fa-IR"/>
        </w:rPr>
        <w:t>2007/1386</w:t>
      </w:r>
      <w:r>
        <w:rPr>
          <w:rFonts w:ascii="IRNazanin" w:hAnsi="IRNazanin" w:eastAsia="IRNazanin"/>
          <w:color w:val="111111"/>
          <w:sz w:val="28"/>
          <w:sz w:val="28"/>
          <w:szCs w:val="28"/>
          <w:rtl w:val="true"/>
          <w:lang w:bidi="fa-IR"/>
        </w:rPr>
        <w:t xml:space="preserve">ش آغاز شده و هر سال چهار جزوه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از آن با تمرکز بر مطالعه اسلام در 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بیستم، به‌ویژه مناطق کمتر شناخته شده مثل آسیای جنوب شرقی و صحرای افریقا و با توجه ویژه بهمسائل اقلیت‌های مسلمان در همه کشورهای غیرمسلمان، منتشر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عدالت‌نژاد، </w:t>
      </w:r>
      <w:bookmarkStart w:id="20" w:name="pg18842_238147"/>
    </w:p>
    <w:p>
      <w:pPr>
        <w:pStyle w:val="BookText"/>
        <w:rPr/>
      </w:pPr>
      <w:bookmarkEnd w:id="20"/>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ویرایش سوم دایرةالمعارف اسلام به قلم نجم حیدر نوشته شده؛ در ویرایش دوم به قلم وچا والیری با حجمی به مراتب بیشتر نسبت به ویرایش سوم نوشته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نجم حیدر حجمی 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طور مختصر به زندگانی حسین بن علی اختصاص یافته و در بخش دوم به قیام عاشورا پرداخته شده‌است که قسمت اصلی مدخل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ابتدا ترجمه فارسی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ویرایش سوم دایرةالمعارف اسلام خواهد آمد و سپس مواردی در نقد و تکمیل مطالب مذکور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نقد تاریخی روایت‌ها، مبنای پذیرفتن یا نپذیرفتن یک روایت، سنجش وثاقت تاریخی آنهاست نه انطباق آن با آراء کلامی</w:t>
      </w:r>
      <w:r>
        <w:rPr>
          <w:rFonts w:eastAsia="IRNazanin" w:cs="IRNazanin"/>
          <w:color w:val="111111"/>
          <w:sz w:val="28"/>
          <w:szCs w:val="28"/>
          <w:rtl w:val="true"/>
          <w:lang w:bidi="fa-IR"/>
        </w:rPr>
        <w:t>.</w:t>
      </w:r>
    </w:p>
    <w:p>
      <w:pPr>
        <w:pStyle w:val="Heading3"/>
        <w:numPr>
          <w:ilvl w:val="2"/>
          <w:numId w:val="1"/>
        </w:numPr>
        <w:rPr/>
      </w:pPr>
      <w:bookmarkStart w:id="21" w:name="__RefHeading___Toc14423715_1280447820"/>
      <w:bookmarkStart w:id="22" w:name="_Toc7"/>
      <w:bookmarkEnd w:id="21"/>
      <w:r>
        <w:rPr>
          <w:rtl w:val="true"/>
        </w:rPr>
        <w:t xml:space="preserve">ترجمه فارسی مدخل </w:t>
      </w:r>
      <w:r>
        <w:rPr>
          <w:rtl w:val="true"/>
        </w:rPr>
        <w:t>«</w:t>
      </w:r>
      <w:r>
        <w:rPr>
          <w:rtl w:val="true"/>
        </w:rPr>
        <w:t>حسین بن علی</w:t>
      </w:r>
      <w:r>
        <w:rPr>
          <w:rtl w:val="true"/>
        </w:rPr>
        <w:t>»</w:t>
      </w:r>
      <w:bookmarkEnd w:id="22"/>
    </w:p>
    <w:p>
      <w:pPr>
        <w:pStyle w:val="Heading4"/>
        <w:numPr>
          <w:ilvl w:val="3"/>
          <w:numId w:val="1"/>
        </w:numPr>
        <w:rPr/>
      </w:pPr>
      <w:bookmarkStart w:id="23" w:name="__RefHeading___Toc14423717_1280447820"/>
      <w:bookmarkStart w:id="24" w:name="_Toc8"/>
      <w:bookmarkEnd w:id="23"/>
      <w:r>
        <w:rPr>
          <w:rtl w:val="true"/>
        </w:rPr>
        <w:t>اشاره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حسین بن علی بن ابی‌طالب یکی از دو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که تا بزرگسالی زنده بود و سومین امام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چهارم هجری در مدینه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بعد از تولد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در کربلا طی نبرد با سپاه اموی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به بیان خلاصه زندگینامه حسین بن علی با تأکید بر شهادت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والیری و مادلونگ که در پایان مقاله ذکر شده‌است</w:t>
      </w:r>
      <w:r>
        <w:rPr>
          <w:rFonts w:eastAsia="IRNazanin" w:cs="IRNazanin"/>
          <w:color w:val="111111"/>
          <w:sz w:val="28"/>
          <w:szCs w:val="28"/>
          <w:rtl w:val="true"/>
          <w:lang w:bidi="fa-IR"/>
        </w:rPr>
        <w:t>).</w:t>
      </w:r>
    </w:p>
    <w:p>
      <w:pPr>
        <w:pStyle w:val="Heading4"/>
        <w:numPr>
          <w:ilvl w:val="3"/>
          <w:numId w:val="1"/>
        </w:numPr>
        <w:rPr/>
      </w:pPr>
      <w:bookmarkStart w:id="25" w:name="__RefHeading___Toc14423719_1280447820"/>
      <w:bookmarkStart w:id="26" w:name="_Toc9"/>
      <w:bookmarkEnd w:id="25"/>
      <w:r>
        <w:rPr/>
        <w:t>1</w:t>
      </w:r>
      <w:r>
        <w:rPr>
          <w:rtl w:val="true"/>
        </w:rPr>
        <w:t xml:space="preserve">. </w:t>
      </w:r>
      <w:r>
        <w:rPr>
          <w:rtl w:val="true"/>
        </w:rPr>
        <w:t>زندگانی حسین بن علی</w:t>
      </w:r>
      <w:bookmarkEnd w:id="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مدینه در خانه فاطمه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در زمان رحلت پیامبر در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تنها شش سال داشت، اما همچون برادرش حسن، بسیار محبوب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محمد به آنها اجازه می‌داد که از پشت و شانه‌های او به هنگام نماز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مشهور، پیامبر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p>
    <w:p>
      <w:pPr>
        <w:pStyle w:val="BookText"/>
        <w:rPr/>
      </w:pPr>
      <w:r>
        <w:rPr>
          <w:rFonts w:ascii="IRNazanin" w:hAnsi="IRNazanin" w:eastAsia="IRNazanin"/>
          <w:color w:val="111111"/>
          <w:sz w:val="28"/>
          <w:sz w:val="28"/>
          <w:szCs w:val="28"/>
          <w:rtl w:val="true"/>
          <w:lang w:bidi="fa-IR"/>
        </w:rPr>
        <w:t>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او حسن و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پیامبر از شهادت حسین در کربلا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بطری کوچکی از خاک به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از خون‌آبه شدن آن بعد از مرگ حسین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منابع شیعی و غیرشیعی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حسین همواره در ارتباط با خانواده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بیشتر تفاسیر شیعی،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پنج نفر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فاطمه، علی،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آنها را از گناه دور نگاه داشت و بالاتر از سایر انسان‌ها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خانواده بر اساس نقش‌شان در داستان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حدیث مشهور کساء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دسته‌بندی کلی از روایات مربوط به خصایص اهل‌بیت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دسته‌بندی‌ها،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نجم حیدر،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تنها فرزندان ذکور از نسل پیامبرند که به سن بزرگسالی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هر شخص دیگری که می‌خواست ادعای هم‌تباری با پیامبر را داشته باشد، می‌بایست از نسل حسن یا حسین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آنها را از برادران ناتنی‌شان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خونی با پیامبر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می‌ساخت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روایت‌های تاریخی قبل از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از حسین نام برده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در حوادث مهمی چون محاصره خانه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جنگ صفین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 نقش فرعی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بعد از کشته شدن علی بن ابی‌طالب تغییرکرد؛ به طور مثال می‌توان به نقش او در منازعه حسن بن علی با معاویه بن ابی‌سفیان، نخستین خلیفه اموی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حفظ امنیت </w:t>
      </w:r>
      <w:bookmarkStart w:id="27" w:name="pg18842_238149"/>
    </w:p>
    <w:p>
      <w:pPr>
        <w:pStyle w:val="BookText"/>
        <w:rPr/>
      </w:pPr>
      <w:bookmarkEnd w:id="27"/>
      <w:r>
        <w:rPr>
          <w:rFonts w:ascii="IRNazanin" w:hAnsi="IRNazanin" w:eastAsia="IRNazanin"/>
          <w:color w:val="111111"/>
          <w:sz w:val="28"/>
          <w:sz w:val="28"/>
          <w:szCs w:val="28"/>
          <w:rtl w:val="true"/>
          <w:lang w:bidi="fa-IR"/>
        </w:rPr>
        <w:t>شهر کوفه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تصمیم برادرش حسن مبنی‌بر صلح با معاویه بود که در ازای دریافت مبلغی قابل‌توجه خلافت معاویه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توافق، قرار شد تا خلافت بعد از معاویه به حسن و سپس به حسین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مخالف، این توافق را فروش خلافت و منابع موافق، آن را به دلیل خیانت و وفادار نبودن پیروان کوفی حسن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حسین با توافق‌نامه مذکور، با توصیفاتی که از تندخو بودن او در قیاس با تمایلات صلح‌جویانه حسن وجود دارد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طی سال‌های بعد، مکرراً با درخواست‌های کوفیان مواجه می‌شد که در رأس ایشان،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خواستار مخالفت حسین با صلح‌نامه و شورش علیه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قاطعانه به این درخواست‌ها پاسخ منفی می‌داد و حتی بعد از شهادت برادرش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ق، به صلح‌نامه پایبند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داستان‌ها،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و انفعالات میان حسین و حکومت اموی در دوره خلافت معاویه،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2004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Heading4"/>
        <w:numPr>
          <w:ilvl w:val="3"/>
          <w:numId w:val="1"/>
        </w:numPr>
        <w:rPr/>
      </w:pPr>
      <w:bookmarkStart w:id="28" w:name="__RefHeading___Toc14423721_1280447820"/>
      <w:bookmarkStart w:id="29" w:name="_Toc10"/>
      <w:bookmarkEnd w:id="28"/>
      <w:r>
        <w:rPr/>
        <w:t>2</w:t>
      </w:r>
      <w:r>
        <w:rPr>
          <w:rtl w:val="true"/>
        </w:rPr>
        <w:t xml:space="preserve">. </w:t>
      </w:r>
      <w:r>
        <w:rPr>
          <w:rtl w:val="true"/>
        </w:rPr>
        <w:t>کربلا و شهادت حسین</w:t>
      </w:r>
      <w:bookmarkEnd w:id="29"/>
    </w:p>
    <w:p>
      <w:pPr>
        <w:pStyle w:val="BookText"/>
        <w:rPr/>
      </w:pPr>
      <w:r>
        <w:rPr>
          <w:rFonts w:ascii="IRNazanin" w:hAnsi="IRNazanin" w:eastAsia="IRNazanin"/>
          <w:color w:val="111111"/>
          <w:sz w:val="28"/>
          <w:sz w:val="28"/>
          <w:szCs w:val="28"/>
          <w:rtl w:val="true"/>
          <w:lang w:bidi="fa-IR"/>
        </w:rPr>
        <w:t>بخش باقیمانده این مقاله به وقایع منجر به شهادت حسین بر پایه منابع کهن شیعی و غیرشیعی اختصاص دارد و بخش‌های برگرفته از یک روایت قبیله‌ای خاص مشخص شده‌است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بن ابی‌سفیان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در دمشق بدون بیعت گرفتن برای فرزندش یزید از مردم حجاز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از جایگاه متزلزل خود آگاه بود، طی نامه‌ای به ولید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از او خواست تا فوراً از مردم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داشت تا پیش از رسیدن خبر مرگ معاویه به مدینه، این شهر را تحت سلطه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یزید به طور خاص از جانب 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حسین‌بن علی بود که پیشتر بیعت‌شکنی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زبیر خیلی زود از مدینه به مکه رفت تا از دست افراد ولید بن عقبه که قصد بازگرداندن او را داشتند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حاضر به بیعت در خفا نشد و تمایل داشت این کار را تنها با همراهی اکثریت مردم شهر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او را بیش از این تحت فشار قرار نداد؛ برخلاف نظر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بود باید با تهدید حسین به مرگ و زندانی شدن، از وی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از این ملاقات، حسین همچون ا‌بن زبیر، همراه با خانواده و جمعی از یاران نزدیکش به مکه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وقایع،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 مدینه به‌طور پیوسته نامه‌هایی از مردم کوفه دریافت می‌کرد که ضمن حمایت گسترده از او، خواهان آمدنش به این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اظهار تأسف از نداشتن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را تنها مرد شایسته این مقام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پاسخ، شماری را به رهبری پسرعمویش مسلم بن عقیل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اوضاع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مأموریت داشت تا در صورت مناسب بودن شرایط، به حسین اطلاع دهد تا به کوفه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ابتدا موفقیت قابل‌توجهی در کوفه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با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بیعت هزاران نفر از کوفیان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اقدامات مسلم به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اموی کوفه رسید که قاطعیتی در سرکوب شورش‌های مخالف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یزید از این وضعیت آگاه شد،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حاکم بصره نیز بود، جایگزین نعمان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بیشتر روایت‌ها، ا‌بن زیاد به صورت پنهانی وارد کوفه شد و در ابتدا گمان شد که او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وضعیت موجود نگران بود و در قصر حاکم شهر اقامت گزید؛ جایی که فعالیت‌های نظام‌مند خود را علیه تلاش‌های مسلم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غالباً اقدامات ارعاب‌آمیز ا‌بن زیاد را با بی‌میلی مسلم به انجام اقدام قاطعانه مقایسه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قابل‌توجه، مسلم به دلیل تمرکز بر افزایش حامیان خود در کوفه، فرصت کشتن ا‌بن زیاد و به دست گرفتن اوضاع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ا‌بن زیاد از حمایت نخبگان قبایل اطمینان‌خاطر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نخبگان در ادامه، مانع حمایت افراد قبایل خود از مسلم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سرعت دستگیر و در نهم ذی‌الحجه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برخوردهای میان ا‌بن زیاد و مسلم،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در مکه، نخستین گزارش‌های مثبت از جانب مسلم را دریافت کرد و تصمیم رفتن به کوفه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به افراد برجسته متعددی اشاره دارد که به حسین اصرار می‌کردند در حجاز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که در مدینه بود، به حسین توصیه کرد پیش از رفتن به عراق، پشتوانه حمایتی مکه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توصیه‌هایی مشابه نیز از سوی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عبدالله بن عباس که شدیدا اصرار داشت مردم کوفه در زمانی که علی و حسن به آنها نیاز شدید داشتند آنها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حسین باید به یمن برود یا اینکه زنان و کودکان را در سفر به عراق همراه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مشهور، حسین از فرزدق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کوفیان پرسید و گفته‌اند که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قلب‌هایشان با توست ولی شمشیرهایشان علیه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و روایت‌های مشابه،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هشدارها، حسین در هشتم ذی‌الحجه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همراه با بیشتر اعضای خانواده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اوضاع رو به وخامت کوفه بی‌اطلاع بود؛ جایی که ا‌بن زیاد کنترل شهر را به دست گرفته و اقدامات نظامی برای مقابله با علویان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قبایل بین راه از این تحولات آگاه شد و خبر کشته شدن مسلم را نیز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او قصد بازگشت به مکه را داشت اما خویشاوندان مسلم که قصد انتقام‌گیری داشتند مانع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سواره‌نظام‌های تحت رهبری حر بن یزید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از دشمنان بودند که با حسین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رویارویی مختصری، حسین قاطعانه درخواست حر بن یزید را مبنی‌بر اینکه همراه با او نزد ا‌بن زیاد در کوفه برود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گروه همراه با هم به نماز ایستادند، حسین فرصت را مغتنم شمرد و جایگاه خود را شرح داد و از کوفیان خواست تا به نامه‌های خود پایبند باشند و او را علیه امویان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میان بهت حر بن یزید که مدعی بود نه او و نه سربازانش نامه‌ای به حسین نفرستاده‌اند، خورجین‌های حاوی نامه‌های مردم کوفه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بن بست‌گونه تا لحظاتی ادامه یافت و رجزهای خصمانه میان دو طرف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مانع از بازگشت حسین به مدینه و یا ادامه حرکتش به سمت کوفه شد و به زیر نظر گرفتن کارهای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دستور ا‌بن زیاد کاروان حسین را متوقف و آنها را مجبور ساخت تا در منطقه‌ای صحرایی که فاقد آب بود،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توصیه کرد تا پیش از رسیدن نیروی کمکی، با دشمن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حسین نپذیرفت که آغازگر حمله باشد و به ناچار از دوم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در کربلا، در حوالی شهر نینوا، اردو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کشمکش‌های میان حسین و حر،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سپاه بزرگتری به رهبری عمر بن سعد بن ابی‌وقاص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حر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در ابتدا قرار بود به حوالی ری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تمایلی به اقدامات خصمانه نداشت و می‌خواست باب مذاکره با حسین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بیشتر منابع،حسین سه پیشنهاد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به حجاز برگردد، نزد یزید برود و شخصاً با وی بیعت کند و یا اینکه به یکی از مرزهای اسلام برود و با دشمنان اسلام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منابع، ا‌بن زیاد ترجیح می‌داد این شرایط را پیش از مداخله شمر بن ذی‌الجوشن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معتقد بود هر چیزی جز تسلیم کامل حسین، نشانه ضعف </w:t>
      </w:r>
    </w:p>
    <w:p>
      <w:pPr>
        <w:pStyle w:val="BookText"/>
        <w:rPr/>
      </w:pPr>
      <w:r>
        <w:rPr>
          <w:rFonts w:ascii="IRNazanin" w:hAnsi="IRNazanin" w:eastAsia="IRNazanin"/>
          <w:color w:val="111111"/>
          <w:sz w:val="28"/>
          <w:sz w:val="28"/>
          <w:szCs w:val="28"/>
          <w:rtl w:val="true"/>
          <w:lang w:bidi="fa-IR"/>
        </w:rPr>
        <w:t>ا‌بن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از این استدلال شمر قانع شده بود، پیشنهاد حسین را رد کرد و به ا‌بن زیاد دستور محاصره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دستور داد تا آب را بر حسین ببندند، مشابه آنچه در جریان محاصره خانه عثمان اتفاق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مأمور بود تا در صورت سرپیچی عمر بن سعد از دستورات، او را بکشد و خود فرمانده سپاهیان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بسته شدن آب بر همراهان حسین از هفتم محرم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ق اجرایی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 حسین، همراه با عده اندکی برای آب کردن مشک‌ها رفت ولی این اقدام تأثیر زیادی در بهبود اوضاع سپاه حسین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پیش از حملات دشمن در دهم محرم، یک شب را برای عبادت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شب را شب نماز و عبادت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مکرراً به پیروانش توصیه می‌کرد با استفاده از تاریکی شب، آنجا را ترک کنند، اما آنها راسخ و وفادار نزد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حسین در عالم رویا پیامبر را می‌بیند که خبر از شهادت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حسین خواهرش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بیمارش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امام بعدی شیعیان دوازده‌امامی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تحمل سختی‌های پیش‌رو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بسته شدن آب و شب پیش از جنگ،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2/484</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در صبح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محرم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خود را نزدیک به هم قرار داد، پشت آنها خندقی حفر کرد و آتشی به پا ساخت تا مانع هجوم دشمن از پشت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دشمن، به‌ویژه کوفیانی که او را به شهرشان فراخوانده بودند مورد خطاب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کار او تأثیر چندانی نداشت، هرچند حر بن یزید پیش از شروع جنگ به سپاه حسین پیوست و در رکاب او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بعدی، روایت‌های مفصلی از نطق حسین در شرح اصل و نسب هاشمی خود که نسل خونی از پیامبر به حساب می‌آید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متقدم، بسیاری از این مطالب از زبان یاران حسین نقل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نبردهایی میان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حسین و سپاه عظیم اموی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از نبردهای تن به تن و گروهی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کشته شدن افراد مهم، به‌ویژه خانواده حسین را گزارش کرده‌اند؛ افرادی چون پسر بزرگ او علی بن حسین الاکبر، طفل شیرخوار او عبدالله بن حسین، برادر و پرچم‌دار او عباس بن علی و برادرزاده‌های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بعد از ظهر، تنها حسین مانده بود و در محاصره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تردیدهایی وجود داشت که چه کسی ضربه نهایی را بر پیکر حسین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سنان بن انس بن عمرو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قاتل حسین دانسته‌اند؛ همو بود که سر حسین را هم جدا کرد وآن را به خولی بن یزید أصبحی داد تا به کوفه نزد ا‌بن زیاد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کشته شدن حسین،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2/499</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372/373</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این جنگ، از محدوده مقاله حاضر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ذکر همین نکته کافی است که بقایا و سرهای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سپاه حسین، پیش از آنکه نزد یزید بن معاویه که از بروز چنین جنایت‌هایی پشیمان بود فرستاده شود، نزد ا‌بن زیاد برده شد و او رفتار تحقیرآمیزی با این کشته‌شدگان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2/507</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اعضای باقیمانده خانواده حسین، که علی بن حسین در رأس آنها بود، اجازه داده شد تا به مدینه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بعد از واقعه کربلا، پشیمانی زیادی بین مردم کوفه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 چنین احساسی در ظهور توابین نمایانگر شد که به رهبری سلیمان بن صرد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و به سرعت نیز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فاصله سال‌های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 کوفه را در اختیار گرفت، اقدام به کشتن کسانی کرد که در کشتن حسین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شورش‌های علوی بعدی نیز نام حسین مکرراً علیه امویان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کشته شدن حسین، کمی بعد از واقعه کربلا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شکل نخستین خود، تجمعاتی بود که در آن، مرثیه‌هایی برای وقایع کربلا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در زمان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اصلی زیارتی شیعیان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بخشی از فرایند بزرگتری بود که به موجب آن، هویت شیعی با مجموعه‌ای از مراسم‌های متمایز دینی جلوه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شیعی حاوی روایت‌های زیادی است که امام محمد باقر و جعفر صادق زیارت قبر حسین و یارانش را با حج و عمره مقایسه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نجم حیدر،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اثنی‌عشری در قرن‌های بعدی دسته‌های عزاداری عمومی راه‌اندازی کردند تا گرامیداشت واقعه کربلا نیازی به سفر به این منطقه و دشواری‌های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معزالدوله 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این مراسم مهم در بغداد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کربلا در طول زمان دستخوش تغییراتی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در منابع شیعی مشهود است اما در منابع غیرشیعی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ادامه داشت تا اینکه در دوره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روایت‌های کربلا نزد شیعیان دستخوش تحولی بنیادی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اثری با نام روضه الخوانی با حمایت دولت صفوی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جدید، برخی از شخصیت‌ها را حذف کرد و عناصر جدیدی همراه با جزئیات فراطبیعی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نسل‌های بعدی اساس تعزیه‌خوانی یا شبیه‌خوانی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0" w:name="pg18842_238156"/>
    </w:p>
    <w:p>
      <w:pPr>
        <w:pStyle w:val="BookText"/>
        <w:rPr/>
      </w:pPr>
      <w:bookmarkEnd w:id="30"/>
      <w:r>
        <w:rPr>
          <w:rFonts w:ascii="IRNazanin" w:hAnsi="IRNazanin" w:eastAsia="IRNazanin"/>
          <w:color w:val="111111"/>
          <w:sz w:val="28"/>
          <w:sz w:val="28"/>
          <w:szCs w:val="28"/>
          <w:rtl w:val="true"/>
          <w:lang w:bidi="fa-IR"/>
        </w:rPr>
        <w:t>مراسم در جوامع دیگری به جز ایران نیز همراه با رسوم محلی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بیستم، روایت جدیدی از واقعه کربلا تحت‌تأثیر گرایش‌های جهان‌سومی ایجاد شد</w:t>
      </w:r>
      <w:r>
        <w:rPr>
          <w:rFonts w:eastAsia="IRNazanin" w:cs="IRNazanin"/>
          <w:color w:val="111111"/>
          <w:sz w:val="28"/>
          <w:szCs w:val="28"/>
          <w:rtl w:val="true"/>
          <w:lang w:bidi="fa-IR"/>
        </w:rPr>
        <w:t>».</w:t>
      </w:r>
    </w:p>
    <w:p>
      <w:pPr>
        <w:pStyle w:val="Heading3"/>
        <w:numPr>
          <w:ilvl w:val="2"/>
          <w:numId w:val="1"/>
        </w:numPr>
        <w:rPr/>
      </w:pPr>
      <w:bookmarkStart w:id="31" w:name="__RefHeading___Toc14423723_1280447820"/>
      <w:bookmarkStart w:id="32" w:name="_Toc11"/>
      <w:bookmarkEnd w:id="31"/>
      <w:r>
        <w:rPr>
          <w:rtl w:val="true"/>
        </w:rPr>
        <w:t>نقد و بررسی مقاله</w:t>
      </w:r>
      <w:bookmarkEnd w:id="32"/>
    </w:p>
    <w:p>
      <w:pPr>
        <w:pStyle w:val="BookText"/>
        <w:rPr/>
      </w:pPr>
      <w:r>
        <w:rPr>
          <w:rFonts w:ascii="IRNazanin" w:hAnsi="IRNazanin" w:eastAsia="IRNazanin"/>
          <w:color w:val="111111"/>
          <w:sz w:val="28"/>
          <w:sz w:val="28"/>
          <w:szCs w:val="28"/>
          <w:rtl w:val="true"/>
          <w:lang w:bidi="fa-IR"/>
        </w:rPr>
        <w:t xml:space="preserve">نجم حیدر این مقاله را همانطور که اذعان داشته، با تاکید بر واقعه عاشورا نوشته است و به همین دلیل برخی از وجوه زندگانی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او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مواردی که در این باره می‌توان به آن اشاره کرد، نپرداختن به جریان حضور حسنین در فتوحات دوره عثمان، برخی از اعتراض‌های حسین به عمر درباره استفاده از منبر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او در حفاظت از جان عثمان به دستور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محاصره خانه عثمان است که یا به آنها پرداخته نشده یا اشاره‌ای صرفا گذرا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مقاله نجم حیدر از حیث برخی اطلاعات تاریخی و تحلیل‌ها نیازمند تأمل و بررسی بیشتر است که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حیدر در موارد مختلف، به پیش‌بینی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سخن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روایتی ایشان بطری کوچکی از خاک به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از خون‌آبه شدن آن بعد از مرگ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منابع شیعی و غیرشیعی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xml:space="preserve">؛ احمد بن ابراهیم،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معمولا متأخر و پسینی است و با هدف بیان واقعیت بیان نمی‌شود؛ بلکه می‌خواهد واقعه یا فردی را به شکل مبالغه‌آمیزی ستایش یا منکوب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نجم حیدر توجهی به نقد این روایت‌ها ندارد و ظاهرا وثاقت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اهمیت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پذیرش این روایت‌ها نیست و این روایت‌ها گرچه در ظاهر به نفع شیعیان است، اما ممکن است دستمایه مخالفان نیز قرار گیرد؛ زیرا قیام عاشورا را امری محتوم تلقی کرده و اراده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قیام علیه حکومت ظالم کمرنگ جلوه می‌دهد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حیدر در ضمن بحث درباره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 xml:space="preserve">شأن اهل‌بیت نازل شده‌است اذعان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سایر انسان‌ها بالاتر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اگرچه می‌تواند در این باره پذیرفته شود اما در متن آیه به این موضوع مستقیما اشاره‌ای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نیز در رابطه با همین آیه نقل شده‌است اما نجم حیدر آن را با ماجرای مباهله مرتبط می‌داند که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حیدر در بحث درباره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مخالفت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را با توصیفاتی که از تندخو بودن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وجود دارد سازگار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شواهد تاریخی نشان دهنده نادرستی مدعای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برادرش، حدود ده سال حکومت معاویه را تحمل کرد و حتی در برابر فشار کوفیان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بینی و بین معاویه عهداً و عقداً لا یجوز له نقضه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اهمیت پایبندی به بیعت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مشخص می‌شود که او در شب عاشورا برای اینکه بیعت را از یاران خود بردارد، آنها را میان رفتن و ماندن در کربلا مختار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نجم حیدر در ادامه مقاله به پایبند بودن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صلح‌نامه برادرش با معاویه اشاره می‌کند که به نوعی نقض کننده سخن پیشین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وچا والیری نیز در ویرایش دوم دایرةالمعارف ذیل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مخالفت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مساله صلح برادرش با معاویه اشاره دارد و آنها را ناشی از انگیزه‌های مالی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نقد این روایت‌ها،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و عسکر،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ماجرای جانشینی معاویه، نجم حیدر اذعان دارد که معاویه بدون بیعت گرفتن برای یزید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طبق گزارش یعقوبی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پسرش یزید به‌عنوان ولیعهد بیعت گرفت و فقط چهار نفر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ولید بن عتبه خواست تا مخصوصا از سه نفر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عبدالله بن زبیر و عبدالله بن عمر که اسم آخری در مقاله نجم حیدر نیامده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حیدر علت بیعت نکردن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را مخالفت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بیعت در خفا و تمایل او برای بیعت با یزید در صورت همراهی اکثریت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چنین به نظر می‌رسد که از دیدگاه نجم حیدر، مساله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نکردن با یزید، همراهی نکردن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خواسته اصلی ولید را مطرح می‌کند و می‌فرماید شما می‌خواهید از من بیعت بگیرید تا مردم هم با شما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قصد یزید برای بیعت کردن با ایشان، مشروع جلوه دادن حکومتش نزد افکار عمومی است از بیعت با او سرباز می‌زند تا در مشروعیت‌بخشی به حکومت وی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برداشت نجم حیدر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منوط به بیعت مردم بداند،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بخشی از مقاله ضمن بحث درباره بیعت مردم کوفه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اذعان دارد کهعبدالله بن عباس با یادآوری عهدشکنی مردم کوفه در زمان امام علی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می‌خواهد که به جای کوفه، مسیر یمن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چنین نقشی برای ا‌بن عباس در مقام فردی دوراندیش، معمولا تلاشی از سوی مورخان عصر عباسی برای پررنگ جلوه دادن نقش او در تاریخ اسلام به‌طور مستقیم و اذعان به دوراندیشی او نسبت به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نقش مشابهی برای او در ماجرای حکمیت بعد از جنگ صفین نقل شده‌است که ا‌بن عباس،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انتخاب ابوموسی اشعری به‌عنوان حکم برحذر می‌دارد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پیشنهاد را نمی‌پذیرد و در نهایت از نتیجه مذاکرات پشیمان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روایت به گونه‌ای نقل شده‌است که حوادث بعدی نشان‌دهنده درستی رای ا‌بن عباس و سستی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نماینده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نهایت پیش‌بینی ا‌بن عباس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عباسیان به دلیل رقابتی که با علویان بر سر مشروعیت‌سازی خلافتشان داشتند، تلاش می‌کردند تا نیاکان خود را در تاریخ، برتر از علویان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Berg, 2010: 14-16</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بحث درباره بیعت مردم کوفه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اشاره شده که فرزدق شاعر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قلب‌هایشان با توست ولی </w:t>
      </w:r>
    </w:p>
    <w:p>
      <w:pPr>
        <w:pStyle w:val="BookText"/>
        <w:rPr/>
      </w:pPr>
      <w:r>
        <w:rPr>
          <w:rFonts w:ascii="IRNazanin" w:hAnsi="IRNazanin" w:eastAsia="IRNazanin"/>
          <w:color w:val="111111"/>
          <w:sz w:val="28"/>
          <w:sz w:val="28"/>
          <w:szCs w:val="28"/>
          <w:rtl w:val="true"/>
          <w:lang w:bidi="fa-IR"/>
        </w:rPr>
        <w:t>شمشیرهایشان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این روایت نیز محل تردید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این روایت از زبان چند نفر و در چند جای مختلف نقل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نقل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کوفه به جانوری برخورد و این جمله را آن جانور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بزرگتر در پذیرش این روایت، آن است که روایت مذکور به نوعی بیانگر آن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شیعیانش به شهادت رساندند و به این ترتیب از نقش بنی‌امیه در رقم خوردن این فاجعه تاریخی می‌کاهد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حیدر در بحث درباره گفت‌وگوی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سعد در میانه راه به سوی کوفه، بر روایتی تکیه دارد که طبق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پیشنهاد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به حجاز برگردد، نزد یزید برود و شخصاً با وی بیعت کند یا اینکه به یکی از مرزهای اسلام برود و با دشمنان اسلام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طبری به نقل از عقبه بن سمعان آمده است که من تمام مدت را با حسین بودم و آنچه مردم می‌پندارند که حسین گفته است اجازه دهید دست در دست یزید قرار دهم یا به یکی از نقاط مرزی بروم،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او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فلاذهب فی هذه الارض العریضه حتى ننظر ما یصیر امر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گفتگو به شکل خصوصی میان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سعد اتفاق افتاده و روایت گفت‌وگوهای میان آن دو، تنها حدس یاران دو طرف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طبری به جز روایت سه پیشنهاد مذکور، محتوای این گفت‌وگو را به نقل از دیگری، پیرامون نگرانی عمر بن سعد برای از دست دادن اموالش در صورت پذیرش پیشنهاد حسین بن علی عنوان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تفصیل بیشتر درباره این گفت‌وگوها،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هنگامی که عمر بن سعد پیشنهاد ا‌بن زیاد مبنی‌بر تسلیم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گفت،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أضع یدی فی ید ا‌بن مرجانه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این‌گونه شایعات را بایست شخص عمر بن سعد دانست؛ هرچند آن را می‌توان توطئه‌ای علیه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دنبال تخریب چهره ایشان بود</w:t>
      </w:r>
      <w:r>
        <w:rPr>
          <w:rFonts w:eastAsia="IRNazanin" w:cs="IRNazanin"/>
          <w:color w:val="111111"/>
          <w:sz w:val="28"/>
          <w:szCs w:val="28"/>
          <w:rtl w:val="true"/>
          <w:lang w:bidi="fa-IR"/>
        </w:rPr>
        <w:t xml:space="preserve">. </w:t>
      </w:r>
      <w:bookmarkStart w:id="33" w:name="pg18842_238160"/>
    </w:p>
    <w:p>
      <w:pPr>
        <w:pStyle w:val="BookText"/>
        <w:rPr/>
      </w:pPr>
      <w:bookmarkEnd w:id="33"/>
      <w:r>
        <w:rPr>
          <w:rFonts w:ascii="IRNazanin" w:hAnsi="IRNazanin" w:eastAsia="IRNazanin"/>
          <w:color w:val="111111"/>
          <w:sz w:val="28"/>
          <w:sz w:val="28"/>
          <w:szCs w:val="28"/>
          <w:rtl w:val="true"/>
          <w:lang w:bidi="fa-IR"/>
        </w:rPr>
        <w:t>در استفاده از منابع تاریخی نیز نجم حیدر از تاریخ طبری با وجود روایت‌های فراوان در زمینه عاشورا بهره چندانی نبرده و در مقابل منابع کمتر مهمی چون المصابیح احمد بن ابراهیم را اساس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فهرست منابع او کتاب نجوم الزاهره ا‌بن تغری بردی و الافاده یحیی بن حسین آمده است اما در متن مقاله ارجاعی به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درباره منابع متأخر درباره واقعه عاشورا که به ابعاد غیرتاریخی واقعه پرداخته‌اند، علاوه‌بر کتاب روضه الخوانی که نویسنده به آن اشاره کرده است، باید از روضه الشهدا ملاحسین واعظ کاشفی یاد کرد که پیش از آن نوشته شده و تحریفاتی از طریق آن به واقعه عاشورا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می‌توان به شهادت هاشم بن عتبه در کربلا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او سال‌ها قبل در نبرد صفین به شهادت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و دیگران،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34" w:name="__RefHeading___Toc14423725_1280447820"/>
      <w:bookmarkStart w:id="35" w:name="_Toc12"/>
      <w:bookmarkEnd w:id="34"/>
      <w:r>
        <w:rPr>
          <w:rtl w:val="true"/>
        </w:rPr>
        <w:t>نتیجه</w:t>
      </w:r>
      <w:bookmarkEnd w:id="3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 سوم دایرةالمعارف اسلام به قلم نجم حیدر، با وجود اختصار و یکپارچگی متن، خالی از اشتباهات و کج‌فهمی‌های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که حیدر در مواجهه با روایت‌های تاریخی، به صورت گزینشی از آنها بهره برده است و تلاشی برای سنجش وثاقت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تا مطالب نادرستی به مقاله او راه یابد که از مهم‌ترین آنها می‌توان به تفسیر نادرست از آیه تطهیر، تحلیل اشتباه مبنی‌بر مخالفت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بیعت برادرش با معاویه و دیدگاه نادرست درباره بیعت نکردن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ذکر برخی روایت‌های جعلی نظیر سخن فرزدق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مردم کوفه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قیام عاشورا که در ظاهر به نفع و در دفاع از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اما در لایه‌های پنهانی سعی در کاستن اهمیت قیام عاشورا و نقش بنی‌امیه در وقوع آن دارد، از جمله کاستی‌های مقاله نجم حیدر به شمار می‌رود</w:t>
      </w:r>
      <w:r>
        <w:rPr>
          <w:rFonts w:eastAsia="IRNazanin" w:cs="IRNazanin"/>
          <w:color w:val="111111"/>
          <w:sz w:val="28"/>
          <w:szCs w:val="28"/>
          <w:rtl w:val="true"/>
          <w:lang w:bidi="fa-IR"/>
        </w:rPr>
        <w:t xml:space="preserve">. </w:t>
      </w:r>
      <w:bookmarkStart w:id="36" w:name="pg18842_238161"/>
    </w:p>
    <w:p>
      <w:pPr>
        <w:pStyle w:val="Heading3"/>
        <w:numPr>
          <w:ilvl w:val="2"/>
          <w:numId w:val="1"/>
        </w:numPr>
        <w:rPr/>
      </w:pPr>
      <w:bookmarkStart w:id="37" w:name="__RefHeading___Toc14423727_1280447820"/>
      <w:bookmarkStart w:id="38" w:name="_Toc13"/>
      <w:bookmarkEnd w:id="36"/>
      <w:bookmarkEnd w:id="37"/>
      <w:r>
        <w:rPr>
          <w:rtl w:val="true"/>
        </w:rPr>
        <w:t>منابع</w:t>
      </w:r>
      <w:bookmarkEnd w:id="3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المنتظم، تصحیح محمد عبدالقادر عطا و مصطفی عبدالقادر عطا، 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شهرآشوب، 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الامامة و السیاسة، تصحیح علی شیری، قم،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نما حلی، مثیر الاحزان و منیر سبل الاشجان،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مهدی،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بن ابراهیم، المصابیح، تصحیح عبدالله بن عبدالله بن احمد حوثی،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پژوهش، ش</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مقاتل الطالبیین، تصحیح احمد صقر، قاهره،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انساب الاشراف، تصحیح محمود فردوس العظم، دمشق،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 علی و علیرضا عسکر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 نقدی بر مقاله امام حسین در دایره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حوزه و دانشگاه، ش</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اخبار الطوال، تصحیح عبدالمنعم عامر، قاهره،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بن جوزی، مرات الزمان، تصحیح کامل سلمان جبوری، بیروت،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مفید، الارشاد فی معرفه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تاریخ الرسل و الملوک،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عدالت‌نژاد،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دانشنامه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دایره المعارف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کاشفی، ملاحسین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الشهدا، به کوشش ابوالحسن شعرانی، تهران، کتابفروشی 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گوهری، مصطفی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الشهداء از روایات مجعول تا تأثیرگذاری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ورود اخبار ضعیف تاریخی به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فرهنگ، ش</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تاریخ، به کوشش عبدالامیر علی مهنا، 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Berg, Herbert, “Abbasid Historian’s Portrayals of al‘Abbās b. ‘Abd alMuṭṭalib”, Abbasid Studies II: Occasional Papers of the School of -Abbasid Studies, Leuven, 28 June – 1 July 2004, edited by John Nawas (Leuven: Peeters Publishers, 2010), 13–38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Najam Haider, I., “alḤusayn b. ʿAlī b. Abī Ṭālib”, Encyclopaedia of Islam, 3rd Edition, Edited by: Kate Fleet, Gudrun Krämer, Denis Matringe, John Nawas, and Everett Rowson. Consulted online on 26 June 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Najam Haider, I., Shi'i Islam: An Introduction (Introduction to Religion), Cambridge Press,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Madelung, Wilferd, “Ḥusayn b. ʿAlī”, Encyclopaedia Iranica, Vol 12, Fasc. 5, 2004, p. 493-498</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Vaglieri, Veccia, “Hussayn Ibn Ali Ibn Abi Talib”, Encyclopedia of Islam, Edition 2, Leiden: Brill, 1986</w:t>
      </w:r>
      <w:r>
        <w:rPr>
          <w:rFonts w:eastAsia="Times New Roman" w:cs="Times New Roman" w:ascii="Times New Roman" w:hAnsi="Times New Roman"/>
          <w:color w:val="111111"/>
          <w:sz w:val="28"/>
          <w:szCs w:val="28"/>
          <w:rtl w:val="true"/>
          <w:lang w:val="en-US" w:bidi="en-US"/>
        </w:rPr>
        <w:t xml:space="preserve">. </w:t>
      </w:r>
      <w:bookmarkStart w:id="39" w:name="pg18842_238163"/>
    </w:p>
    <w:p>
      <w:pPr>
        <w:pStyle w:val="Heading2"/>
        <w:numPr>
          <w:ilvl w:val="1"/>
          <w:numId w:val="1"/>
        </w:numPr>
        <w:rPr/>
      </w:pPr>
      <w:bookmarkStart w:id="40" w:name="__RefHeading___Toc14423729_1280447820"/>
      <w:bookmarkStart w:id="41" w:name="_Toc14"/>
      <w:bookmarkEnd w:id="39"/>
      <w:bookmarkEnd w:id="40"/>
      <w:r>
        <w:rPr>
          <w:rtl w:val="true"/>
        </w:rPr>
        <w:t>ویلیام چیتیک و جستجوی روح اسلام در نیایش‌های حسینی و مفاهیم عاشورایی</w:t>
      </w:r>
      <w:bookmarkEnd w:id="41"/>
    </w:p>
    <w:p>
      <w:pPr>
        <w:pStyle w:val="Heading3"/>
        <w:numPr>
          <w:ilvl w:val="2"/>
          <w:numId w:val="1"/>
        </w:numPr>
        <w:rPr/>
      </w:pPr>
      <w:bookmarkStart w:id="42" w:name="__RefHeading___Toc14423731_12804478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محمدرضا زارع خورمیزی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25/02/1403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29/05/1403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سی چیتیک، خاورشناس آمریکایی است که در زمینه تصوف اسلامی آثار ارزشمندی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برای شناخت ابعاد معنوی مفاهیم عاشورایی در عرفان اسلامی و آشکارسازی دیدگاه‌های چیتیک در خصوص ابعاد معنوی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 تأثیر ماندگار مفاهیم عاشورایی بر آثار ادیبان عارف‌مشرب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اصلی پژوهش این است که چیتیک چگونه روح اسلام را در ابعاد معنوی دعای عرفه و شرح مفاهیم عاشورایی در ادبیات عرفانی تبیین کرده است؟ فرضیه تحقیق این است که چیتیک، با کارنامه‌ای فاخر در مطالعات اسلامی، در آثار خود کوشیده است تا روح اسلام را در مؤلفه‌های معنوی و حماسی شیعی نظیر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عاشورایی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استفاده از روش تحلیل محتوا و رویکرد بررسی کیفی آثار ویلیام </w:t>
      </w:r>
      <w:bookmarkStart w:id="44" w:name="pg18842_238164"/>
    </w:p>
    <w:p>
      <w:pPr>
        <w:pStyle w:val="BookText"/>
        <w:rPr/>
      </w:pPr>
      <w:bookmarkEnd w:id="44"/>
      <w:r>
        <w:rPr>
          <w:rFonts w:ascii="IRNazanin" w:hAnsi="IRNazanin" w:eastAsia="IRNazanin"/>
          <w:color w:val="111111"/>
          <w:sz w:val="28"/>
          <w:sz w:val="28"/>
          <w:szCs w:val="28"/>
          <w:rtl w:val="true"/>
          <w:lang w:bidi="fa-IR"/>
        </w:rPr>
        <w:t>چیتیک، نشان داد که چیتیک زیبایی‌های اسلام را در ابعاد نیایش، عرفان و حماسه عاشورا برای خوانندگان غربی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بعد حماسی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معنویت اسلام را نیز در میراث ایشان نظیر دعای عرفه و مفاهیم عاشورا شناسایی و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سنایی، عاشورا، عرفان اسلامی، مولوی، ویلیام چیتیک</w:t>
      </w:r>
      <w:r>
        <w:rPr>
          <w:rFonts w:eastAsia="IRNazanin" w:cs="IRNazanin"/>
          <w:color w:val="111111"/>
          <w:sz w:val="28"/>
          <w:szCs w:val="28"/>
          <w:rtl w:val="true"/>
          <w:lang w:bidi="fa-IR"/>
        </w:rPr>
        <w:t>.</w:t>
      </w:r>
    </w:p>
    <w:p>
      <w:pPr>
        <w:pStyle w:val="Heading3"/>
        <w:numPr>
          <w:ilvl w:val="2"/>
          <w:numId w:val="1"/>
        </w:numPr>
        <w:rPr/>
      </w:pPr>
      <w:bookmarkStart w:id="45" w:name="__RefHeading___Toc14423733_1280447820"/>
      <w:bookmarkStart w:id="46" w:name="_Toc16"/>
      <w:bookmarkEnd w:id="45"/>
      <w:r>
        <w:rPr>
          <w:rtl w:val="true"/>
        </w:rPr>
        <w:t>مقدمه</w:t>
      </w:r>
      <w:bookmarkEnd w:id="4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چیتیک،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در میلفورد، ایالت کنتیکت آمریکا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پژوهشگران برجسته در حوزه مطالعات اسلامی است که به‌ویژه برای آثار گسترده‌اش در زمینه‌های تصوف و ادبیات فارسی ارج نهاده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در خانواده‌ای پروتستان بزرگ شد و دوران تحصیل ابتدایی خود را در زادگاهش سپری کرد و پس از آن، در کالج وستر به تحصیل در رشته تاریخ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دانش خود در زمینه تاریخ شرق و آشنایی با زبان عربی، تحصیلات خود را در دانشگاه آمریکایی بیروت ادامه داد و در این دوران به عرفان اسلامی علاقه‌مند شد، علاقه‌ای که پس از آشنایی با سید حسین نصر بیش از پیش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چیتیک برای آموختن عرفان اصیل اسلامی به ایران آمد و در رشته ادبیات فارسی در دانشگاه تهران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دوازده سال حضور در ایران، موفق به دریافت درجه دکتری در زبان و ادبیات فارسی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تدریس علوم انسانی در دانشگاه صنعتی شریف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استادان برجسته‌ای چون جلال‌الدین همایی، بدیع‌الزمان فروزانفر، سید حسین نصر، توشی‌هیکو ایزوتسو، هانری کربن و سید جلال‌الدین آشتیانی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فهم او از عرفان اسلامی را به شکل چشمگیری غنی‌تر کرد و تحت هدایت علامهطباطبایی، گلچینی از احادیث شیعه را به زبان انگلیسی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چیتیک در ایران، به او دانش و بینشی بی‌نظیر درباره عرفان اسلامی و میراث ادبیات فارسی بخشید و او را به یکی از برجسته‌ترین متخصصان این حوزه‌ها تبدیل کرد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Chittick, 2012: 39-41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چیتیک پس از تأسیس انجمن فلسفه، تحت نظر هانری کربن به مطالعه عرفان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وی با سید حسین نصر در زمینه فلسفه و معارف اسلامی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به‌عنوان استاد در گروه مطالعات تطبیقی ادیان در دانشگاه ایالتی نیویورک در استونی بروک فعالیت دارد و به تدریس و پژوهش بر متون کلاسیک عرفانی فارسی و عربی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کامل چیتیک بر زبان‌های فارسی، عربی و متون کلاسیک عرفانی این دو زبان، در ویرایش و تفسیر انتقادی او بر کتاب نقد النصوص فی شرح نقش الفصوص نوشته عبدالرحمن جامی که همچنین پایان‌نامه دکتری او بود، بارز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Chittick, 1986: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تلاش‌های بی‌وقفه و استعداد ذاتی چیتیک موجب موفقیت‌های چشمگیر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او در درک عبارات عرفانی و شناخت سبک نویسندگان آنها، آثار وی را متمایز و برجسته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علاوه‌بر پژوهش و نگارش در حوزه‌های عرفان و اخلاق، خود نیز به ملکات معنوی و انسانی آراسته شده و فردی معتدل، مشتاق به کار و کوشش علمی و ادبی است، که از سخاوت در تحقیق و اندیشه دریغ نمی‌کند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Chittick, 2012: 45-47</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چیتیک یکی از برجسته‌ترین متخصصان ادعیه عرفان اسلامی در غرب شناخته می‌شود و نخستین کسی است که، علاوه‌بر قرآن کریم، صحیفه سجادیه را به زبان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تحت عنوان</w:t>
      </w:r>
      <w:r>
        <w:rPr>
          <w:rFonts w:eastAsia="Times New Roman" w:cs="Times New Roman" w:ascii="Times New Roman" w:hAnsi="Times New Roman"/>
          <w:color w:val="111111"/>
          <w:sz w:val="28"/>
          <w:szCs w:val="28"/>
          <w:lang w:val="en-US" w:bidi="en-US"/>
        </w:rPr>
        <w:t>The Psalms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انتشارات متعددی از جمله انتشارات انصاریان منتشر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بر ترجمه صحیفه سجادیه، مقدمه‌ای مفصل به رشته تحریر درآورده و به بررسی دقیقی پیرامون شخصیت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نسخه‌های خطی و شروح آن، دعا در اسلام، مفهوم توحید، درخواست از خدا، اسماء الحسنی، شکرگزاری نعمت‌ها و موضوعات مشابه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مفتخر به دریافت جایزه جهانی کتاب سال جمهوری اسلامی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ترجمه انگلیسی دعاهای ایام هفته، مناجات خمسه عشر و رساله الحقوق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ارزنده چیتیک است که نقش بسزایی در معرفی فرهنگ دعا و نیایش اسلامی در سطح جهان داشته است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Chittick, 2000: 24-34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چیتیک متخصص تاریخ معنویت اسلامی، معتقد است که عرفان در دنیای مدرن کنونی جایگاه ویژه‌ای یافته است و عرفانی که از اسلام تغذیه نکند، آینده‌ای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 خود نه تنها به معرفی پیشوایان شیعه نظیر امام سجاد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بلکه مخاطبان انگلیسی زبان را با عالمان و ادیبانی همچون ابن عربی و مولوی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او در شناساندن دانشمندان ایرانیاسلامی دیگر در غرب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همچنین اندیشه‌های معاصران نظیر علامه طباطبایی و امام خمینی را در برخی از آثار خود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وی، ساچیکو موراتا، نیز اسلام‌شناس و پژوهشگر حوزه ادیان است که برخی از آثار بزرگ چیتیک مانند کتاب سیمای اسلام با همکاری او تدوین شده‌اند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Chittick &amp; Murata,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چیتیک تاکنون ده‌ها کتاب و مقاله به چاپ رسانده و در رویدادهای علمی متعددی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یافتن قواعد سلوک عرفانی در قرآن و سنت است و باور دارد که مقامات معنوی به دست آمده از طریق کشف و شهود با مباحث استدلالی و برهانی تناقض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نشان دهنده تلاش او برای ادغام دو رویکرد تفکری و عرفانی در فهم دین است، که آموزه‌های دینی را در یک چارچوب عقلانی تبیین می‌کند و در عین حال به جنبه‌های عرفانی و معرفت‌شناسی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کتاب‌هایی ویلیام چیتیک که به زبان فارسی ترجمه شده‌اند،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به‌سوی خدا در متون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امیرحسین اصغری، انتشاراتعلمی و فرهنگی،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تصوف و عرفان اسلامی، ترجمه جلیل پروین، انتشارات پژوهشکده امام خمینی و انقلاب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صحیفه کامله سجادیه به انگلیسی، انتشارات انصاریان،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به تصوف، ترجمه محمدرضا رجبی، انتشارات مرکز مطالعات و </w:t>
      </w:r>
    </w:p>
    <w:p>
      <w:pPr>
        <w:pStyle w:val="BookText"/>
        <w:rPr/>
      </w:pPr>
      <w:r>
        <w:rPr>
          <w:rFonts w:ascii="IRNazanin" w:hAnsi="IRNazanin" w:eastAsia="IRNazanin"/>
          <w:color w:val="111111"/>
          <w:sz w:val="28"/>
          <w:sz w:val="28"/>
          <w:szCs w:val="28"/>
          <w:rtl w:val="true"/>
          <w:lang w:bidi="fa-IR"/>
        </w:rPr>
        <w:t xml:space="preserve">تحقیقات ادیان و مذاهب،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اسلام، اثر مشترک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و ساچیکو موراتا، ترجمه عبدالرحیم گواهی، انتشارات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نمای کلی از معنویت اسلامی ارائه می‌دهد و زمینه‌ساز مطالعات دقیق چیتیک درباره شخصیت‌های تاریخی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قلب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اندیشه اسلامی، اثر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محمد رستم و عاطف خلیل، که ترجمه آن به دست امیرحسین اصغری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سپس ترجمه فارسی آن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از مقالات است که به جنبه‌های مختلف اندیشه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چیتیک در این مجموعه به ابعاد متافیزیکی و عرفانی اسلام پرداخته و بینش‌هایی درباره اهمیت معنوی شخصیت‌ها و رویدادهای دینی کلیدی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چیتیک تحلیل دقیقی از چگونگی تفسیر این تم‌ها در سنت‌های صوفی ارائه داده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نماد فداکاری روحانی نهایی و عشق الهی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برای درک چارچوب گسترده‌تر معنوی و متافیزیکی که چیتیک در تفسیر عاشورا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از اهمیت بسزایی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مقالات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در ارتباط با موضوع مقاله حاضر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 و شمشیر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حسن لاهوتی، مجله اطلاعات حکمت و معرفت، 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نیایشنامه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ناتمام روح برای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امیر حسین اصغری، مجله اطلاعات حکمت و معرفت،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کتاب صحیفه سجادیه اثر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پورقاسمیان، مجله مطالعات قرآن و 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بررسی اهمیت روحانی و الهیاتی دعاهای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دیدگاه‌های چیتیک درباره معنویت اسلامی را گسترش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در اسلام و سنت صوفیانه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معصومه نقدبیشی، مجله کتاب ماه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اهمیت احساسی و معنوی گریه در زمینه‌های اسلامی و صوفیانه می‌پردازد و نگاه نویی بر گریه و عزا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کرانه ادب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لاهوتی، مجله اطلاعات حکمت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که در 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وقف میراث جاویدان منتشر شده، به بررسی دیدگاه مولوی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احترام عمیق مولوی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که چگونه شعر و آموزه‌های مولوی تم‌های فداکاری، عشق الهی و مقاومت روحانی را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به‌ویژه به دلیل بررسی تقاطع بین ادبیات، معنویت و روایت تاریخی اهمیت دارد و نشان می‌دهد که دیدگاه عرفانی مولوی چگونه با فهم عاشورا در تفکر صوفیانه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ویلیام چیتیک در حوزه معارف اسلامی و عرفان، با ارائه تحلیل‌های عمیق و بینش‌های نوین، مجموعه‌ای ارزشمند از منابع پژوهشی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 او، که به موضوعاتی همچون عشق الهی، تصوف، نیایش‌های اسلامی و تحلیل متون عرفانی می‌پردازند، از جمله منابعی هستند که می‌توانند در این پژوهش به‌طور مؤثری مورد استفاده قرار گیرند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سعی می‌کند با بهره‌گیری از این منابع، به بررسی عمیق‌تر و دقیق‌تر دیدگاه چیتیک درباره دعای عرفه و مفاهیم عاشورایی بپردازد و نقش محوری این مفاهیم را در ادبیاتمنظوم عرفانی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چیتیک، با تأکید بر جایگاه بی‌بدیل مفاهیم عاشورایی و نیایش‌های اسلامی در عرفان اسلامی، به‌طور مستقیم به ارتقای فهم و منقح‌سازی دیدگاه‌های او در این زمینه کمک می‌کنند و پایه‌ای قوی برای تحلیل‌های علمی و پژوهش‌های آتی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پژوهش حاضر می‌تواند از میراث علمی چیتیک بهره‌مند شده و به بررسی جامع‌تر و دقیق‌تر موضوعات مطروحه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از روش تحلیل محتوا با رویکرد کیفی استفاده کرده و با بررسی سیستماتیک آثار ویلیام چیتیک، به تحلیل دقیق محتوای نوشته‌ها و دیدگاه‌های او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و مفاهیم عاشورایی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 </w:t>
      </w:r>
      <w:bookmarkStart w:id="47" w:name="pg18842_238169"/>
    </w:p>
    <w:p>
      <w:pPr>
        <w:pStyle w:val="BookText"/>
        <w:rPr/>
      </w:pPr>
      <w:bookmarkEnd w:id="47"/>
      <w:r>
        <w:rPr>
          <w:rFonts w:ascii="IRNazanin" w:hAnsi="IRNazanin" w:eastAsia="IRNazanin"/>
          <w:color w:val="111111"/>
          <w:sz w:val="28"/>
          <w:sz w:val="28"/>
          <w:szCs w:val="28"/>
          <w:rtl w:val="true"/>
          <w:lang w:bidi="fa-IR"/>
        </w:rPr>
        <w:t>محقق امکان می‌دهد تا به عمق مفاهیم معنوی و اخلاقی در آثار چیتیک پی ببرد و تأثیر این مفاهیم بر ادبیات عرفانی و فرهنگ اسلامی را به‌طور جامع تبیین کند</w:t>
      </w:r>
      <w:r>
        <w:rPr>
          <w:rFonts w:eastAsia="IRNazanin" w:cs="IRNazanin"/>
          <w:color w:val="111111"/>
          <w:sz w:val="28"/>
          <w:szCs w:val="28"/>
          <w:rtl w:val="true"/>
          <w:lang w:bidi="fa-IR"/>
        </w:rPr>
        <w:t>.</w:t>
      </w:r>
    </w:p>
    <w:p>
      <w:pPr>
        <w:pStyle w:val="Heading3"/>
        <w:numPr>
          <w:ilvl w:val="2"/>
          <w:numId w:val="1"/>
        </w:numPr>
        <w:rPr/>
      </w:pPr>
      <w:bookmarkStart w:id="48" w:name="__RefHeading___Toc14423735_1280447820"/>
      <w:bookmarkStart w:id="49" w:name="_Toc17"/>
      <w:bookmarkEnd w:id="48"/>
      <w:r>
        <w:rPr>
          <w:rtl w:val="true"/>
        </w:rPr>
        <w:t xml:space="preserve">نیایش‌های اسلامی و دعای عرفه امام حسین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ویلیام چیتیک در آثار خود بر این باور است که بسیاری از غربیان، اسلام را با مفاهیمی چون واپس‌گرایی، خشونت‌طلبی، ظاهرگرایی و خدایی دور از دسترس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عناصری از تمدن اسلامی که ترکیبی از لطافت‌ها، ظرافت‌ها، عشق و عرفان، روح انسانی و خدای مهربان و همیشه حاضر در همه‌جا را نمایش می‌دهند، به‌عنوان اصل اسلام و قرآن تلقی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غیرمسلمان در بررسی اسلام، به‌طور طبیعی به جنبه‌هایی می‌پردازند که در نگاه اول آشکار هستند، مانند رویدادها، متون مکتوب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تنها مشاهده قلب مردم یا پژوهش در روابط شخصی آنان با خداوند آسان نیست، بلکه بسیاری از افراد نیز تمایلی به چنین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بر این باور است که راه رسیدن به قلب‌ها باید از طریق بررسی عمیق‌ترین نگرانی‌های فردی که در فعالیت‌ها و نوشته‌های ظاهری منعکس می‌شود،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جنبه‌هایی از اسلام که بیشتر مورد توجه محققان خارجی قرار گرفته‌اند، ابعاد بیرونی و قابل مشاهده آن هستند و این ابعاد ارتباطی با عشق و رحمتی که با معنویت غربی آمیخته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تأکید می‌کند که برای درک واقعی اسلام، باید به جنبه‌های معنوی و عرفانی آن که نمایانگر ارتباطی عمیق و شخصی با خداوند هستند،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جنبه‌ها شامل نیایش‌های عارفانه، تجربه‌های روحانی و عشق به خداوند است که در متن‌های دینی و فرهنگی اسلامی یافت می‌شود و نیازمند نگاهی عمیق‌تر و پژوهشی جامع‌تر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چیتیک تمدن اسلامی را به یک شهر سنتی مسلمانان تشبیه کرده که دروازه‌هایش تیره و تاریک به نظر می‌رسند و ورود به دنیای پس از دیوار و دروازه‌ها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با اهالی شهر صمیمی و محرم شود، حیاط‌ها و باغ‌های دلپذیری به او نشان داده می‌شوند که پر از گل‌های معطر، درختان میوه‌دار و فواره‌های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به تاریخ اسلام، رویدادهای سیاسی و نهادهای اجتماعی آن پرداخته‌اند، به دلیل عدم دسترسی به درون باغ‌ها، تنها با دیوارها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استوانه‌های صدر اسلام برای ما باقی مانده‌اند، می‌توانند نمای کاملاً تازه‌ای از جان روح‌بخش اسلام را بر ما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دسترسی مستقیم به نوعی از تلاش‌های انسانی برای ما فراهم می‌کنند که پیش‌نیاز تکامل در آرمان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معتقد است که این دعاها، که میراثی از عرفان اسلامی هستند، به ما امکان می‌دهند تا به عمق معنویت اسلامی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نه تنها به‌عنوان اعمال دینی بلکه به‌عنوان جلوه‌های زنده‌ای از عشق و ارتباط عمیق با خداوند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نیایش‌ها، افراد می‌توانند به تجربه‌ای عمیق و شخصی از ایمان دست یابند که فراتر از ظواهر و نهادهای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واقعی و جامع از تمدن اسلامی، باید به این ابعاد درونی و معنوی توجه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چیتیک بر اهمیت پژوهش و مطالعه عمیق در متون عرفانی و نیایش‌های اسلامی تأکید می‌کند تا بتوان به درک بهتری از جوهره واقعی اسلام و تاثیرات آن بر فرد و جامعه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چیتیک اسلام را به‌عنوان یک واقعیت شکل‌یافته می‌بیند که سه جوهره اصلی، یعنی اسلام،ایمان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اشکال مختلف اجتماعی با این جوهره‌ها برخوردی جداگانه داشته باشند، این ابعاد دارای روابط همبسته و صمیمانه‌ای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اولیه اسلامی مانند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جوهره‌های سه‌گانه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نهج‌البلاغه همه گونه‌های سخن و مفاهیم از معنویت و سیاست را در هم ترکیب کرده است و معنویت و تقدس در فحوای تمام سخنان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چیتیک در نوشته‌های خود کوشیده تا اصول رفتار در عرفان نظری و عملی اسلام را در قرآن و سنت بیابد و بر این باور است که مقامات معنوی که از طریق کشف و شهود به دست می‌آیند، با مباحث استدلالی تضادی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قرآن و سنت نه تنها راهنمای زندگی روزمره مسلمانان هستند، بلکه نقشه‌ای برای دستیابی به مقامات معنوی عالی‌تر نیز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چیتیک، اسلام دارای ابعاد گوناگونی است که هر </w:t>
      </w:r>
    </w:p>
    <w:p>
      <w:pPr>
        <w:pStyle w:val="BookText"/>
        <w:rPr/>
      </w:pPr>
      <w:r>
        <w:rPr>
          <w:rFonts w:ascii="IRNazanin" w:hAnsi="IRNazanin" w:eastAsia="IRNazanin"/>
          <w:color w:val="111111"/>
          <w:sz w:val="28"/>
          <w:sz w:val="28"/>
          <w:szCs w:val="28"/>
          <w:rtl w:val="true"/>
          <w:lang w:bidi="fa-IR"/>
        </w:rPr>
        <w:t>کدام به نحوی به تعالی و رشد معنوی فرد و جامعه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دارد که درک صحیح از اسلام نیازمند توجه به تمامی این ابعاد است، چرا که اسلام به‌عنوان یک کل واحد و جامع، نمی‌تواند به‌طور کامل درک شود مگر اینکه همه جنبه‌های آن به درستی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عمیق‌تر و کامل‌تر از اسلام، نه تنها باید به مباحث فقهی و اعتقادی پرداخت، بلکه باید به جنبه‌های عرفانی و معنوی نیز توجه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جامع به اسلام می‌تواند به پژوهشگران و علاقه‌مندان کمک کند تا به فهمی دقیق‌تر و صحیح‌تر از دین برسند و تأثیرات مثبت آن را در زندگی فردی و اجتماعی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تأکیدهای نظری و عملی متفاوت بر ابعاد سه گانه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تصدیق و آگاهی قلبی، ایمان به زبان و بیان باور، ایمان به ارکان و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می‌کند تا بفهمیم چرا غربی‌ها به صرافت طبع، مجذوب تصوف می‌شوند؛ ولی از اسلام دلزده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هیچ اطلاعی از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غیر از اندیشه‌های متحجرانه‌ای که از قرون وسطا به آنان انتقال یافته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در نگاه اول به اسلام، احساس می‌کنند گویی آنها را به بیابانی برده‌اند و در مقابل دیوارهای خشن و بی پیرایه شهری قرار داده‌اند که بوی مرگ می‌دهد؛ اما بر عکس، عرفان و معنویت اسلامی، آدمی را به باغ‌های زیبایی وارد می‌نماید که شریعت با احکام و دستورات خود، دیوار این باغ‌ها را حفاظت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زنده و پویا، این دیوارها از آن فضای سبز و با طراوت، در مقابل طوفان‌های بیابان پاسداری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چیتیک، در متون اسلامی، دعا و نیایش یکی از اساسی‌ترین ساختارهایی است که روح می‌تواند در آن به شکلی الهی درآید و نفس‌محوری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روایت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هنگام دعا و تضرع، دست خود را بالا می‌برد، شبیه انسان درمانده‌ای که برای غذا التماس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بر این باور است که دعا، همان‌گونه که در مسیحیت معاصر درک می‌شود، عبادتی فردی است که بنیاد زندگی دینی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دلیل جنبه شخصی و درونی آن، همان‌گونه که در قرآن به طور عمومی ذکر شده، شکل </w:t>
      </w:r>
    </w:p>
    <w:p>
      <w:pPr>
        <w:pStyle w:val="BookText"/>
        <w:rPr/>
      </w:pPr>
      <w:r>
        <w:rPr>
          <w:rFonts w:ascii="IRNazanin" w:hAnsi="IRNazanin" w:eastAsia="IRNazanin"/>
          <w:color w:val="111111"/>
          <w:sz w:val="28"/>
          <w:sz w:val="28"/>
          <w:szCs w:val="28"/>
          <w:rtl w:val="true"/>
          <w:lang w:bidi="fa-IR"/>
        </w:rPr>
        <w:t>مشخصی در شریعت برای آن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به یاد خدا باشد و با او نیایش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آنجا که این عبادت شخصی و رابطه‌ای ارزشمند با خداوند است، به سختی می‌توان آن را در قالب‌های خاص محصور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نماز حداقل چیزی است که خداوند از بندگان مؤمن به‌عنوان نشانه‌ای از ایمان آنها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اجتماعی نماز شامل قیام و قعود است که همراه آن انجام می‌شود و این حقیقت که شکل و محتوای آن برای همه عبادت‌کنندگان یکسان است، حتی اگر فرد به تنهایی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ذکر و نیایش کاملاً شخصی‌اند و برخلاف نماز، قالب خاص و استانداردی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چیتیک اسلوب عبادت و نحوه عبادات مختلف در اسلام را برای خواننده غربی تا حدودی ناآشنا می‌داند و بهترین راه آشنایی آن مخاطبان با این موضوع را مطالعه کتاب نیایش‌های مسلمانان کنستانس پادویک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بسیاری از دعاهایی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رسیده‌اند،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انگیخته‌های قلبی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دعاهای نبوی اغلب کوتاههستند و به‌راحتی در هر لحظه قابل خواندن‌اند؛ اما برخی از دعاهای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دعای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و با دقت و مهارت در شرح جزئیات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دعاها در ابتدا به صورت دفعی صادر شده باشند، توسط امامان یا پیروانشان در موقعیت‌های خاص تکرار شده و به‌عنوان دعاهای مختص به آن موقعیت‌ها شناخته شده‌اند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چیتیک دعا شرایطی را فراهم می‌سازد که انسان بتواند درباره خدا بیندیشد و حضور او را در فعالیت‌های روزمره‌اش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اعتراف به یگانگی خداست که به احساسات، حرکات و تفکرات آدمی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حیاتشان از سوی شیعه و سنی به‌عنوان معتبرترین افراد شناخته می‌شدند، بنابراین طبیعی بود که آنان دعاهایی را انشا کنند که در آن، معارف و ارتباط انسان با خدا در شخصی‌ترین </w:t>
      </w:r>
    </w:p>
    <w:p>
      <w:pPr>
        <w:pStyle w:val="BookText"/>
        <w:rPr/>
      </w:pPr>
      <w:r>
        <w:rPr>
          <w:rFonts w:ascii="IRNazanin" w:hAnsi="IRNazanin" w:eastAsia="IRNazanin"/>
          <w:color w:val="111111"/>
          <w:sz w:val="28"/>
          <w:sz w:val="28"/>
          <w:szCs w:val="28"/>
          <w:rtl w:val="true"/>
          <w:lang w:bidi="fa-IR"/>
        </w:rPr>
        <w:t>اصطلاحات بیان شود و بتواند گسترش یابد و به‌عنوان ملک عمومی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ادعیه صحیفه سجادیه چنین ویژگی‌ای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چیتیک، دعا از ابتدای اسلام یکی از بنیادی‌ترین روش‌هایی بوده‌است که مسلمانان از طریق آن به درک عمیق‌تری از حقیقت اشیاء نائل می‌آمدند و یاد می‌گرفتند که خدا را منبع همه نیکی‌ها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امر مثبتی که در انسان متجلی می‌شود، صرفاً به خدا تعلق دارد و از آنجا که بنده از خود چیزی ندارد، مظهر کمالات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نگاه به حدیث قدسی مشهوری روشن‌تر می‌شود؛ 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بنده‌ام با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می‌شود تا آنجا که من به او عشق بورزم و آنگاه که من به وی عشق بورزم، من گوش او می‌شوم که با آن می‌شنود، چشم او می‌شوم که با آن می‌بیند، دستش می‌شوم که با آن می‌گیرد، پایش می‌شوم که با آن قدم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چیتیک بر این باور است که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ویژه و مهمی در الهیات شیعه دارد و به‌عنوان مشهورترین دعا از نظر زیبایی و ساختار معنوی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هر سال در روز عرفه و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نخستین بار توسط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حاجیان شیعه و همچنین در دیگر اوقات سال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چنان نقش مهمی دارد که چند تن از متکلمان شیعه و علمای احادیث نظیر ملا محسن فیض کاشانی و حاج ملا هادی سبزواری در آثار خود به این دعا اشاره کرده‌اند و ملاصدرا، فیلسوف و عارف بزرگ، نیز در آثار خویش بارها به این دعا ارجاع 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Chittick, 2012: 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همچنین بحث مبسوطی را در مورد سند این دعا ارائه می‌کند و صحت این دعا را در منابع شیعه از جمله البلد الامین اثر کفعمی، مصباح الزائر نوشته سید بن طاووس، بحار الانوار از علامه مجلسی و الکافی نگارش محمد بن یعقوب کلینی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بر این باور است که تغییر سبک ناگهانی در سه یا چهار صفحه آخر دعا، گواهی بر ناهماهنگی این بخش با اصل دعا است؛ 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بسیاری از متکلمان و فیلسوفان شیعه، بخش دوم را نیز جزء لاینفک دعا قلمداد کرده‌اند، اما علامه مجلسی، متکلم و فقیه دوره </w:t>
      </w:r>
      <w:bookmarkStart w:id="50" w:name="pg18842_238174"/>
    </w:p>
    <w:p>
      <w:pPr>
        <w:pStyle w:val="BookText"/>
        <w:rPr/>
      </w:pPr>
      <w:bookmarkEnd w:id="50"/>
      <w:r>
        <w:rPr>
          <w:rFonts w:ascii="IRNazanin" w:hAnsi="IRNazanin" w:eastAsia="IRNazanin"/>
          <w:color w:val="111111"/>
          <w:sz w:val="28"/>
          <w:sz w:val="28"/>
          <w:szCs w:val="28"/>
          <w:rtl w:val="true"/>
          <w:lang w:bidi="fa-IR"/>
        </w:rPr>
        <w:t xml:space="preserve">صفویه، بر این باور است که جزء دوم را یکی از مشایخ صوفیه می‌تواند به اصل آن اضافه کرده باشد زیرا این ذیل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قسمت دوم احتمالاً بعد از نسخه ابن طاووس اضافه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محمد رستم و عاطف خلیل،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چیتیک در ادامه به این موضوع اشاره می‌کند که علی‌رغم دیدگاه مجلسی، کل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ذیل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سازگاری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ادعیه متعارف گنجانده شده و در مناسبت‌های مختلف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همچنین درباره مضمون دعای عرفه نیز مطالب مبسوطی را ارائه می‌کند و معتقد است که در هنگام دعا،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می‌کند، شهادت می‌دهد که معبودی جز الله نیست و بازگشت همه مردم به سوی خدا را پس از مرگ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مراحل آفرینش انسان تا زمان مرگ و شگفتی‌های طبیعت را با تبیین مسائل مهم در شاخه‌های مختلف علم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انسان‌ها و نیاز به شکرگزاری از خداوندی را که نیازی به شکر آنها ندارد، مطرح می‌کند و برخی از قسمت‌ها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rtl w:val="true"/>
          <w:lang w:bidi="fa-IR"/>
        </w:rPr>
        <w:t>(</w:t>
      </w:r>
      <w:r>
        <w:rPr>
          <w:rFonts w:eastAsia="IRNazanin" w:cs="IRNazanin"/>
          <w:color w:val="111111"/>
          <w:sz w:val="28"/>
          <w:szCs w:val="28"/>
          <w:lang w:bidi="fa-IR"/>
        </w:rPr>
        <w:t>1386:28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به این موضوع اشاره می‌کند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فضای اهل بیتی دعا نیز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موضوع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دعا،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نعمت‌های خداوند بی‌نهایت است و از خداوند می‌خواهد به او نشان دهد چگونه به او نزدیک شود و به برقراری رابطه خوب با خدا به او کمک کند و از خداوند در برابر بلاهای دنیا و آخرت طلب صبر می‌کند</w:t>
      </w:r>
      <w:r>
        <w:rPr>
          <w:rFonts w:eastAsia="IRNazanin" w:cs="IRNazanin"/>
          <w:color w:val="111111"/>
          <w:sz w:val="28"/>
          <w:szCs w:val="28"/>
          <w:rtl w:val="true"/>
          <w:lang w:bidi="fa-IR"/>
        </w:rPr>
        <w:t>.</w:t>
      </w:r>
    </w:p>
    <w:p>
      <w:pPr>
        <w:pStyle w:val="Heading3"/>
        <w:numPr>
          <w:ilvl w:val="2"/>
          <w:numId w:val="1"/>
        </w:numPr>
        <w:rPr/>
      </w:pPr>
      <w:bookmarkStart w:id="51" w:name="__RefHeading___Toc14423737_1280447820"/>
      <w:bookmarkStart w:id="52" w:name="_Toc18"/>
      <w:bookmarkEnd w:id="51"/>
      <w:r>
        <w:rPr>
          <w:rtl w:val="true"/>
        </w:rPr>
        <w:t>برابری مفاهیم عاشورایی با مفاهیم اسلامی</w:t>
      </w:r>
      <w:bookmarkEnd w:id="5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مفاهیم عاشورایی از دیرباز در جامعه اسلامی رواج داشته و تصویر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شیعه و سنی کاملاً آشنا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همچون مولوی نیازی نداشته که رویداد غم‌انگیز کربلا را برای عموم مسلمانان توصیف نماید؛ زیرا همه از پیش با این واقعه آشنایی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بخشی از روایات تاریخی اسلامی بوده که برای آشکار کردن دقیق مفاهیمی چون </w:t>
      </w:r>
      <w:bookmarkStart w:id="53" w:name="pg18842_238175"/>
    </w:p>
    <w:p>
      <w:pPr>
        <w:pStyle w:val="BookText"/>
        <w:rPr/>
      </w:pPr>
      <w:bookmarkEnd w:id="53"/>
      <w:r>
        <w:rPr>
          <w:rFonts w:ascii="IRNazanin" w:hAnsi="IRNazanin" w:eastAsia="IRNazanin"/>
          <w:color w:val="111111"/>
          <w:sz w:val="28"/>
          <w:sz w:val="28"/>
          <w:szCs w:val="28"/>
          <w:rtl w:val="true"/>
          <w:lang w:bidi="fa-IR"/>
        </w:rPr>
        <w:t xml:space="preserve">خیر و شر در موعظه‌ها به کار می‌رفته است و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اسامی مرتبط، مجموعه‌ای کامل از تصاویر رویداد عاشورا را به اذهان مخاطبان متبادر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برای مولانا کافی بود تا نام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ببرد و مخاطبان به نمرود و آتشی که به گلستان تبدیل شد، بیندیشند،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بود تا مخاطبان مولانا به مفاهیمی همچون شهادت و تقابل دادگری و بیدادگری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مفاهیم عاشورایی را همان مفاهیم اسلامی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درباره منبع اطلاعات مولانا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کند، این پرسش مشابه آن است که بپرسیم وی از کجا درباره اسلام آموخته است</w:t>
      </w:r>
      <w:r>
        <w:rPr>
          <w:rFonts w:eastAsia="IRNazanin" w:cs="IRNazanin"/>
          <w:color w:val="111111"/>
          <w:sz w:val="28"/>
          <w:szCs w:val="28"/>
          <w:rtl w:val="true"/>
          <w:lang w:bidi="fa-IR"/>
        </w:rPr>
        <w:t>».</w:t>
      </w:r>
    </w:p>
    <w:p>
      <w:pPr>
        <w:pStyle w:val="Heading3"/>
        <w:numPr>
          <w:ilvl w:val="2"/>
          <w:numId w:val="1"/>
        </w:numPr>
        <w:rPr/>
      </w:pPr>
      <w:bookmarkStart w:id="54" w:name="__RefHeading___Toc14423739_1280447820"/>
      <w:bookmarkStart w:id="55" w:name="_Toc19"/>
      <w:bookmarkEnd w:id="54"/>
      <w:r>
        <w:rPr>
          <w:rtl w:val="true"/>
        </w:rPr>
        <w:t>تاثیر چندگانه سنایی از مفاهیم عاشورایی</w:t>
      </w:r>
      <w:bookmarkEnd w:id="55"/>
    </w:p>
    <w:p>
      <w:pPr>
        <w:pStyle w:val="BookText"/>
        <w:rPr/>
      </w:pPr>
      <w:r>
        <w:rPr>
          <w:rFonts w:ascii="IRNazanin" w:hAnsi="IRNazanin" w:eastAsia="IRNazanin"/>
          <w:color w:val="111111"/>
          <w:sz w:val="28"/>
          <w:sz w:val="28"/>
          <w:szCs w:val="28"/>
          <w:rtl w:val="true"/>
          <w:lang w:bidi="fa-IR"/>
        </w:rPr>
        <w:t>چیتیک، سنایی را از شاعران عارفی می‌داند که مفاهیم عاشورایی را در قالب اشعار عرفانی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موضوع چند شاهد مثال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قصیده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بر اینکه سالک در مسیر سلوک باید خود را مهیای تحمل رنج و بلا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بارز این موضوع معرفی می‌کند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 سر شادی برون ننهند مردان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نتوانند بردن بر بساط مصطفی</w:t>
      </w:r>
    </w:p>
    <w:p>
      <w:pPr>
        <w:pStyle w:val="BookText"/>
        <w:rPr/>
      </w:pPr>
      <w:r>
        <w:rPr>
          <w:rFonts w:ascii="IRNazanin" w:hAnsi="IRNazanin" w:eastAsia="IRNazanin"/>
          <w:color w:val="111111"/>
          <w:sz w:val="28"/>
          <w:sz w:val="28"/>
          <w:szCs w:val="28"/>
          <w:rtl w:val="true"/>
          <w:lang w:bidi="fa-IR"/>
        </w:rPr>
        <w:t xml:space="preserve">خرّمی چون باشد اندر کوی دین کز بهر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روان کردند از حلق حسین در کربلا</w:t>
      </w:r>
    </w:p>
    <w:p>
      <w:pPr>
        <w:pStyle w:val="BookText"/>
        <w:rPr/>
      </w:pPr>
      <w:r>
        <w:rPr>
          <w:rFonts w:ascii="IRNazanin" w:hAnsi="IRNazanin" w:eastAsia="IRNazanin"/>
          <w:color w:val="111111"/>
          <w:sz w:val="28"/>
          <w:sz w:val="28"/>
          <w:szCs w:val="28"/>
          <w:rtl w:val="true"/>
          <w:lang w:bidi="fa-IR"/>
        </w:rPr>
        <w:t xml:space="preserve">از برای یک بلی کاندر ازل گفته‌ست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اندر رهد مرد بلی تن در بلا</w:t>
      </w:r>
    </w:p>
    <w:p>
      <w:pPr>
        <w:pStyle w:val="BookText"/>
        <w:rPr/>
      </w:pPr>
      <w:r>
        <w:rPr>
          <w:rFonts w:ascii="IRNazanin" w:hAnsi="IRNazanin" w:eastAsia="IRNazanin"/>
          <w:color w:val="111111"/>
          <w:sz w:val="28"/>
          <w:sz w:val="28"/>
          <w:szCs w:val="28"/>
          <w:rtl w:val="true"/>
          <w:lang w:bidi="fa-IR"/>
        </w:rPr>
        <w:t xml:space="preserve">یا در تعبیری دیگر، طریق سلوک را به عروسی تشبیه می‌کند که وصال او بدون به جان خریدن خنجر و پیکان میسر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قصیده</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طریق است که در وی چو شوی، توشه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فنا بودن اگر بوذری و سلمان نیست </w:t>
      </w:r>
    </w:p>
    <w:p>
      <w:pPr>
        <w:pStyle w:val="BookText"/>
        <w:rPr/>
      </w:pPr>
      <w:r>
        <w:rPr>
          <w:rFonts w:ascii="IRNazanin" w:hAnsi="IRNazanin" w:eastAsia="IRNazanin"/>
          <w:color w:val="111111"/>
          <w:sz w:val="28"/>
          <w:sz w:val="28"/>
          <w:szCs w:val="28"/>
          <w:rtl w:val="true"/>
          <w:lang w:bidi="fa-IR"/>
        </w:rPr>
        <w:t xml:space="preserve">این عروسی‌ست که از حسن رخش با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حسینی همه جز خنجر و جز پیکان نیست</w:t>
      </w:r>
    </w:p>
    <w:p>
      <w:pPr>
        <w:pStyle w:val="BookText"/>
        <w:rPr/>
      </w:pPr>
      <w:r>
        <w:rPr>
          <w:rFonts w:ascii="IRNazanin" w:hAnsi="IRNazanin" w:eastAsia="IRNazanin"/>
          <w:color w:val="111111"/>
          <w:sz w:val="28"/>
          <w:sz w:val="28"/>
          <w:szCs w:val="28"/>
          <w:rtl w:val="true"/>
          <w:lang w:bidi="fa-IR"/>
        </w:rPr>
        <w:t xml:space="preserve">به نظر 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بر این باور است که اولیاء و مردان خدا آنان‌اند که ابتدا در همین نشئه، مرگ نفس خود را دیده‌اند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نمونه‌های این حقیقت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برآر از گلشن تحقیق تا در کوی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زنده بینی انجمن در انجمن</w:t>
      </w:r>
    </w:p>
    <w:p>
      <w:pPr>
        <w:pStyle w:val="BookText"/>
        <w:rPr/>
      </w:pPr>
      <w:r>
        <w:rPr>
          <w:rFonts w:ascii="IRNazanin" w:hAnsi="IRNazanin" w:eastAsia="IRNazanin"/>
          <w:color w:val="111111"/>
          <w:sz w:val="28"/>
          <w:sz w:val="28"/>
          <w:szCs w:val="28"/>
          <w:rtl w:val="true"/>
          <w:lang w:bidi="fa-IR"/>
        </w:rPr>
        <w:t xml:space="preserve">در یکی صف کشتگان بینی به تیغی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دگرصف خستگان بینی به زهری چون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قصیده</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قصیده</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و شمر را به نیروهای متضادی مانند می‌کند که در روح آدمیان در کارند و حقیقت دین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حسین توست، آز و آرزو خوک و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این را می‌کشی و آن هر دو را می‌پروری</w:t>
      </w:r>
    </w:p>
    <w:p>
      <w:pPr>
        <w:pStyle w:val="BookText"/>
        <w:rPr/>
      </w:pPr>
      <w:r>
        <w:rPr>
          <w:rFonts w:ascii="IRNazanin" w:hAnsi="IRNazanin" w:eastAsia="IRNazanin"/>
          <w:color w:val="111111"/>
          <w:sz w:val="28"/>
          <w:sz w:val="28"/>
          <w:szCs w:val="28"/>
          <w:rtl w:val="true"/>
          <w:lang w:bidi="fa-IR"/>
        </w:rPr>
        <w:t xml:space="preserve">بر یزید و شمر ملعون چون همی لعنت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خویش را شمر و یزید دیگری</w:t>
      </w:r>
    </w:p>
    <w:p>
      <w:pPr>
        <w:pStyle w:val="BookText"/>
        <w:rPr/>
      </w:pP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قصیده</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سرآمد و رهبر طریق سلوک و عرفان معرفی می‌کند و دیگران را قابل مقایسه با این بزرگواران نمی‌داند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جمله عالم پر یتیمست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در عرب چون مصطفا کو</w:t>
      </w:r>
    </w:p>
    <w:p>
      <w:pPr>
        <w:pStyle w:val="BookText"/>
        <w:rPr/>
      </w:pPr>
      <w:r>
        <w:rPr>
          <w:rFonts w:ascii="IRNazanin" w:hAnsi="IRNazanin" w:eastAsia="IRNazanin"/>
          <w:color w:val="111111"/>
          <w:sz w:val="28"/>
          <w:sz w:val="28"/>
          <w:szCs w:val="28"/>
          <w:rtl w:val="true"/>
          <w:lang w:bidi="fa-IR"/>
        </w:rPr>
        <w:t xml:space="preserve">سراسر جمله عالم پر ز شیرست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شیری چو حیدر باسخا کو</w:t>
      </w:r>
    </w:p>
    <w:p>
      <w:pPr>
        <w:pStyle w:val="BookText"/>
        <w:rPr/>
      </w:pPr>
      <w:r>
        <w:rPr>
          <w:rFonts w:ascii="IRNazanin" w:hAnsi="IRNazanin" w:eastAsia="IRNazanin"/>
          <w:color w:val="111111"/>
          <w:sz w:val="28"/>
          <w:sz w:val="28"/>
          <w:szCs w:val="28"/>
          <w:rtl w:val="true"/>
          <w:lang w:bidi="fa-IR"/>
        </w:rPr>
        <w:t xml:space="preserve">سراسر جمله عالم پر زنانند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چون فاطمه خیر النسا کو</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جمله عالم پر شهیدست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چون حسین کربلا کو </w:t>
      </w:r>
      <w:bookmarkStart w:id="56" w:name="pg18842_238177"/>
    </w:p>
    <w:p>
      <w:pPr>
        <w:pStyle w:val="BookText"/>
        <w:rPr/>
      </w:pPr>
      <w:bookmarkEnd w:id="56"/>
      <w:r>
        <w:rPr>
          <w:rFonts w:ascii="IRNazanin" w:hAnsi="IRNazanin" w:eastAsia="IRNazanin"/>
          <w:color w:val="111111"/>
          <w:sz w:val="28"/>
          <w:sz w:val="28"/>
          <w:szCs w:val="28"/>
          <w:rtl w:val="true"/>
          <w:lang w:bidi="fa-IR"/>
        </w:rPr>
        <w:t xml:space="preserve">سراسر جمله عالم پر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چون علی موسی الرضا کو</w:t>
      </w:r>
    </w:p>
    <w:p>
      <w:pPr>
        <w:pStyle w:val="BookText"/>
        <w:rPr/>
      </w:pPr>
      <w:r>
        <w:rPr>
          <w:rFonts w:ascii="IRNazanin" w:hAnsi="IRNazanin" w:eastAsia="IRNazanin"/>
          <w:color w:val="111111"/>
          <w:sz w:val="28"/>
          <w:sz w:val="28"/>
          <w:szCs w:val="28"/>
          <w:rtl w:val="true"/>
          <w:lang w:bidi="fa-IR"/>
        </w:rPr>
        <w:t xml:space="preserve">سنایی در اشعار فوق بر این باور است که هیچ شهیدی در عالم به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لذا وی سخن گفتن از حضرت را هنگامی تاثیرگذار می‌داند که انسان از منیت و نفسانیت خود منقطع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سنایی ز خود نه منقطعی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 کنی زحال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قصیده</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57" w:name="__RefHeading___Toc14423741_1280447820"/>
      <w:bookmarkStart w:id="58" w:name="_Toc20"/>
      <w:bookmarkEnd w:id="57"/>
      <w:r>
        <w:rPr>
          <w:rtl w:val="true"/>
        </w:rPr>
        <w:t>مفاهیم عاشورایی در اشعار مولوی</w:t>
      </w:r>
      <w:bookmarkEnd w:id="58"/>
    </w:p>
    <w:p>
      <w:pPr>
        <w:pStyle w:val="Heading4"/>
        <w:numPr>
          <w:ilvl w:val="3"/>
          <w:numId w:val="1"/>
        </w:numPr>
        <w:rPr/>
      </w:pPr>
      <w:bookmarkStart w:id="59" w:name="__RefHeading___Toc14423743_1280447820"/>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موضوعات عمده مثنوی معنوی به شمار نمی‌رود، ولی دست‌کم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این موضوع در مثنوی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ابیات کافی است که تأثیر حوادث کربلا بر مولانا و شنوندگان سخنان وی، که دینداران جامعه مسلمان را تشکیل می‌دادند، نشان دهد</w:t>
      </w:r>
      <w:r>
        <w:rPr>
          <w:rFonts w:eastAsia="IRNazanin" w:cs="IRNazanin"/>
          <w:color w:val="111111"/>
          <w:sz w:val="28"/>
          <w:szCs w:val="28"/>
          <w:rtl w:val="true"/>
          <w:lang w:bidi="fa-IR"/>
        </w:rPr>
        <w:t>.</w:t>
      </w:r>
    </w:p>
    <w:p>
      <w:pPr>
        <w:pStyle w:val="Heading4"/>
        <w:numPr>
          <w:ilvl w:val="3"/>
          <w:numId w:val="1"/>
        </w:numPr>
        <w:rPr/>
      </w:pPr>
      <w:bookmarkStart w:id="61" w:name="__RefHeading___Toc14423745_1280447820"/>
      <w:bookmarkStart w:id="62" w:name="_Toc22"/>
      <w:bookmarkEnd w:id="61"/>
      <w:r>
        <w:rPr/>
        <w:t>1</w:t>
      </w:r>
      <w:r>
        <w:rPr>
          <w:rtl w:val="true"/>
        </w:rPr>
        <w:t xml:space="preserve"> . </w:t>
      </w:r>
      <w:r>
        <w:rPr>
          <w:rtl w:val="true"/>
        </w:rPr>
        <w:t xml:space="preserve">امام حسین </w:t>
      </w:r>
      <w:r>
        <w:rPr>
          <w:rtl w:val="true"/>
        </w:rPr>
        <w:t>(</w:t>
      </w:r>
      <w:r>
        <w:rPr>
          <w:rtl w:val="true"/>
        </w:rPr>
        <w:t>علیه السلام</w:t>
      </w:r>
      <w:r>
        <w:rPr>
          <w:rtl w:val="true"/>
        </w:rPr>
        <w:t xml:space="preserve">) </w:t>
      </w:r>
      <w:r>
        <w:rPr>
          <w:rtl w:val="true"/>
        </w:rPr>
        <w:t>مظهر عشق حقیقی به حق تعالی</w:t>
      </w:r>
      <w:bookmarkEnd w:id="62"/>
    </w:p>
    <w:p>
      <w:pPr>
        <w:pStyle w:val="BookText"/>
        <w:rPr/>
      </w:pP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از دیدگاه مولانا، عشق به حق‌تعالی جوهره و جان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اعمال دینی، ارزش و معنا را از باطن و روحی که در آنها نهفته است،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مولانا پرسش می‌شود که آیا چیزی مهم‌تر از نماز وجود دارد، او پاسخ می‌دهد که روح نماز برتر است، همچنان که ایمان از نماز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پایدار است، در حالی که نماز در پنج وقت متفاوت روز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ممکن است با عذر قابل قبول معاف شود، اما ایمان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نماز نافع است، ولی نماز بدون ایمان همچون نماز منافقان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هر دینی شکلی متفاوت دارد، اما ایمان به هیچ دینی تغییر نمی‌کند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چیتیک معتقد است که اگر از مولانا پرسیده می‌شد که آیا چیزی مهم‌تر از شریعت اسلام وجود دارد، احتمالاً پاسخ می‌دهد که عشق به حق‌تعالی از همه مهم‌تر است؛ چرا که تمام مظاهر دینی و عبادات برای آن عشق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صورت‌های ظاهری بی‌اهمیت هستند، بلکه معنا بدون مظاهر خود نمی‌تواند وجود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این اشتباه افتاد که تعالیم و اعمال ظاهری خود دلیل وجودشان هستند، زیرا نماز بدون ایمان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این اشعار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بخش</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مثال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گربیان معنوی کافی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باطل و عاطل بُدی</w:t>
      </w:r>
    </w:p>
    <w:p>
      <w:pPr>
        <w:pStyle w:val="BookText"/>
        <w:rPr/>
      </w:pPr>
      <w:r>
        <w:rPr>
          <w:rFonts w:ascii="IRNazanin" w:hAnsi="IRNazanin" w:eastAsia="IRNazanin"/>
          <w:color w:val="111111"/>
          <w:sz w:val="28"/>
          <w:sz w:val="28"/>
          <w:szCs w:val="28"/>
          <w:rtl w:val="true"/>
          <w:lang w:bidi="fa-IR"/>
        </w:rPr>
        <w:t xml:space="preserve">گر محبت فکرت و معنیستی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روزه و نمازت نیستی</w:t>
      </w:r>
    </w:p>
    <w:p>
      <w:pPr>
        <w:pStyle w:val="BookText"/>
        <w:rPr/>
      </w:pPr>
      <w:r>
        <w:rPr>
          <w:rFonts w:ascii="IRNazanin" w:hAnsi="IRNazanin" w:eastAsia="IRNazanin"/>
          <w:color w:val="111111"/>
          <w:sz w:val="28"/>
          <w:sz w:val="28"/>
          <w:szCs w:val="28"/>
          <w:rtl w:val="true"/>
          <w:lang w:bidi="fa-IR"/>
        </w:rPr>
        <w:t xml:space="preserve">هدیه‌های دوستان با همدگر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اندر دوستی الا صور</w:t>
      </w:r>
    </w:p>
    <w:p>
      <w:pPr>
        <w:pStyle w:val="BookText"/>
        <w:rPr/>
      </w:pPr>
      <w:r>
        <w:rPr>
          <w:rFonts w:ascii="IRNazanin" w:hAnsi="IRNazanin" w:eastAsia="IRNazanin"/>
          <w:color w:val="111111"/>
          <w:sz w:val="28"/>
          <w:sz w:val="28"/>
          <w:szCs w:val="28"/>
          <w:rtl w:val="true"/>
          <w:lang w:bidi="fa-IR"/>
        </w:rPr>
        <w:t xml:space="preserve">تا گواهی داده باشد هدیه‌ها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محبت‌های مُضمَر در خفا</w:t>
      </w:r>
    </w:p>
    <w:p>
      <w:pPr>
        <w:pStyle w:val="BookText"/>
        <w:rPr/>
      </w:pPr>
      <w:r>
        <w:rPr>
          <w:rFonts w:ascii="IRNazanin" w:hAnsi="IRNazanin" w:eastAsia="IRNazanin"/>
          <w:color w:val="111111"/>
          <w:sz w:val="28"/>
          <w:sz w:val="28"/>
          <w:szCs w:val="28"/>
          <w:rtl w:val="true"/>
          <w:lang w:bidi="fa-IR"/>
        </w:rPr>
        <w:t xml:space="preserve">بر همین اساس وجوه دین ملازم تفکیک‌ناپذیر و بدیهی معنای دین به شمار می‌روند و معنای دین در نظر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بخش</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من از عشق زنده بودن است</w:t>
      </w:r>
    </w:p>
    <w:p>
      <w:pPr>
        <w:pStyle w:val="BookText"/>
        <w:rPr/>
      </w:pPr>
      <w:r>
        <w:rPr>
          <w:rFonts w:ascii="IRNazanin" w:hAnsi="IRNazanin" w:eastAsia="IRNazanin"/>
          <w:color w:val="111111"/>
          <w:sz w:val="28"/>
          <w:sz w:val="28"/>
          <w:szCs w:val="28"/>
          <w:rtl w:val="true"/>
          <w:lang w:bidi="fa-IR"/>
        </w:rPr>
        <w:t>زندگی زین جان و سرننگ من است</w:t>
      </w:r>
    </w:p>
    <w:p>
      <w:pPr>
        <w:pStyle w:val="BookText"/>
        <w:rPr/>
      </w:pPr>
      <w:r>
        <w:rPr>
          <w:rFonts w:ascii="IRNazanin" w:hAnsi="IRNazanin" w:eastAsia="IRNazanin"/>
          <w:color w:val="111111"/>
          <w:sz w:val="28"/>
          <w:sz w:val="28"/>
          <w:szCs w:val="28"/>
          <w:rtl w:val="true"/>
          <w:lang w:bidi="fa-IR"/>
        </w:rPr>
        <w:t xml:space="preserve">وصف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مولانا اشاره می‌کند آن است که این دین وجود هرچه را غیرخداست یعنی اغیار را به‌طور کامل نفی و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را شادمانی و غم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و اجرت خدمت هم اوست</w:t>
      </w:r>
    </w:p>
    <w:p>
      <w:pPr>
        <w:pStyle w:val="BookText"/>
        <w:rPr/>
      </w:pPr>
      <w:r>
        <w:rPr>
          <w:rFonts w:ascii="IRNazanin" w:hAnsi="IRNazanin" w:eastAsia="IRNazanin"/>
          <w:color w:val="111111"/>
          <w:sz w:val="28"/>
          <w:sz w:val="28"/>
          <w:szCs w:val="28"/>
          <w:rtl w:val="true"/>
          <w:lang w:bidi="fa-IR"/>
        </w:rPr>
        <w:t xml:space="preserve">غیر معشوق ار تماشایی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نبوَد هرزه رسوایی بود</w:t>
      </w:r>
    </w:p>
    <w:p>
      <w:pPr>
        <w:pStyle w:val="BookText"/>
        <w:rPr/>
      </w:pPr>
      <w:r>
        <w:rPr>
          <w:rFonts w:ascii="IRNazanin" w:hAnsi="IRNazanin" w:eastAsia="IRNazanin"/>
          <w:color w:val="111111"/>
          <w:sz w:val="28"/>
          <w:sz w:val="28"/>
          <w:szCs w:val="28"/>
          <w:rtl w:val="true"/>
          <w:lang w:bidi="fa-IR"/>
        </w:rPr>
        <w:t xml:space="preserve">عشق آن شعله‌ست کو چون برفروخت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معشوق، باقی جمله سوخت</w:t>
      </w:r>
    </w:p>
    <w:p>
      <w:pPr>
        <w:pStyle w:val="BookText"/>
        <w:rPr/>
      </w:pPr>
      <w:r>
        <w:rPr>
          <w:rFonts w:ascii="IRNazanin" w:hAnsi="IRNazanin" w:eastAsia="IRNazanin"/>
          <w:color w:val="111111"/>
          <w:sz w:val="28"/>
          <w:sz w:val="28"/>
          <w:szCs w:val="28"/>
          <w:rtl w:val="true"/>
          <w:lang w:bidi="fa-IR"/>
        </w:rPr>
        <w:t xml:space="preserve">تیغ لا در قتل غیر حق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درنگر زان پس که بعد لا چه ماند</w:t>
      </w:r>
    </w:p>
    <w:p>
      <w:pPr>
        <w:pStyle w:val="BookText"/>
        <w:rPr/>
      </w:pPr>
      <w:r>
        <w:rPr>
          <w:rFonts w:ascii="IRNazanin" w:hAnsi="IRNazanin" w:eastAsia="IRNazanin"/>
          <w:color w:val="111111"/>
          <w:sz w:val="28"/>
          <w:sz w:val="28"/>
          <w:szCs w:val="28"/>
          <w:rtl w:val="true"/>
          <w:lang w:bidi="fa-IR"/>
        </w:rPr>
        <w:t xml:space="preserve">ماند الّا الله باقی جمله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ای عشق شرکت سوز زفت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دفتر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بخش</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63" w:name="pg18842_238179"/>
    </w:p>
    <w:p>
      <w:pPr>
        <w:pStyle w:val="BookText"/>
        <w:rPr/>
      </w:pPr>
      <w:bookmarkEnd w:id="63"/>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باید در راه عشق و محبت الهی کنار گذاشت و روانه دیار نابودی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و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بت‌ها بت نفس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آن بت مار و این بت اژدهاست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دفتر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بخش</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شمس، ترجیعات</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عاشق حق باید آمادگی داشته باشد تا خود را برای رضای حق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عشق می‌کن حکم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غیر خود ببُر</w:t>
      </w:r>
    </w:p>
    <w:p>
      <w:pPr>
        <w:pStyle w:val="BookText"/>
        <w:rPr/>
      </w:pPr>
      <w:r>
        <w:rPr>
          <w:rFonts w:ascii="Amiri" w:hAnsi="Amiri" w:eastAsia="Amiri" w:cs="Amiri"/>
          <w:color w:val="111111"/>
          <w:sz w:val="28"/>
          <w:sz w:val="28"/>
          <w:szCs w:val="28"/>
          <w:rtl w:val="true"/>
          <w:lang w:bidi="ar-SA"/>
        </w:rPr>
        <w:t xml:space="preserve">ای سیل می‌غُرّی، 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دریا می‌کشی</w:t>
      </w:r>
    </w:p>
    <w:p>
      <w:pPr>
        <w:pStyle w:val="BookText"/>
        <w:rPr/>
      </w:pPr>
      <w:r>
        <w:rPr>
          <w:rFonts w:ascii="IRNazanin" w:hAnsi="IRNazanin" w:eastAsia="IRNazanin"/>
          <w:color w:val="111111"/>
          <w:sz w:val="28"/>
          <w:sz w:val="28"/>
          <w:szCs w:val="28"/>
          <w:rtl w:val="true"/>
          <w:lang w:bidi="fa-IR"/>
        </w:rPr>
        <w:t xml:space="preserve">به عبارت دیگر 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ادبیات عرفانی اسلامی نظیر مثنوی معنوی چنین برداشت می‌کند که نخستین وصف عاشق راستین آن است که باید آماده باشد تا خود را برای حق قربانی کند، بنابراین آمادگی تام برای شهادت نخستین صفت عاشق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از اشعار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شمس، غزل شماره</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کربلا و عاشورا مثال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سلامت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می کن به پارسا بودن</w:t>
      </w:r>
    </w:p>
    <w:p>
      <w:pPr>
        <w:pStyle w:val="BookText"/>
        <w:rPr/>
      </w:pPr>
      <w:r>
        <w:rPr>
          <w:rFonts w:ascii="IRNazanin" w:hAnsi="IRNazanin" w:eastAsia="IRNazanin"/>
          <w:color w:val="111111"/>
          <w:sz w:val="28"/>
          <w:sz w:val="28"/>
          <w:szCs w:val="28"/>
          <w:rtl w:val="true"/>
          <w:lang w:bidi="fa-IR"/>
        </w:rPr>
        <w:t xml:space="preserve">کین شهیدان زمرگ نشکیبند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عاشقان‌اند بر فنا بودن</w:t>
      </w:r>
    </w:p>
    <w:p>
      <w:pPr>
        <w:pStyle w:val="BookText"/>
        <w:rPr/>
      </w:pPr>
      <w:r>
        <w:rPr>
          <w:rFonts w:ascii="IRNazanin" w:hAnsi="IRNazanin" w:eastAsia="IRNazanin"/>
          <w:color w:val="111111"/>
          <w:sz w:val="28"/>
          <w:sz w:val="28"/>
          <w:szCs w:val="28"/>
          <w:rtl w:val="true"/>
          <w:lang w:bidi="fa-IR"/>
        </w:rPr>
        <w:t xml:space="preserve">از بلا و قضاگریزی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ایشان زبی بلا بودن</w:t>
      </w:r>
    </w:p>
    <w:p>
      <w:pPr>
        <w:pStyle w:val="BookText"/>
        <w:rPr/>
      </w:pPr>
      <w:r>
        <w:rPr>
          <w:rFonts w:ascii="IRNazanin" w:hAnsi="IRNazanin" w:eastAsia="IRNazanin"/>
          <w:color w:val="111111"/>
          <w:sz w:val="28"/>
          <w:sz w:val="28"/>
          <w:szCs w:val="28"/>
          <w:rtl w:val="true"/>
          <w:lang w:bidi="fa-IR"/>
        </w:rPr>
        <w:t xml:space="preserve">ششه می گیر و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نتانی به کربلا بودن</w:t>
      </w:r>
    </w:p>
    <w:p>
      <w:pPr>
        <w:pStyle w:val="Heading4"/>
        <w:numPr>
          <w:ilvl w:val="3"/>
          <w:numId w:val="1"/>
        </w:numPr>
        <w:rPr/>
      </w:pPr>
      <w:bookmarkStart w:id="64" w:name="__RefHeading___Toc14423747_1280447820"/>
      <w:bookmarkStart w:id="65" w:name="_Toc23"/>
      <w:bookmarkEnd w:id="64"/>
      <w:r>
        <w:rPr/>
        <w:t>2</w:t>
      </w:r>
      <w:r>
        <w:rPr>
          <w:rtl w:val="true"/>
        </w:rPr>
        <w:t xml:space="preserve">. </w:t>
      </w:r>
      <w:r>
        <w:rPr>
          <w:rtl w:val="true"/>
        </w:rPr>
        <w:t>عاشورا مظهر پیروزی در جهاد اکبر</w:t>
      </w:r>
      <w:bookmarkEnd w:id="6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مولوی، انسان بودن به مفهوم حقیقی را در مجاهدت با نفس سرکش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الهی، نخستین مجاهدتی که داشتند، کشتن نفس و ترک شهوات بود که در معارف اسلامی به جهاد اکبر تعبیر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شایسته الگوگیری و تقلید است، به خاطر این نیست که به دست ستمگران به شهادت رسید؛ این یک موضوع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الگوگیری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که وی در جهاد اکبر به پیروزی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عظمت معنوی او باعث شده که رویدادهای منتهی به شهادت جسمانیش معنی حقیقی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الگوگیری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معنا می‌یابد که پیروان وی به جهاد اکبر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مشین اینجا تو با اندیشه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برو آنجا که یار است</w:t>
      </w:r>
    </w:p>
    <w:p>
      <w:pPr>
        <w:pStyle w:val="BookText"/>
        <w:rPr/>
      </w:pPr>
      <w:r>
        <w:rPr>
          <w:rFonts w:ascii="IRNazanin" w:hAnsi="IRNazanin" w:eastAsia="IRNazanin"/>
          <w:color w:val="111111"/>
          <w:sz w:val="28"/>
          <w:sz w:val="28"/>
          <w:szCs w:val="28"/>
          <w:rtl w:val="true"/>
          <w:lang w:bidi="fa-IR"/>
        </w:rPr>
        <w:t xml:space="preserve">مگو باشد که او ما را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تشنه را با این چه کار است</w:t>
      </w:r>
    </w:p>
    <w:p>
      <w:pPr>
        <w:pStyle w:val="BookText"/>
        <w:rPr/>
      </w:pPr>
      <w:r>
        <w:rPr>
          <w:rFonts w:ascii="IRNazanin" w:hAnsi="IRNazanin" w:eastAsia="IRNazanin"/>
          <w:color w:val="111111"/>
          <w:sz w:val="28"/>
          <w:sz w:val="28"/>
          <w:szCs w:val="28"/>
          <w:rtl w:val="true"/>
          <w:lang w:bidi="fa-IR"/>
        </w:rPr>
        <w:t xml:space="preserve">که پروانه نیندیشد 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عشق را اندیشه عار است</w:t>
      </w:r>
    </w:p>
    <w:p>
      <w:pPr>
        <w:pStyle w:val="BookText"/>
        <w:rPr/>
      </w:pPr>
      <w:r>
        <w:rPr>
          <w:rFonts w:ascii="IRNazanin" w:hAnsi="IRNazanin" w:eastAsia="IRNazanin"/>
          <w:color w:val="111111"/>
          <w:sz w:val="28"/>
          <w:sz w:val="28"/>
          <w:szCs w:val="28"/>
          <w:rtl w:val="true"/>
          <w:lang w:bidi="fa-IR"/>
        </w:rPr>
        <w:t xml:space="preserve">چو مرد جنگ بانگ طبل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هزار اندر هزار است</w:t>
      </w:r>
    </w:p>
    <w:p>
      <w:pPr>
        <w:pStyle w:val="BookText"/>
        <w:rPr/>
      </w:pPr>
      <w:r>
        <w:rPr>
          <w:rFonts w:ascii="IRNazanin" w:hAnsi="IRNazanin" w:eastAsia="IRNazanin"/>
          <w:color w:val="111111"/>
          <w:sz w:val="28"/>
          <w:sz w:val="28"/>
          <w:szCs w:val="28"/>
          <w:rtl w:val="true"/>
          <w:lang w:bidi="fa-IR"/>
        </w:rPr>
        <w:t xml:space="preserve">شنیدی طبل، برکش زود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تو غلاف ذوالفقار است</w:t>
      </w:r>
    </w:p>
    <w:p>
      <w:pPr>
        <w:pStyle w:val="BookText"/>
        <w:rPr/>
      </w:pPr>
      <w:r>
        <w:rPr>
          <w:rFonts w:ascii="IRNazanin" w:hAnsi="IRNazanin" w:eastAsia="IRNazanin"/>
          <w:color w:val="111111"/>
          <w:sz w:val="28"/>
          <w:sz w:val="28"/>
          <w:szCs w:val="28"/>
          <w:rtl w:val="true"/>
          <w:lang w:bidi="fa-IR"/>
        </w:rPr>
        <w:t xml:space="preserve">بزن شمشیر و ملک عشق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عشق ملک پایدار است</w:t>
      </w:r>
    </w:p>
    <w:p>
      <w:pPr>
        <w:pStyle w:val="BookText"/>
        <w:rPr/>
      </w:pPr>
      <w:r>
        <w:rPr>
          <w:rFonts w:ascii="IRNazanin" w:hAnsi="IRNazanin" w:eastAsia="IRNazanin"/>
          <w:color w:val="111111"/>
          <w:sz w:val="28"/>
          <w:sz w:val="28"/>
          <w:szCs w:val="28"/>
          <w:rtl w:val="true"/>
          <w:lang w:bidi="fa-IR"/>
        </w:rPr>
        <w:t xml:space="preserve">حسین کربلایی آب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امروز تیغ آبدار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دیوان شمس، غزل شماره</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عرفانی اسلامی نظیر مثنوی معنوی چنین برداشت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برای دستیابی به مُلک عشق، باید که نخست درد هجران معشوق را بر دل کشد زیرا هرچه به معنای هدف خود بیشتر وقوف پیدا کند به شدت ناتوانی خود بیشتر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بیدارتر پُردردتر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آگاه‌تر رخ زردتر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 دفتر اول، بخش</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دردی را که عاشق می‌کشد همواره او را سوی معشوق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رنج که اندر تن و در دل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گوش شما را به وثاق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دیوان شمس، ترجیعات،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درد و رنج عشق به مرگ نفس و تولّد در حق منتهی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مرد و زنده گشت، حیات است بعد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غم بکُش مرا که حسینم، تویی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شماره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که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 عشق شمس‌الدین تبریزی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حسینم خون خود در، زهرکش همچون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غزل شماره</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 آتش من دارد، او خرقه ز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چو حسینستش، جامی چو حسن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غزل شماره</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66" w:name="pg18842_238181"/>
    </w:p>
    <w:p>
      <w:pPr>
        <w:pStyle w:val="Heading4"/>
        <w:numPr>
          <w:ilvl w:val="3"/>
          <w:numId w:val="1"/>
        </w:numPr>
        <w:rPr/>
      </w:pPr>
      <w:bookmarkStart w:id="67" w:name="__RefHeading___Toc14423749_1280447820"/>
      <w:bookmarkStart w:id="68" w:name="_Toc24"/>
      <w:bookmarkEnd w:id="66"/>
      <w:bookmarkEnd w:id="67"/>
      <w:r>
        <w:rPr/>
        <w:t>3</w:t>
      </w:r>
      <w:r>
        <w:rPr>
          <w:rtl w:val="true"/>
        </w:rPr>
        <w:t xml:space="preserve">. </w:t>
      </w:r>
      <w:r>
        <w:rPr>
          <w:rtl w:val="true"/>
        </w:rPr>
        <w:t>عاشورا مظهر شادی وصال</w:t>
      </w:r>
      <w:bookmarkEnd w:id="68"/>
    </w:p>
    <w:p>
      <w:pPr>
        <w:pStyle w:val="BookText"/>
        <w:rPr/>
      </w:pP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از دیدگاه مولانا، انسان تنها از طریق تحمل رنج و مصائب سفر معنوی قادر است به آن کمالی نائل آید که برای آن آفریده شده‌است، همان‌گونه که در جهان ظاهر، این امر با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مرحله باید از شادی و سعادت وصال الهی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زمانی که به عزاداری شیعیان حلب بر سالار شهیدان در روز عاشورا اشاره می‌کند، معتقد است که آن روز، روز سعادت و خوشبختی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واقعه، پیام شادی و سعادت وصال را به نمایش می‌گذارد که پیروزی معنوی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ارمغان می‌آورد؛ او شادی و وصالی را مشاهده می‌کند که معنای نهفته در پس رنج ظاهری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همه اهل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انطاکیّه اندر تا به شب</w:t>
      </w:r>
    </w:p>
    <w:p>
      <w:pPr>
        <w:pStyle w:val="BookText"/>
        <w:rPr/>
      </w:pPr>
      <w:r>
        <w:rPr>
          <w:rFonts w:ascii="IRNazanin" w:hAnsi="IRNazanin" w:eastAsia="IRNazanin"/>
          <w:color w:val="111111"/>
          <w:sz w:val="28"/>
          <w:sz w:val="28"/>
          <w:szCs w:val="28"/>
          <w:rtl w:val="true"/>
          <w:lang w:bidi="fa-IR"/>
        </w:rPr>
        <w:t xml:space="preserve">گرد آید مرد و زن جمعی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آن خاندان دارد مقیم</w:t>
      </w:r>
    </w:p>
    <w:p>
      <w:pPr>
        <w:pStyle w:val="BookText"/>
        <w:rPr/>
      </w:pPr>
      <w:r>
        <w:rPr>
          <w:rFonts w:ascii="IRNazanin" w:hAnsi="IRNazanin" w:eastAsia="IRNazanin"/>
          <w:color w:val="111111"/>
          <w:sz w:val="28"/>
          <w:sz w:val="28"/>
          <w:szCs w:val="28"/>
          <w:rtl w:val="true"/>
          <w:lang w:bidi="fa-IR"/>
        </w:rPr>
        <w:t xml:space="preserve">ناله و نوحه کنند اندر 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 برای کربلا</w:t>
      </w:r>
    </w:p>
    <w:p>
      <w:pPr>
        <w:pStyle w:val="BookText"/>
        <w:rPr/>
      </w:pPr>
      <w:r>
        <w:rPr>
          <w:rFonts w:ascii="IRNazanin" w:hAnsi="IRNazanin" w:eastAsia="IRNazanin"/>
          <w:color w:val="111111"/>
          <w:sz w:val="28"/>
          <w:sz w:val="28"/>
          <w:szCs w:val="28"/>
          <w:rtl w:val="true"/>
          <w:lang w:bidi="fa-IR"/>
        </w:rPr>
        <w:t xml:space="preserve">یک غریبی شاعری از 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آن افغان شنید</w:t>
      </w:r>
    </w:p>
    <w:p>
      <w:pPr>
        <w:pStyle w:val="BookText"/>
        <w:rPr/>
      </w:pPr>
      <w:r>
        <w:rPr>
          <w:rFonts w:ascii="IRNazanin" w:hAnsi="IRNazanin" w:eastAsia="IRNazanin"/>
          <w:color w:val="111111"/>
          <w:sz w:val="28"/>
          <w:sz w:val="28"/>
          <w:szCs w:val="28"/>
          <w:rtl w:val="true"/>
          <w:lang w:bidi="fa-IR"/>
        </w:rPr>
        <w:t xml:space="preserve">شهر را بگذاشت، وآن سو رای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جُست و جوی آن هیهای کرد</w:t>
      </w:r>
    </w:p>
    <w:p>
      <w:pPr>
        <w:pStyle w:val="BookText"/>
        <w:rPr/>
      </w:pPr>
      <w:r>
        <w:rPr>
          <w:rFonts w:ascii="IRNazanin" w:hAnsi="IRNazanin" w:eastAsia="IRNazanin"/>
          <w:color w:val="111111"/>
          <w:sz w:val="28"/>
          <w:sz w:val="28"/>
          <w:szCs w:val="28"/>
          <w:rtl w:val="true"/>
          <w:lang w:bidi="fa-IR"/>
        </w:rPr>
        <w:t xml:space="preserve">پرس پرسان می‌شد اندر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غم بر که این ماتم فتاد</w:t>
      </w:r>
    </w:p>
    <w:p>
      <w:pPr>
        <w:pStyle w:val="BookText"/>
        <w:rPr/>
      </w:pPr>
      <w:r>
        <w:rPr>
          <w:rFonts w:ascii="IRNazanin" w:hAnsi="IRNazanin" w:eastAsia="IRNazanin"/>
          <w:color w:val="111111"/>
          <w:sz w:val="28"/>
          <w:sz w:val="28"/>
          <w:szCs w:val="28"/>
          <w:rtl w:val="true"/>
          <w:lang w:bidi="fa-IR"/>
        </w:rPr>
        <w:t xml:space="preserve">آن یکی گفتش که هی دیوانه‌ای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نه‌ای شیعه، عدوّ خانه‌ای</w:t>
      </w:r>
    </w:p>
    <w:p>
      <w:pPr>
        <w:pStyle w:val="BookText"/>
        <w:rPr/>
      </w:pPr>
      <w:r>
        <w:rPr>
          <w:rFonts w:ascii="IRNazanin" w:hAnsi="IRNazanin" w:eastAsia="IRNazanin"/>
          <w:color w:val="111111"/>
          <w:sz w:val="28"/>
          <w:sz w:val="28"/>
          <w:szCs w:val="28"/>
          <w:rtl w:val="true"/>
          <w:lang w:bidi="fa-IR"/>
        </w:rPr>
        <w:t xml:space="preserve">روز عاشورا نمی‌دانی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جانی که از قرنی به است</w:t>
      </w:r>
    </w:p>
    <w:p>
      <w:pPr>
        <w:pStyle w:val="BookText"/>
        <w:rPr/>
      </w:pPr>
      <w:r>
        <w:rPr>
          <w:rFonts w:ascii="IRNazanin" w:hAnsi="IRNazanin" w:eastAsia="IRNazanin"/>
          <w:color w:val="111111"/>
          <w:sz w:val="28"/>
          <w:sz w:val="28"/>
          <w:szCs w:val="28"/>
          <w:rtl w:val="true"/>
          <w:lang w:bidi="fa-IR"/>
        </w:rPr>
        <w:t xml:space="preserve">گفت آری لیک کو دور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بُدست این غم، چه دیر اینجا رسید</w:t>
      </w:r>
    </w:p>
    <w:p>
      <w:pPr>
        <w:pStyle w:val="BookText"/>
        <w:rPr/>
      </w:pPr>
      <w:r>
        <w:rPr>
          <w:rFonts w:ascii="IRNazanin" w:hAnsi="IRNazanin" w:eastAsia="IRNazanin"/>
          <w:color w:val="111111"/>
          <w:sz w:val="28"/>
          <w:sz w:val="28"/>
          <w:szCs w:val="28"/>
          <w:rtl w:val="true"/>
          <w:lang w:bidi="fa-IR"/>
        </w:rPr>
        <w:t xml:space="preserve">چشم کوران آن خسارت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کرّان آن حکایت را شنید</w:t>
      </w:r>
    </w:p>
    <w:p>
      <w:pPr>
        <w:pStyle w:val="BookText"/>
        <w:rPr/>
      </w:pPr>
      <w:r>
        <w:rPr>
          <w:rFonts w:ascii="IRNazanin" w:hAnsi="IRNazanin" w:eastAsia="IRNazanin"/>
          <w:color w:val="111111"/>
          <w:sz w:val="28"/>
          <w:sz w:val="28"/>
          <w:szCs w:val="28"/>
          <w:rtl w:val="true"/>
          <w:lang w:bidi="fa-IR"/>
        </w:rPr>
        <w:t xml:space="preserve">خفته بودستید تا اکنون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کنون جامه دریدیت از عزا</w:t>
      </w:r>
    </w:p>
    <w:p>
      <w:pPr>
        <w:pStyle w:val="BookText"/>
        <w:rPr/>
      </w:pPr>
      <w:r>
        <w:rPr>
          <w:rFonts w:ascii="IRNazanin" w:hAnsi="IRNazanin" w:eastAsia="IRNazanin"/>
          <w:color w:val="111111"/>
          <w:sz w:val="28"/>
          <w:sz w:val="28"/>
          <w:szCs w:val="28"/>
          <w:rtl w:val="true"/>
          <w:lang w:bidi="fa-IR"/>
        </w:rPr>
        <w:t xml:space="preserve">پس عزا برخود کنید ای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بد مرگی‌ست این خواب گران</w:t>
      </w:r>
    </w:p>
    <w:p>
      <w:pPr>
        <w:pStyle w:val="BookText"/>
        <w:rPr/>
      </w:pPr>
      <w:r>
        <w:rPr>
          <w:rFonts w:ascii="IRNazanin" w:hAnsi="IRNazanin" w:eastAsia="IRNazanin"/>
          <w:color w:val="111111"/>
          <w:sz w:val="28"/>
          <w:sz w:val="28"/>
          <w:szCs w:val="28"/>
          <w:rtl w:val="true"/>
          <w:lang w:bidi="fa-IR"/>
        </w:rPr>
        <w:t xml:space="preserve">روح سلطانی ز زندانی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چه درانیم و چون خاییم دست</w:t>
      </w:r>
    </w:p>
    <w:p>
      <w:pPr>
        <w:pStyle w:val="BookText"/>
        <w:rPr/>
      </w:pPr>
      <w:r>
        <w:rPr>
          <w:rFonts w:ascii="IRNazanin" w:hAnsi="IRNazanin" w:eastAsia="IRNazanin"/>
          <w:color w:val="111111"/>
          <w:sz w:val="28"/>
          <w:sz w:val="28"/>
          <w:szCs w:val="28"/>
          <w:rtl w:val="true"/>
          <w:lang w:bidi="fa-IR"/>
        </w:rPr>
        <w:t xml:space="preserve">چون که ایشان خسرو دین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شادی شد چو بشکستند بند</w:t>
      </w:r>
    </w:p>
    <w:p>
      <w:pPr>
        <w:pStyle w:val="BookText"/>
        <w:rPr/>
      </w:pPr>
      <w:r>
        <w:rPr>
          <w:rFonts w:ascii="IRNazanin" w:hAnsi="IRNazanin" w:eastAsia="IRNazanin"/>
          <w:color w:val="111111"/>
          <w:sz w:val="28"/>
          <w:sz w:val="28"/>
          <w:szCs w:val="28"/>
          <w:rtl w:val="true"/>
          <w:lang w:bidi="fa-IR"/>
        </w:rPr>
        <w:t xml:space="preserve">سوی شادُروان دولت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زنجیر را انداختند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 دفتر ششم، ابیات</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چیتیک به این موضوع اشاره می‌کند که مولانا در مثنوی معنوی، با بهره‌گیری از تمثیل سوگواری شیعیان حلب در روز عاشورا، به تبیین راه عشق و وصال الهی پرداخته و با آوردن این مثال، به مخاطبان خود تفهیم می‌کند که باید 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تا به وصال حق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کنایی موجود در ابیات مذکور،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جانی که از قرنی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عشق گوش عشق گوشوار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به مقام والای حضرت سیدالشهداء و سوگ او اشاره دارد و بیانگر ارج و منزلت این سرور آزادگان و پیشوای عاشقان الهی نزد مولانا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هر ساله در ایام عاشورا به سوگواری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سوگواری نه به منظور گریستن بر مصائب دنیوی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قصد تعظیم و یادآوری ایثار و از خودگذشتگی او در راه عشق الهی و دستیابی به وصال معشوق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به‌منظور یادآوری به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در مسیر عشق الهی گام نهاده‌اند، باید از جاه و مال و غنایم دنیوی چشم‌پوشی کنند و در برابر ظلم‌ها و آزمون‌هایی که از سوی یزید و شمر بر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مقاومت کنند و خم به ابرو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سالانه روز عاشورا نیز به همین منظور است که پیروان او از خواب غفلت بیدار شوند و پیش از آنکه در بستر مرگ دچار پشیمانی شوند، در مواجهه با ظلم و ستم‌های دوران خود و در راه حق‌جویی و حق‌پرستی، بر هرچه غیر از خداوند است، غلبه کنند و به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رخسار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گلگون سازند و به یاری پرچم پراقتدار حق برخیزند، نه چون نابینایانی که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خسارت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خواب و غفلت دنیوی فرو رفتند؛ اینان هستند که به تعبیر مولانا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چیتیک نمونه هایی دیگر از اشعار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دیوان شمس، غزل شماره</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خصوص عظمت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شاهد مثال در آثار خود می‌آورد که اولین آنها این غزل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بلاجویان دشت کربلایی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کجایید ای سبک‌روحان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پرنده‌تر ز مرغان هوایی </w:t>
      </w:r>
      <w:bookmarkStart w:id="69" w:name="pg18842_238183"/>
    </w:p>
    <w:p>
      <w:pPr>
        <w:pStyle w:val="BookText"/>
        <w:rPr/>
      </w:pPr>
      <w:bookmarkEnd w:id="69"/>
      <w:r>
        <w:rPr>
          <w:rFonts w:ascii="IRNazanin" w:hAnsi="IRNazanin" w:eastAsia="IRNazanin"/>
          <w:color w:val="111111"/>
          <w:sz w:val="28"/>
          <w:sz w:val="28"/>
          <w:szCs w:val="28"/>
          <w:rtl w:val="true"/>
          <w:lang w:bidi="fa-IR"/>
        </w:rPr>
        <w:t xml:space="preserve">کجایید ای شهان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 فلک را درگشایی</w:t>
      </w:r>
    </w:p>
    <w:p>
      <w:pPr>
        <w:pStyle w:val="BookText"/>
        <w:rPr/>
      </w:pPr>
      <w:r>
        <w:rPr>
          <w:rFonts w:ascii="IRNazanin" w:hAnsi="IRNazanin" w:eastAsia="IRNazanin"/>
          <w:color w:val="111111"/>
          <w:sz w:val="28"/>
          <w:sz w:val="28"/>
          <w:szCs w:val="28"/>
          <w:rtl w:val="true"/>
          <w:lang w:bidi="fa-IR"/>
        </w:rPr>
        <w:t xml:space="preserve">کجایید ای ز جان و جا رهیده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 عقل را گوید کجایی؟</w:t>
      </w:r>
    </w:p>
    <w:p>
      <w:pPr>
        <w:pStyle w:val="BookText"/>
        <w:rPr/>
      </w:pPr>
      <w:r>
        <w:rPr>
          <w:rFonts w:ascii="IRNazanin" w:hAnsi="IRNazanin" w:eastAsia="IRNazanin"/>
          <w:color w:val="111111"/>
          <w:sz w:val="28"/>
          <w:sz w:val="28"/>
          <w:szCs w:val="28"/>
          <w:rtl w:val="true"/>
          <w:lang w:bidi="fa-IR"/>
        </w:rPr>
        <w:t xml:space="preserve">کجایید ای در زندان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وامداران را رهایی</w:t>
      </w:r>
    </w:p>
    <w:p>
      <w:pPr>
        <w:pStyle w:val="BookText"/>
        <w:rPr/>
      </w:pPr>
      <w:r>
        <w:rPr>
          <w:rFonts w:ascii="IRNazanin" w:hAnsi="IRNazanin" w:eastAsia="IRNazanin"/>
          <w:color w:val="111111"/>
          <w:sz w:val="28"/>
          <w:sz w:val="28"/>
          <w:szCs w:val="28"/>
          <w:rtl w:val="true"/>
          <w:lang w:bidi="fa-IR"/>
        </w:rPr>
        <w:t xml:space="preserve">کجایید ای در مخزن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ای نوای بی‌نوایی</w:t>
      </w:r>
    </w:p>
    <w:p>
      <w:pPr>
        <w:pStyle w:val="BookText"/>
        <w:rPr/>
      </w:pPr>
      <w:r>
        <w:rPr>
          <w:rFonts w:ascii="IRNazanin" w:hAnsi="IRNazanin" w:eastAsia="IRNazanin"/>
          <w:color w:val="111111"/>
          <w:sz w:val="28"/>
          <w:sz w:val="28"/>
          <w:szCs w:val="28"/>
          <w:rtl w:val="true"/>
          <w:lang w:bidi="fa-IR"/>
        </w:rPr>
        <w:t xml:space="preserve">در آن بحرید کاین عالم کف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بیش دارید آشنایی</w:t>
      </w:r>
    </w:p>
    <w:p>
      <w:pPr>
        <w:pStyle w:val="BookText"/>
        <w:rPr/>
      </w:pPr>
      <w:r>
        <w:rPr>
          <w:rFonts w:ascii="IRNazanin" w:hAnsi="IRNazanin" w:eastAsia="IRNazanin"/>
          <w:color w:val="111111"/>
          <w:sz w:val="28"/>
          <w:sz w:val="28"/>
          <w:szCs w:val="28"/>
          <w:rtl w:val="true"/>
          <w:lang w:bidi="fa-IR"/>
        </w:rPr>
        <w:t xml:space="preserve">کف دریاست صورت‌های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بگذر، اگر اهل صفایی</w:t>
      </w:r>
    </w:p>
    <w:p>
      <w:pPr>
        <w:pStyle w:val="BookText"/>
        <w:rPr/>
      </w:pPr>
      <w:r>
        <w:rPr>
          <w:rFonts w:ascii="IRNazanin" w:hAnsi="IRNazanin" w:eastAsia="IRNazanin"/>
          <w:color w:val="111111"/>
          <w:sz w:val="28"/>
          <w:sz w:val="28"/>
          <w:szCs w:val="28"/>
          <w:rtl w:val="true"/>
          <w:lang w:bidi="fa-IR"/>
        </w:rPr>
        <w:t xml:space="preserve">دلم کف کرد کاین نقش سخن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نقش و به دل رو گر ز مایی</w:t>
      </w:r>
    </w:p>
    <w:p>
      <w:pPr>
        <w:pStyle w:val="BookText"/>
        <w:rPr/>
      </w:pPr>
      <w:r>
        <w:rPr>
          <w:rFonts w:ascii="IRNazanin" w:hAnsi="IRNazanin" w:eastAsia="IRNazanin"/>
          <w:color w:val="111111"/>
          <w:sz w:val="28"/>
          <w:sz w:val="28"/>
          <w:szCs w:val="28"/>
          <w:rtl w:val="true"/>
          <w:lang w:bidi="fa-IR"/>
        </w:rPr>
        <w:t xml:space="preserve">برآ ای شمس تبریزی 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اصلِ اصلِ هر ضیایی</w:t>
      </w:r>
    </w:p>
    <w:p>
      <w:pPr>
        <w:pStyle w:val="BookText"/>
        <w:rPr/>
      </w:pPr>
      <w:r>
        <w:rPr>
          <w:rFonts w:ascii="IRNazanin" w:hAnsi="IRNazanin" w:eastAsia="IRNazanin"/>
          <w:color w:val="111111"/>
          <w:sz w:val="28"/>
          <w:sz w:val="28"/>
          <w:szCs w:val="28"/>
          <w:rtl w:val="true"/>
          <w:lang w:bidi="fa-IR"/>
        </w:rPr>
        <w:t xml:space="preserve">و در غزل دوم دل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فراق را به یزید تشبیه می‌کند و می‌سراید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غزل شماره</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دلست همچو حسین و فراق همچو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گشته دو صد ره به دشت کرب و بلا</w:t>
      </w:r>
    </w:p>
    <w:p>
      <w:pPr>
        <w:pStyle w:val="BookText"/>
        <w:rPr/>
      </w:pPr>
      <w:r>
        <w:rPr>
          <w:rFonts w:ascii="IRNazanin" w:hAnsi="IRNazanin" w:eastAsia="IRNazanin"/>
          <w:color w:val="111111"/>
          <w:sz w:val="28"/>
          <w:sz w:val="28"/>
          <w:szCs w:val="28"/>
          <w:rtl w:val="true"/>
          <w:lang w:bidi="fa-IR"/>
        </w:rPr>
        <w:t xml:space="preserve">شهید گشته به ظاهر حیات گشته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نظر خصم و خسروی به خلا</w:t>
      </w:r>
    </w:p>
    <w:p>
      <w:pPr>
        <w:pStyle w:val="BookText"/>
        <w:rPr/>
      </w:pPr>
      <w:r>
        <w:rPr>
          <w:rFonts w:ascii="IRNazanin" w:hAnsi="IRNazanin" w:eastAsia="IRNazanin"/>
          <w:color w:val="111111"/>
          <w:sz w:val="28"/>
          <w:sz w:val="28"/>
          <w:szCs w:val="28"/>
          <w:rtl w:val="true"/>
          <w:lang w:bidi="fa-IR"/>
        </w:rPr>
        <w:t xml:space="preserve">میان جنت و فردوس وصل دوست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رهیده از تک زندان جوع و رخص و غلا</w:t>
      </w:r>
    </w:p>
    <w:p>
      <w:pPr>
        <w:pStyle w:val="BookText"/>
        <w:rPr/>
      </w:pPr>
      <w:r>
        <w:rPr>
          <w:rFonts w:ascii="IRNazanin" w:hAnsi="IRNazanin" w:eastAsia="IRNazanin"/>
          <w:color w:val="111111"/>
          <w:sz w:val="28"/>
          <w:sz w:val="28"/>
          <w:szCs w:val="28"/>
          <w:rtl w:val="true"/>
          <w:lang w:bidi="fa-IR"/>
        </w:rPr>
        <w:t xml:space="preserve">اگر نه بیخ درختش درون غیب ملیست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شکوفه وصلش شکفته است ملا</w:t>
      </w:r>
    </w:p>
    <w:p>
      <w:pPr>
        <w:pStyle w:val="BookText"/>
        <w:rPr/>
      </w:pPr>
      <w:r>
        <w:rPr>
          <w:rFonts w:ascii="IRNazanin" w:hAnsi="IRNazanin" w:eastAsia="IRNazanin"/>
          <w:color w:val="111111"/>
          <w:sz w:val="28"/>
          <w:sz w:val="28"/>
          <w:szCs w:val="28"/>
          <w:rtl w:val="true"/>
          <w:lang w:bidi="fa-IR"/>
        </w:rPr>
        <w:t xml:space="preserve">خموش باش و ز سوی ضمیر ناطق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ناطق کلی بگویدت افلا</w:t>
      </w:r>
    </w:p>
    <w:p>
      <w:pPr>
        <w:pStyle w:val="Heading3"/>
        <w:numPr>
          <w:ilvl w:val="2"/>
          <w:numId w:val="1"/>
        </w:numPr>
        <w:rPr/>
      </w:pPr>
      <w:bookmarkStart w:id="70" w:name="__RefHeading___Toc14423751_1280447820"/>
      <w:bookmarkStart w:id="71" w:name="_Toc25"/>
      <w:bookmarkEnd w:id="70"/>
      <w:r>
        <w:rPr>
          <w:rtl w:val="true"/>
        </w:rPr>
        <w:t>نتیجه</w:t>
      </w:r>
      <w:bookmarkEnd w:id="7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بررسی دیدگاه‌های ویلیام چیتیک در زمینه نیایش‌های اسلامی و مفاهیم عاشورایی پرداخته و نشان داد که وی با تبحری خاص و دانش وسیع، به تحلیل و تفسیر این مفاهیم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عاشورا و نیایش‌های حسینی </w:t>
      </w:r>
      <w:bookmarkStart w:id="72" w:name="pg18842_238184"/>
    </w:p>
    <w:p>
      <w:pPr>
        <w:pStyle w:val="BookText"/>
        <w:rPr/>
      </w:pPr>
      <w:bookmarkEnd w:id="72"/>
      <w:r>
        <w:rPr>
          <w:rFonts w:ascii="IRNazanin" w:hAnsi="IRNazanin" w:eastAsia="IRNazanin"/>
          <w:color w:val="111111"/>
          <w:sz w:val="28"/>
          <w:sz w:val="28"/>
          <w:szCs w:val="28"/>
          <w:rtl w:val="true"/>
          <w:lang w:bidi="fa-IR"/>
        </w:rPr>
        <w:t>نقش بی‌بدیلی در الهیات و عرفان اسلامی ایفا می‌کنند و نمایانگر نهایت فداکاری و مقاومت در برابر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چیتیک با تحلیل عمیق دعای عرفه و مفاهیم عاشورایی در آثار ادیبان و عرفای بزرگ اسلامی مانند مولوی و سنایی، توانسته است تأثیرات این رویدادهای معنوی را بر ادبیات و فرهنگ اسلامی به‌خوبی برجسته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نیایش‌ها و مفاهیم عاشورایی به‌طور عمیق در دل عرفان اسلامی جای گرفته‌اند و نماد پیروزی روح بر نفس و دستیابی به کمال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داد که چیتیک، با رویکردی جامع و بین‌رشته‌ای، توانسته است به فهم عمیق‌تری از اسلام و عرفان اسلامی دست یابد و این مفاهیم را به مخاطبان غربی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اهمیت دعا و نیایش در تربیت معنوی مسلمانان و نقش محوری عاشورا در این زمینه، تصویری زنده و پویا از معنویت اسلامی ارائه داده است که همگان را به تأمل و بازاندیشی در این مفاهیم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نشان می‌دهد که نیایش‌ها و مفاهیم عاشورایی نمایانگر پیروزی روح بر نفس و دستیابی به کمال الهی هستند و نقش مهمی در تربیت معنوی مسلمانان ایفا می‌کنند</w:t>
      </w:r>
      <w:r>
        <w:rPr>
          <w:rFonts w:eastAsia="IRNazanin" w:cs="IRNazanin"/>
          <w:color w:val="111111"/>
          <w:sz w:val="28"/>
          <w:szCs w:val="28"/>
          <w:rtl w:val="true"/>
          <w:lang w:bidi="fa-IR"/>
        </w:rPr>
        <w:t>.</w:t>
      </w:r>
    </w:p>
    <w:p>
      <w:pPr>
        <w:pStyle w:val="Heading3"/>
        <w:numPr>
          <w:ilvl w:val="2"/>
          <w:numId w:val="1"/>
        </w:numPr>
        <w:rPr/>
      </w:pPr>
      <w:bookmarkStart w:id="73" w:name="__RefHeading___Toc14423753_1280447820"/>
      <w:bookmarkStart w:id="74" w:name="_Toc26"/>
      <w:bookmarkEnd w:id="73"/>
      <w:r>
        <w:rPr>
          <w:rtl w:val="true"/>
        </w:rPr>
        <w:t>منابع</w:t>
      </w:r>
      <w:bookmarkEnd w:id="7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چیتیک، ویلیام سی، محمد رستم و عاطف خلیل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جستجوی قلب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در اندیشه اسلامی، مطبوعات </w:t>
      </w:r>
      <w:r>
        <w:rPr>
          <w:rFonts w:eastAsia="Times New Roman" w:cs="Times New Roman" w:ascii="Times New Roman" w:hAnsi="Times New Roman"/>
          <w:color w:val="111111"/>
          <w:sz w:val="28"/>
          <w:szCs w:val="28"/>
          <w:lang w:val="en-US" w:bidi="en-US"/>
        </w:rPr>
        <w:t>SUNY</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شابک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4384</w:t>
      </w:r>
      <w:r>
        <w:rPr>
          <w:rFonts w:eastAsia="IRNazanin" w:cs="IRNazanin"/>
          <w:color w:val="111111"/>
          <w:sz w:val="28"/>
          <w:szCs w:val="28"/>
          <w:rtl w:val="true"/>
          <w:lang w:bidi="fa-IR"/>
        </w:rPr>
        <w:t>-</w:t>
      </w:r>
      <w:r>
        <w:rPr>
          <w:rFonts w:eastAsia="IRNazanin" w:cs="IRNazanin"/>
          <w:color w:val="111111"/>
          <w:sz w:val="28"/>
          <w:szCs w:val="28"/>
          <w:lang w:bidi="fa-IR"/>
        </w:rPr>
        <w:t>3935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چیتیک، ویلیام سی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کرانه ادب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حسن لاهوتی، وقف میراث جاویدان،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بهار،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نیایشنامه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ناتمام روح برای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امیر حسین اصغری، اطلاعات حکمت و معرفت،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پاییز،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سنایی، مجدود بن آدم، دیوان اشعار، کتابخانۀ دیجیتال گنجور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 دار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لاهوتی،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مترجم بر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کرانه ادب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مولوی، نوشته چیتیک، سی، ویلیام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میراث جاویدان،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مولوی، جلال الدین بلخی، مثنوی معنوی، کتابخانۀ دیجیتال گنجور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Chittick, William C. (1986). "Rumi's View of the Imam Husayn." AlSerat: Sixmonthly magazine, Vol. XII, Spring and Autumn, pp. 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Chittick, William C. (2012). In Search of the Lost Heart: Explorations in Islamic Thought. New York: SUNY Press</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Chittick, William C., &amp; Murata, Sachiko (2000). The Vision of Islam. Translated by Abdolrahim Gavahi. Tehran: Islamic Culture Publishing House</w:t>
      </w:r>
      <w:r>
        <w:rPr>
          <w:rFonts w:eastAsia="Times New Roman" w:cs="Times New Roman" w:ascii="Times New Roman" w:hAnsi="Times New Roman"/>
          <w:color w:val="111111"/>
          <w:sz w:val="28"/>
          <w:szCs w:val="28"/>
          <w:rtl w:val="true"/>
          <w:lang w:val="en-US" w:bidi="en-US"/>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8842_238187"/>
      <w:bookmarkStart w:id="76" w:name="pg18842_238187"/>
      <w:bookmarkEnd w:id="76"/>
    </w:p>
    <w:p>
      <w:pPr>
        <w:pStyle w:val="Heading2"/>
        <w:numPr>
          <w:ilvl w:val="1"/>
          <w:numId w:val="1"/>
        </w:numPr>
        <w:rPr/>
      </w:pPr>
      <w:bookmarkStart w:id="77" w:name="pg18842_238187"/>
      <w:bookmarkStart w:id="78" w:name="__RefHeading___Toc14423755_1280447820"/>
      <w:bookmarkStart w:id="79" w:name="_Toc27"/>
      <w:bookmarkEnd w:id="77"/>
      <w:bookmarkEnd w:id="78"/>
      <w:r>
        <w:rPr>
          <w:rtl w:val="true"/>
        </w:rPr>
        <w:t xml:space="preserve">تحلیل شاخص‌های هویت معنوی و اخلاقی فرهنگ حسینی </w:t>
      </w:r>
      <w:r>
        <w:rPr>
          <w:rtl w:val="true"/>
        </w:rPr>
        <w:t>(</w:t>
      </w:r>
      <w:r>
        <w:rPr>
          <w:rtl w:val="true"/>
        </w:rPr>
        <w:t>علیه السلام</w:t>
      </w:r>
      <w:r>
        <w:rPr>
          <w:rtl w:val="true"/>
        </w:rPr>
        <w:t xml:space="preserve">) </w:t>
      </w:r>
      <w:r>
        <w:rPr>
          <w:rtl w:val="true"/>
        </w:rPr>
        <w:t>در محتوای کتاب‌های درسی</w:t>
      </w:r>
      <w:bookmarkEnd w:id="79"/>
    </w:p>
    <w:p>
      <w:pPr>
        <w:pStyle w:val="Heading3"/>
        <w:numPr>
          <w:ilvl w:val="2"/>
          <w:numId w:val="1"/>
        </w:numPr>
        <w:rPr/>
      </w:pPr>
      <w:bookmarkStart w:id="80" w:name="__RefHeading___Toc14423757_1280447820"/>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مهدی میرزایی پروین روشنی‌نسب اقدس روشنی فاطمه شیخانی زینب حیدری‌زاده</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18/05/1403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معنوی و اخلاق حسینی مبتنی‌بر معرفت، محبت، معبودیت، شریعت، حب الله، عبدالله و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شاخصه اساسی قیام و فرهنگ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هدف </w:t>
      </w:r>
      <w:bookmarkStart w:id="82" w:name="pg18842_238188"/>
    </w:p>
    <w:p>
      <w:pPr>
        <w:pStyle w:val="BookText"/>
        <w:rPr/>
      </w:pPr>
      <w:bookmarkEnd w:id="82"/>
      <w:r>
        <w:rPr>
          <w:rFonts w:ascii="IRNazanin" w:hAnsi="IRNazanin" w:eastAsia="IRNazanin"/>
          <w:color w:val="111111"/>
          <w:sz w:val="28"/>
          <w:sz w:val="28"/>
          <w:szCs w:val="28"/>
          <w:rtl w:val="true"/>
          <w:lang w:bidi="fa-IR"/>
        </w:rPr>
        <w:t>تحلیل محتوای کتاب‌های درسی دوره ابتدایی از منظر فرهنگ حسینی نوشته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با روش تحلیل محتوای کیفی از نوع استقرایی با گزینش هشت متن درسی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تحلیل همه صفحات کتاب‌ها شامل نثر، نظم، تصویر، فعالیت و تکلیف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نشان می‌دهد که شاخص‌های ایثار و فداکاری، ظلم و استکبار ستیزی، صبر و تحمل‌گرایی، شجاعت و وفاداری بیشترین توجه و محتوای کتاب هدیه‌های آسمان پایه سوم با دو درس مستقل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واقعه 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رشادت‌های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از بیشترین تأکید و مناسب‌ترین ظرفیت‌های هویتی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فرهنگ حسینی، کتاب‌های درسی، معنویت و اخلاق</w:t>
      </w:r>
      <w:r>
        <w:rPr>
          <w:rFonts w:eastAsia="IRNazanin" w:cs="IRNazanin"/>
          <w:color w:val="111111"/>
          <w:sz w:val="28"/>
          <w:szCs w:val="28"/>
          <w:rtl w:val="true"/>
          <w:lang w:bidi="fa-IR"/>
        </w:rPr>
        <w:t>.</w:t>
      </w:r>
    </w:p>
    <w:p>
      <w:pPr>
        <w:pStyle w:val="Heading3"/>
        <w:numPr>
          <w:ilvl w:val="2"/>
          <w:numId w:val="1"/>
        </w:numPr>
        <w:rPr/>
      </w:pPr>
      <w:bookmarkStart w:id="83" w:name="__RefHeading___Toc14423759_1280447820"/>
      <w:bookmarkStart w:id="84" w:name="_Toc29"/>
      <w:bookmarkEnd w:id="83"/>
      <w:r>
        <w:rPr>
          <w:rtl w:val="true"/>
        </w:rPr>
        <w:t>مقدمه</w:t>
      </w:r>
      <w:bookmarkEnd w:id="8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به‌عنوان تعریف و شناسایی از من حقیقی خود از جنبه‌های مختلف فردی و شخصی و اجتماعی مد نظر بوده و منابع مکتوب نظیر کتاب‌های درسی به‌عنوان منبعی از ادبیات که درون مایه معنوی و اخلاقی برای دانش آموزان دارند، می‌توانند در رشد تربیت هویت محور معنوی و اخلاقی بر پایه رشد فردی و جمعی دانش آموزان اثر گذاشته و با رویکرد هنرمندانه به معنویت و اخلاق و توسعه آن برای تربیت هویت محور معنوی و اخلاقی دانش آموز دامن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معنوی و اخلاقی به‌عنوان تعریف و شناسایی خود دانش آموز بر اساس معنویت و اخلاق در سال‌های اخیر مورد توجه پژوهشگران قرار گرفته است؛ از یک طرف مفهوم‌سازی مولفه‌ای و از طرف دیگر شناسایی پیش آیندها و پیامدهای این سازه‌های هویتی برای دانش آموز از عمده‌ترین مسائل مهم و پیشرو در تربیت هویت محور برای دانش آموزان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توجه به تربیت هویت </w:t>
      </w:r>
      <w:bookmarkStart w:id="85" w:name="pg18842_238189"/>
    </w:p>
    <w:p>
      <w:pPr>
        <w:pStyle w:val="BookText"/>
        <w:rPr/>
      </w:pPr>
      <w:bookmarkEnd w:id="85"/>
      <w:r>
        <w:rPr>
          <w:rFonts w:ascii="IRNazanin" w:hAnsi="IRNazanin" w:eastAsia="IRNazanin"/>
          <w:color w:val="111111"/>
          <w:sz w:val="28"/>
          <w:sz w:val="28"/>
          <w:szCs w:val="28"/>
          <w:rtl w:val="true"/>
          <w:lang w:bidi="fa-IR"/>
        </w:rPr>
        <w:t>محور بر اساس مولفه‌های معنوی و اخلاقی دانش آموزان بیش از هر زمان دیگری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دنیای معاصر به پیشرفت‌های صنعتی، اقتصادی، تبلیغاتی پر زرق و برق، تهاجم فرهنگ‌های متخاصم و ناسالم از طریق فضای مجازی و رسانه‌های گوناگون ودسترسی آسان دانش آموز به آنها، سلامت جسم و روح او را به مخاطره انداخته و سبب از بین رفتن ارتباط کودک با کلیت خود، انسانیت، محیط و جهان پیرامون شده و از این‌رو، تربیت بر پایه هویت معنوی و اخلاقی کودک در توجه متخصصان عرصه تعلیم و تربیت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محتوای کتاب‌های درسی به‌عنوان متداول‌ترین، ارزان‌ترین و در دسترس‌ترین رسانه مکتوب در نظام آموزش و پرورش از اهمیت فراوانی در این زمینه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تحول بنیادین آموزش و پرورش، معنویت و اخلاق و تلاش برای تربیت معنوی و اخلاقی به‌عنوان محور تمامی برنامه‌های تربیتی در مدارس مطرح شده و به حق بر سایر ساحت‌های تعلیم و تربیت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یکی از پرکاربردترین و مهم‌ترین رسانه آموزشی در نظام آموزشی ما کتاب درسی است که سند مکتوب و مدون تعلیم و تربیت بوده و فعالیت‌ها و تجارب دانش آموزان بر محور آن سازماندهی و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پیش گفته، پژوهشِ حاضر به بررسی هویت معنوی و اخلاقی از دیدگاه فرهنگ حسینی در محتوای کتاب‌های درسی می‌پردازد</w:t>
      </w:r>
      <w:r>
        <w:rPr>
          <w:rFonts w:eastAsia="IRNazanin" w:cs="IRNazanin"/>
          <w:color w:val="111111"/>
          <w:sz w:val="28"/>
          <w:szCs w:val="28"/>
          <w:rtl w:val="true"/>
          <w:lang w:bidi="fa-IR"/>
        </w:rPr>
        <w:t>.</w:t>
      </w:r>
    </w:p>
    <w:p>
      <w:pPr>
        <w:pStyle w:val="Heading3"/>
        <w:numPr>
          <w:ilvl w:val="2"/>
          <w:numId w:val="1"/>
        </w:numPr>
        <w:rPr/>
      </w:pPr>
      <w:bookmarkStart w:id="86" w:name="__RefHeading___Toc14423761_1280447820"/>
      <w:bookmarkStart w:id="87" w:name="_Toc30"/>
      <w:bookmarkEnd w:id="86"/>
      <w:r>
        <w:rPr>
          <w:rtl w:val="true"/>
        </w:rPr>
        <w:t>بیان مسئله</w:t>
      </w:r>
      <w:bookmarkEnd w:id="8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مجموعه‌ای از مَلکات نفسانی، صفات، ویژگی‌ها و خصایص روحی که جنبه عمومی و عام دارند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مشتمل بر حوزه‌های مختلفی مانند؛ اخلاق بندگی، اخلاق فردی، اخلاق اجتماعی و اخلاق زیست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اخلاق اجتماعی، ارزش‌ها و ضد ارزش‌های حاکم بر رابطه فرد با سایر انسان‌ها مانند؛ معاشرت نیکو، عدل، احسان، حسد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اجتماعی، قوانین، مقررات و آداب خاصی از جمله آداب و نحوه معاشرت ضرورت می‌یابد که بسیاری از آنها در زندگی فردی مطرح نمی‌شوند، لذا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به‌عنوان دین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کامل‌ترین و </w:t>
      </w:r>
    </w:p>
    <w:p>
      <w:pPr>
        <w:pStyle w:val="BookText"/>
        <w:rPr/>
      </w:pPr>
      <w:r>
        <w:rPr>
          <w:rFonts w:ascii="IRNazanin" w:hAnsi="IRNazanin" w:eastAsia="IRNazanin"/>
          <w:color w:val="111111"/>
          <w:sz w:val="28"/>
          <w:sz w:val="28"/>
          <w:szCs w:val="28"/>
          <w:rtl w:val="true"/>
          <w:lang w:bidi="fa-IR"/>
        </w:rPr>
        <w:t xml:space="preserve">عالی‌ترین برنامه زندگی را در هر بُعد فردی و اجتماعی به ارمغان آورده و عمل بدان به‌طور قطع سعادت فرد و اجتماع را تأمین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طالعی اردکانی،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تربیت با محوریت هویت معنوی و اخلاقی که زیر مجموعه تربیت دینی و اسلامی هستند، یکی از موضوعات چالش برانگیز کنونی در حوزه تعلیم و تربیت و بخشی مهم و متمایز از نظام تربیتی است که درصدد آموزش حقایق و پرورش فضایل معنوی و اخلاقی به دانش 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 معنوی و اخلاقی جامعه به دست آموزش و پرورش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امر مهم بدون شناخت، باور و عمل به اصول اخلاقی در محتوای آموزشی و درسی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محتوای کتاب‌های درسی به نشانه شناخت، سعه صدر، تواضع، ارزش‌های الهی، هدایت، استدلال، برهان منطقی و شرعی و متخلق شدن به محتوای اخلاق و خُلق نیکو به طور قطع می‌تواند میزان شناخت و سطح کیفی محتوای کتاب‌های درسی و سواد تربیتی دانش آموزان را ارتقاء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معنویت در فرهنگ‌های مختلف بشری به صورت‌های مختلف و متفاوتی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غربی، معنویت یعنی احساس وابستگی و در هم تنیدگی عمیق و شهودی بین انسان و جهانی که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نگاه بومی و اسلامی، معنویت حالتی نفسانی و ذومراتب است که در ارتباط با خدا یا امری متعالی در روان خودآگاه آدمی از طریق تعقل، جوشش درونی و عمل بیرونی به‌صورت آگاهانه و یا ناآگاهانه پدید آمده و بر شیوه نظر و عمل شخص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می‌توان گفت واژه عالم باطن و حقیقت باطنی است که به حیات طیبه و نور الهی گرایش دارد و به‌طور قطع در مورد تعلیم و تربیت، باعث افزایش سطح شناخت و سواد در نحوه تعلیم و تربیت مطلوب و طیبه مربی بر متربی می‌شود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از دیدگاه قرآن شامل مبانی اعتقادی، اخلاقی و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اعتقادی بر اصالت روح، اصالت فطرت، عالم غیب و شریعت؛ بُعد اخلاقی بر حُسن معاشرت، </w:t>
      </w:r>
    </w:p>
    <w:p>
      <w:pPr>
        <w:pStyle w:val="BookText"/>
        <w:rPr/>
      </w:pPr>
      <w:r>
        <w:rPr>
          <w:rFonts w:ascii="IRNazanin" w:hAnsi="IRNazanin" w:eastAsia="IRNazanin"/>
          <w:color w:val="111111"/>
          <w:sz w:val="28"/>
          <w:sz w:val="28"/>
          <w:szCs w:val="28"/>
          <w:rtl w:val="true"/>
          <w:lang w:bidi="fa-IR"/>
        </w:rPr>
        <w:t xml:space="preserve">توکل، کسب علم، احسان، تواضع، ساده‌زیستی و پرهیزکاری و بُعد عبادی بر اُنس با قرآن، نماز، نوافل و مستحبات و دعا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زاده و راضی،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جامعه‌ای بر اساس فرهنگ خویش به حیات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که آموزه‌های شیعی جایگاه اساسی دارند، چهار پایه اساسی؛ قرآن کریم، سنت، عقل و حدیث، زمینه الهی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بخشی و اخلاق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 و یا ارزش‌های فرا مادی، ارزش‌هایی هستند که در هر جامعه‌ای بسته به ماهیت آنها، جایگاه اساسی در زندگی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که ماهیت معنوی و اخلاقی برگرفته از کلام خدا،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علوی و قیام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شده‌است، زمینه‌ای را فراهم می‌سازد که بتوان به تحقق معنویت و اخلاق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معنویت و اخلاق عاشورایی باید به بلوغ معنوی و کمال اخلاقی در کنار شور و شعور حسینی با هدف درس آموزی از قیام عاشورا در مسیر حسینی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محتوای کتاب‌های درسی مدارس به‌عنوان مهمترین و متداول‌ترین منبع آموزش و فرایند یاددهی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یادگیری نقش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پیام‌ها و درس‌های آموزنده نهضت عاشورا در زمینه گسترش معنویت و اخلاق حسینی باید به تعصب و غیرت دینی، مبارزه با ظلم و طاغوت، رضایت به مشیت الهی، استقامت و پایداری، ایثار و از خود گذشتگی، تسلیم نشدن و ذلت ناپذیری در مقابل ظلم، جهاد تبیین و بیان حق، عبادت و بندگی و وفای به عهد و پیمان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الگویی جامع در زمینه‌های عبادی، عرفانی، سیاسی، اجتماعی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از ابعاد نهضت آن بزرگوار مورد غفلت واقع شده، بُعد اخلاقی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سازندگی روحی،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و هدف اصلی آن حضرت، اصلاح امت و انسان‌سازی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کربلا درس‌های حماسی و آثار تربیتی، معنوی و اخلاقی فراوان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در حادثه کربلا در اندیشه و رفتار مسلمانان و حتی غیرمسلمانان بر جای </w:t>
      </w:r>
    </w:p>
    <w:p>
      <w:pPr>
        <w:pStyle w:val="BookText"/>
        <w:rPr/>
      </w:pPr>
      <w:r>
        <w:rPr>
          <w:rFonts w:ascii="IRNazanin" w:hAnsi="IRNazanin" w:eastAsia="IRNazanin"/>
          <w:color w:val="111111"/>
          <w:sz w:val="28"/>
          <w:sz w:val="28"/>
          <w:szCs w:val="28"/>
          <w:rtl w:val="true"/>
          <w:lang w:bidi="fa-IR"/>
        </w:rPr>
        <w:t>گذاشته است تا آخرین لحظه زندگی بشر استمرار خواهد داشت؛ چرا که عاشورا یک حادثه نیست، بلکه یک تفکر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نهضت عظیم در تاریخ اسلام و تشیع مبین ضرورت پرداختن به ابعاد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مختلف این نهضت در قالب تحلیل مولفه‌های معنوی و اخلاقی آن در محتوای کتاب‌های درسی مدارس، نقش مهمی در شناخت بیشتر و بازنگری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معنوی در آیین‌ها و فرهنگ عاشورا انطباق‌پذیری بسیار قوی‌ای با محیط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حساسیت‌زایی نسبت به ضرورت داشتن رفتار هنجار مدار، فراهم کردن بستر خوشایند برای حضور در آیین‌های عاشورایی، مشارکت دادن در برگزاری آیین‌های عاشورایی، تشویق‌های معنوی در مورد گزینش رفتارهای اخلاقی عاشورایی و نشان دادن پیامدهای مثبت رفتار برگزیده شده در سطوح مختلف معنوی و اخلاقی افراد در جامعه از تأثیرات مهم فرهنگ و آیین‌های عاشورایی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نژاد شیروانی و پور عباسی،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متکی‌بر آموزه‌ها و نمادهایی است که بعد از ظهور اسلام در جامعه اسلامی ما عمل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همواره هدایت کننده به سمت اخلاق‌مداری است که اگر در جامعه نفوذ کند، بسیاری از امور اجتماعی و فردی قابل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آموزه‌های معنوی چون فرهنگ حسینی با رگ و خون مسلمانان آمیخته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 بر معنویت و اخلاق اسلامی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نقش معنویت و اخلاق، باز تولید هویت جمعی شیعه در کربلا در ارتباط با فضاهای معنوی و اخلاقی موجود در کربلا و واقعه عاشورا است که این امر به‌عنوان یک میراث فرهنگی عظیم بشری برای توسعه ادبیات پویا و زنده فرهنگ عاشورایی قلمداد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Parkes, 2021: 904</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پارادایم‌های کربلا، عاشورا و اربعین را در هویت مذهبی معاصر جوانان در خاورمیانه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رابطه مستقیمی با افزایش شاخص‌های معنویت، اخلاق، رفتار و کردار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رفتاری برگرفته از این پارادایم‌ها الهی، مستحکم و غیر قابل تحدید و بازنگری است و به‌طور ویژه با ماهیت و فلسفه وجودی زندگی جوانان شیعی </w:t>
      </w:r>
    </w:p>
    <w:p>
      <w:pPr>
        <w:pStyle w:val="BookText"/>
        <w:rPr/>
      </w:pPr>
      <w:r>
        <w:rPr>
          <w:rFonts w:ascii="IRNazanin" w:hAnsi="IRNazanin" w:eastAsia="IRNazanin"/>
          <w:color w:val="111111"/>
          <w:sz w:val="28"/>
          <w:sz w:val="28"/>
          <w:szCs w:val="28"/>
          <w:rtl w:val="true"/>
          <w:lang w:bidi="fa-IR"/>
        </w:rPr>
        <w:t>پیوند عمیقی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Spellman- Poots, 2012: 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نجات عالم است و نهضتی برپا کرد که حقانیتش را با خون خود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الگوی بی‌بدیل بشریت است بارها اهل بیت خود و 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اسوه و نجات بخش معرفی و به همه افراد توصیه کرده که حادثه و قیام عاشورا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الگویی کامل در تمام جهات عرفانی، معنوی، عبادی، سیاسی، اجتماعی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اخلاق حسینی را می‌توان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 و تهذیب نفس، آرامش روحی و روانی، عزتمندی و تعالی شخصیت، صبر و مقاومت در راه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همدلی و برادری، سخاوت و مهمان‌نوازی، اتحاد و انسجام اجتماعی، عدالت طلبی و 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زیباترین صحنه‌های اخلاق کریمانه را با تواضع، حلم و بردباری، گذشت و ایثار، برآوردن حوایج دردمندان و خدمت به بندگان خدا، اجرای عدالت، مبارزه با ظلم و فساد و نظایر اینها به منصه ظهور رساندند و عالی‌ترین شیوه اخلاقی را به شیعیان خود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برنامه درسی مدارس در قالب محتوای کتاب‌های رسمی درسی یکی از عوامل کلیدی موثر در فرایند تربیت پذیری معنوی و توسعه وجدان اخلاقی در قالب رشد شناختی هستند که تحلیل آنها از جنبه‌های تربیتی متناسب با گسترش هویت‌یابی می‌تواند باعث شناخت در مورد معنا و مفهوم زندگی معنوی و اخلاقی، رشد خود رضایتی دینی، تطبیق با شرایط، احساس تعهد معنوی و اخلاقی و درک متقابل از مفهوم خود معنوی و اخلاقی با محیط اطراف و ارزش‌های پذیرفته شده،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Lee, 2020: 6</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درسی از پرکاربردترین و مهم‌ترین رسانه آموزشی در نظام‌های آموزشی کشورهای مختلف جهان، به ویژه نهاد آموزش و پرورش جمهوری اسلامی ایران است که سند مکتوب و مدون تعلیم و تربیت محسوب شده و فعالیت‌های یادگیرندگان بر محور آن سازماندهی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کتاب‌های درسی به‌عنوان معیار برنامه‌های درسی برای آموزش و انتقال مفاهیم به‌ویژه مفاهیم فلسفی و ارزشی به کودکان حتما علاوه‌بر آشنا نمودن کودکان با تفکر انتقادی، تفکر تحلیلی و تفکر خلاق، آنها را باید با روش‌ها و </w:t>
      </w:r>
    </w:p>
    <w:p>
      <w:pPr>
        <w:pStyle w:val="BookText"/>
        <w:rPr/>
      </w:pPr>
      <w:r>
        <w:rPr>
          <w:rFonts w:ascii="IRNazanin" w:hAnsi="IRNazanin" w:eastAsia="IRNazanin"/>
          <w:color w:val="111111"/>
          <w:sz w:val="28"/>
          <w:sz w:val="28"/>
          <w:szCs w:val="28"/>
          <w:rtl w:val="true"/>
          <w:lang w:bidi="fa-IR"/>
        </w:rPr>
        <w:t>معیارهای کاربردی مختلف در مورد اعتقادات و رفتارها، جستجوی حقیقت خوب، توجه به ایمان و معنویت، تلاش برای جستجوی اخلاق خوب و کسب دانش حقیقت و دوستی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عقلانیت و منطق در سطح تفکر کودکان را نیز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تحلیل و ارزیابی محتوای کتاب‌های درسی بسیار حائز اهمیت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Yakhchalian &amp; Seraj Khorrami, 2015: 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اعلام سازمان پژوهش و برنامه‌ریزی آموزشی وزارت آموزش و پرورش،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درس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سهم ترویج فرهنگ عاشورایی در محتوای کتب درسی در کلیه دوره‌های مختلف تحصیلی به واقعه کربلا، عاشورای حسینی و عزاداری‌های ماه محرم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حاضر، ابتدا برای استخراج موارد مشترک و مهم با رویکردی کل نگر معنویت و اخلاق که باید در محتوای کتب درسی به‌عنوان مرجع اصلی برنامه درسی مورد توجه قرار گیرند، مبانی نظری کلی معنوی و اخلاقی و تحقیقات مختلف در این زمینه، مورد مطالعه قرار گرفته تا مولفه‌های کلیدی استخراج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محتوای کتاب‌های درسی با توجه به این چارچوب تحلیل شدند تا مشخص شود محتوای کتاب‌های درسی تا چه اندازه با توجه به آموزش‌های همه جانبه و جهان‌نگر معنویت و اخلاق، تدوین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مشخص‌تر، تا چه میزان در متن محتوای کتاب‌های درسی به مولفه‌های مختلف مربوط به هویت معنوی و اخلاقی در محتوای کتاب‌های مربوط به فرهنگ حسینی دوره ابتدایی توجه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موجود تحلیل محتوای کتاب‌های درسی از نظر مسائل مختلف معنویت و اخلاق متناسب با فرهنگ حسینی از این جهت مهم است که تصویر دقیقی از کم و کیف توجه به مضامین به دست می‌دهد و در حکمبررسی وضعیت موجود، بینش‌های لازم برای برنامه‌ریزان و دست اندرکاران طراحی محتوا و پوشش دادن حیطه‌ها و برنامه‌های مغفول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زندگی‌نامه و معرفی الگوها و اسوه‌های معنوی و اخلاقی در محتوای </w:t>
      </w:r>
      <w:bookmarkStart w:id="88" w:name="pg18842_238195"/>
    </w:p>
    <w:p>
      <w:pPr>
        <w:pStyle w:val="BookText"/>
        <w:rPr/>
      </w:pPr>
      <w:bookmarkEnd w:id="88"/>
      <w:r>
        <w:rPr>
          <w:rFonts w:ascii="IRNazanin" w:hAnsi="IRNazanin" w:eastAsia="IRNazanin"/>
          <w:color w:val="111111"/>
          <w:sz w:val="28"/>
          <w:sz w:val="28"/>
          <w:szCs w:val="28"/>
          <w:rtl w:val="true"/>
          <w:lang w:bidi="fa-IR"/>
        </w:rPr>
        <w:t xml:space="preserve">آموزشی و درس بخشی از فرایند یاددهی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محتواها به صورت‌های گوناگون ضمنی و آشکار در محتوای کتاب‌های درسی به‌صورت نثر و نظم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متن، قصه، داستان،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فعالیت،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گفت و گو کنیم، دوست دارم، بدانیم، کامل کنید، گفت و گو کنید، بیندیشیم، بگرد و پیدا کن و با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واقعه عاشورا و کربلا و همچنین پیام‌های آنها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و اولاد ایشان و یا وقایع مرتبط پرداخته شده‌است، که این پژوهش به این ترتیب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نقش محوری و رسالت نهاد آموزش و پرورش در این مورد، تحلیل مولفه‌های هویت محور مرتبط با معنویت و اخلاق متناسب با فرهنگ حسینی در کتاب‌های درسی دوره ابتدایی از اهمیت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از این پژوهش، بررسی تحلیل محتوای کتاب‌های درسی دوره آموزش ابتدایی بر اساس میزان تأکید بر مولفه‌های تربیت هویت محور در زمینه معنویت و اخلاق در فرهنگ حسینی تالیف سال تحصیلی </w:t>
      </w:r>
      <w:r>
        <w:rPr>
          <w:rFonts w:eastAsia="IRNazanin" w:cs="IRNazanin"/>
          <w:color w:val="111111"/>
          <w:sz w:val="28"/>
          <w:szCs w:val="28"/>
          <w:lang w:bidi="fa-IR"/>
        </w:rPr>
        <w:t>1403/1402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پژوهش حاضر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مولفه‌های هویتی حول معنویت و اخلاق متناسب با فرهنگ حسینی کدامند؟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کتاب‌های دوره ابتدایی تا چه میزان به مولفه‌های اخلاق و معنویت متناسب با فرهنگ حسینی توجه شده‌است؟</w:t>
      </w:r>
    </w:p>
    <w:p>
      <w:pPr>
        <w:pStyle w:val="Heading3"/>
        <w:numPr>
          <w:ilvl w:val="2"/>
          <w:numId w:val="1"/>
        </w:numPr>
        <w:rPr/>
      </w:pPr>
      <w:bookmarkStart w:id="89" w:name="__RefHeading___Toc14423763_1280447820"/>
      <w:bookmarkStart w:id="90" w:name="_Toc31"/>
      <w:bookmarkEnd w:id="89"/>
      <w:r>
        <w:rPr>
          <w:rtl w:val="true"/>
        </w:rPr>
        <w:t>پیشینه پژوهش</w:t>
      </w:r>
      <w:bookmarkEnd w:id="9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تحلیل محتوای هویت معنوی و اخلاقی متناسب با فرهنگ حسینی می‌توان به مطالعات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خلیلی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مفاهیم زهد، راضی بودن به رضای حق، معانی خوف، توکل، صبر و استقامت و غیبت از آموزه‌های عرفانی و اخلاقی از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که توسط کاسه‌گر محمدی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نشان داد؛ الگوپذیری در گفتار و رفتار معنوی و اخلاقی و در زندگی فردی و اجتماعی و عبرت‌آموزی از قیام عاشورا از مهمترین </w:t>
      </w:r>
    </w:p>
    <w:p>
      <w:pPr>
        <w:pStyle w:val="BookText"/>
        <w:rPr/>
      </w:pPr>
      <w:r>
        <w:rPr>
          <w:rFonts w:ascii="IRNazanin" w:hAnsi="IRNazanin" w:eastAsia="IRNazanin"/>
          <w:color w:val="111111"/>
          <w:sz w:val="28"/>
          <w:sz w:val="28"/>
          <w:szCs w:val="28"/>
          <w:rtl w:val="true"/>
          <w:lang w:bidi="fa-IR"/>
        </w:rPr>
        <w:t>درس‌های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پیر مرادیان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 که هدایت و رشد، حیات طیبه و عبودیت از جمله اهداف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واقعه عاشورا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عدالت، کرامت و خود ورزی از جمله مبانی تربیتی و نیایش، عبادت پیشگی، مبارزه با تبعیض نژادی، ادای حقوق دیگران، ظلم ستیزی و اصلاح ساختار جامعه از جمله روش‌های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واقعه عاشورا برای گسترش فرهنگ معنویت و اخلاق حسینی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پژوهش منتظرالقائم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سیره اخلاقی و تربیتی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حول محورهایی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قرب الهی، نیایش، عبادت، ظلم ستیزی، احترام به حقوق دیگران، در نظر گرفتن تفاوت‌های فردی، مبارزه با تبعیض نژادی، توکل، صبر و امر به معروف و نهی از منکر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توسط بازدار و بیگدلی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که نتایج آن نشان داد دستیابی به هدایت و رشد انسان‌ها و حیات طیبه از اهداف تربیتی دینی در واقعه عاشوراست که تحقق آنها زمینه‌ساز دستیابی به هدف غایی تربیت دینی یعنی قرب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و تقوا، امر به معروف و نهی از منکر، آزادگی و دنیا گریزی، کرامت و عزت انسانی، عدالت خواهی، ظلم ستیزی، توکل، تسلیم و رضا در مفهوم پویا و سازنده آن و عبادت آگاهانه و عزت نفس که صلابت و اقتدار در برابر دشمنان را به همراه دارد، از جمله آثار تربیت دینی تجلی یافته در سیره معنوی و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مبین نقش تربیت دینی در سازندگی درونی انسان‌هاست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پژوهشش نشان داد که در سیره معنوی و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فوق العاده، سخاوت و بخشش، فریفته نشدن به جاذبه‌های دنیایی، کمک به دیگران و رفع گرفتاری از آنان، عزت طلبی و ذلت گریزی، شاد کردن دیگران و تواضع رااستنباط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هاشمی مدنی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بود که در تبلور الگوهای راهبردی، احیای ارزش‌های معنوی و سلامت دینی در قیام حسینی می‌توان به مواردی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فضائل اخلاقی، وفای به عهد، رسیدگی با نزدیکان و یتیمان و بینوایان و اقامه نماز و پرداخت زکات، برپایی قسط و عدل، دوری از </w:t>
      </w:r>
    </w:p>
    <w:p>
      <w:pPr>
        <w:pStyle w:val="BookText"/>
        <w:rPr/>
      </w:pPr>
      <w:r>
        <w:rPr>
          <w:rFonts w:ascii="IRNazanin" w:hAnsi="IRNazanin" w:eastAsia="IRNazanin"/>
          <w:color w:val="111111"/>
          <w:sz w:val="28"/>
          <w:sz w:val="28"/>
          <w:szCs w:val="28"/>
          <w:rtl w:val="true"/>
          <w:lang w:bidi="fa-IR"/>
        </w:rPr>
        <w:t>طاغوت، مبارزه با ظلم و فساد، عزت، شجاعت، شهادت، ایثار و ایستادی در برابر ستم و ستمگران، خدا ترسی، استغفار، تلاوت قرآن، اخلاص و یکرنگی با خدا، اطاعت از ولی، نشاط در عبادت و مناجات با خدا، پرهیزگاری و بصیرت در دین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انجام شده توسط فرامرزی و خلیلی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مقاومت و پایداری در کنار بصیری و ایستادگی در مقابل ظلم و استکبار و کمک رسانی به همدیگر از مضامین رجزهای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آموزه‌های هویت معنوی و اخلاقی در فرهنگ عاشورایی را می‌توان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طلبی، ایثار و فداکاری، محبت و نیکوکاری و صبر و تحمل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پژوهشی که توسط معتمد لنگرودی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نشان داد یکی از مهمترین شاخص‌های اصلی واقعه کربلا، اطاعت و ولایت‌پذیری است که حضرت زینب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 عنوان یک بانوی مسلمان و متعهد به اصول اسلامی در تمام حالات زندگانی خود از امام زمان خویش اطاعت و التزام علمی و عملی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توسط بدیعیان گورتی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در آن به این نتیجه رسیدند که خود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عقلانیت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آزادی از ابعاد تربیتی واقعه عاشورا و جبن و فقدان بصیرت، فقدان آگاهی در مردم و ارعاب، تبلیغات مسموم و هوا پرستی از زمینه‌های بستر ساز دگرگونی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پژوهشِ حسین زاده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برای گسترش فرهنگ عاشورایی در جامعه به‌ویژه برای نوجوانان و جوانان باید به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گروه‌های مجازی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آنلاین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مسابقات کتابخوانی، وبلاگ نویسی، عکاسی، ساخت اپلیکیشن، داستان نویسی و فیلم کوتاه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محتوای کتاب‌های درسی مدارس در تمامی مقاطع تحصیلی باید بر غنی بودن محتواها، آسیب شناسی آنها و تقویت تربیت مهارت دینی، نفی تعصب و سطحی نگری عاشورا با خرد علمی و مذهبی و حذف خرافات و بدعت‌های مذهبی در زمینه فرهنگ حسینی و عاشورا توجه کرد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پژوهش رودگر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 که معنویت عاشورایی مبتنی‌بر </w:t>
      </w:r>
    </w:p>
    <w:p>
      <w:pPr>
        <w:pStyle w:val="BookText"/>
        <w:rPr/>
      </w:pPr>
      <w:r>
        <w:rPr>
          <w:rFonts w:ascii="IRNazanin" w:hAnsi="IRNazanin" w:eastAsia="IRNazanin"/>
          <w:color w:val="111111"/>
          <w:sz w:val="28"/>
          <w:sz w:val="28"/>
          <w:szCs w:val="28"/>
          <w:rtl w:val="true"/>
          <w:lang w:bidi="fa-IR"/>
        </w:rPr>
        <w:t>آموزه‌های حسینی و متکی‌بر معرفت و محبت و آنگاه معبودیت بر مدار شریعت بوده و معنویتی فعال و پویاست نه منفعل و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حسینی دارای مبانی، شروط و کارکردهایی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بر توحید و عبودیت، حب الله و عبدالله و عندالله شدن، از رهگذر و فقر انفسی به مقام ولایت الهیه راه یافتن، پالودگی از هر آلودگی، قلب سلیم داشتن، تقوای گریز و ستیز در ابعاد ایجابی و سلبی شدن، تحصیل رضای خدا، اهل نیایش و روحیه جهادی بودن، خدمت به مردم و گره گشایی از کار مومنان، صله ارحام، گناه گریزی، آرامش درونی و آسایش بیرونی و ظالم و منظلم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پژوهشی که توسط توکلی صالح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نشان می‌دهد که نقش فرهنگ عاشورا در ایجاد معنویت و اخلاق را می‌توان تأکید بر امر به معروف و نهی از منکر دانست که این مولفه خود باعث اصلاح امت و افراد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ویژگی‌هایی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خدا جویی، رفع تبعیض، ظلم ستیزی، ایثار، فداکاری و معنویت گرایی در جهت اصلاح امت اسلامی از بارزترین خصوصیات عاشورا در راستای رشد و گسترش هویت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هانتر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هویت اسلامی مرهون میراث کربلا و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متحد کننده اختلافات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و انتقال این میراث به جا مانده به کودکان و نوجوانان در مدارس از اهمیت دو چندانی برای قدرت‌مندی و استحکام پایه‌های اسلامی در کشورهای اسلامی از جنبه رشد و تعالیمعنویت و اخلاق حسینی برخوردار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سالیو و همکاران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همدلی، یکرنگی و اتحاد، رفع تبعیض، محبت و مدارا، صبر و تحمل‌گرایی در برابر مصائب و سختی‌ها، ایثار، خردمندی و شجاعت از جمله ویژگی‌های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هایلن </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 هویت داستان کربلا بر پایه </w:t>
      </w:r>
      <w:bookmarkStart w:id="91" w:name="pg18842_238199"/>
    </w:p>
    <w:p>
      <w:pPr>
        <w:pStyle w:val="BookText"/>
        <w:rPr/>
      </w:pPr>
      <w:bookmarkEnd w:id="91"/>
      <w:r>
        <w:rPr>
          <w:rFonts w:ascii="IRNazanin" w:hAnsi="IRNazanin" w:eastAsia="IRNazanin"/>
          <w:color w:val="111111"/>
          <w:sz w:val="28"/>
          <w:sz w:val="28"/>
          <w:szCs w:val="28"/>
          <w:rtl w:val="true"/>
          <w:lang w:bidi="fa-IR"/>
        </w:rPr>
        <w:t>اعتقادات و ارزش‌های مختلفی از جمله معنویت و اخلاق شیعه در این واقعه عظیم بشری بنا شده‌است و ایمان محوری حسینی، اعتقادات محکم بر پایه تقدس گرایی و علاقه دلی به خدا از مهمترین مولفه‌ها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مولفه‌های معنویت و اخلاق حسینی، مشخص شد که بین نتایج پژوهش‌های مورد مطالعه با همدیگر، همخوانی مطلوبی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نوآورانه پژوهش حاضر این است که چنین پژوهشی تا کنون در کشور انجام نگرفته است و تمرکز بر محتوای خاص کتاب‌های درسی دوره ابتدایی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نظم، تصویر، فعالیت و تکلیف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کسب شناخت و نهادینه نمودن ابعاد و ارزش‌های هویت معنوی و اخلاقی در فرهنگ حسینی، از طریق تحلیل محتوای کتاب‌های درسی دوره ابتدایی بوده و علاوه‌بر این می‌تواند اطلاعات و رهنمودهایی مهم برای شناخت نقاط قوت و ضعف به قصد اصلاح و پیشرفت برای معلمان و مولفان کتاب‌های درسی دوره ابتدایی در این زمینه فراهم سازد</w:t>
      </w:r>
      <w:r>
        <w:rPr>
          <w:rFonts w:eastAsia="IRNazanin" w:cs="IRNazanin"/>
          <w:color w:val="111111"/>
          <w:sz w:val="28"/>
          <w:szCs w:val="28"/>
          <w:rtl w:val="true"/>
          <w:lang w:bidi="fa-IR"/>
        </w:rPr>
        <w:t>.</w:t>
      </w:r>
    </w:p>
    <w:p>
      <w:pPr>
        <w:pStyle w:val="Heading3"/>
        <w:numPr>
          <w:ilvl w:val="2"/>
          <w:numId w:val="1"/>
        </w:numPr>
        <w:rPr/>
      </w:pPr>
      <w:bookmarkStart w:id="92" w:name="__RefHeading___Toc14423765_1280447820"/>
      <w:bookmarkStart w:id="93" w:name="_Toc32"/>
      <w:bookmarkEnd w:id="92"/>
      <w:r>
        <w:rPr>
          <w:rtl w:val="true"/>
        </w:rPr>
        <w:t>روش‌شناسی</w:t>
      </w:r>
      <w:bookmarkEnd w:id="9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شیوه توصیفی و از نوع تحقیقات کاربردی و به روش تحلیل اسنادی و نیز تحلیل محتوا استقرایی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با روش شمارشِ میزان فراوانی ابتدا مولفه‌های مفهومی رشد معنویت و اخلاق متناسب با فرهنگ حسینی به کمک روش تحلیل اسنادی از متون نظری و سوابق پژوهشی استخراج و شمارش شد، سپس میزان توجه به آنها در محتوای کتاب‌های دوره ابتدایی تحلیل محتوا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تحلیل محتوا از طرح برآورد پدیده‌ها در متن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اصلی‌ترین نوع طرح تحقیق در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بر حسب فراوانی وقوع، توصیف و کمیت‌ها، حاصل شمارش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مفروضات استنباط‌های آماری با توجه به منطق تحلیل محتوا اتخاذ شده‌است که رایج‌ترین شکل </w:t>
      </w:r>
      <w:bookmarkStart w:id="94" w:name="pg18842_238200"/>
    </w:p>
    <w:p>
      <w:pPr>
        <w:pStyle w:val="BookText"/>
        <w:rPr/>
      </w:pPr>
      <w:bookmarkEnd w:id="94"/>
      <w:r>
        <w:rPr>
          <w:rFonts w:ascii="IRNazanin" w:hAnsi="IRNazanin" w:eastAsia="IRNazanin"/>
          <w:color w:val="111111"/>
          <w:sz w:val="28"/>
          <w:sz w:val="28"/>
          <w:szCs w:val="28"/>
          <w:rtl w:val="true"/>
          <w:lang w:bidi="fa-IR"/>
        </w:rPr>
        <w:t>آن، توجه به فراونی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معیار مقایسه توزیع نرمال فراوانی‌ها در مورد مولفه‌های هویت محور معنوی و اخلاق محور متناسب با فرهنگ حسینی است که فرض بر این است که مولفه‌های آن وزن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محتوای کتاب‌های دوره ابتدایی، توزیع نرمال مجموع مولفه‌های معنویت و اخلاق متناسب با فرهنگ حسینی با توجه به حجم محتوای کتاب‌های دوره ابتدایی مورد نظر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معنایی است و فراوانی اشاره به مولفه‌های پانزده‌گانه معنویت و اخلاق متناسب با فرهنگ 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بخشی تحلیل، علاوه‌بر نظر موجود متخصصان تعلیم و تربیت و دانشگاهی از تجربیات نظری و عملی معلمان ابتدایی، مبلغان، روحانیون و صاحب‌نظران امور معنوی و اخلاقی استفاده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آماری این پژوهش، در بخش تحلیل اسنادی کلیه متون مرتبط با هویت معنوی و اخلاقی متناسب با فرهنگ حسینی بوده و در بخش تحلیل محتوا نیز کتاب‌های دوره ابتدایی چاپ شده در سال تحصیلی </w:t>
      </w:r>
      <w:r>
        <w:rPr>
          <w:rFonts w:eastAsia="IRNazanin" w:cs="IRNazanin"/>
          <w:color w:val="111111"/>
          <w:sz w:val="28"/>
          <w:szCs w:val="28"/>
          <w:lang w:bidi="fa-IR"/>
        </w:rPr>
        <w:t>1403/1402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ماهیت موضوع پژوهش و محدودیت جامعه پژوهشی،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به شیوه تحلیل محتوای استقرایی از مجموع همه دروس کتب، به‌صورت هدفمند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اندازه‌گیری شامل فیش‌برداری از اطلاعات و در بخش تحلیل محتوا نیز سیاهه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نظم، تصویر، فعالیت و تکلیف درسی، با استفاده از شاخص‌های توصیفی بود که به منظور تدوین آن، تعداد قابل ملاحظه‌ای از منابع نظری و پژوهشی مرتبط با موضوع معنویت و اخلاق متناسب با فرهنگ حسینی بررسی و مولفه‌های مرتبط با آن استخراج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روایی و پایایی ابزار پژوهش، از روش روایی صوری، محتوایی ونظر متخصصان استفاده شده‌است</w:t>
      </w:r>
      <w:r>
        <w:rPr>
          <w:rFonts w:eastAsia="IRNazanin" w:cs="IRNazanin"/>
          <w:color w:val="111111"/>
          <w:sz w:val="28"/>
          <w:szCs w:val="28"/>
          <w:rtl w:val="true"/>
          <w:lang w:bidi="fa-IR"/>
        </w:rPr>
        <w:t>.</w:t>
      </w:r>
    </w:p>
    <w:p>
      <w:pPr>
        <w:pStyle w:val="Heading3"/>
        <w:numPr>
          <w:ilvl w:val="2"/>
          <w:numId w:val="1"/>
        </w:numPr>
        <w:rPr/>
      </w:pPr>
      <w:bookmarkStart w:id="95" w:name="__RefHeading___Toc14423767_1280447820"/>
      <w:bookmarkStart w:id="96" w:name="_Toc33"/>
      <w:bookmarkEnd w:id="95"/>
      <w:r>
        <w:rPr>
          <w:rtl w:val="true"/>
        </w:rPr>
        <w:t>یافته‌ها</w:t>
      </w:r>
      <w:bookmarkEnd w:id="9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مولفه‌های هویتی حول معنویت و اخلاق متناسب با </w:t>
      </w:r>
    </w:p>
    <w:p>
      <w:pPr>
        <w:pStyle w:val="BookText"/>
        <w:rPr/>
      </w:pPr>
      <w:r>
        <w:rPr>
          <w:rFonts w:ascii="IRNazanin" w:hAnsi="IRNazanin" w:eastAsia="IRNazanin"/>
          <w:color w:val="111111"/>
          <w:sz w:val="28"/>
          <w:sz w:val="28"/>
          <w:szCs w:val="28"/>
          <w:rtl w:val="true"/>
          <w:lang w:bidi="fa-IR"/>
        </w:rPr>
        <w:t>فرهنگ حسینی کدامند؟ به‌طور مستقیم به متون مختلف دینی مراجعه کرده که مهم‌ترین مولفه‌های استخراج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ایمان، توکل به خدا، مشارکت مردمی، خیرخواهی، شجاعت، تواضع و فروتنی، اعتماد به نفس، عفو و گذشت، کمک رسانی، نیکوکاری، وفاداری، حفظ آبرو، ارتقای شناخت اخلاقی، مدیریت جهادی، افزایش عیار معنویت و اخلاق، برادری و ایثار، فداکاری، پاکی و صداقت، یکرنگی و همدلی، همگرایی و وفاق، پرسشگری، حفظ شأن و کرامت اجتماعی، عدم افراطی‌گری، تاب‌آوری و روحیه صبر و تحمل در زندگی اجتماعی، عزت نفس گروهی، ترویج اخلاق و منطق اخلاق جمعی، جوانمردی، روحیه اعتدال‌گرایی و عقلانیت، استکبار ستیزی، صدقات، عزت و اقتدار، روحیه انقلابی، آرمان‌خواهی، خودسازی معنوی و اخلاقی، خودباوری، مقابله با استحاله فرهنگی و اخلاقی، تبدیل تهدیدها به فرصت‌ها، زایش قوه تفکر و تعقل، بصیرت، تحلیل‌گری و استدلال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برای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مولفه‌هایی از تربیت هویت محور مرتبط با معنویت و اخلاق متناسب با فرهنگ حسینی در محتوای کتاب‌های دوره ابتدایی بیشتر مورد توجه قرار گرفته‌اند؟ نشان داد که 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کتاب‌های دوره ابتدایی، به ترتیب مولفه‌های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و فداکاری، ظلم و استکبار ستیزی، صبر و تحمل‌گرایی، شجاعت و وفاداری، بصیرت، ایمان به خدا، تواضع و فروتنی، اخلاص، یکرنگی و همدلی، نیکوکاری، زایش قوه تعقل و تفکر، خودسازی معنوی و اخلاقی، عفو و گذشت و در نهایت کمک و یاری رسانی،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 نمونه‌های هر کدام از مولفه‌ها در کتاب‌ها و دروس مختلفی آمده که در زیر به هر کدام اشاره می‌شود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ریاضی پایه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که به تصویر حضور کودکان در هیات‌های عزاداری در ماه محرم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هدیه‌های آسمان پایه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باران که به زندگینامه، شخصیت و 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و دعای ایشان برای رفع خشکسالی مردم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هدیه‌های آسمان پایه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که به موضوع عاشورا و عزاداری برای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می‌پردازد و اشاره به چگونگی برگزاری عزاداری در مسجد، ضرورت پوشیدن لباس سیاه، پیروی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نماز در کلام حضرت و درس‌هایی از ماه محرم و واقعه کربلا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هدیه‌های آسمان پایه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قهرمان که کل درس به شخصیت و ویژگی‌های حضرت زینب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نقش برجسته ایشان در واقعه کربلا و بعد از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خوانداری پایه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درس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مهم که اشاره به روزهای تاسوعا و عاشورا به‌عنوان مناسبت‌های مهم دینی دارد و دو تصویر درباره مراسم عزاداری محرم ارائه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خوانداری پایه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که تابلوی عصر عاشورا اثر استاد محمود فرشچیان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مطالعات اجتماعی پایه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ایرانیان مسلمان حکومت تشکیل می‌دهند به تاسیس و ویژگی‌های حکومت بنی امیه به واقعه و پیام‌های مختلف عاشورا و کربلا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مطالعات اجتماعی پایه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تصویر درباره کربلا و بین الحرمین و بررسی علل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حکومت یزید و درک پیام‌های عاشورا اشاره دارد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مطالعات اجتماعی پایه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کاربرگ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واقعه عاشورا و پیام‌های آن و نحوه یاری رساندن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هدیه‌هایآسمان پایه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آزادگان که به بررسی متن و تصویر درخواست اجازه نبرد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فداکاری‌های ایشان، مبارزه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اهداف یزید و حکومت ظالم وی، اهمیت و 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درس‌ها و عبرت‌های مختلف پس از شهادت حضرت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آموزش قرآن کریم پایه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حزب الله پیروز است که به تصویر صحنه عاشورا و تقابل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یزید اشاره می‌کند</w:t>
      </w:r>
      <w:r>
        <w:rPr>
          <w:rFonts w:eastAsia="IRNazanin" w:cs="IRNazanin"/>
          <w:color w:val="111111"/>
          <w:sz w:val="28"/>
          <w:szCs w:val="28"/>
          <w:rtl w:val="true"/>
          <w:lang w:bidi="fa-IR"/>
        </w:rPr>
        <w:t xml:space="preserve">. </w:t>
      </w:r>
      <w:bookmarkStart w:id="97" w:name="pg18842_238203"/>
    </w:p>
    <w:p>
      <w:pPr>
        <w:pStyle w:val="BookText"/>
        <w:rPr/>
      </w:pPr>
      <w:bookmarkEnd w:id="97"/>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مولفه‌های مرتبط با هویت معنوی و اخلاقی فرهنگ حسینی در کتاب‌های درسی دوره ابتدایی در سال تحصیلی </w:t>
      </w:r>
      <w:r>
        <w:rPr>
          <w:rFonts w:eastAsia="IRNazanin" w:cs="IRNazanin"/>
          <w:color w:val="111111"/>
          <w:sz w:val="28"/>
          <w:szCs w:val="28"/>
          <w:lang w:bidi="fa-IR"/>
        </w:rPr>
        <w:t>1403/1402</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45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71" o:detectmouseclick="t"/>
                <v:stroke color="#3465a4" joinstyle="round" endcap="flat"/>
                <w10:wrap type="none"/>
              </v:shape>
            </w:pict>
          </mc:Fallback>
        </mc:AlternateContent>
      </w:r>
    </w:p>
    <w:p>
      <w:pPr>
        <w:pStyle w:val="Heading3"/>
        <w:numPr>
          <w:ilvl w:val="2"/>
          <w:numId w:val="1"/>
        </w:numPr>
        <w:rPr/>
      </w:pPr>
      <w:bookmarkStart w:id="98" w:name="__RefHeading___Toc14423769_1280447820"/>
      <w:bookmarkStart w:id="99" w:name="_Toc34"/>
      <w:bookmarkEnd w:id="98"/>
      <w:r>
        <w:rPr>
          <w:rtl w:val="true"/>
        </w:rPr>
        <w:t>نتیجه</w:t>
      </w:r>
      <w:bookmarkEnd w:id="9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عاشورا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آموزش و پرورش باید با نگاه عمومی جامعه فرق داشته باشد و از عمق و معنایی به‌مراتب وسیع‌تر برخوردار باشد تا انسان را در تراز اسلام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وابسته به تعلیم و تربیت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کرد تا با نگاه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الگو و اسوه به دانش آموزان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درسی باید به آسیب‌های تحریفات عاشورا توجه کرد تا پیام و اهداف عاشورا منتقل شود؛ باید به فساد دربار حکومت اموی و عوامل تحریف این قیام مانند افسانه و اسطوره‌سازی و اغراق‌گوییپرداخت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 از اولویت‌های نظام تعلیم و تربیت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تحلیل محتوای کتاب‌های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نشان داد که توجه به مؤلفه‌های مرتبط با مسائل هویت در زمینه معنویت و اخلاق در فرهنگ حسینی، در کتاب‌های دوره ابتدایی به صورت طبیعی و متوازن دنبال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تحلیل موضوعی، مولفه‌های ایثار و فداکاری، ظلم و استکبار ستیزی و صبر و تحمل‌گرایی، شجاعت و وفاداری توجه زیادی شده و سایر مباحث در حد متوسط و کمتر توجه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مطالعه مولفه‌های هویت معنوی و اخلاقی متناسب با فرهنگ حسینی در کتاب‌های دوره ابتدایی، فرصت‌های خوبی در زمینه شناخت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ظرفیت‌های معنویت و اخلاق حسینی، در کتاب‌های درسی برای دانش آموزان حاصل شد و محتوا نسبتاً 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چالش مهم این است که در کتاب‌های درسی، فقط تمرکز بر روی شناخت و آگاهی به صورت سطحی و فقط در حد حیطه دانش و معلومات در زمینه مولفه‌های امید، به صورت محفوظات بود و سایر طبقات یادگیری حوزه شناختی، عاطفی و عملکردی را پوشش وسیع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مشخص شد که کتاب‌های دوره ابتدایی فقط در حیطه شناخت و آگاهی از وضعیت محتوایی خوبی برخوردار بودند ولی در حیطه عاطفی و عملکردی در وضعیت سطحی نگری بوده و به‌طور عمیق از محتوایی غنی برخوردار نبودند که این امر می‌تواند موجب شود که دانش آموزان به‌عنوان نسل آینده، اطلاعات ناقص و اندکی در مورد اهمیت معنویت و اخلاق حسینی داشته باشند و احتمال به انحراف و تحریف هم وجود دارد و این مسئله خود خطراتی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اجتماعی، معنوی، اخلاقی و فرهنگی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با تحقیقات، پیر مرادیان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منتظرالقائم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بازدار و بیگدلی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هاشمی مدنی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فرامرزی و خلیلی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رودگر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سعدی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سالیو و همکاران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هایلن </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توجه به نتایج پژوهش، پیشنهادات و راهکارهایی ارائه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جریان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از یک روند منطقی، منسجم و میدانی گسترده پیروی کند، در مورد محتوای سایر کتاب‌های درسی و دیگر مقاطع تحصیلی دیگر نیز این پژوهش انجام پذیرد؛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 گنجاندن محتوا به شیوه مارپیچی توسط مولفان کتاب درسی </w:t>
      </w:r>
      <w:bookmarkStart w:id="100" w:name="pg18842_238205"/>
    </w:p>
    <w:p>
      <w:pPr>
        <w:pStyle w:val="BookText"/>
        <w:rPr/>
      </w:pPr>
      <w:bookmarkEnd w:id="100"/>
      <w:r>
        <w:rPr>
          <w:rFonts w:ascii="IRNazanin" w:hAnsi="IRNazanin" w:eastAsia="IRNazanin"/>
          <w:color w:val="111111"/>
          <w:sz w:val="28"/>
          <w:sz w:val="28"/>
          <w:szCs w:val="28"/>
          <w:rtl w:val="true"/>
          <w:lang w:bidi="fa-IR"/>
        </w:rPr>
        <w:t>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و مؤلفان کتاب‌های درسی دوره ابتدایی باید محتوا و متون را مسئله معنویت و اخلاق فرهنگ حسینی را به صورت مارپیچی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تأکید بر اصل تدریج و امید باید ابعاد و مؤلفه‌ها در طول برنامه درسی به طور کامل و منظم به صورت تدریجی و توالی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می‌تواند قدرت یادگیری و مطالعات دانش آموزان را در مورد معنویت و اخلاق عمیق‌تر و پایدارتر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کاستی‌های موجود کتاب‌های درسی، دست اندرکاران نظام آموزش و پرورش می‌توانند به کمک آموزش‌های ضمن خدمت، اهمیت پرداختن به مفاهیم و مؤلفه‌های مرتبط با کسب و ارتقای شایستگی‌های معنوی و اخلاقی فرهنگ حسینی را تشریح نمایند تا معلمان در فرصت‌ها و مناسبت‌های گوناگون، موضوع را برای جامعه هدف یعنی والدین و دانش آموزان تبیین نمایند تا مبادا این موضوعات مهم به برنامه درسی پنهان و یا برنامه درسی مغفول تبدیل 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و تدوین محتوای کتاب‌های درسی به اهمیت متن، یعنی فعال نگه داشتن محتوای معنوی و اخلاقی فرهنگ حسینی و درگیر کردن محتوا با دانش آموزان و پرسشگری فعال توجه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متون را در قالب قصه، نمایشنامه، تئاتر، تعزیه و داستان کوتاه به صورت پویا برای دانش آموزان تدریس کرد</w:t>
      </w:r>
      <w:r>
        <w:rPr>
          <w:rFonts w:eastAsia="IRNazanin" w:cs="IRNazanin"/>
          <w:color w:val="111111"/>
          <w:sz w:val="28"/>
          <w:szCs w:val="28"/>
          <w:rtl w:val="true"/>
          <w:lang w:bidi="fa-IR"/>
        </w:rPr>
        <w:t>.</w:t>
      </w:r>
    </w:p>
    <w:p>
      <w:pPr>
        <w:pStyle w:val="Heading3"/>
        <w:numPr>
          <w:ilvl w:val="2"/>
          <w:numId w:val="1"/>
        </w:numPr>
        <w:rPr/>
      </w:pPr>
      <w:bookmarkStart w:id="101" w:name="__RefHeading___Toc14423771_1280447820"/>
      <w:bookmarkStart w:id="102" w:name="_Toc35"/>
      <w:bookmarkEnd w:id="101"/>
      <w:r>
        <w:rPr>
          <w:rtl w:val="true"/>
        </w:rPr>
        <w:t>منابع</w:t>
      </w:r>
      <w:bookmarkEnd w:id="10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 نژاد شیروانی، محبوبه سادات و عطاءالله پورعباسی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آیین‌های عاشورایی و برهه‌های پسا عاشورایی در ارتقای سلامت معنوی، از مجرای رفتار سازی هنجار مبتنی‌بر آموزه‌های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یک الگوی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 در دین و سلامت، دوره سوم،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بازدار، فرزانه و زهرا بیگدلی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و اصول تربیتی در اندیشه‌های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سراسری علمی پژوهشی شناخت اخلاق و آداب حسینی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بدیعیان گورتی، راضیه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تبلور دیدگاه های نوین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 خودگردانی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تربیت اسلامی، شماره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بهشتی، ابوالفضل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و معنویت در نهضت عاشورا، انتشارات موسسه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پیرمرادیان، مصطفی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تربیتی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واقعه عاشورا، همایش سراسری علمی پژوهشی شناخت اخلاق و آداب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ترک زاده، جعفر و الهام راضی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 بر معنویت محیط کاری از منظر رویکرد اسلامی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در رفتار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اسلام و مدیریت، سال ششم، شماره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توکلی صالح، لیلا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 عاشورا در ایجاد معنویت و اخلاق با تکیه بر بیانیه گام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ششمین کنفرانس بین المللی مطالعات جهانی در علوم تربیتی، روانشناسی و مشاوره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جلالی، مریم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آموزه‌های فرهنگ عاشورایی در نماهنگ کودک و نوجوان از منظر نشانه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پژوهش‌های تعلیم و تربیت اسلامی، شماره</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زاده اسکندر کلائی، مریم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چگونگی گسترش فرهنگ عاشورایی در جامعه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آفاق علوم انسانی، سال چهاردهم، شماره</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خبرگزاری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دانش آموزان در کتاب های درسی درباره محرم می خوانند، کد خبر </w:t>
      </w:r>
      <w:r>
        <w:rPr>
          <w:rFonts w:eastAsia="IRNazanin" w:cs="IRNazanin"/>
          <w:color w:val="111111"/>
          <w:sz w:val="28"/>
          <w:szCs w:val="28"/>
          <w:lang w:bidi="fa-IR"/>
        </w:rPr>
        <w:t>1025085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خلیلی، مصطفی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عرفانی، اخلاقی از مکتب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رواق اندیشه،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رودگر، محمدجواد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معنویت عاشورایی در آموزه‌های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شرایط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معارف حسینی، سال پنجم، شماره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طالعی اردکانی، محمد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اسلام پژوهان، سال پنجم، شماره هفتم،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فرامرزی، جواد و میثم خلیلی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مضامین مقاومت و پایداری در </w:t>
      </w:r>
    </w:p>
    <w:p>
      <w:pPr>
        <w:pStyle w:val="BookText"/>
        <w:rPr/>
      </w:pPr>
      <w:r>
        <w:rPr>
          <w:rFonts w:ascii="IRNazanin" w:hAnsi="IRNazanin" w:eastAsia="IRNazanin"/>
          <w:color w:val="111111"/>
          <w:sz w:val="28"/>
          <w:sz w:val="28"/>
          <w:szCs w:val="28"/>
          <w:rtl w:val="true"/>
          <w:lang w:bidi="fa-IR"/>
        </w:rPr>
        <w:t>رجزهای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ادبیات پایداری، شماره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کاسه گر محمدی، شعیب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نهضت عاشورا و درس‌های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سراسری علمی پژوهشی شناخت اخلاق و آداب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معتمد لنگرودی، فاطمه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 حضرت زینب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نامه معارف حسینی، شماره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منتظرالقائم، اصغر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اخلاقی و تربیتی 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سراسری علمی و پژوهشی شناخت اخلاق و آداب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مولوی، مرتضی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آموزه‌ها و پیام‌های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همایش ملی ایثار، مقاومت، جهاد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حافظ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دستاوردهای اخلاقی پیاده‌روی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رویکردی بر اخلاق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 زیارت، شماره</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مدنی، شیما سادات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معنوی در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الگوهای راهبردی، احیای ارزش های معنوی و سلامت دینی، در قیام حسینی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پیام قم،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Hunter, R (2020), On Islamic identity, the legacies of Karbala, and why Ashura Should unite rather than divide Muslims, medium, Sunset, Friday 28 August 2020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Hylen, T (2024), The Karbala Story and Early Shi'ite Identity, Conference: Symposium abuot Karbala. At: Dalarana University, Falun, Sweden. ResearchGate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Lee, J.C.K (2020), Children's Spritulity, Life and Values education: cultural, spritulity and educational perspective, International Journal of Children's Sprituality, Vol. 25, No, (1), P.1-8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Parkes, A (2021), The Ashura Assemblage: Karbala Relgious Urban Fabric and Production of Collective Shi'i Identity, Religions 12(10): 904, ResearchGate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Saade, B (2014), Hizbullah's Ashura: The Etics of Identity, Middle East Journal, Vol.8, P.1- 16</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Saliu, J.A, Salaudeen, M.L, Saad, M.A, Bello, A &amp; Abdulqadir, S.S (2023), Imam Hussain Impetuosity: An Orientalist's Misrepresen tation And Distortion of the Ashura Renaissance, Journal of Namibian Studies, Vol.39, P82-95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Spellman- Poots, K (2012), Manifestations of Ashura among young British Shi'is, Ethnographies of Islam, P.40-49</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Yakhchalian, F. Seraj Khorrami, N (2015), Content analysis of the sixthgrade book of “thought and research” based on curriculum criteria (Philosophy for Children), International Letters of Social and Humanistic Sciences</w:t>
      </w:r>
      <w:r>
        <w:rPr>
          <w:rFonts w:eastAsia="Times New Roman" w:cs="Times New Roman" w:ascii="Times New Roman" w:hAnsi="Times New Roman"/>
          <w:color w:val="111111"/>
          <w:sz w:val="28"/>
          <w:szCs w:val="28"/>
          <w:rtl w:val="true"/>
          <w:lang w:val="en-US" w:bidi="en-US"/>
        </w:rPr>
        <w:t xml:space="preserve">. </w:t>
      </w:r>
      <w:bookmarkStart w:id="103" w:name="pg18842_238209"/>
    </w:p>
    <w:p>
      <w:pPr>
        <w:pStyle w:val="Heading2"/>
        <w:numPr>
          <w:ilvl w:val="1"/>
          <w:numId w:val="1"/>
        </w:numPr>
        <w:rPr/>
      </w:pPr>
      <w:bookmarkStart w:id="104" w:name="__RefHeading___Toc14423773_1280447820"/>
      <w:bookmarkStart w:id="105" w:name="_Toc36"/>
      <w:bookmarkEnd w:id="103"/>
      <w:bookmarkEnd w:id="104"/>
      <w:r>
        <w:rPr>
          <w:rtl w:val="true"/>
        </w:rPr>
        <w:t xml:space="preserve">مردم‌نگاری رویدادهای میدانی آیین پیاده‌روی اربعین </w:t>
      </w:r>
      <w:r>
        <w:rPr>
          <w:rtl w:val="true"/>
        </w:rPr>
        <w:t>(</w:t>
      </w:r>
      <w:r>
        <w:rPr>
          <w:rtl w:val="true"/>
        </w:rPr>
        <w:t xml:space="preserve">با تأکید بر مسیر ابتدای شهر کربلا تا بین الحرمین در سال </w:t>
      </w:r>
      <w:r>
        <w:rPr/>
        <w:t>1402</w:t>
      </w:r>
      <w:r>
        <w:rPr>
          <w:rtl w:val="true"/>
        </w:rPr>
        <w:t>ش</w:t>
      </w:r>
      <w:r>
        <w:rPr>
          <w:rtl w:val="true"/>
        </w:rPr>
        <w:t>/</w:t>
      </w:r>
      <w:r>
        <w:rPr/>
        <w:t>1445</w:t>
      </w:r>
      <w:r>
        <w:rPr>
          <w:rtl w:val="true"/>
        </w:rPr>
        <w:t>ق</w:t>
      </w:r>
      <w:r>
        <w:rPr>
          <w:rtl w:val="true"/>
        </w:rPr>
        <w:t>)</w:t>
      </w:r>
      <w:bookmarkEnd w:id="105"/>
    </w:p>
    <w:p>
      <w:pPr>
        <w:pStyle w:val="Heading3"/>
        <w:numPr>
          <w:ilvl w:val="2"/>
          <w:numId w:val="1"/>
        </w:numPr>
        <w:rPr/>
      </w:pPr>
      <w:bookmarkStart w:id="106" w:name="__RefHeading___Toc14423775_1280447820"/>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اکرم گروسی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14/03/1403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18/07/1403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اربعین در یک دهه گذشته، یکی از محوری‌ترین و گسترده‌ترین آیین‌های مردمی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حضور و مشارکت مردمی در این آیین در میان ایرانیان و سایر کشورها به وضوح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راستا با این رویداد لزوم انعکاس چگونگی برگزاری این آیین در رسانه‌های مختلف، در طیفی از زبان‌های متعدد بین‌المللی، با گفتمان علمی و در کنار روایت‌های عامه،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ما در اینجا توصیف رویدادهای رخ داده در طی مسیر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مسیر ابتدای شهر کربلا تا بین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 و با رویکردی کیفی و روش مردم‌نگارانه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ابزار مشاهده، مشارکت، مشاهده مشارکتی و ثبت تصویر در کنار بررسی اسنادی لازم استفاده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ثبت و بررسی یافته‌ها می‌توان </w:t>
      </w:r>
      <w:bookmarkStart w:id="108" w:name="pg18842_238210"/>
    </w:p>
    <w:p>
      <w:pPr>
        <w:pStyle w:val="BookText"/>
        <w:rPr/>
      </w:pPr>
      <w:bookmarkEnd w:id="108"/>
      <w:r>
        <w:rPr>
          <w:rFonts w:ascii="IRNazanin" w:hAnsi="IRNazanin" w:eastAsia="IRNazanin"/>
          <w:color w:val="111111"/>
          <w:sz w:val="28"/>
          <w:sz w:val="28"/>
          <w:szCs w:val="28"/>
          <w:rtl w:val="true"/>
          <w:lang w:bidi="fa-IR"/>
        </w:rPr>
        <w:t>گفت در مجموع این رویداها، محصول خود را در تلاقی آداب و سنت‌ها، فرهنگ‌ها و مناسک دینی در آیین پیاده روی اربعین در کنار برخی از کژ کارکردها و بد کارکردهای منشعب شده در برگزاری این آیین،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پیاده‌روی اربعین، کربلا، مردم‌نگاری</w:t>
      </w:r>
      <w:r>
        <w:rPr>
          <w:rFonts w:eastAsia="IRNazanin" w:cs="IRNazanin"/>
          <w:color w:val="111111"/>
          <w:sz w:val="28"/>
          <w:szCs w:val="28"/>
          <w:rtl w:val="true"/>
          <w:lang w:bidi="fa-IR"/>
        </w:rPr>
        <w:t>.</w:t>
      </w:r>
    </w:p>
    <w:p>
      <w:pPr>
        <w:pStyle w:val="Heading3"/>
        <w:numPr>
          <w:ilvl w:val="2"/>
          <w:numId w:val="1"/>
        </w:numPr>
        <w:rPr/>
      </w:pPr>
      <w:bookmarkStart w:id="109" w:name="__RefHeading___Toc14423777_1280447820"/>
      <w:bookmarkStart w:id="110" w:name="_Toc38"/>
      <w:bookmarkEnd w:id="109"/>
      <w:r>
        <w:rPr>
          <w:rtl w:val="true"/>
        </w:rPr>
        <w:t>مقدمه</w:t>
      </w:r>
      <w:bookmarkEnd w:id="11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همین ده سال پیش اگر فهرستی از آیین‌های شیعی ایرانیان تنظیم می‌شد، نامی از پیاده‌روی اربعین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اما این آیین در عرض تنها چند سال چنان رشد و توسعه‌ای داشته که به سختی می‌توان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در کنار عزاداری دهه محرم، مراسم شب‌های قدر، عزاداری فاطمیه و جشن نیمه شعبان، نام پیاده‌روی اربعین را به‌عنوان یکی از پنج آیین بزرگ و فراگیر مورد اهتمامِ شیعیان ایرانی ذکر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رشد هر ساله افراد در این آیین، مولفه‌های مختلف دخیل بر آن نیز ابعاد گسترده‌تری یافته و در مواجهه با رویدادهای جدید تغییرات و تطوراتی نیز در آن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مولفه‌ها می‌تواند هم عوامل پیشینی و مقدماتی جهت برپایی و هم انواع مولفه‌های دخیل در زمان اجرا و همزمان با انجام مراسم پیاده‌روی و در ادامه پیامدهای متعدد منبعث شده از این آیین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تحقیقی همه جانبه در زوایای مختلف و با رویکردهای متفاوت درباره این آیین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مسیرهای مهم و محوری پیاده‌روی اربعین، مسیر نجف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زائران از مسیرهای مختلف خود را به شهر نجف رسانده و پس از زیارت بارگاه اولین پیشوای شیعیان، به سمت کربلا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سه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شهر نجف، از انتهای شهر نجف تا ابتدای شهر کربلا و از ابتدای شهر کربلا تا بین‌الحرمین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بر آن است تا با تأکید بر سومین قسمت که می‌توان آن را پر ازدحام‌ترین مسیر دانست، به توصیف و بررسی مصادیق و رخدادها بپردازد</w:t>
      </w:r>
      <w:r>
        <w:rPr>
          <w:rFonts w:eastAsia="IRNazanin" w:cs="IRNazanin"/>
          <w:color w:val="111111"/>
          <w:sz w:val="28"/>
          <w:szCs w:val="28"/>
          <w:rtl w:val="true"/>
          <w:lang w:bidi="fa-IR"/>
        </w:rPr>
        <w:t xml:space="preserve">. </w:t>
      </w:r>
      <w:bookmarkStart w:id="111" w:name="pg18842_238211"/>
    </w:p>
    <w:p>
      <w:pPr>
        <w:pStyle w:val="Heading3"/>
        <w:numPr>
          <w:ilvl w:val="2"/>
          <w:numId w:val="1"/>
        </w:numPr>
        <w:rPr/>
      </w:pPr>
      <w:bookmarkStart w:id="112" w:name="__RefHeading___Toc14423779_1280447820"/>
      <w:bookmarkStart w:id="113" w:name="_Toc39"/>
      <w:bookmarkEnd w:id="111"/>
      <w:bookmarkEnd w:id="112"/>
      <w:r>
        <w:rPr>
          <w:rtl w:val="true"/>
        </w:rPr>
        <w:t>پیشینه پژوهش</w:t>
      </w:r>
      <w:bookmarkEnd w:id="11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آیین پیاده‌روی اربعین در یک دهه گذشته، مقالات و تحقیق‌های متعددی منتشر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شرحی از بینهایت، در کنار اشارات مختصر تاریخی و بیان روایات و مباحث اخلاقی پیرامون آیین پیاده‌روی اربعین، به بیان و توضیح برخی از مشاهدات عینی خود از مسیر اربعین در سال‌های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پایان‌نامه کارشناسی ارشد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تعامل قدرت و مقاومت در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مردم‌نگاری تجربه راهپیمایی اربعین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نظریات ترنر توضیح داده که افراد شرکت کننده در راهپیمایی اربعین برای برآوردن امیال خود از زندگی روزمره جدا شده و رها از چارچوب‌های اجتماعی حالت آستانه‌ای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از اتحاد و با هم بودن که افراد در آن شرایطی کاملا یکسان دارند و از محدودیت‌های اجتماعی و شرایط یکنواخت زندگی روزمره رها می‌شوند که در شرایط عادی اجتماعی قابل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هویت‌های جدیدی را تجربه می‌کنند که برخی اوقات مترادف و متضاد مولفه‌های کارناوالی باختین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یگانه و روزخوش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روایت پیاده‌روی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مردم شناسانه و جامعه‌شناختی از پیاده‌روی اربعین، که در واقع مجموعه مقالاتی از نویسندگان مختلف و اکثرا نیز مصداقی از پژوهشی با مبنای روش مردم‌نگاری هستند، تلاش کرده‌اند تا مجموعه روایت‌هایی از ابعاد مختلف این آیین را تجمیع و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پویافر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آیین نیکی، به همراه گروهی از افراد در قامت زائر و پژوهشگر، به پژوهش درباره خیر دینی در اربعین،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که در خلال توصیف و روایت مردم‌نگارانه در کنار پدیدار‌شناسی تجربه امر خیر به‌مثابه نوعی تجربه دینی، به بازنمایی رویدادهای مسیر این آیین،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تاج‌بخش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پیاده‌روی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روش ترکیبی مشاهده و مصاحبه نیمه‌ساخت‌یافته، به بررسی آسیب‌هایی که پیاده‌روی اربعین را تهدید می‌کند،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آسیب‌هایی همچون تفاوت‌ها و تعارضات فرهنگی، رقابت موکب‌های ایرانی و تخریب الگوی سنتی </w:t>
      </w:r>
      <w:bookmarkStart w:id="114" w:name="pg18842_238212"/>
    </w:p>
    <w:p>
      <w:pPr>
        <w:pStyle w:val="BookText"/>
        <w:rPr/>
      </w:pPr>
      <w:bookmarkEnd w:id="114"/>
      <w:r>
        <w:rPr>
          <w:rFonts w:ascii="IRNazanin" w:hAnsi="IRNazanin" w:eastAsia="IRNazanin"/>
          <w:color w:val="111111"/>
          <w:sz w:val="28"/>
          <w:sz w:val="28"/>
          <w:szCs w:val="28"/>
          <w:rtl w:val="true"/>
          <w:lang w:bidi="fa-IR"/>
        </w:rPr>
        <w:t>اربعین عراقی، آسیب‌های اجتماعی، عرفی شدن، اسراف و تبذیر، پسماندها و آلودگی محیط‌زیست، کم توجهی به واجبات دین، وجود فرقه‌های انحرافی، شکاف سنیشیعی و دولتی شدن اربعین، نتایج پژوهش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مقاله پیش‌رو با پژوهش‌های صورت گرفته، دقت و تمرکز بر کلیت رویدادهای شکل گرفته در برگزاری این مراسم و توصیف و تبیین موارد مشاهده شده و رخ داده تا کنون، نه در سطح ادراک زائران و کنشگران، بلکه در شکل‌گیری عینی و مصداقی میدان و مسیر برگزاری آیین پیاده روی اربعین است</w:t>
      </w:r>
      <w:r>
        <w:rPr>
          <w:rFonts w:eastAsia="IRNazanin" w:cs="IRNazanin"/>
          <w:color w:val="111111"/>
          <w:sz w:val="28"/>
          <w:szCs w:val="28"/>
          <w:rtl w:val="true"/>
          <w:lang w:bidi="fa-IR"/>
        </w:rPr>
        <w:t>.</w:t>
      </w:r>
    </w:p>
    <w:p>
      <w:pPr>
        <w:pStyle w:val="Heading3"/>
        <w:numPr>
          <w:ilvl w:val="2"/>
          <w:numId w:val="1"/>
        </w:numPr>
        <w:rPr/>
      </w:pPr>
      <w:bookmarkStart w:id="115" w:name="__RefHeading___Toc14423781_1280447820"/>
      <w:bookmarkStart w:id="116" w:name="_Toc40"/>
      <w:bookmarkEnd w:id="115"/>
      <w:r>
        <w:rPr>
          <w:rtl w:val="true"/>
        </w:rPr>
        <w:t>روش پژوهش</w:t>
      </w:r>
      <w:bookmarkEnd w:id="116"/>
    </w:p>
    <w:p>
      <w:pPr>
        <w:pStyle w:val="Heading4"/>
        <w:numPr>
          <w:ilvl w:val="3"/>
          <w:numId w:val="1"/>
        </w:numPr>
        <w:rPr/>
      </w:pPr>
      <w:bookmarkStart w:id="117" w:name="__RefHeading___Toc14423783_1280447820"/>
      <w:bookmarkStart w:id="118" w:name="_Toc41"/>
      <w:bookmarkEnd w:id="117"/>
      <w:r>
        <w:rPr>
          <w:rtl w:val="true"/>
        </w:rPr>
        <w:t>اشاره</w:t>
      </w:r>
      <w:bookmarkEnd w:id="11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صورت کیفی و به شیوه مردم‌نگاری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مردم‌نگاری بررسی شیوه‌های تجربی جهان است و در این بررسی، مهمتر از همه، حضور، نقش مهمی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خود حضور، وسیله‌ای اساسی در گرد‌آوری و تحلیل داده‌ها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میان یک گروه اجتماعی، شما را در داخل جهان آنها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این جهان، شما را صاحب ادراکاتی می‌کند که ضرورتا با فنون روش‌شناختی، به‌دست می‌آید چرا که گفت وگو با افراد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جیران،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دستاوردهای این حضور،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محقق به‌طور عمیق در میدان تحقیق نفوذ کرده، نقش مشارکت کننده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مولف پژوهش حاضر که در طول یک دهه گذشته، به‌صورت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سال‌های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 که به دلیل شیوع بیماری کرونا، امکان حضور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انحای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مسیر و خادم موکب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مراسم حاضر بوده و در آن مشارکت کرده، آشنایی نزدیک و عینی با مسیر برگزاری این آیین داشته و توانسته شواهد و فکت‌های دقیقی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فکت‌هایی که با ابزارهای تصویربرداری، فیلم برداری، مصاحبه، گفت و گو و یادداشت‌برداری‌های متعدد در طول مسیر، مجموع یافته‌های مفصلی را در اختیار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فکت‌ها و مستندات، تجربه‌زیسته مکرر، مکملی جهت دقیق‌تر و غنی‌تر </w:t>
      </w:r>
      <w:bookmarkStart w:id="119" w:name="pg18842_238213"/>
    </w:p>
    <w:p>
      <w:pPr>
        <w:pStyle w:val="BookText"/>
        <w:rPr/>
      </w:pPr>
      <w:bookmarkEnd w:id="119"/>
      <w:r>
        <w:rPr>
          <w:rFonts w:ascii="IRNazanin" w:hAnsi="IRNazanin" w:eastAsia="IRNazanin"/>
          <w:color w:val="111111"/>
          <w:sz w:val="28"/>
          <w:sz w:val="28"/>
          <w:szCs w:val="28"/>
          <w:rtl w:val="true"/>
          <w:lang w:bidi="fa-IR"/>
        </w:rPr>
        <w:t>شدن ادراک و فهم از یافته‌ها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گزیده‌هایی از این یافته‌ها که توصیف و تبیینی بر رویدادهای کلی میدانی شکل گرفته در مسیر آیین پیاده‌روی اربعین است، را مرور می‌کنیم</w:t>
      </w:r>
      <w:r>
        <w:rPr>
          <w:rFonts w:eastAsia="IRNazanin" w:cs="IRNazanin"/>
          <w:color w:val="111111"/>
          <w:sz w:val="28"/>
          <w:szCs w:val="28"/>
          <w:rtl w:val="true"/>
          <w:lang w:bidi="fa-IR"/>
        </w:rPr>
        <w:t>.</w:t>
      </w:r>
    </w:p>
    <w:p>
      <w:pPr>
        <w:pStyle w:val="Heading4"/>
        <w:numPr>
          <w:ilvl w:val="3"/>
          <w:numId w:val="1"/>
        </w:numPr>
        <w:rPr/>
      </w:pPr>
      <w:bookmarkStart w:id="120" w:name="__RefHeading___Toc14423785_1280447820"/>
      <w:bookmarkStart w:id="121" w:name="_Toc42"/>
      <w:bookmarkEnd w:id="120"/>
      <w:r>
        <w:rPr/>
        <w:t>1</w:t>
      </w:r>
      <w:r>
        <w:rPr>
          <w:rtl w:val="true"/>
        </w:rPr>
        <w:t xml:space="preserve">. </w:t>
      </w:r>
      <w:r>
        <w:rPr>
          <w:rtl w:val="true"/>
        </w:rPr>
        <w:t>خدمات و امکانات ارائه شده در طول مسیر برگزاری آیین</w:t>
      </w:r>
      <w:bookmarkEnd w:id="121"/>
    </w:p>
    <w:p>
      <w:pPr>
        <w:pStyle w:val="Heading5"/>
        <w:numPr>
          <w:ilvl w:val="4"/>
          <w:numId w:val="1"/>
        </w:numPr>
        <w:rPr/>
      </w:pPr>
      <w:bookmarkStart w:id="122" w:name="__RefHeading___Toc14423787_1280447820"/>
      <w:bookmarkStart w:id="123" w:name="_Toc43"/>
      <w:bookmarkEnd w:id="122"/>
      <w:r>
        <w:rPr/>
        <w:t>1-1</w:t>
      </w:r>
      <w:r>
        <w:rPr>
          <w:rtl w:val="true"/>
        </w:rPr>
        <w:t xml:space="preserve">. </w:t>
      </w:r>
      <w:r>
        <w:rPr>
          <w:rtl w:val="true"/>
        </w:rPr>
        <w:t>ارائه وعده‌های غذایی</w:t>
      </w:r>
      <w:bookmarkEnd w:id="123"/>
    </w:p>
    <w:p>
      <w:pPr>
        <w:pStyle w:val="BookText"/>
        <w:rPr/>
      </w:pPr>
      <w:r>
        <w:rPr>
          <w:rFonts w:ascii="IRNazanin" w:hAnsi="IRNazanin" w:eastAsia="IRNazanin"/>
          <w:color w:val="111111"/>
          <w:sz w:val="28"/>
          <w:sz w:val="28"/>
          <w:szCs w:val="28"/>
          <w:rtl w:val="true"/>
          <w:lang w:bidi="fa-IR"/>
        </w:rPr>
        <w:t xml:space="preserve">آیین پیاده‌روی اربعین، در طیفی از بازه زمانی چند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روز تا چند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زائر داخلی و خارجی،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مهمترین و گسترده‌ترین خدماتی که در طی مسیر پیاده‌روی اربعین ارائه می‌شود، تهیه و سرو وعده‌های مختلف غذایی برای زئران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که تمامی وعده‌های غذایی در طول شبانه‌روز و در طی مسیر پیاده‌روی را شامل می‌شود، تنوعی بی‌نظیر از شیوه‌های تهیه و چگونگی مدل‌های ارائه این خدمات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خوراکی‌ها و نوشیدنی‌ها، تنوع در شیوه‌های پخت و پز، تنوع در چگونگی تهیه و جمع‌آوری مواد خام اولیه خوراکی‌ها، تنوع در چگونگی همیاری و مشارکت افراد در فرآیند آماده‌سازی انواع خوردنی‌ها و آشامیدنی‌ها، تنوع در شیوه پذیرایی از زائران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تنوع در خوراکی‌ها و نوشیدنی‌ها، شاهد طیفی از مواد غذایی و آشامیدنی‌ها، به تناسب فرهنگ، عرف، سنت و همچنین فصول و زمان برگزاری مراسم پیاده‌روی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مواد خوراکی اصلی همچون گوشت و محصولات پروتئینی، برنج، آرد گندم، حبوبات، شکر و روغن، انواع مواد اولیه مخصوص به هر ملیت 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 از دو کشور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برگزاری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شیوه‌های پخت و پز نیز در قالب‌های متنوعی انجام می‌شود؛ روش‌های سنتی از قبیل آتش زدن چوب و زغال در تنور و اجاق دست‌ساز و یا استفاده از کپسول‌های گاز و لوله کشی‌های گاز شهری و خانگی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 جمع‌آوری مواد خام اولیه خوراکی‌ها نیز در ترکیبی از مدل‌های متنوع که عمدتا از مشارکت‌های مردمی در کنار هزینه‌کَرد برخی نهادها و ارگان‌های دولتی و حکومتی </w:t>
      </w:r>
    </w:p>
    <w:p>
      <w:pPr>
        <w:pStyle w:val="BookText"/>
        <w:rPr/>
      </w:pPr>
      <w:r>
        <w:rPr>
          <w:rFonts w:ascii="IRNazanin" w:hAnsi="IRNazanin" w:eastAsia="IRNazanin"/>
          <w:color w:val="111111"/>
          <w:sz w:val="28"/>
          <w:sz w:val="28"/>
          <w:szCs w:val="28"/>
          <w:rtl w:val="true"/>
          <w:lang w:bidi="fa-IR"/>
        </w:rPr>
        <w:t>کشورهای ایران و عراق شکل گرفته،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مشارکت‌هایی از قبیل نذورات، صدقات، خیرات، کمک و هم یاری، که در قالب هدیه دادن مواد خوراکی لازم در موکب‌ها و یا دادن مبالغ نقدی متفاوت به متولیان و مسئولان موکب‌ها، جهت تهیه وعده‌های خوراکی و آشامیدنی،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چگونگی همیاری و مشارکت افراد در فرآیند چگونگی آماده‌سازی انواع خوردنی و آشامیدنی‌ها نیز تنوعی قابل توجه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آماده‌سازی و مهیا کردن مواد پذیرایی موکب‌ها با مشارکت گروه‌های خانوادگی، گروه‌های داوطلبانه مردمی، کاروانی، به صورت انفرادی و یا با مشارکت تعدادی از دوستان و آشنایان،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آنکه در هر مرحله از ارائه این خدمات، مجموعه‌ای از افراد، از هر قشر، جنسیت، سن، شغل، درآمد، تحصیلات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مشاهده کرد که گوشه‌ای از کار را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شیوه پذیرایی نیز به اشکال متنوعی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طریق دعوت به داخل موکب و پهن کردن سفره‌های بزرگ در وعده‌های مختلف غذایی، گاهی پذیرایی سرپایی و نوبت به نوبت و گاهی به صورت ارائه پذیرایی گذری در طول مسیر به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9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3"/>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84" o:detectmouseclick="t"/>
                <v:stroke color="#3465a4" joinstyle="round" endcap="flat"/>
                <w10:wrap type="none"/>
              </v:shape>
            </w:pict>
          </mc:Fallback>
        </mc:AlternateContent>
      </w:r>
      <w:bookmarkStart w:id="124" w:name="pg18842_238215"/>
    </w:p>
    <w:p>
      <w:pPr>
        <w:pStyle w:val="BookText"/>
        <w:rPr/>
      </w:pPr>
      <w:bookmarkEnd w:id="12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83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6"/>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25" w:name="__RefHeading___Toc14423789_1280447820"/>
      <w:bookmarkStart w:id="126" w:name="_Toc44"/>
      <w:bookmarkEnd w:id="125"/>
      <w:r>
        <w:rPr/>
        <w:t>1-2</w:t>
      </w:r>
      <w:r>
        <w:rPr>
          <w:rtl w:val="true"/>
        </w:rPr>
        <w:t xml:space="preserve">. </w:t>
      </w:r>
      <w:r>
        <w:rPr>
          <w:rtl w:val="true"/>
        </w:rPr>
        <w:t>خدمات شبانه‌روزی</w:t>
      </w:r>
      <w:bookmarkEnd w:id="12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مهمترین خدماتی که به صورتی وسیع در تمامی مسیر آیین پیاده‌روی اربعین به زائران و افراد حاضر ارائه می‌شود، مکان‌هایی جهت اسکان شبانه‌روزی، استراحتگاه‌های موقت در طول روز و مکان‌هایی جهت استحمام و شستشوی ضروری البسه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مکان‌ها را، هم به صورت چادرهای عظیم برپا شده و هم در ساختمان‌های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مساجد، حسینیه‌ها، مهمان‌خانه‌ها، برخی مراکز تجاری، خانه‌های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نامی است که اکثرا بر ورودی این مکان‌ها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نیز همچون مراکز ارائه خدمات پذیرایی، غالبا با مشارکت گروه‌های مختلف مردمی و یا بعضا توسط نهادهای دینی و حکومتی مختلف کشورهای میزبان و ایران و در مواردی اندک با حضور و مشارکت مردمی کشورهای دیگر مهیا و آماده ارائه اینگونه از خدمات به زائران مسیر پیاده‌روی شده‌اند</w:t>
      </w:r>
      <w:r>
        <w:rPr>
          <w:rFonts w:eastAsia="IRNazanin" w:cs="IRNazanin"/>
          <w:color w:val="111111"/>
          <w:sz w:val="28"/>
          <w:szCs w:val="28"/>
          <w:rtl w:val="true"/>
          <w:lang w:bidi="fa-IR"/>
        </w:rPr>
        <w:t xml:space="preserve">. </w:t>
      </w:r>
      <w:bookmarkStart w:id="127" w:name="pg18842_238216"/>
    </w:p>
    <w:p>
      <w:pPr>
        <w:pStyle w:val="BookText"/>
        <w:rPr/>
      </w:pPr>
      <w:bookmarkEnd w:id="12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9"/>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28" w:name="__RefHeading___Toc14423791_1280447820"/>
      <w:bookmarkStart w:id="129" w:name="_Toc45"/>
      <w:bookmarkEnd w:id="128"/>
      <w:r>
        <w:rPr/>
        <w:t>1-3</w:t>
      </w:r>
      <w:r>
        <w:rPr>
          <w:rtl w:val="true"/>
        </w:rPr>
        <w:t xml:space="preserve">. </w:t>
      </w:r>
      <w:r>
        <w:rPr>
          <w:rtl w:val="true"/>
        </w:rPr>
        <w:t>خدمات نظافت محیطی</w:t>
      </w:r>
      <w:bookmarkEnd w:id="129"/>
    </w:p>
    <w:p>
      <w:pPr>
        <w:pStyle w:val="BookText"/>
        <w:rPr/>
      </w:pPr>
      <w:r>
        <w:rPr>
          <w:rFonts w:ascii="IRNazanin" w:hAnsi="IRNazanin" w:eastAsia="IRNazanin"/>
          <w:color w:val="111111"/>
          <w:sz w:val="28"/>
          <w:sz w:val="28"/>
          <w:szCs w:val="28"/>
          <w:rtl w:val="true"/>
          <w:lang w:bidi="fa-IR"/>
        </w:rPr>
        <w:t>با وجود حضور جمعیت میلیونی، آن هم در طول چند هفته، و پذیرایی شبانه‌روزی از ایشان، یکی از خدمات محوری که با گذشت زمان، بیشتر مورد توجه و اهمیت قرار گرفته، ارائه خدمات پاکبانی و نظافت محیطی در طول مسیر برگزاری آیین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امکانات تسهیل کننده رفت و آمد، همانند گذاشتن صندلی و نیمکت، گذاشتن وسایل سرمایشی، آب پاشی بر روی زائران جهت خنک شدن و نظایر اینها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نوعا توسط نیروهای مردمی و حاکمیتی کشورهای عراق و ایران ارائه می‌شود</w:t>
      </w:r>
      <w:r>
        <w:rPr>
          <w:rFonts w:eastAsia="IRNazanin" w:cs="IRNazanin"/>
          <w:color w:val="111111"/>
          <w:sz w:val="28"/>
          <w:szCs w:val="28"/>
          <w:rtl w:val="true"/>
          <w:lang w:bidi="fa-IR"/>
        </w:rPr>
        <w:t>.</w:t>
      </w:r>
    </w:p>
    <w:p>
      <w:pPr>
        <w:pStyle w:val="Heading5"/>
        <w:numPr>
          <w:ilvl w:val="4"/>
          <w:numId w:val="1"/>
        </w:numPr>
        <w:rPr/>
      </w:pPr>
      <w:bookmarkStart w:id="130" w:name="__RefHeading___Toc14423793_1280447820"/>
      <w:bookmarkStart w:id="131" w:name="_Toc46"/>
      <w:bookmarkEnd w:id="130"/>
      <w:r>
        <w:rPr/>
        <w:t>1-4</w:t>
      </w:r>
      <w:r>
        <w:rPr>
          <w:rtl w:val="true"/>
        </w:rPr>
        <w:t xml:space="preserve">. </w:t>
      </w:r>
      <w:r>
        <w:rPr>
          <w:rtl w:val="true"/>
        </w:rPr>
        <w:t>خدمات انتظامی و امنیتی</w:t>
      </w:r>
      <w:bookmarkEnd w:id="13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حضور و رفت و آمد چندین میلیون نفر انسان، آن هم از مذاهب، قومیت‌ها و ملل مختلف، نیاز به برقراری امنیت و نظم مناسب و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به‌طور </w:t>
      </w:r>
      <w:bookmarkStart w:id="132" w:name="pg18842_238217"/>
    </w:p>
    <w:p>
      <w:pPr>
        <w:pStyle w:val="BookText"/>
        <w:rPr/>
      </w:pPr>
      <w:bookmarkEnd w:id="132"/>
      <w:r>
        <w:rPr>
          <w:rFonts w:ascii="IRNazanin" w:hAnsi="IRNazanin" w:eastAsia="IRNazanin"/>
          <w:color w:val="111111"/>
          <w:sz w:val="28"/>
          <w:sz w:val="28"/>
          <w:szCs w:val="28"/>
          <w:rtl w:val="true"/>
          <w:lang w:bidi="fa-IR"/>
        </w:rPr>
        <w:t>معمول می‌تواند شامل افرادی باشد که دست به بزه‌های خرد و کلان می‌زنند و یا دچار تنش‌های بین فردی بر سر موضوعات مختلف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برگزاری مراسم پیاده‌روی اربعین، همواره، در معرض تهدیدهای گروه‌های بالقوه و بالفعل معاند و مخالف این تجمع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گروه‌های تکفیری و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ایجاد و حفظ امنیت در کنار برقراری نظم در طی برگزاری این آیین، اهمیتی مضاعف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تمامی راه و خصوصا در قسمت مسیر داخلشهر کربلا تا رسیدن به بین الحرمین، شاهد حضور متعدد نیروهای نظامی و انتظامی عراقی به همراه ادوات جنگی سبک و سنگین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2"/>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33" w:name="__RefHeading___Toc14423795_1280447820"/>
      <w:bookmarkStart w:id="134" w:name="_Toc47"/>
      <w:bookmarkEnd w:id="133"/>
      <w:r>
        <w:rPr/>
        <w:t>1-5</w:t>
      </w:r>
      <w:r>
        <w:rPr>
          <w:rtl w:val="true"/>
        </w:rPr>
        <w:t xml:space="preserve">. </w:t>
      </w:r>
      <w:r>
        <w:rPr>
          <w:rtl w:val="true"/>
        </w:rPr>
        <w:t>خدمات درمانی و پزشکی</w:t>
      </w:r>
      <w:bookmarkEnd w:id="13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خدماتی که در طی مسیر پیاده‌روی اربعین شاهد آن هستیم، ارائه خدمات درمانی و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درمانی و پزشکی از ارائه خدمات سرپایی همچون رسیدگی به زخم‌ها و تاول‌های پا و انجام ماساژهای رفع گرفتگی و خستگی بدن تا ویزیت و ارائه داروی رایگان جهت درمان بیماری‌های جزئی و همچنین پذیرش جهت بستری شدن در درمانگاه‌ها و بیمارستان‌ها در موارد خاص پزشکی برای برخی از زائران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درمانی و پزشکی نیز توامان و از سوی نهادهای مرتبط حاکمیتی </w:t>
      </w:r>
      <w:bookmarkStart w:id="135" w:name="pg18842_238218"/>
    </w:p>
    <w:p>
      <w:pPr>
        <w:pStyle w:val="BookText"/>
        <w:rPr/>
      </w:pPr>
      <w:bookmarkEnd w:id="135"/>
      <w:r>
        <w:rPr>
          <w:rFonts w:ascii="IRNazanin" w:hAnsi="IRNazanin" w:eastAsia="IRNazanin"/>
          <w:color w:val="111111"/>
          <w:sz w:val="28"/>
          <w:sz w:val="28"/>
          <w:szCs w:val="28"/>
          <w:rtl w:val="true"/>
          <w:lang w:bidi="fa-IR"/>
        </w:rPr>
        <w:t>عراق و ایران، در کنار گروه‌های مردمی حاضر از این دو کشور، مهیا و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5"/>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36" w:name="__RefHeading___Toc14423797_1280447820"/>
      <w:bookmarkStart w:id="137" w:name="_Toc48"/>
      <w:bookmarkEnd w:id="136"/>
      <w:r>
        <w:rPr/>
        <w:t>1-6</w:t>
      </w:r>
      <w:r>
        <w:rPr>
          <w:rtl w:val="true"/>
        </w:rPr>
        <w:t xml:space="preserve">. </w:t>
      </w:r>
      <w:r>
        <w:rPr>
          <w:rtl w:val="true"/>
        </w:rPr>
        <w:t>خدمات رسانه ای و ارتباطی</w:t>
      </w:r>
      <w:bookmarkEnd w:id="13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و جهانی شدن بسترهای متعدد رسانه‌های مجازی، و همه‌گیر شدن استفاده از گوشی‌های هوشمند همراه با امکان تصویربرداری و فیلم‌برداری شخصی، برقراری ارتباطات سهل بین فردی، در کنار پیام‌رسانی و انعکاس رویدادهای رخ داده در این آیین، در بسترهای مجازی و در سطح بین المللی، اهمیت و جایگاه ویژه‌ای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ارائه خدمات رسانه‌ای و ارتباطی مناسب در طول زمان و در طی مسیر برگزاری آیین پیاده‌روی اربعین را حائز اهمیت ویژه‌ای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شاهد حضور شرکت‌های مختلف فعال در ارائه خدمات سیم‌کارت گوشی‌های تلفن همراه در کنار ارائه بسته‌های اینترنتی متعدد، در مسیر برگزاری این آیین در شهر کربلا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نیز از زیر مجموعه نهادها و وزارتخانه‌های ارتباطات دو کشور عراق و ایران هستند که در طول مسیر و با برپایی اماکن و چادرهای سیار، در کنار برخی از مغازه‌های ثابت عراقی، این خدمات را به زائران و افراد حاضر در مسیر ارائه می‌دهند</w:t>
      </w:r>
      <w:r>
        <w:rPr>
          <w:rFonts w:eastAsia="IRNazanin" w:cs="IRNazanin"/>
          <w:color w:val="111111"/>
          <w:sz w:val="28"/>
          <w:szCs w:val="28"/>
          <w:rtl w:val="true"/>
          <w:lang w:bidi="fa-IR"/>
        </w:rPr>
        <w:t xml:space="preserve">. </w:t>
      </w:r>
      <w:bookmarkStart w:id="138" w:name="pg18842_238219"/>
    </w:p>
    <w:p>
      <w:pPr>
        <w:pStyle w:val="BookText"/>
        <w:rPr/>
      </w:pPr>
      <w:bookmarkEnd w:id="13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83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39" w:name="__RefHeading___Toc14423799_1280447820"/>
      <w:bookmarkStart w:id="140" w:name="_Toc49"/>
      <w:bookmarkEnd w:id="139"/>
      <w:r>
        <w:rPr/>
        <w:t>1-7</w:t>
      </w:r>
      <w:r>
        <w:rPr>
          <w:rtl w:val="true"/>
        </w:rPr>
        <w:t xml:space="preserve">. </w:t>
      </w:r>
      <w:r>
        <w:rPr>
          <w:rtl w:val="true"/>
        </w:rPr>
        <w:t>خدمات حمل و نقل</w:t>
      </w:r>
      <w:bookmarkEnd w:id="140"/>
    </w:p>
    <w:p>
      <w:pPr>
        <w:pStyle w:val="BookText"/>
        <w:rPr/>
      </w:pPr>
      <w:r>
        <w:rPr>
          <w:rFonts w:ascii="IRNazanin" w:hAnsi="IRNazanin" w:eastAsia="IRNazanin"/>
          <w:color w:val="111111"/>
          <w:sz w:val="28"/>
          <w:sz w:val="28"/>
          <w:szCs w:val="28"/>
          <w:rtl w:val="true"/>
          <w:lang w:bidi="fa-IR"/>
        </w:rPr>
        <w:t>حمل و نقل نیز یکی از نیازهای ضروری برای زائران مسیر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حمل و نقل افراد از جایی به جای دیگر و چه حمل و نقل وسایل و ابزارآلات مورد نیاز ساختمان‌ها و موکب‌های حاضر در طی مسیر که مشغول ارائه خدمات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ازدحام جمعیت، که از ورودی شهر کربلا تا بین الحرمین، همواره به آن افزوده می‌شود، استفاده از وسایل نقلیه خاصی که قابلیت حمل و نقل و انتقال زائران در میان این ازدحام و فشردگی را داشته باشد،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شهر کربلا، شاهد حضور تعدادی از ماشین‌های سه چرخ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محلی توک توک صدا زده می‌شوند و در زمره مدل ماشین‌های ریشکای هندی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موتورهای سه چرخی که به شکل گاری‌های قدیمی ساخته شده و برای سوار کردن تعداد بیشتری از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 نفر گرفته تا حدود پانزده نفر و به صورت فشرده و همراه بابارهای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به نسبت قابل توجهی در مسیر پیاده‌روی اربعین و در شهر کربلا جهت نقل و انتقال زائران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ماشین‌ها و </w:t>
      </w:r>
      <w:bookmarkStart w:id="141" w:name="pg18842_238220"/>
    </w:p>
    <w:p>
      <w:pPr>
        <w:pStyle w:val="BookText"/>
        <w:rPr/>
      </w:pPr>
      <w:bookmarkEnd w:id="141"/>
      <w:r>
        <w:rPr>
          <w:rFonts w:ascii="IRNazanin" w:hAnsi="IRNazanin" w:eastAsia="IRNazanin"/>
          <w:color w:val="111111"/>
          <w:sz w:val="28"/>
          <w:sz w:val="28"/>
          <w:szCs w:val="28"/>
          <w:rtl w:val="true"/>
          <w:lang w:bidi="fa-IR"/>
        </w:rPr>
        <w:t>موتورهای سه چرخ، تعداد زیادی از گاری‌های دستی، خصوصا در اطراف بین الحرمین، جهت سوار کردن و نقل و انتقال زائران خسته از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27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1"/>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42" w:name="__RefHeading___Toc14423801_1280447820"/>
      <w:bookmarkStart w:id="143" w:name="_Toc50"/>
      <w:bookmarkEnd w:id="142"/>
      <w:r>
        <w:rPr/>
        <w:t>1-8</w:t>
      </w:r>
      <w:r>
        <w:rPr>
          <w:rtl w:val="true"/>
        </w:rPr>
        <w:t xml:space="preserve">. </w:t>
      </w:r>
      <w:r>
        <w:rPr>
          <w:rtl w:val="true"/>
        </w:rPr>
        <w:t>خدمات فرهنگی</w:t>
      </w:r>
      <w:bookmarkEnd w:id="143"/>
    </w:p>
    <w:p>
      <w:pPr>
        <w:pStyle w:val="BookText"/>
        <w:rPr/>
      </w:pPr>
      <w:r>
        <w:rPr>
          <w:rFonts w:ascii="IRNazanin" w:hAnsi="IRNazanin" w:eastAsia="IRNazanin"/>
          <w:color w:val="111111"/>
          <w:sz w:val="28"/>
          <w:sz w:val="28"/>
          <w:szCs w:val="28"/>
          <w:rtl w:val="true"/>
          <w:lang w:bidi="fa-IR"/>
        </w:rPr>
        <w:t>برپاکنندگان مراسم پیاده‌روی اربعین از نیازهای فرهنگی و تفریحی زائران حاضر در مسیر غفلت نکرده و درصدد برطرف کردن آنها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برپایی موکب‌های فرهنگی که در آن انواع آموزش‌ها و سرگرمی‌ها برای کودکان و نوجوانان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و سرگرمی‌هایی که در قالب انجام بازی‌های گوناگون، نقاشی و رنگ آمیزی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برای غنا بخشی اوقات استراحت و کیفیتِ گذر زمان زائران، از نمایش فیلم و پخش کلیپ‌های مذهبی و صوت‌های سخنرانی و مداحی در مسیر پیاده‌روی و در میانه برخی از موکب‌ها، بهره برده می‌شود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44" w:name="pg18842_238221"/>
    </w:p>
    <w:p>
      <w:pPr>
        <w:pStyle w:val="Heading5"/>
        <w:numPr>
          <w:ilvl w:val="4"/>
          <w:numId w:val="1"/>
        </w:numPr>
        <w:rPr/>
      </w:pPr>
      <w:bookmarkStart w:id="145" w:name="__RefHeading___Toc14423803_1280447820"/>
      <w:bookmarkStart w:id="146" w:name="_Toc51"/>
      <w:bookmarkEnd w:id="144"/>
      <w:bookmarkEnd w:id="145"/>
      <w:r>
        <w:rPr/>
        <w:t>1-9</w:t>
      </w:r>
      <w:r>
        <w:rPr>
          <w:rtl w:val="true"/>
        </w:rPr>
        <w:t xml:space="preserve">. </w:t>
      </w:r>
      <w:r>
        <w:rPr>
          <w:rtl w:val="true"/>
        </w:rPr>
        <w:t>آذین‌بندی و نماسازی</w:t>
      </w:r>
      <w:bookmarkEnd w:id="146"/>
    </w:p>
    <w:p>
      <w:pPr>
        <w:pStyle w:val="BookText"/>
        <w:rPr/>
      </w:pPr>
      <w:r>
        <w:rPr>
          <w:rFonts w:ascii="IRNazanin" w:hAnsi="IRNazanin" w:eastAsia="IRNazanin"/>
          <w:color w:val="111111"/>
          <w:sz w:val="28"/>
          <w:sz w:val="28"/>
          <w:szCs w:val="28"/>
          <w:rtl w:val="true"/>
          <w:lang w:bidi="fa-IR"/>
        </w:rPr>
        <w:t>از دیگر رخدادهایی که در مسیر برگزاری مشاهده می‌شود، آذین‌بندی‌ها، نماسازی‌ها و شکل دادن فضای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اهمیت آنها را نمی‌توان از ارائه امکانات اولیه مورد نیاز به زائران که توضیح آنها گذشت، کمتر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راستای این خدمات محیطی، زمینه‌سازشکل‌گیری فضای قدسی و در ادامه قوام بخشیدن به تجربه حیات دینی زائران در مسیر برگزاری آیین بوده و لذا مورد اهتمام همیشگی خادمان و برپاکنندگان مواکب حاضر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آذین‌بندی و نماسازی‌ها، طیف بسیار وسیعی از پرچم‌ها، علم و علامت‌ها، پوسترها و تصاویر، کتیبه‌های پارچه‌ای، خط نوشته و یا نقش‌دار را شامل می‌شوند که باید در پژوهش‌های جداگانه ثبت و ضبط دقیق شده و مورد بررسی و تحلیل قرار گیرند</w:t>
      </w:r>
      <w:r>
        <w:rPr>
          <w:rFonts w:eastAsia="IRNazanin" w:cs="IRNazanin"/>
          <w:color w:val="111111"/>
          <w:sz w:val="28"/>
          <w:szCs w:val="28"/>
          <w:rtl w:val="true"/>
          <w:lang w:bidi="fa-IR"/>
        </w:rPr>
        <w:t>.</w:t>
      </w:r>
    </w:p>
    <w:p>
      <w:pPr>
        <w:pStyle w:val="Heading4"/>
        <w:numPr>
          <w:ilvl w:val="3"/>
          <w:numId w:val="1"/>
        </w:numPr>
        <w:rPr/>
      </w:pPr>
      <w:bookmarkStart w:id="147" w:name="__RefHeading___Toc14423805_1280447820"/>
      <w:bookmarkStart w:id="148" w:name="_Toc52"/>
      <w:bookmarkEnd w:id="147"/>
      <w:r>
        <w:rPr/>
        <w:t>2</w:t>
      </w:r>
      <w:r>
        <w:rPr>
          <w:rtl w:val="true"/>
        </w:rPr>
        <w:t xml:space="preserve">. </w:t>
      </w:r>
      <w:r>
        <w:rPr>
          <w:rtl w:val="true"/>
        </w:rPr>
        <w:t>تلاقی‌های سنتی، فرهنگی و مناسک دینی در پیاده‌روی اربعین</w:t>
      </w:r>
      <w:bookmarkEnd w:id="148"/>
    </w:p>
    <w:p>
      <w:pPr>
        <w:pStyle w:val="Heading5"/>
        <w:numPr>
          <w:ilvl w:val="4"/>
          <w:numId w:val="1"/>
        </w:numPr>
        <w:rPr/>
      </w:pPr>
      <w:bookmarkStart w:id="149" w:name="__RefHeading___Toc14423807_1280447820"/>
      <w:bookmarkStart w:id="150" w:name="_Toc53"/>
      <w:bookmarkEnd w:id="149"/>
      <w:r>
        <w:rPr/>
        <w:t>2-1</w:t>
      </w:r>
      <w:r>
        <w:rPr>
          <w:rtl w:val="true"/>
        </w:rPr>
        <w:t xml:space="preserve">. </w:t>
      </w:r>
      <w:r>
        <w:rPr>
          <w:rtl w:val="true"/>
        </w:rPr>
        <w:t>طیفی از الگوهای رفتاری</w:t>
      </w:r>
      <w:bookmarkEnd w:id="15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رویدادهای قابل مشاهده در مدت برگزاری آیین پیاده‌روی اربعین، طیفی از الگوهای رفتاری و نقش آفرینی‌های فردی و خانوادگی، چه از سوی زائران و خادمان مهمان و چه زائران و خادمان میزبان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از سوی خادمان و نیز چگونگی حضور زائران از هر قومیت و ملیتی، در طیفی از شیوه های رفتار فردی، خانوادگی و خویشاوندی، جمع‌های دوستانه و یا کاروان های بزرگ وکوچک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مطلب، امری که به صورت عمده در انواع رویدادهای مسیر مشاهده می‌شود، رفع انواع محدودیت‌های بعضا سنتی و فرهنگی برای حضور زنان و کودکان در یک آیین و یا عدم مشخص بودن مرزبندی‌های طبقاتی افراد در نقش آفرینی‌های مختلف در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شاهد حضور زنان و کودکان، در انواع مناسبت‌های فردی و جمعی، در کنار نقش آفرینی‌های افراد از اقشار و طبقات مختلف جامعه در برگزاری مراحل مختلف آیین پیاده‌روی اربعین هستیم</w:t>
      </w:r>
      <w:r>
        <w:rPr>
          <w:rFonts w:eastAsia="IRNazanin" w:cs="IRNazanin"/>
          <w:color w:val="111111"/>
          <w:sz w:val="28"/>
          <w:szCs w:val="28"/>
          <w:rtl w:val="true"/>
          <w:lang w:bidi="fa-IR"/>
        </w:rPr>
        <w:t xml:space="preserve">. </w:t>
      </w:r>
      <w:bookmarkStart w:id="151" w:name="pg18842_238222"/>
    </w:p>
    <w:p>
      <w:pPr>
        <w:pStyle w:val="BookText"/>
        <w:rPr/>
      </w:pPr>
      <w:bookmarkEnd w:id="15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5"/>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از نگارنده، اربعین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Heading5"/>
        <w:numPr>
          <w:ilvl w:val="4"/>
          <w:numId w:val="1"/>
        </w:numPr>
        <w:rPr/>
      </w:pPr>
      <w:bookmarkStart w:id="152" w:name="__RefHeading___Toc14423809_1280447820"/>
      <w:bookmarkStart w:id="153" w:name="_Toc54"/>
      <w:bookmarkEnd w:id="152"/>
      <w:r>
        <w:rPr/>
        <w:t>2-2</w:t>
      </w:r>
      <w:r>
        <w:rPr>
          <w:rtl w:val="true"/>
        </w:rPr>
        <w:t xml:space="preserve">. </w:t>
      </w:r>
      <w:r>
        <w:rPr>
          <w:rtl w:val="true"/>
        </w:rPr>
        <w:t>الگوی بدیع از تعریف دیگری</w:t>
      </w:r>
      <w:bookmarkEnd w:id="153"/>
    </w:p>
    <w:p>
      <w:pPr>
        <w:pStyle w:val="BookText"/>
        <w:rPr/>
      </w:pPr>
      <w:r>
        <w:rPr>
          <w:rFonts w:ascii="IRNazanin" w:hAnsi="IRNazanin" w:eastAsia="IRNazanin"/>
          <w:color w:val="111111"/>
          <w:sz w:val="28"/>
          <w:sz w:val="28"/>
          <w:szCs w:val="28"/>
          <w:rtl w:val="true"/>
          <w:lang w:bidi="fa-IR"/>
        </w:rPr>
        <w:t>یکی دیگر از رویدادهای بدیعی که به شکلی بارز در برگزاری آیین پیاده‌روی اربعین مشاهده می‌شود، شکل‌گیری نوعی از ارتباطات بین افراد مختلف و غیر خویشان در طی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مسیر، گویی تمامی اشخاص، فارغ از هر گونه شاخصه خاص سیاسی، دینی، قومی، زبانی، مالی و تحصیلی در ارائه و دریافت خدمات و شکل‌گیری رابطه بین انسانی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 توجه به نقطه مشترک هدف و مقصد، که همان حب و علاقه‌مندی به پیشوای کامل اخلاق و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مشترکاتی با هر زائر حاضر در این آیین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 دیگری‌های به هم پیوسته‌ای مواجه هستیم که هرگز گسست و انفکاک کاملی با هر فرد نداشته و با نگاهی از بالا، تصویر یک زنجیره به‌هم پیوسته انسانی را می‌توان تصورکرد</w:t>
      </w:r>
      <w:r>
        <w:rPr>
          <w:rFonts w:eastAsia="IRNazanin" w:cs="IRNazanin"/>
          <w:color w:val="111111"/>
          <w:sz w:val="28"/>
          <w:szCs w:val="28"/>
          <w:rtl w:val="true"/>
          <w:lang w:bidi="fa-IR"/>
        </w:rPr>
        <w:t>.</w:t>
      </w:r>
    </w:p>
    <w:p>
      <w:pPr>
        <w:pStyle w:val="Heading5"/>
        <w:numPr>
          <w:ilvl w:val="4"/>
          <w:numId w:val="1"/>
        </w:numPr>
        <w:rPr/>
      </w:pPr>
      <w:bookmarkStart w:id="154" w:name="__RefHeading___Toc14423811_1280447820"/>
      <w:bookmarkStart w:id="155" w:name="_Toc55"/>
      <w:bookmarkEnd w:id="154"/>
      <w:r>
        <w:rPr/>
        <w:t>2-3</w:t>
      </w:r>
      <w:r>
        <w:rPr>
          <w:rtl w:val="true"/>
        </w:rPr>
        <w:t xml:space="preserve">. </w:t>
      </w:r>
      <w:r>
        <w:rPr>
          <w:rtl w:val="true"/>
        </w:rPr>
        <w:t>برپایی آیین‌های مختلف با تلفیق فرهنگی</w:t>
      </w:r>
      <w:bookmarkEnd w:id="155"/>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وسعت میدانی، طول زمان و تعداد افراد، مراسم پیاده‌روی اربعین پتانسیل ویژه‌ای جهت اجرا و بازاجرای آیین‌های دیگر را در درون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bookmarkStart w:id="156" w:name="pg18842_238223"/>
    </w:p>
    <w:p>
      <w:pPr>
        <w:pStyle w:val="BookText"/>
        <w:rPr/>
      </w:pPr>
      <w:bookmarkEnd w:id="156"/>
      <w:r>
        <w:rPr>
          <w:rFonts w:ascii="IRNazanin" w:hAnsi="IRNazanin" w:eastAsia="IRNazanin"/>
          <w:color w:val="111111"/>
          <w:sz w:val="28"/>
          <w:sz w:val="28"/>
          <w:szCs w:val="28"/>
          <w:rtl w:val="true"/>
          <w:lang w:bidi="fa-IR"/>
        </w:rPr>
        <w:t xml:space="preserve">آیین‌هایی مانند مجالس عزاداری، اجرای نمایش کاروان‌های شبیه‌سازی از افراد حاضر در رویداد کربلا، انجام دادن نذر مانند سقایی، پوشاندن لباس‌های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پهن کردن و برگزاری آیین‌های سفره حضرت رقیه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برگزاری دیگر آیین‌های ممکن در میانه مسیر پیاده‌روی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آیین‌ها نیز همانند دیگر خدمات ارائه شده، یا به سنت مخصوص هر ملتی و یا در نهایت با تلفیقی از شیوه‌های برگزاری از اقوام و ملل مختلف صورت می‌گیرد</w:t>
      </w:r>
      <w:r>
        <w:rPr>
          <w:rFonts w:eastAsia="IRNazanin" w:cs="IRNazanin"/>
          <w:color w:val="111111"/>
          <w:sz w:val="28"/>
          <w:szCs w:val="28"/>
          <w:rtl w:val="true"/>
          <w:lang w:bidi="fa-IR"/>
        </w:rPr>
        <w:t>.</w:t>
      </w:r>
    </w:p>
    <w:p>
      <w:pPr>
        <w:pStyle w:val="Heading5"/>
        <w:numPr>
          <w:ilvl w:val="4"/>
          <w:numId w:val="1"/>
        </w:numPr>
        <w:rPr/>
      </w:pPr>
      <w:bookmarkStart w:id="157" w:name="__RefHeading___Toc14423813_1280447820"/>
      <w:bookmarkStart w:id="158" w:name="_Toc56"/>
      <w:bookmarkEnd w:id="157"/>
      <w:r>
        <w:rPr/>
        <w:t>2-4</w:t>
      </w:r>
      <w:r>
        <w:rPr>
          <w:rtl w:val="true"/>
        </w:rPr>
        <w:t xml:space="preserve">. </w:t>
      </w:r>
      <w:r>
        <w:rPr>
          <w:rtl w:val="true"/>
        </w:rPr>
        <w:t>تلفیق آداب و سنت‌ها در شیوه ارائه خدمات</w:t>
      </w:r>
      <w:bookmarkEnd w:id="158"/>
    </w:p>
    <w:p>
      <w:pPr>
        <w:pStyle w:val="BookText"/>
        <w:rPr/>
      </w:pPr>
      <w:r>
        <w:rPr>
          <w:rFonts w:ascii="IRNazanin" w:hAnsi="IRNazanin" w:eastAsia="IRNazanin"/>
          <w:color w:val="111111"/>
          <w:sz w:val="28"/>
          <w:sz w:val="28"/>
          <w:szCs w:val="28"/>
          <w:rtl w:val="true"/>
          <w:lang w:bidi="fa-IR"/>
        </w:rPr>
        <w:t>حرکت، انتقال، دریافت و در نهایت ایجاد محصول تلفیقی از برخی آداب و سنت‌ها، از سوی زائران دو کشور عراق و ایران و با گذشت حدود یک دهه از برگزاری پررونق مراسم پیاده‌روی اربعین به‌گونه‌ای مشخص، نمایان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بعد از گذشت چند سال اول، تمامی چادرها و بناهای ایرانی موجود در مسیر که به ارائه خدمات می‌پردازند، به تناسب آداب و سنت عراقی، به نام موکب نام‌گذاری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قدری نفوذ داشته که از چند سال گذشته، چادرها و مکان‌هایی که در مناسبت‌های مختلف در ایران، برگزاری مراسمات مذهبی و پخش نذری را برعهده دارند نیز با عنوان موکب نام‌گذاری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قبل از این بیشتر با نام‌های خیمه، هیات و نظایر آن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ارائه خدمات عراقی و ایرانی نیز به گونه‌ای ملموس با آداب و سنت‌های یکدیگر عجین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بسیاری از موکب‌ها، چای ایرانی و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رنگ و با طعم‌های مختلف ایرانی و غلیظ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غذای ایرانی و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خورشت‌های آب دار ایرانی و خورشت‌های خشک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وسایل یکبار مصرف که بیشتر توسط موکب‌ها و زائران ایرانی تهیه و ارائه می‌شد، در سال‌های اخیر، در موکب‌های عراقی نیز به شکلی وسیع مورد استفاده قرار می‌گیرد</w:t>
      </w:r>
      <w:r>
        <w:rPr>
          <w:rFonts w:eastAsia="IRNazanin" w:cs="IRNazanin"/>
          <w:color w:val="111111"/>
          <w:sz w:val="28"/>
          <w:szCs w:val="28"/>
          <w:rtl w:val="true"/>
          <w:lang w:bidi="fa-IR"/>
        </w:rPr>
        <w:t>.</w:t>
      </w:r>
    </w:p>
    <w:p>
      <w:pPr>
        <w:pStyle w:val="Heading5"/>
        <w:numPr>
          <w:ilvl w:val="4"/>
          <w:numId w:val="1"/>
        </w:numPr>
        <w:rPr/>
      </w:pPr>
      <w:bookmarkStart w:id="159" w:name="__RefHeading___Toc14423815_1280447820"/>
      <w:bookmarkStart w:id="160" w:name="_Toc57"/>
      <w:bookmarkEnd w:id="159"/>
      <w:r>
        <w:rPr/>
        <w:t>2-5</w:t>
      </w:r>
      <w:r>
        <w:rPr>
          <w:rtl w:val="true"/>
        </w:rPr>
        <w:t xml:space="preserve">. </w:t>
      </w:r>
      <w:r>
        <w:rPr>
          <w:rtl w:val="true"/>
        </w:rPr>
        <w:t>مجالس عزاداری و شبیه‌سازی فارسی و عربی</w:t>
      </w:r>
      <w:bookmarkEnd w:id="16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دیگری که در مسیر پیاده‌روی اربعین و خصوصا در شهر کربلا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می‌شود، برپایی مجالس عزاداری و راه اندازی کاروان‌های شبیه‌سازی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مدل و فرم‌های ترکیب شده ایرانی و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تلفیق به انحای مختلف و در مصادیق متفاوت و در طول سالیان گذشته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یکی از کاروان‌های شبیه‌سازی شده که نگارنده از نزدیک شاهد نمایش و عبور آن از مسیر پیاده‌روی اربعین در شهر کربلا بوده، از موسیقی فیلم خاک سرخ ساخته ابراهیم حاتمی کیا، برای ایجاد فضای معنوی موسیقیایی همراه با نمایش کاروان اسرای کربلا، بهره برده شد و این آهنگ به شکلی مستمر و با صوتی بلند،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تلفیق آداب و سنت‌ها، هم در مجالس عزاداری مردانه و هم زنانه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بسیاری از موارد، روضه‌خوانی و مداحی، به زبان فارسی و عربی، و فرم اجرای مراسم، به رسم ایرانی و عراقی،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توصیف نگارنده این پژوهش که خود شاهد برگزاری متعدد اینگونه از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مداحی با همراهی یک زن دیگر، که بعدا متوجه شدم اهل یکی از شهرهای استان خوزستان هستند و اقوام و خویشانی در برخی از شهرهای عراق دارند و به زبان‌های عربی و فارسی مسلط هستند، همراه با بلندگوی شخصی خود در میانه یک موکب پوشیده و مخصوص زنان حاضر و در گوشه‌ای و بر روی یک مبل راحتی نشسته و شروع به روضه‌خوانی و مداحی کردند که آن را در ابتدا به زبان فارسی و سپس به زبان عربی اجراکردند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زنان و کودکان ایرانی و عراقی که در موکب مشغول استراحت و کارهای شخصی خود بودند، ظاهر خود را مرتب و سر و بدن را پوشیده‌تر کرده و دورتا دور این دو زن جمع شده و با آنان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سینه‌زنی و زدن به روی ران پا و یا ضربه زدن به صورت، پیشانی و سر و حتی حرکات شور سرپایی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زنی و بر بازو زدن تند، پای کوبی و نوعی هروله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تناسب خواندن اشعار فارسی و عربی، تغییر کرده و در قالب و شکل آداب و سنت ایرانی و یا کاملا عربی و عراقی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مراسم عزاداری می‌تواند از سوی یک زنی که فارسی و عربی را می‌داند به دو شکل ایرانی و عراقی اجرا شود و یا یک زن عرب زبان ابتدا روضه‌خوانی و مداحی عربی کند و در ادامه یک زن فارس زبان به روضه‌خوانی و مداحی به زبان فارسی </w:t>
      </w:r>
      <w:bookmarkStart w:id="161" w:name="pg18842_238225"/>
    </w:p>
    <w:p>
      <w:pPr>
        <w:pStyle w:val="BookText"/>
        <w:rPr/>
      </w:pPr>
      <w:bookmarkEnd w:id="161"/>
      <w:r>
        <w:rPr>
          <w:rFonts w:ascii="IRNazanin" w:hAnsi="IRNazanin" w:eastAsia="IRNazanin"/>
          <w:color w:val="111111"/>
          <w:sz w:val="28"/>
          <w:sz w:val="28"/>
          <w:szCs w:val="28"/>
          <w:rtl w:val="true"/>
          <w:lang w:bidi="fa-IR"/>
        </w:rPr>
        <w:t>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زبان ترکی و به ندرت به لهجه‌های دیگر، مراسمات عزاداری در موکب‌ها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0"/>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162" w:name="__RefHeading___Toc14423817_1280447820"/>
      <w:bookmarkStart w:id="163" w:name="_Toc58"/>
      <w:bookmarkEnd w:id="162"/>
      <w:r>
        <w:rPr/>
        <w:t>3</w:t>
      </w:r>
      <w:r>
        <w:rPr>
          <w:rtl w:val="true"/>
        </w:rPr>
        <w:t xml:space="preserve">. </w:t>
      </w:r>
      <w:r>
        <w:rPr>
          <w:rtl w:val="true"/>
        </w:rPr>
        <w:t>کژ کارکردها و بد کارکردهای منشعب شده</w:t>
      </w:r>
      <w:bookmarkEnd w:id="163"/>
    </w:p>
    <w:p>
      <w:pPr>
        <w:pStyle w:val="Heading5"/>
        <w:numPr>
          <w:ilvl w:val="4"/>
          <w:numId w:val="1"/>
        </w:numPr>
        <w:rPr/>
      </w:pPr>
      <w:bookmarkStart w:id="164" w:name="__RefHeading___Toc14423819_1280447820"/>
      <w:bookmarkStart w:id="165" w:name="_Toc59"/>
      <w:bookmarkEnd w:id="164"/>
      <w:r>
        <w:rPr/>
        <w:t>3-1</w:t>
      </w:r>
      <w:r>
        <w:rPr>
          <w:rtl w:val="true"/>
        </w:rPr>
        <w:t xml:space="preserve">. </w:t>
      </w:r>
      <w:r>
        <w:rPr>
          <w:rtl w:val="true"/>
        </w:rPr>
        <w:t>دخالت بی‌ضابطه برخی ارگان‌های حکومتی و دولتی</w:t>
      </w:r>
      <w:bookmarkEnd w:id="16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وسعت برگزاری پیاده‌روی اربعین، قطعا وجود و دخالت نیروهای حکومتی هر دو کشور عراق و ایران، جهت تسهیل و آماده سازی ابعاد مختلف برگزاری این آیین،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مردمی بودن برپایی این مراسم که خود یکی از شاخصه‌های اصلی و ویژه جهت استمرار این آیین بوده، در ادامه مردمی ماندن برگزاری، اهیمت حیاتی و مضاعف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میان، نوع دخالت حاکمیت دولتی و رسمی باید در قالب زمینه‌سازی و مهیا کردن بسترهای مناسب، جهت حضور افراد علاقه‌مند و همچنین ارائه خدمات انحصاری حاکمیتی مورد نیاز برای انجام مناسب این مراسم و در عین حال عدم دخالت‌های بی‌ضابطه، غیر هدفمند و حساب نشده در روند برپایی </w:t>
      </w:r>
      <w:bookmarkStart w:id="166" w:name="pg18842_238226"/>
    </w:p>
    <w:p>
      <w:pPr>
        <w:pStyle w:val="BookText"/>
        <w:rPr/>
      </w:pPr>
      <w:bookmarkEnd w:id="166"/>
      <w:r>
        <w:rPr>
          <w:rFonts w:ascii="IRNazanin" w:hAnsi="IRNazanin" w:eastAsia="IRNazanin"/>
          <w:color w:val="111111"/>
          <w:sz w:val="28"/>
          <w:sz w:val="28"/>
          <w:szCs w:val="28"/>
          <w:rtl w:val="true"/>
          <w:lang w:bidi="fa-IR"/>
        </w:rPr>
        <w:t>این آیین باشد؛ چرا که اینگونه دخالت‌ها می‌تواند عاملی در جهت کاهش نقش آفرینی محوری مردمی در برگزاری این مراسم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مواردی چند از اینگونه مداخلات، نظیر برپایی موکب‌های عظیم و تجملاتی توسط مراکز حاکمیتی و دولتی، در مسیر برپایی این آیین در این چند ساله مشاهده شد</w:t>
      </w:r>
      <w:r>
        <w:rPr>
          <w:rFonts w:eastAsia="IRNazanin" w:cs="IRNazanin"/>
          <w:color w:val="111111"/>
          <w:sz w:val="28"/>
          <w:szCs w:val="28"/>
          <w:rtl w:val="true"/>
          <w:lang w:bidi="fa-IR"/>
        </w:rPr>
        <w:t>.</w:t>
      </w:r>
    </w:p>
    <w:p>
      <w:pPr>
        <w:pStyle w:val="Heading5"/>
        <w:numPr>
          <w:ilvl w:val="4"/>
          <w:numId w:val="1"/>
        </w:numPr>
        <w:rPr/>
      </w:pPr>
      <w:bookmarkStart w:id="167" w:name="__RefHeading___Toc14423821_1280447820"/>
      <w:bookmarkStart w:id="168" w:name="_Toc60"/>
      <w:bookmarkEnd w:id="167"/>
      <w:r>
        <w:rPr/>
        <w:t>3-2</w:t>
      </w:r>
      <w:r>
        <w:rPr>
          <w:rtl w:val="true"/>
        </w:rPr>
        <w:t xml:space="preserve">. </w:t>
      </w:r>
      <w:r>
        <w:rPr>
          <w:rtl w:val="true"/>
        </w:rPr>
        <w:t>وضعیت محیط زیستی و تولید زباله‌های انبوه</w:t>
      </w:r>
      <w:bookmarkEnd w:id="168"/>
    </w:p>
    <w:p>
      <w:pPr>
        <w:pStyle w:val="BookText"/>
        <w:rPr/>
      </w:pPr>
      <w:r>
        <w:rPr>
          <w:rFonts w:ascii="IRNazanin" w:hAnsi="IRNazanin" w:eastAsia="IRNazanin"/>
          <w:color w:val="111111"/>
          <w:sz w:val="28"/>
          <w:sz w:val="28"/>
          <w:szCs w:val="28"/>
          <w:rtl w:val="true"/>
          <w:lang w:bidi="fa-IR"/>
        </w:rPr>
        <w:t>تولید زباله‌های فراوان یکی از آسیب‌های جدی در طی برگزاری آیین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وجود تلاش زیاد نیروهای خادم حاکمیتی و مردمی عراقی و ایرانی، همچنان و به صورت دائمی، تل‌هایی از زباله در مسیر پیاده‌روی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ظروف یکبار مصرف که در چند سال اخیر استفاده از آنها افزون شده، مشکلات زیست محیطی عدیده‌ای را نیز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سازی انبوهی از ظروف یکبار مصرف که برای محیط زیست اثرات مخرب جبران‌ناپذیری دارد، یکی از بارزترین آسیب‌های شکل گرفته در زمان برگزاری آیین است که باید مورد توجه جدی همگی نهادها، ارگان‌ها و نیروهای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خادم و چه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میزبان و مهمانان حاضر در این مسیر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نگارنده، اربعین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69" w:name="pg18842_238227"/>
    </w:p>
    <w:p>
      <w:pPr>
        <w:pStyle w:val="Heading5"/>
        <w:numPr>
          <w:ilvl w:val="4"/>
          <w:numId w:val="1"/>
        </w:numPr>
        <w:rPr/>
      </w:pPr>
      <w:bookmarkStart w:id="170" w:name="__RefHeading___Toc14423823_1280447820"/>
      <w:bookmarkStart w:id="171" w:name="_Toc61"/>
      <w:bookmarkEnd w:id="169"/>
      <w:bookmarkEnd w:id="170"/>
      <w:r>
        <w:rPr/>
        <w:t>3-3</w:t>
      </w:r>
      <w:r>
        <w:rPr>
          <w:rtl w:val="true"/>
        </w:rPr>
        <w:t xml:space="preserve">. </w:t>
      </w:r>
      <w:r>
        <w:rPr>
          <w:rtl w:val="true"/>
        </w:rPr>
        <w:t>مشاهده آسیب‌های اجتماعی</w:t>
      </w:r>
      <w:bookmarkEnd w:id="171"/>
    </w:p>
    <w:p>
      <w:pPr>
        <w:pStyle w:val="BookText"/>
        <w:rPr/>
      </w:pPr>
      <w:r>
        <w:rPr>
          <w:rFonts w:ascii="IRNazanin" w:hAnsi="IRNazanin" w:eastAsia="IRNazanin"/>
          <w:color w:val="111111"/>
          <w:sz w:val="28"/>
          <w:sz w:val="28"/>
          <w:szCs w:val="28"/>
          <w:rtl w:val="true"/>
          <w:lang w:bidi="fa-IR"/>
        </w:rPr>
        <w:t xml:space="preserve">یکی از بدکارکردهای مشاهده شده، خصوصا در مکان‌های پرازدحام‌تر مانند شهر کربلا، تکدی‌گری برخی از افراد و عمدتا زنان و کودکان است که نوعا از اتباع کشورهای غیر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پاکستانی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زنان و کودکان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جمع‌آوری زباله‌ها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سرقت، تنش و درگیری، انجام رفتارها و بیان سخنان غیر اخلاقی نیز بعضا در میانه جمعیت افراد حاضر در مسیر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موارد به نسبت جمعیتی که در برپایی این آیین مشارکت دارند، کم و ناچیز است، اما نباید از یاد برد که با عدم آگاهی دادن مناسب به زائران در چگونگی برخورد صحیح در مواجهه با این موارد احتمالی، ممکن است هر ساله بر میزان و ابعاد این آسیب‌ها افزوده شود</w:t>
      </w:r>
      <w:r>
        <w:rPr>
          <w:rFonts w:eastAsia="IRNazanin" w:cs="IRNazanin"/>
          <w:color w:val="111111"/>
          <w:sz w:val="28"/>
          <w:szCs w:val="28"/>
          <w:rtl w:val="true"/>
          <w:lang w:bidi="fa-IR"/>
        </w:rPr>
        <w:t>.</w:t>
      </w:r>
    </w:p>
    <w:p>
      <w:pPr>
        <w:pStyle w:val="Heading3"/>
        <w:numPr>
          <w:ilvl w:val="2"/>
          <w:numId w:val="1"/>
        </w:numPr>
        <w:rPr/>
      </w:pPr>
      <w:bookmarkStart w:id="172" w:name="__RefHeading___Toc14423825_1280447820"/>
      <w:bookmarkStart w:id="173" w:name="_Toc62"/>
      <w:bookmarkEnd w:id="172"/>
      <w:r>
        <w:rPr>
          <w:rtl w:val="true"/>
        </w:rPr>
        <w:t>نتیجه</w:t>
      </w:r>
      <w:bookmarkEnd w:id="17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ritual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دو امر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 به‌عنوان اعمال عبادی تعیینی و در فرم و چارچوب خاص، همانند وضو و نماز در یک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آیین، برساخته‌ای فرهنگی از نظام ارتباطات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آیین مستلزم مشارکت و نسبت به مبادله ایده‌ها منعطف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آیین پیاده‌روی اربعین که تقریبا از یک دهه اخیر، مورد توجه خاص عموم قرار گرفته، علاوه‌بر مولفه‌های همیشگی در برگزاری، شاهدطیفی از تلاقی‌ها و درهم شدگی‌های سنتی و فرهنگی، در شیوه برگزاری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که هر ساله از حدود ده روز مانده به روز بیستم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بعد از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جدی آغاز شده و تا حدود چند روز پس از روز بیستم ماه صفر ادامه می‌یابد، برای پذیرایی و رفع نیازهای زائران که تعدادشان هر ساله روند صعودی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بیست و دو میلیون زائر وارد شده به شهر کربلا در آیین پیاده‌روی اربعین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ش، سایت ایرنا به گزارش از سایت عتبه مقدسه عباسیه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ارائه خدمات مردمی و پشتیبانی حکومتی همراه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وعده‌های خوراکی و آشامیدنی در تنوعی کم نظیر، ارائه خدمات اسکان، استحمام و استراحت به صورت شبانه‌روزی، پاکبانی و نظافت محیطی، خدمات </w:t>
      </w:r>
      <w:bookmarkStart w:id="174" w:name="pg18842_238228"/>
    </w:p>
    <w:p>
      <w:pPr>
        <w:pStyle w:val="BookText"/>
        <w:rPr/>
      </w:pPr>
      <w:bookmarkEnd w:id="174"/>
      <w:r>
        <w:rPr>
          <w:rFonts w:ascii="IRNazanin" w:hAnsi="IRNazanin" w:eastAsia="IRNazanin"/>
          <w:color w:val="111111"/>
          <w:sz w:val="28"/>
          <w:sz w:val="28"/>
          <w:szCs w:val="28"/>
          <w:rtl w:val="true"/>
          <w:lang w:bidi="fa-IR"/>
        </w:rPr>
        <w:t>انتظامی و امنیتی، درمانی و پزشکی، رسانه‌ای و ارتباطی، حمل و نقل، ارائه مصارف فرهنگی، تفریحی و سرگرمیِ خانوادگی بدیع و نظایر این موارد از جمله تلاش‌های جمعی همیشگی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آماده سازی محیطی، شاهد تلاقی‌های سنتی، فرهنگی و مناسک دینی در آیین پیاده‌روی اربعین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تلاقی‌هایی که در کنار نمایش خرده فرهنگ‌های اقشار مختلف از ملیت‌های متفاوت، نهایتا طیفی از درهم شدگی آداب و رسوم این اقشار و اقوام را نیز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گستره‌ای از الگوهای رفتاری فردی و خانوادگی، الگوی بدیع از تعریف دیگری، برپایی خرده آیین‌هایی با تلفیق شیوه‌های برگزاری، تلفیقات آداب و سنت‌ها، برپایی مجالس عزاداری فارسی، عربی و در مواردی زنانه و مردانه در زمره این درهم شدگی‌های فرهنگی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 گفته شده در روندی چند ساله و به صورت تدریجی شکل‌گرفته و ماحصل آنها اکنون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سال‌های پیش رو نیز شاهد شکل‌گیری و نمایش بیشتر تلفیقات فرهنگی در گزاره‌های مختلف خواهیم بود</w:t>
      </w:r>
      <w:r>
        <w:rPr>
          <w:rFonts w:eastAsia="IRNazanin" w:cs="IRNazanin"/>
          <w:color w:val="111111"/>
          <w:sz w:val="28"/>
          <w:szCs w:val="28"/>
          <w:rtl w:val="true"/>
          <w:lang w:bidi="fa-IR"/>
        </w:rPr>
        <w:t>.</w:t>
      </w:r>
    </w:p>
    <w:p>
      <w:pPr>
        <w:pStyle w:val="Heading3"/>
        <w:numPr>
          <w:ilvl w:val="2"/>
          <w:numId w:val="1"/>
        </w:numPr>
        <w:rPr/>
      </w:pPr>
      <w:bookmarkStart w:id="175" w:name="__RefHeading___Toc14423827_1280447820"/>
      <w:bookmarkStart w:id="176" w:name="_Toc63"/>
      <w:bookmarkEnd w:id="175"/>
      <w:r>
        <w:rPr>
          <w:rtl w:val="true"/>
        </w:rPr>
        <w:t>منابع</w:t>
      </w:r>
      <w:bookmarkEnd w:id="17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ایزدی‌جیران، اصغر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مردم‌نگاری و لذت تجربه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دانشجویی انسان‌شناسی،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پویافر، محمدرضا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جامعه‌شناختی خیر دینی در آیین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آرما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تاج‌بخش، غلامرضا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پیاده‌روی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دوفصلنامه شیعه‌پژوهی، سال هشتم، شماره</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توماس، جیم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مردم‌نگاری انتقادی، ترجمه محمدتقی ایمان و مهتا بذرافکن، شیراز، دانشگاه شیراز</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یگانه، محمدرضا و محمد روزخوش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پیاده روی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روایت های مردم شناسانه و جامعه شناختی از پیاده 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پژوهشگاه فرهنگ، هنر و ارتباطات،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رحمانی، جبار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و رفتار نمادین متضمن معنای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سوگ شیعی، 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حسام مظاهری، اصفهان، آرما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سیدمحمد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تعامل قدرت و مقاومت در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مردم‌نگاری تجربه راهپیمایی اربعین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ارشد، دانشکده علوم اجتماعی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مظاهری، محسن‌حسام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پیاده‌روی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تاملات جامعه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آرما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هوشنگ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بر بی‌نهایت، تهران، سیادت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سایت خبرگزاری ایسنا، آمار حضور زائران اربعین در هشت سال زیارت،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8842_238231"/>
      <w:bookmarkStart w:id="178" w:name="pg18842_238231"/>
      <w:bookmarkEnd w:id="178"/>
    </w:p>
    <w:p>
      <w:pPr>
        <w:pStyle w:val="Heading2"/>
        <w:numPr>
          <w:ilvl w:val="1"/>
          <w:numId w:val="1"/>
        </w:numPr>
        <w:rPr/>
      </w:pPr>
      <w:bookmarkStart w:id="179" w:name="pg18842_238231"/>
      <w:bookmarkStart w:id="180" w:name="__RefHeading___Toc14423829_1280447820"/>
      <w:bookmarkStart w:id="181" w:name="_Toc64"/>
      <w:bookmarkEnd w:id="179"/>
      <w:bookmarkEnd w:id="180"/>
      <w:r>
        <w:rPr>
          <w:rtl w:val="true"/>
        </w:rPr>
        <w:t>واکاوی لایه‌های عمیق یک زیارت؛ بازخوانی و تحلیل چند سفرنامه پیاده‌روی اربعین حسینی</w:t>
      </w:r>
      <w:bookmarkEnd w:id="181"/>
    </w:p>
    <w:p>
      <w:pPr>
        <w:pStyle w:val="Heading3"/>
        <w:numPr>
          <w:ilvl w:val="2"/>
          <w:numId w:val="1"/>
        </w:numPr>
        <w:rPr/>
      </w:pPr>
      <w:bookmarkStart w:id="182" w:name="__RefHeading___Toc14423831_1280447820"/>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سیدکمال کشیک‌نویس رضوی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14/04/1403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18/08/1403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ثبت و ضبط خاطرات سفر به‌ویژه سفرهایی که جنبه معنوی دارند، برای نویسنده آنها سبب ماندگاری و گاه بازیابی احساساتی می‌شود که فرد در طول سفر آنها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نویسنده اطلاعاتی را از جامعه و مردمان منطقه‌ای که به آن سفر کرده نیز در اختیار خوانندگان قرار می‌دهد؛ اطلاعاتی که اگر با رویکردی تحلیلی بررسی شوند، می‌توان از لابه‌لای آنها به فهم عمیق‌تری از سفر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کوشیده است از طریق بازخوانی برخی از سفرنامه‌های پیاده‌روی اربعین حسینی، نخست فهم معنای پس‌زمینه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یا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پُرتکرار پیاده‌روی اربعین را دریابد؛ سپس برای خوانش تحلیلی سفرنامه‌های اربعین حسینی، روشی ارائه دهد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سفرنامه‌نویسی، زیارت، اربعین، زائر، سفرنامه‌های عتبات</w:t>
      </w:r>
      <w:r>
        <w:rPr>
          <w:rFonts w:eastAsia="IRNazanin" w:cs="IRNazanin"/>
          <w:color w:val="111111"/>
          <w:sz w:val="28"/>
          <w:szCs w:val="28"/>
          <w:rtl w:val="true"/>
          <w:lang w:bidi="fa-IR"/>
        </w:rPr>
        <w:t xml:space="preserve">. </w:t>
      </w:r>
      <w:bookmarkStart w:id="184" w:name="pg18842_238232"/>
    </w:p>
    <w:p>
      <w:pPr>
        <w:pStyle w:val="Heading3"/>
        <w:numPr>
          <w:ilvl w:val="2"/>
          <w:numId w:val="1"/>
        </w:numPr>
        <w:rPr/>
      </w:pPr>
      <w:bookmarkStart w:id="185" w:name="__RefHeading___Toc14423833_1280447820"/>
      <w:bookmarkStart w:id="186" w:name="_Toc66"/>
      <w:bookmarkEnd w:id="184"/>
      <w:bookmarkEnd w:id="185"/>
      <w:r>
        <w:rPr>
          <w:rtl w:val="true"/>
        </w:rPr>
        <w:t>مقدمه</w:t>
      </w:r>
      <w:bookmarkEnd w:id="186"/>
    </w:p>
    <w:p>
      <w:pPr>
        <w:pStyle w:val="Heading4"/>
        <w:numPr>
          <w:ilvl w:val="3"/>
          <w:numId w:val="1"/>
        </w:numPr>
        <w:rPr/>
      </w:pPr>
      <w:bookmarkStart w:id="187" w:name="__RefHeading___Toc14423835_1280447820"/>
      <w:bookmarkStart w:id="188" w:name="_Toc67"/>
      <w:bookmarkEnd w:id="187"/>
      <w:r>
        <w:rPr>
          <w:rtl w:val="true"/>
        </w:rPr>
        <w:t>اشاره</w:t>
      </w:r>
      <w:bookmarkEnd w:id="18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سفرنامه‌نویسی از دیرباز مورد توجه بوده و سفرنامه‌ها منابعی ارزشمند درباره اوضاع اجتماعی، فرهنگی، اقتصادی و آداب و رسوم مردم یک منطقه هستند؛ به همین جهت سفرنامه‌ها مورد استفاده محققان تاریخی، مذهبی، سیاسی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صدام و رژیم بعث عراق در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فضای خفقان عراق شکسته شد و گروه‌های مذهبی این امکان را یافتند تا شعائر مذهبی خود را به آسانی و در گستره‌ای وسیع به اجرا و نمایش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عراق به‌سبب وجود عتبات عالیات در این کشور، موقعیت ممتازی یافته و میزبان جمع کثیری از شیعیان کشورهای دیگر به‌جهت زیارت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ایران که به واسطه دهه‌ها روابط سرد سیاسی در دوران پهلوی و جنگ در دوران جمهوری اسلامی، از امکان زیارت عتبات محروم مانده بودند، از این فرصت استفاده نموده و با فراهم آوردن حداقل امکانات به سیل مشتاقان زیارت پیوستند؛ مشتاقانی که سال به سال به شمار آنان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پیاده‌روی اربعین به‌صورت جدی شکل گرفت و به موازات آن زائران بازگشته، نهضت سفرنامه‌نویسی اربعین را به آرامی راه انداختند و چه خوشایند که با استقبال نیز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یک دهه گذشته، کتاب‌های متعددی با عنوان یا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اصفهانی، اباذر، کتاب‌شناسی سفرنامه‌ها و خاطرات ایرانیان از عتبات عالیات، فرهنگ زیارت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مقالات سفرنامه‌ای قابل توجهی نیز نشر یافته است که سرشار از اطلاعات ارزشمند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این سفرنامه‌ها یا گزارش‌های سفر پیاده‌روی اربعین، به ما این امکان را می‌دهد تا نخست با شیوه گزارش و ثبت و ضبط این رویداد بزرگ مذهبی و فرهنگی از زوایای گوناگون آشنا شویم و سپس به شناسایی پیوستگی‌ها و گسست‌های این پدیده اجتماعی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تلاش شده شماری از سفرنامه‌ها یا گزارش‌های سفر فارسی در بازه زمانی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بازخوانی قرارگیرد تا عناصر ثابت و متغیر این منابع در سه مقوله مسیر، مقصد و مردم بازشناسی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فراوانی آثار سفرنامه‌ای درباره زیارت عتبات و مراسم پیاده‌روی اربعین حسینی، به ناچار </w:t>
      </w:r>
    </w:p>
    <w:p>
      <w:pPr>
        <w:pStyle w:val="BookText"/>
        <w:rPr/>
      </w:pPr>
      <w:r>
        <w:rPr>
          <w:rFonts w:ascii="IRNazanin" w:hAnsi="IRNazanin" w:eastAsia="IRNazanin"/>
          <w:color w:val="111111"/>
          <w:sz w:val="28"/>
          <w:sz w:val="28"/>
          <w:szCs w:val="28"/>
          <w:rtl w:val="true"/>
          <w:lang w:bidi="fa-IR"/>
        </w:rPr>
        <w:t>برای انجام پژوهش حاضر، دست به گزینش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ملاک‌های مهم گزینش مواردی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درباره پیاده‌روی اربعین باشد و نویسنده به هنگام سفر یادداشت‌هایی در این زمینه فراهم آورده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 و انتشار سفرنامه آن حداکثر دو سال گذشته باشد،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فهرست بلند سفرنامه‌های اربعین با توجه به ملاک‌های ارائه شده، سفرنامه‌های زیر گزینش، خوانش و اطلاعات آنها تحلیل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یافت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پیاده‌روی اربعین، رضا عیوضی، انتشارات شهید کاظمی،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پیاده‌روی اربعین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محمد حسین خانی، انتشارات مبشر،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هشت سفر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قزوه، انتشارات سوره مهر،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امر ضروری است که در هنگام خوانش هر سفرنامه به پرسش‌هایی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به‌سبب گستردگی دامنه پرسش‌ها و شمار زیاد سفرنامه‌ها، در این مقاله چهار پرسش از میان پرسش‌های ضروری برای فهم عمیق‌تر سفرنامه‌ها انتخاب شده و یافته‌های آنها را تحلیل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تبلیغات گسترده درباره رسانه‌های اجتماعی مبنی‌بر پذیرایی مردمان عراق از زائران حسینی، چگونه نویسندگان به توصیف خوراکی‌ها و آشامیدنی‌ها پرداخته‌اند و از آن چه معنایی استنباط می‌شود؟</w:t>
      </w:r>
    </w:p>
    <w:p>
      <w:pPr>
        <w:pStyle w:val="BookText"/>
        <w:rPr/>
      </w:pPr>
      <w:r>
        <w:rPr>
          <w:rFonts w:ascii="IRNazanin" w:hAnsi="IRNazanin" w:eastAsia="IRNazanin"/>
          <w:color w:val="111111"/>
          <w:sz w:val="28"/>
          <w:sz w:val="28"/>
          <w:szCs w:val="28"/>
          <w:rtl w:val="true"/>
          <w:lang w:bidi="fa-IR"/>
        </w:rPr>
        <w:t xml:space="preserve">سفره رنگین برایمان پهن کردن و خلاصه حسابی شرمنده آنها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خانی،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عازم حرم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موکب جلوتر، حلیم گرم ایرانی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می‌گیرم و همانجا نوش جان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خوشمزه‌ترین حلیمی است که تا حالا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برای بچه‌هایم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هم برای آنها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برمی‌گشتم، حلیم را برسانم که در شلوغی جمعیت، فردی ایرانی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هوای عراق در این روزها به شدت </w:t>
      </w:r>
    </w:p>
    <w:p>
      <w:pPr>
        <w:pStyle w:val="BookText"/>
        <w:rPr/>
      </w:pPr>
      <w:r>
        <w:rPr>
          <w:rFonts w:ascii="IRNazanin" w:hAnsi="IRNazanin" w:eastAsia="IRNazanin"/>
          <w:color w:val="111111"/>
          <w:sz w:val="28"/>
          <w:sz w:val="28"/>
          <w:szCs w:val="28"/>
          <w:rtl w:val="true"/>
          <w:lang w:bidi="fa-IR"/>
        </w:rPr>
        <w:t>آلوده است؛ غذایی که می‌گیرید سریع میل کنید تا دچار مسمومیت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گوش کردم و پرس دوم را هم خودم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درد نکند، انگار هنوز دلم حلیم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 گرد، راه حرم را دوباره پی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حوالی ظهر است که از حرم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توزیع غذای موکب کناری می‌ایستم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خانی،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رفتن و بازگشتن به غذا توجه می‌شود و اصلا هدف نیست بلکه مقدمه امر دیگری است چرا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تمام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است که فراهم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که به واسطه حضرت پهن شده و نباید بی‌تبرک کردن وجود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قیمه پلوی خوشمزه‌ای 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ایرانی که در حال خوردن خورشت قیمه است، مسیر را می پرسم و راه را پی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جلوی همه موکب‌ها همراه پخش روضه به زبان عراقی، بساط صبحانه و پذیرایی با شیر گرم و چای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ایرج برای همه‌مان اسمی مخصوص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خیلی زود پی برده که من آدم باکرامتی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همه‌شان را به شام مهمان کردم و برایشان میوه خریدم همراه نان و پنیر و خیار و گوجه‌ای که می‌شود به عبارتی بساط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زمینی آمده و از هر نفر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در صف نذری؛ در جایی که کباب ترکی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طولانی بود و کباب ترکی به آرامی می‌چرخید و خیال پخته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التماس دعا گفتم و راه افتادم به سمت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 غذا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بی‌کیفیتی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سه برابر قیمت ایران حساب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حیدرآبادی‌های پاکستان طبقه پایین را قرق کرده بودند و وسط حیاط داشتند غذا می‌پختند و یک عالمه فلفل و زردچوبه و کاری ریخته بودند توی غذایشان و بوی تند </w:t>
      </w:r>
    </w:p>
    <w:p>
      <w:pPr>
        <w:pStyle w:val="BookText"/>
        <w:rPr/>
      </w:pPr>
      <w:r>
        <w:rPr>
          <w:rFonts w:ascii="IRNazanin" w:hAnsi="IRNazanin" w:eastAsia="IRNazanin"/>
          <w:color w:val="111111"/>
          <w:sz w:val="28"/>
          <w:sz w:val="28"/>
          <w:szCs w:val="28"/>
          <w:rtl w:val="true"/>
          <w:lang w:bidi="fa-IR"/>
        </w:rPr>
        <w:t xml:space="preserve">فلفل و ادویه رفته بود تا آخرین طبقه و آخرین اتاق جا خوش کرده بود و عجیب سروصدایی راه انداخته بودند و مدام صدای در قابلمه و کفگیر و بشقاب بود که کوبیده می‌شد توی مخمان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امیرخانی سفارش کرده بود هر وقت خواستید بروید جایی غذا بخورید کثیف‌ترین رستوران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را خورده نخورده پا شدیم برویم به سفارش رضا امیرخانی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سفارشش خوردن تخم مرغ نیمرو در کوچه یا خیابان آن هم در کنار زباله فراوان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در مسیر راه از گرانی غذا در نجف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دوستان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رفتم ایستادم نذری گرفتم؛ هم غذایش خوشمزه‌تر بود هم مجانی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جلوتر ناهار حاضر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ظرف غذا را جلویمان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بفرما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 صبح است و دارند از همین حالا ناهار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تا به حال هزار جور غذا در مسیر راه به ما تعارف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چای خوردم با یک استکان شیرکاکائوی داغ و یک کاسه کوچک 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نان و پنیر نذری می‌دادند، جایی نان و تخم مرغ، جایی سوپ، جایی شلغم و هویج و جایی خرما و جایی نارنگی که می‌شود به عبارتی همان لارنگی خودمان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خبرنگار با کاساژ و اینترنت پر سرعت نذری به سراغمان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نذری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چلو مرغ است و بیش از اندازه خوراک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را گذاشته‌ایم در مسیر و در موکب‌ها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سیب نذری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سیب می‌خورم و کمی جلوتر شیر است و فرنی داغ، با تکه نانی که خیلی می‌چسبد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اینجاها تعداد موکب‌هایی که غذا می‌دهند زیادتر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غذا را روی سینی و روی سر گذاشته‌اند و وسط جمعیت نشسته‌اند تا زائران بدون هیچ دردسری غذایشان را </w:t>
      </w:r>
    </w:p>
    <w:p>
      <w:pPr>
        <w:pStyle w:val="BookText"/>
        <w:rPr/>
      </w:pPr>
      <w:r>
        <w:rPr>
          <w:rFonts w:ascii="IRNazanin" w:hAnsi="IRNazanin" w:eastAsia="IRNazanin"/>
          <w:color w:val="111111"/>
          <w:sz w:val="28"/>
          <w:sz w:val="28"/>
          <w:szCs w:val="28"/>
          <w:rtl w:val="true"/>
          <w:lang w:bidi="fa-IR"/>
        </w:rPr>
        <w:t>بردارند 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قیمه، مرغ، ماهی، خورشت بامیه، خورشت لوبیا، و هزارجور غذای دیگر پخته‌اند و بیشتر در ظروف یکبار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صبح خیلی از موکب‌ها چای داغ داشتند با شیر و تخم مرغ و کمی جلوتر سوپ داغ و فرنی و چیزهای دیگر و همه نذری و عداد موکب‌ها هم آنقدر زیاد بود که نیازی به ایستادن در صف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خودش از شاعران طنزپرداز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خلیفه دانشم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خیلفه داعش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هم این بود که در هر موکبی چیزی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موکب‌ها از همین‌جا شروع شده‌اند و ما در مسیر آمدن به خانه، با اصرار یکی از همین موکب داران صبحانه را همان‌جا و در اولین موکب رسمی‌ای که من در عمرم تجربه کردم، خوردیم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 صرف صبحانه گذشته و ما هم که صبحانه خورده‌ایم؛ اما خب، این دلیل نمی‌شود که صاحب خانه وقتی از ما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میل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سربالا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یک ضرب المثل قدیمی هست که که می‌گوید در مواردی که مفت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خیلی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گروه ما را جوری تحویل گرفته که هم خود ما و هم دیگرانی که توی خانه هستند، همه تعجب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عیوضی،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ناهار را که الدجاجه بود در خانه ابوعلا می‌خوریم و می‌زنیم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وعده‌های غذایی از آن جهت اهمیت دارند که سرآغاز کاری هستند نه از جهت محتوای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دو سه روزی از قم دور افتاده‌ام و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خونم به شدت کم شده‌است، مثل عقاب عصبانی‌ای که دنبال شکار باشد، چشم می‌چرخانم تا بلکه موکب فلافل 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 بها همچنان سخت مشغول‌اند؛ امّا با بی‌تفاوتی از کنارشان رد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در مراسم پیاده‌روی اربعین، صرفاً یک نیاز جسمانی نیست، بلکه واجد ابعاد معنوی، فرهنگی و اجتماعی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زائران، نذری و عمل خیرخواهانه‌ای </w:t>
      </w:r>
      <w:bookmarkStart w:id="189" w:name="pg18842_238237"/>
    </w:p>
    <w:p>
      <w:pPr>
        <w:pStyle w:val="BookText"/>
        <w:rPr/>
      </w:pPr>
      <w:bookmarkEnd w:id="189"/>
      <w:r>
        <w:rPr>
          <w:rFonts w:ascii="IRNazanin" w:hAnsi="IRNazanin" w:eastAsia="IRNazanin"/>
          <w:color w:val="111111"/>
          <w:sz w:val="28"/>
          <w:sz w:val="28"/>
          <w:szCs w:val="28"/>
          <w:rtl w:val="true"/>
          <w:lang w:bidi="fa-IR"/>
        </w:rPr>
        <w:t xml:space="preserve">است که ثواب معنوی فراوانی دارد و سفره‌های اطعام در موکب‌ها، نمادی از مهمان نوازی، کرامت انسانی، همبستگی و برادری بین مسلمانان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متون ارائه شده فوق، می‌توان به چند نکته کلیدی درباره مفهوم غذا یا خوراک در مراسم پیاده‌روی اربعین برای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190" w:name="__RefHeading___Toc14423837_1280447820"/>
      <w:bookmarkStart w:id="191" w:name="_Toc68"/>
      <w:bookmarkEnd w:id="190"/>
      <w:r>
        <w:rPr/>
        <w:t>1</w:t>
      </w:r>
      <w:r>
        <w:rPr>
          <w:rtl w:val="true"/>
        </w:rPr>
        <w:t xml:space="preserve">. </w:t>
      </w:r>
      <w:r>
        <w:rPr>
          <w:rtl w:val="true"/>
        </w:rPr>
        <w:t>نذری</w:t>
      </w:r>
      <w:bookmarkEnd w:id="191"/>
    </w:p>
    <w:p>
      <w:pPr>
        <w:pStyle w:val="BookText"/>
        <w:rPr/>
      </w:pPr>
      <w:r>
        <w:rPr>
          <w:rFonts w:ascii="IRNazanin" w:hAnsi="IRNazanin" w:eastAsia="IRNazanin"/>
          <w:color w:val="111111"/>
          <w:sz w:val="28"/>
          <w:sz w:val="28"/>
          <w:szCs w:val="28"/>
          <w:rtl w:val="true"/>
          <w:lang w:bidi="fa-IR"/>
        </w:rPr>
        <w:t>بخش قابل توجهی از غذاها در موکب‌ها به صورت نذری ارائه می‌شود و زائران می‌توانند به طور رایگان از آنها میل کنند؛ تنوع غذای نذری بالا است و شامل انواع غذاهای ایرانی، عربی و عراقی می‌شود؛ نذری دادن غذا، نوعی عمل خیرخواهانه و ثواب محسوب می‌شود و بسیاری از مردم عراق در این امر مشارکت می‌کنند</w:t>
      </w:r>
      <w:r>
        <w:rPr>
          <w:rFonts w:eastAsia="IRNazanin" w:cs="IRNazanin"/>
          <w:color w:val="111111"/>
          <w:sz w:val="28"/>
          <w:szCs w:val="28"/>
          <w:rtl w:val="true"/>
          <w:lang w:bidi="fa-IR"/>
        </w:rPr>
        <w:t>.</w:t>
      </w:r>
    </w:p>
    <w:p>
      <w:pPr>
        <w:pStyle w:val="Heading4"/>
        <w:numPr>
          <w:ilvl w:val="3"/>
          <w:numId w:val="1"/>
        </w:numPr>
        <w:rPr/>
      </w:pPr>
      <w:bookmarkStart w:id="192" w:name="__RefHeading___Toc14423839_1280447820"/>
      <w:bookmarkStart w:id="193" w:name="_Toc69"/>
      <w:bookmarkEnd w:id="192"/>
      <w:r>
        <w:rPr/>
        <w:t>2</w:t>
      </w:r>
      <w:r>
        <w:rPr>
          <w:rtl w:val="true"/>
        </w:rPr>
        <w:t xml:space="preserve">. </w:t>
      </w:r>
      <w:r>
        <w:rPr>
          <w:rtl w:val="true"/>
        </w:rPr>
        <w:t>مشارکت و همدلی</w:t>
      </w:r>
      <w:bookmarkEnd w:id="193"/>
    </w:p>
    <w:p>
      <w:pPr>
        <w:pStyle w:val="BookText"/>
        <w:rPr/>
      </w:pPr>
      <w:r>
        <w:rPr>
          <w:rFonts w:ascii="IRNazanin" w:hAnsi="IRNazanin" w:eastAsia="IRNazanin"/>
          <w:color w:val="111111"/>
          <w:sz w:val="28"/>
          <w:sz w:val="28"/>
          <w:szCs w:val="28"/>
          <w:rtl w:val="true"/>
          <w:lang w:bidi="fa-IR"/>
        </w:rPr>
        <w:t>توزیع و پذیرایی غذا در موکب‌ها، فرصتی برای همدلی و تعاون بین زائران از ملیت‌ها و مذاهب مختلف ایجاد می‌کند؛ این امر، حس نوع‌دوستی و مهمان‌نوازی را در بین مردم تقویت می‌کند</w:t>
      </w:r>
      <w:r>
        <w:rPr>
          <w:rFonts w:eastAsia="IRNazanin" w:cs="IRNazanin"/>
          <w:color w:val="111111"/>
          <w:sz w:val="28"/>
          <w:szCs w:val="28"/>
          <w:rtl w:val="true"/>
          <w:lang w:bidi="fa-IR"/>
        </w:rPr>
        <w:t>.</w:t>
      </w:r>
    </w:p>
    <w:p>
      <w:pPr>
        <w:pStyle w:val="Heading4"/>
        <w:numPr>
          <w:ilvl w:val="3"/>
          <w:numId w:val="1"/>
        </w:numPr>
        <w:rPr/>
      </w:pPr>
      <w:bookmarkStart w:id="194" w:name="__RefHeading___Toc14423841_1280447820"/>
      <w:bookmarkStart w:id="195" w:name="_Toc70"/>
      <w:bookmarkEnd w:id="194"/>
      <w:r>
        <w:rPr/>
        <w:t>3</w:t>
      </w:r>
      <w:r>
        <w:rPr>
          <w:rtl w:val="true"/>
        </w:rPr>
        <w:t xml:space="preserve">. </w:t>
      </w:r>
      <w:r>
        <w:rPr>
          <w:rtl w:val="true"/>
        </w:rPr>
        <w:t>اهمیت</w:t>
      </w:r>
      <w:bookmarkEnd w:id="195"/>
    </w:p>
    <w:p>
      <w:pPr>
        <w:pStyle w:val="BookText"/>
        <w:rPr/>
      </w:pPr>
      <w:r>
        <w:rPr>
          <w:rFonts w:ascii="IRNazanin" w:hAnsi="IRNazanin" w:eastAsia="IRNazanin"/>
          <w:color w:val="111111"/>
          <w:sz w:val="28"/>
          <w:sz w:val="28"/>
          <w:szCs w:val="28"/>
          <w:rtl w:val="true"/>
          <w:lang w:bidi="fa-IR"/>
        </w:rPr>
        <w:t xml:space="preserve">غذا در این سفر معنوی، از اهمیتی فراتر از رفع نیاز جسمانی برخوردار است؛ تناول غذا در موکب ها، به‌مثابه تبرک جستن از سفره کرم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اطعام زائران، نوعی نذری و عمل خیرخواهانه محسوب می‌شود که ثواب معنوی فراوانی دارد</w:t>
      </w:r>
      <w:r>
        <w:rPr>
          <w:rFonts w:eastAsia="IRNazanin" w:cs="IRNazanin"/>
          <w:color w:val="111111"/>
          <w:sz w:val="28"/>
          <w:szCs w:val="28"/>
          <w:rtl w:val="true"/>
          <w:lang w:bidi="fa-IR"/>
        </w:rPr>
        <w:t>.</w:t>
      </w:r>
    </w:p>
    <w:p>
      <w:pPr>
        <w:pStyle w:val="Heading4"/>
        <w:numPr>
          <w:ilvl w:val="3"/>
          <w:numId w:val="1"/>
        </w:numPr>
        <w:rPr/>
      </w:pPr>
      <w:bookmarkStart w:id="196" w:name="__RefHeading___Toc14423843_1280447820"/>
      <w:bookmarkStart w:id="197" w:name="_Toc71"/>
      <w:bookmarkEnd w:id="196"/>
      <w:r>
        <w:rPr/>
        <w:t>4</w:t>
      </w:r>
      <w:r>
        <w:rPr>
          <w:rtl w:val="true"/>
        </w:rPr>
        <w:t xml:space="preserve">. </w:t>
      </w:r>
      <w:r>
        <w:rPr>
          <w:rtl w:val="true"/>
        </w:rPr>
        <w:t>تنوع</w:t>
      </w:r>
      <w:bookmarkEnd w:id="19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گسترده‌ای در نوع غذاهای ارائه شده در موکب‌ها به چشم می‌آید؛ غذاهای محلی و سنتی عراقی، به همراه غذاهای ایرانی و سایر ملل، در موکب‌ها سرو می‌شوند؛ چای، شیر، نان، تخم مرغ، سوپ، فرنی، حلیم، قیمه پلو، خورشت قیمه، خورشت بامیه، خورشت لوبیا، مرغ، ماهی و فلافل از جمله غذاهایی هستند که در موکب‌ها به زائران </w:t>
      </w:r>
      <w:bookmarkStart w:id="198" w:name="pg18842_238238"/>
    </w:p>
    <w:p>
      <w:pPr>
        <w:pStyle w:val="BookText"/>
        <w:rPr/>
      </w:pPr>
      <w:bookmarkEnd w:id="198"/>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w:t>
      </w:r>
    </w:p>
    <w:p>
      <w:pPr>
        <w:pStyle w:val="Heading4"/>
        <w:numPr>
          <w:ilvl w:val="3"/>
          <w:numId w:val="1"/>
        </w:numPr>
        <w:rPr/>
      </w:pPr>
      <w:bookmarkStart w:id="199" w:name="__RefHeading___Toc14423845_1280447820"/>
      <w:bookmarkStart w:id="200" w:name="_Toc72"/>
      <w:bookmarkEnd w:id="199"/>
      <w:r>
        <w:rPr/>
        <w:t>5</w:t>
      </w:r>
      <w:r>
        <w:rPr>
          <w:rtl w:val="true"/>
        </w:rPr>
        <w:t xml:space="preserve">. </w:t>
      </w:r>
      <w:r>
        <w:rPr>
          <w:rtl w:val="true"/>
        </w:rPr>
        <w:t>فراوانی</w:t>
      </w:r>
      <w:bookmarkEnd w:id="200"/>
    </w:p>
    <w:p>
      <w:pPr>
        <w:pStyle w:val="BookText"/>
        <w:rPr/>
      </w:pPr>
      <w:r>
        <w:rPr>
          <w:rFonts w:ascii="IRNazanin" w:hAnsi="IRNazanin" w:eastAsia="IRNazanin"/>
          <w:color w:val="111111"/>
          <w:sz w:val="28"/>
          <w:sz w:val="28"/>
          <w:szCs w:val="28"/>
          <w:rtl w:val="true"/>
          <w:lang w:bidi="fa-IR"/>
        </w:rPr>
        <w:t>موکب‌ها در طول مسیر پیاده‌روی به وفور یافت می‌شوند و در هر وعده غذایی، امکان پذیرایی از زائران فراهم است؛ زائران می‌توانند بدون نیاز به صرف هزینه، غذای مورد نیاز خود را در طول مسیر تهیه کنند</w:t>
      </w:r>
      <w:r>
        <w:rPr>
          <w:rFonts w:eastAsia="IRNazanin" w:cs="IRNazanin"/>
          <w:color w:val="111111"/>
          <w:sz w:val="28"/>
          <w:szCs w:val="28"/>
          <w:rtl w:val="true"/>
          <w:lang w:bidi="fa-IR"/>
        </w:rPr>
        <w:t>.</w:t>
      </w:r>
    </w:p>
    <w:p>
      <w:pPr>
        <w:pStyle w:val="Heading4"/>
        <w:numPr>
          <w:ilvl w:val="3"/>
          <w:numId w:val="1"/>
        </w:numPr>
        <w:rPr/>
      </w:pPr>
      <w:bookmarkStart w:id="201" w:name="__RefHeading___Toc14423847_1280447820"/>
      <w:bookmarkStart w:id="202" w:name="_Toc73"/>
      <w:bookmarkEnd w:id="201"/>
      <w:r>
        <w:rPr/>
        <w:t>6</w:t>
      </w:r>
      <w:r>
        <w:rPr>
          <w:rtl w:val="true"/>
        </w:rPr>
        <w:t xml:space="preserve">. </w:t>
      </w:r>
      <w:r>
        <w:rPr>
          <w:rtl w:val="true"/>
        </w:rPr>
        <w:t>کیفیت</w:t>
      </w:r>
      <w:bookmarkEnd w:id="202"/>
    </w:p>
    <w:p>
      <w:pPr>
        <w:pStyle w:val="BookText"/>
        <w:rPr/>
      </w:pPr>
      <w:r>
        <w:rPr>
          <w:rFonts w:ascii="IRNazanin" w:hAnsi="IRNazanin" w:eastAsia="IRNazanin"/>
          <w:color w:val="111111"/>
          <w:sz w:val="28"/>
          <w:sz w:val="28"/>
          <w:szCs w:val="28"/>
          <w:rtl w:val="true"/>
          <w:lang w:bidi="fa-IR"/>
        </w:rPr>
        <w:t>کیفیت غذاها در موکب‌ها متفاوت است؛ برخی از موکب‌ها، غذای باکیفیت و خوشمزه ارائه می‌دهند، در حالی که کیفیت غذای برخی دیگر ممکن است مطلوب نباشد؛ به دلیل تنوع موکب‌ها، زائران می‌توانند موکبی را انتخاب کنند که غذای مورد علاقه آنها را با کیفیت مناسب ارائه می‌دهد</w:t>
      </w:r>
      <w:r>
        <w:rPr>
          <w:rFonts w:eastAsia="IRNazanin" w:cs="IRNazanin"/>
          <w:color w:val="111111"/>
          <w:sz w:val="28"/>
          <w:szCs w:val="28"/>
          <w:rtl w:val="true"/>
          <w:lang w:bidi="fa-IR"/>
        </w:rPr>
        <w:t>.</w:t>
      </w:r>
    </w:p>
    <w:p>
      <w:pPr>
        <w:pStyle w:val="Heading4"/>
        <w:numPr>
          <w:ilvl w:val="3"/>
          <w:numId w:val="1"/>
        </w:numPr>
        <w:rPr/>
      </w:pPr>
      <w:bookmarkStart w:id="203" w:name="__RefHeading___Toc14423849_1280447820"/>
      <w:bookmarkStart w:id="204" w:name="_Toc74"/>
      <w:bookmarkEnd w:id="203"/>
      <w:r>
        <w:rPr/>
        <w:t>7</w:t>
      </w:r>
      <w:r>
        <w:rPr>
          <w:rtl w:val="true"/>
        </w:rPr>
        <w:t xml:space="preserve">. </w:t>
      </w:r>
      <w:r>
        <w:rPr>
          <w:rtl w:val="true"/>
        </w:rPr>
        <w:t>نکات فرهنگی</w:t>
      </w:r>
      <w:bookmarkEnd w:id="204"/>
    </w:p>
    <w:p>
      <w:pPr>
        <w:pStyle w:val="BookText"/>
        <w:rPr/>
      </w:pPr>
      <w:r>
        <w:rPr>
          <w:rFonts w:ascii="IRNazanin" w:hAnsi="IRNazanin" w:eastAsia="IRNazanin"/>
          <w:color w:val="111111"/>
          <w:sz w:val="28"/>
          <w:sz w:val="28"/>
          <w:szCs w:val="28"/>
          <w:rtl w:val="true"/>
          <w:lang w:bidi="fa-IR"/>
        </w:rPr>
        <w:t>خوردن غذا در کنار سایر زائران، فرصتی برای تبادل فرهنگ و آشنایی با افراد مختلف از ملیت‌ها و مذاهب گوناگون فراهم می‌کند؛ پذیرایی و اطعام زائران، نمادی از مهمان‌نوازی و کرامت انسانی است که در فرهنگ اسلامی و عربی از جایگاه ویژه‌ای برخوردار است؛ سفره‌های اطعام در موکب‌ها، تجلی همبستگی و برادری بین مسلمانان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کشور عراق، کشوری عرب زبان است و رویداد اربعین حسینی نیز رویدادی بین المللی است، چگونه نویسندگان پدیده‌های زبانی را توصیف کرده‌اند؟</w:t>
      </w:r>
    </w:p>
    <w:p>
      <w:pPr>
        <w:pStyle w:val="BookText"/>
        <w:rPr/>
      </w:pPr>
      <w:r>
        <w:rPr>
          <w:rFonts w:ascii="IRNazanin" w:hAnsi="IRNazanin" w:eastAsia="IRNazanin"/>
          <w:color w:val="111111"/>
          <w:sz w:val="28"/>
          <w:sz w:val="28"/>
          <w:szCs w:val="28"/>
          <w:rtl w:val="true"/>
          <w:lang w:bidi="fa-IR"/>
        </w:rPr>
        <w:t xml:space="preserve">فارسی بلد نبودند و مبلغ کرایه خود را بر روی صفحه گوشی یا روی شیشه خودرو نوشته بودند و به مسافران نشان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خانی،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حمل کالسکه یا همان ارابه عراقی باید خودرویی سوار می‌شدیم که مجهز به باربند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جلوی همه موکب‌ها پخش روضه به زبان عربی، بساط صبحانه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خانمی از اهواز زحمت ترجمه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موکبی می‌رسیم با عباراتی نظیر تکمیل، فول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سعی می‌کنیم دقایقی با هم گپ بزنیم، اما نه او فارسی می‌داند و نه من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آبادانی که خوردن ناهارش را به اتمام رسانده است، زحمت ترجمه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چپم جوانی از اهالی شهرستان جیرفت استان کرمان است که با مزاح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یواشتر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هم قاطی‌اش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همه سروصداها،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همه زبان‌ها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هشت روز، به مرز رسمی کشور عزیزمان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چند روزی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بوده‌ایم،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خوشامدگویی با زبان فارسی در پایانه مرزی کمی برایمان حالت غیرعادی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مردمی که با عربی دست و پا شکسته از او درباره مسافت باقی مانده تا شهر سوال می‌کنند، جواب می‌دهد؛ اما هیچ کس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جمعیت جلو می‌رود و به عربی مشغول صحبت با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می‌بینند چه خوب صحبت می‌کند، ناخودآگاه خودشان ساکت می‌شوند تا بلکه چیزی دستگیرشان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عیوضی،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تکلم به زبان دیگر، درباره عراقی‌ها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راننده‌های عراقی، ابتکار خرج می‌دهند و ضمن فریاد قیمت نجف برای هر نفر به زبان عربی، آن را به فارسی هم تکرار می‌کنند؛ مثلاً یکی از آنها به عربی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اربع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را به زبان فارسی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سی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آخرین بار، مبلغ طی شده را برای رفع ابهام تکرار می‌کند و به زبان عربی می‌گوید که نفری سی هزار تومان کرایه خواهد گرفت؛ اما یکی از بچه‌ها که متوجه عدد و رقم در زبان عربی نبوده، با عربی دست و پا شکسته و با تأکید فراوان، به راننده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نفری سی و پنج هزار تومان بیشتر نمی‌دهیم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بلندگوها با لهجه عربی، گمشده‌ای را این گونه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زضا خرچه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خرچه ای به درب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خانواده منتظرن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موضوع جلسه تمرکز کرده‌ایم که ناگهان صاحب خانه در را باز می‌کند و با سینی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هلبیکم یا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پسر جوان عراقی تقاضای دو تا فلافل کنم، ذهنم را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واحد، ایرانی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با سه جوان اهل سوریه گرم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نگاه می‌کنم، یکی برایمجالب می‌شود که چطور او با آنها ارتباط برقرار کده و اینطوری با هم گرم گفتوگو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می‌روم تا ببینم درباره چه چیزی و دقیقا چطوری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می‌گذرد، متوجه می‌شوم هیچ کدام حرف دیگری را نمی‌فهمند و هرکسی دارد حرف خودش را به زبان خودش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دوستمان که توجه و نگاه بچه‌ها را می‌بیند، از جوان سوریه‌ای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او ایستاده و به جوان عراقی ملاقه به دست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رأس الحلیب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بیچاره فقط هاج و واج نگاه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بچه‌ها که صحبت ما را می‌شنود، خیلی جدی جلو می‌آید و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 عزیز من اشتباه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می‌گفتی رأس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رفیقمان موکب بربری را پیدا کرده و در فرصت ایستادن توی صف، پیش خودش آماده کرده بود که کسی که نان‌ها را توزیع می‌کند و به هر نفر نصف نان بیشتر نمی‌دهد،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خمسین و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پونزده نفریم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بلکه نان بیشتری از او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 و ندارمون رو به کار گرفتیم تا بهترین واژه‌های عربی ژرف و شکوه‌مندی رو که بیانگر اوج تشکر و قدردانیه، پیدا کنیم و اخر کار به مرد بگیم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دو انگشت دست، درخواست خود را مبنی‌بر اینکه دوتا کباب می‌خواهم، با او در میان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خندان هیکلی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می‌بینم خودش می‌خواهد با من راه بیاید، البته با تردید،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همراهانمان که طلبه است و در جریان صحبت‌هایی که با مردم می‌کنیم کمکمان می‌کند، جلو می‌رود و از ایشان می‌خواهد تلفنی بدهند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کتری بزرگ چای ایرانی می‌ایستم، لیوانم را بیرون می‌کشم و جلوی مرد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گرفته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دو نفر به مرد پشت دیگ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اولون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اینجا نشست کرد، انتم نیم ساعت بعد ما را خبر کرد، 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می‌پذیرم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میام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میفتم و پیش خودم فکر می‌کنم که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 میام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زبان فارسی از هر طرف بنویسی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باشه میام پس، پس میام باشه، میام باشه پس، باشه پس میام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مهرداد با مردی اروپایی مشغول صحبت به زبان انگلیسی بوده، علی همزمان مردی لبنانی را دعوت به مصاحبه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نوبت مصاحبه عربی با مرد لبنانی شده، مهرداد هیچ جوره زیر بار صحت با زبان عربی نمی‌رود و خیلی جدی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الان انگلیسی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تا چند ساعت عربی یادم نمیاد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جلوی من ایستاده و برای خودش روضه و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هم می‌خواند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عرب پشت میز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بماد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هم فکر کرده بود اینها جایی‌شان را با آتش سوزانده‌اند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خواب باز هم بچه‌ها در عربی حرف زدن شاهکار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رفته از خادمی که روی تعدادی پتو نشسته، پتوی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کجا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اشاره به سقف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دمغ شده و می‌رود سرجای قبلی‌اش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راننده هم مدام غُرِ عربی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پوزخند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پنچر؟ ها؟ عقل انت پنچر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سمنانی شد مادر خرج و راننده هم کُلی کلمات فارسی و جملات فارسی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عربی داشت برای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راننده می‌خواست بگوید بیست دقیقه، فارسی را فراموش کرده بود و می‌گفت دو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طوی حالی‌اش کردیم که اینجا محل اقامت پارسال دوستان ما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در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فیلم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هندوستانی با لهجه فارسی به من سلام کرد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این روزها به کلاس مکالمه عربی می‌رود و در دیدار با هیئت‌های عربی از حوزه هنری همیشه یکی دو دقیقه‌ای به زبان عربی خوشامد می‌گوید، تا رفت مزه عربی گفتن را بچشد و 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عفواً یا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چلو کباب میخواهی یا جوجه؟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عرب میوه فروش به جای نارنگی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نامردی نمی‌کنم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این لارنگی‌ها سیخی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کیلویی نه سیخ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یک دفعه فارسی‌اش گل کرد و به جای مشتری مداری از مدار خارج شد و یک نفرین آب نکشیده خرج امواتمان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کمال خونسردی و تواضع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کشیده نه چندان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مشمّا را باز کند و چفیه را نشانم بدهد که دیدم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الچفیه با مشمّا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05" w:name="pg18842_238243"/>
    </w:p>
    <w:p>
      <w:pPr>
        <w:pStyle w:val="BookText"/>
        <w:rPr/>
      </w:pPr>
      <w:bookmarkEnd w:id="205"/>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لارنگ‌ها کیلویی 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لارنگی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فهمیدم نارنگی‌اش اصل است و فارسی‌اش بهتر از میوه فروش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یا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برسبولیس؟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لابرسبولیس لا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کج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جلوتر بحث قمه زدن و نزدن بود و یک مرد عراقی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قمه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کربلا قمه 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سفارتِ انگلیس از بغداد با رابط قمه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شما چند اشتباه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قمه 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قمه زن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 اگر عربی بگویی، اکثر من ده تا بیست تا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که قبولت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 هیچ به نفع تیم ملی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برادران عراقی این طوری اگر پیش بروند، تا چند سال آینده فارسی‌شان از ما هم بهتر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عراقی با لهجه عربی و با زبان فارسی مدام نام گمشدگان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رضایی از شهر آغاجاری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منتظرش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ترکمن‌های موصل بودند به ترکی صحبت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عرب بساط قصه گویی راه انداخته؛ چیزی شبیه تئاترهای خیابانی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محلی دارد و خوب حرف‌هایش را متوجه نمی‌شوم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یافته‌های به دست آمده از متن سفرنامه‌های زائران اربعین حسینی، پدیده‌های زبانی جالبی در پیاده‌روی اربعین دیده می‌شود که با تحلیل آنها می‌توان به نتایج زیر اشاره کرد</w:t>
      </w:r>
      <w:r>
        <w:rPr>
          <w:rFonts w:eastAsia="IRNazanin" w:cs="IRNazanin"/>
          <w:color w:val="111111"/>
          <w:sz w:val="28"/>
          <w:szCs w:val="28"/>
          <w:rtl w:val="true"/>
          <w:lang w:bidi="fa-IR"/>
        </w:rPr>
        <w:t>:</w:t>
      </w:r>
    </w:p>
    <w:p>
      <w:pPr>
        <w:pStyle w:val="Heading3"/>
        <w:numPr>
          <w:ilvl w:val="2"/>
          <w:numId w:val="1"/>
        </w:numPr>
        <w:rPr/>
      </w:pPr>
      <w:bookmarkStart w:id="206" w:name="__RefHeading___Toc14423851_1280447820"/>
      <w:bookmarkStart w:id="207" w:name="_Toc75"/>
      <w:bookmarkEnd w:id="206"/>
      <w:r>
        <w:rPr/>
        <w:t>1</w:t>
      </w:r>
      <w:r>
        <w:rPr>
          <w:rtl w:val="true"/>
        </w:rPr>
        <w:t xml:space="preserve">. </w:t>
      </w:r>
      <w:r>
        <w:rPr>
          <w:rtl w:val="true"/>
        </w:rPr>
        <w:t>تنوع زبانی</w:t>
      </w:r>
      <w:bookmarkEnd w:id="20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زائران با زبان‌های مختلفی از جمله فارسی، عربی، انگلیسی، ترکی و لهجه‌های مختلف عربی و فارسی روبه‌رو می‌شوند</w:t>
      </w:r>
      <w:r>
        <w:rPr>
          <w:rFonts w:eastAsia="IRNazanin" w:cs="IRNazanin"/>
          <w:color w:val="111111"/>
          <w:sz w:val="28"/>
          <w:szCs w:val="28"/>
          <w:rtl w:val="true"/>
          <w:lang w:bidi="fa-IR"/>
        </w:rPr>
        <w:t xml:space="preserve">. </w:t>
      </w:r>
      <w:bookmarkStart w:id="208" w:name="pg18842_238244"/>
    </w:p>
    <w:p>
      <w:pPr>
        <w:pStyle w:val="Heading3"/>
        <w:numPr>
          <w:ilvl w:val="2"/>
          <w:numId w:val="1"/>
        </w:numPr>
        <w:rPr/>
      </w:pPr>
      <w:bookmarkStart w:id="209" w:name="__RefHeading___Toc14423853_1280447820"/>
      <w:bookmarkStart w:id="210" w:name="_Toc76"/>
      <w:bookmarkEnd w:id="208"/>
      <w:bookmarkEnd w:id="209"/>
      <w:r>
        <w:rPr/>
        <w:t>2</w:t>
      </w:r>
      <w:r>
        <w:rPr>
          <w:rtl w:val="true"/>
        </w:rPr>
        <w:t xml:space="preserve">. </w:t>
      </w:r>
      <w:r>
        <w:rPr>
          <w:rtl w:val="true"/>
        </w:rPr>
        <w:t>چالش‌های ارتباطی</w:t>
      </w:r>
      <w:bookmarkEnd w:id="210"/>
    </w:p>
    <w:p>
      <w:pPr>
        <w:pStyle w:val="BookText"/>
        <w:rPr/>
      </w:pPr>
      <w:r>
        <w:rPr>
          <w:rFonts w:ascii="IRNazanin" w:hAnsi="IRNazanin" w:eastAsia="IRNazanin"/>
          <w:color w:val="111111"/>
          <w:sz w:val="28"/>
          <w:sz w:val="28"/>
          <w:szCs w:val="28"/>
          <w:rtl w:val="true"/>
          <w:lang w:bidi="fa-IR"/>
        </w:rPr>
        <w:t>عدم تسلط به زبان مشترک، چالش‌هایی را در برقراری ارتباط بین زائران ایجاد می‌کند؛ استفاده از زبان اشاره، انگلیسی و عبارات ساده فارسی و عربی برای برقراری ارتباط</w:t>
      </w:r>
      <w:r>
        <w:rPr>
          <w:rFonts w:eastAsia="IRNazanin" w:cs="IRNazanin"/>
          <w:color w:val="111111"/>
          <w:sz w:val="28"/>
          <w:szCs w:val="28"/>
          <w:rtl w:val="true"/>
          <w:lang w:bidi="fa-IR"/>
        </w:rPr>
        <w:t>.</w:t>
      </w:r>
    </w:p>
    <w:p>
      <w:pPr>
        <w:pStyle w:val="Heading3"/>
        <w:numPr>
          <w:ilvl w:val="2"/>
          <w:numId w:val="1"/>
        </w:numPr>
        <w:rPr/>
      </w:pPr>
      <w:bookmarkStart w:id="211" w:name="__RefHeading___Toc14423855_1280447820"/>
      <w:bookmarkStart w:id="212" w:name="_Toc77"/>
      <w:bookmarkEnd w:id="211"/>
      <w:r>
        <w:rPr/>
        <w:t>3</w:t>
      </w:r>
      <w:r>
        <w:rPr>
          <w:rtl w:val="true"/>
        </w:rPr>
        <w:t xml:space="preserve">. </w:t>
      </w:r>
      <w:r>
        <w:rPr>
          <w:rtl w:val="true"/>
        </w:rPr>
        <w:t>خلاقیت زبانی</w:t>
      </w:r>
      <w:bookmarkEnd w:id="212"/>
    </w:p>
    <w:p>
      <w:pPr>
        <w:pStyle w:val="BookText"/>
        <w:rPr/>
      </w:pPr>
      <w:r>
        <w:rPr>
          <w:rFonts w:ascii="IRNazanin" w:hAnsi="IRNazanin" w:eastAsia="IRNazanin"/>
          <w:color w:val="111111"/>
          <w:sz w:val="28"/>
          <w:sz w:val="28"/>
          <w:szCs w:val="28"/>
          <w:rtl w:val="true"/>
          <w:lang w:bidi="fa-IR"/>
        </w:rPr>
        <w:t>زائران برای برقراری ارتباط، از خلاقیت زبانی و عبارات طنز استفاده می‌کنند؛ استفاده از زبان بدن و حرکات دست برای جبران کمبود دانش زبانی</w:t>
      </w:r>
      <w:r>
        <w:rPr>
          <w:rFonts w:eastAsia="IRNazanin" w:cs="IRNazanin"/>
          <w:color w:val="111111"/>
          <w:sz w:val="28"/>
          <w:szCs w:val="28"/>
          <w:rtl w:val="true"/>
          <w:lang w:bidi="fa-IR"/>
        </w:rPr>
        <w:t>.</w:t>
      </w:r>
    </w:p>
    <w:p>
      <w:pPr>
        <w:pStyle w:val="Heading3"/>
        <w:numPr>
          <w:ilvl w:val="2"/>
          <w:numId w:val="1"/>
        </w:numPr>
        <w:rPr/>
      </w:pPr>
      <w:bookmarkStart w:id="213" w:name="__RefHeading___Toc14423857_1280447820"/>
      <w:bookmarkStart w:id="214" w:name="_Toc78"/>
      <w:bookmarkEnd w:id="213"/>
      <w:r>
        <w:rPr/>
        <w:t>4</w:t>
      </w:r>
      <w:r>
        <w:rPr>
          <w:rtl w:val="true"/>
        </w:rPr>
        <w:t xml:space="preserve">. </w:t>
      </w:r>
      <w:r>
        <w:rPr>
          <w:rtl w:val="true"/>
        </w:rPr>
        <w:t>اشتباهات زبانی</w:t>
      </w:r>
      <w:bookmarkEnd w:id="214"/>
    </w:p>
    <w:p>
      <w:pPr>
        <w:pStyle w:val="BookText"/>
        <w:rPr/>
      </w:pPr>
      <w:r>
        <w:rPr>
          <w:rFonts w:ascii="IRNazanin" w:hAnsi="IRNazanin" w:eastAsia="IRNazanin"/>
          <w:color w:val="111111"/>
          <w:sz w:val="28"/>
          <w:sz w:val="28"/>
          <w:szCs w:val="28"/>
          <w:rtl w:val="true"/>
          <w:lang w:bidi="fa-IR"/>
        </w:rPr>
        <w:t>به دلیل عدم تسلط به زبان دوم، اشتباهات زبانی بامزه‌ای رخ می‌دهد؛ این اشتباهات گاه سوءتفاهم‌هایی را به وجود می‌آورد، اما در نهایت با خنده و صبر و حوصله حل می‌شود</w:t>
      </w:r>
      <w:r>
        <w:rPr>
          <w:rFonts w:eastAsia="IRNazanin" w:cs="IRNazanin"/>
          <w:color w:val="111111"/>
          <w:sz w:val="28"/>
          <w:szCs w:val="28"/>
          <w:rtl w:val="true"/>
          <w:lang w:bidi="fa-IR"/>
        </w:rPr>
        <w:t>.</w:t>
      </w:r>
    </w:p>
    <w:p>
      <w:pPr>
        <w:pStyle w:val="Heading3"/>
        <w:numPr>
          <w:ilvl w:val="2"/>
          <w:numId w:val="1"/>
        </w:numPr>
        <w:rPr/>
      </w:pPr>
      <w:bookmarkStart w:id="215" w:name="__RefHeading___Toc14423859_1280447820"/>
      <w:bookmarkStart w:id="216" w:name="_Toc79"/>
      <w:bookmarkEnd w:id="215"/>
      <w:r>
        <w:rPr/>
        <w:t>5</w:t>
      </w:r>
      <w:r>
        <w:rPr>
          <w:rtl w:val="true"/>
        </w:rPr>
        <w:t xml:space="preserve">. </w:t>
      </w:r>
      <w:r>
        <w:rPr>
          <w:rtl w:val="true"/>
        </w:rPr>
        <w:t>یادگیری زبان</w:t>
      </w:r>
      <w:bookmarkEnd w:id="216"/>
    </w:p>
    <w:p>
      <w:pPr>
        <w:pStyle w:val="BookText"/>
        <w:rPr/>
      </w:pPr>
      <w:r>
        <w:rPr>
          <w:rFonts w:ascii="IRNazanin" w:hAnsi="IRNazanin" w:eastAsia="IRNazanin"/>
          <w:color w:val="111111"/>
          <w:sz w:val="28"/>
          <w:sz w:val="28"/>
          <w:szCs w:val="28"/>
          <w:rtl w:val="true"/>
          <w:lang w:bidi="fa-IR"/>
        </w:rPr>
        <w:t>زائران در طول سفر، انگیزه زیادی برای یادگیری زبان‌های جدید پیدا می‌کنند؛ تبادل زبان و فرهنگ بین زائران از دیگر مزایای این سفر است</w:t>
      </w:r>
      <w:r>
        <w:rPr>
          <w:rFonts w:eastAsia="IRNazanin" w:cs="IRNazanin"/>
          <w:color w:val="111111"/>
          <w:sz w:val="28"/>
          <w:szCs w:val="28"/>
          <w:rtl w:val="true"/>
          <w:lang w:bidi="fa-IR"/>
        </w:rPr>
        <w:t>.</w:t>
      </w:r>
    </w:p>
    <w:p>
      <w:pPr>
        <w:pStyle w:val="Heading3"/>
        <w:numPr>
          <w:ilvl w:val="2"/>
          <w:numId w:val="1"/>
        </w:numPr>
        <w:rPr/>
      </w:pPr>
      <w:bookmarkStart w:id="217" w:name="__RefHeading___Toc14423861_1280447820"/>
      <w:bookmarkStart w:id="218" w:name="_Toc80"/>
      <w:bookmarkEnd w:id="217"/>
      <w:r>
        <w:rPr/>
        <w:t>6</w:t>
      </w:r>
      <w:r>
        <w:rPr>
          <w:rtl w:val="true"/>
        </w:rPr>
        <w:t xml:space="preserve">. </w:t>
      </w:r>
      <w:r>
        <w:rPr>
          <w:rtl w:val="true"/>
        </w:rPr>
        <w:t>همدلی و صبر</w:t>
      </w:r>
      <w:bookmarkEnd w:id="218"/>
    </w:p>
    <w:p>
      <w:pPr>
        <w:pStyle w:val="BookText"/>
        <w:rPr/>
      </w:pPr>
      <w:r>
        <w:rPr>
          <w:rFonts w:ascii="IRNazanin" w:hAnsi="IRNazanin" w:eastAsia="IRNazanin"/>
          <w:color w:val="111111"/>
          <w:sz w:val="28"/>
          <w:sz w:val="28"/>
          <w:szCs w:val="28"/>
          <w:rtl w:val="true"/>
          <w:lang w:bidi="fa-IR"/>
        </w:rPr>
        <w:t>زائران با وجود تفاوت‌های زبانی، با صبر و حوصله و همدلی سعی در برقراری ارتباط با یکدیگر دارند؛ زبان عشق و محبت، فراتر از زبان‌های رایج، بین زائران جاری است</w:t>
      </w:r>
      <w:r>
        <w:rPr>
          <w:rFonts w:eastAsia="IRNazanin" w:cs="IRNazanin"/>
          <w:color w:val="111111"/>
          <w:sz w:val="28"/>
          <w:szCs w:val="28"/>
          <w:rtl w:val="true"/>
          <w:lang w:bidi="fa-IR"/>
        </w:rPr>
        <w:t>.</w:t>
      </w:r>
    </w:p>
    <w:p>
      <w:pPr>
        <w:pStyle w:val="Heading3"/>
        <w:numPr>
          <w:ilvl w:val="2"/>
          <w:numId w:val="1"/>
        </w:numPr>
        <w:rPr/>
      </w:pPr>
      <w:bookmarkStart w:id="219" w:name="__RefHeading___Toc14423863_1280447820"/>
      <w:bookmarkStart w:id="220" w:name="_Toc81"/>
      <w:bookmarkEnd w:id="219"/>
      <w:r>
        <w:rPr/>
        <w:t>7</w:t>
      </w:r>
      <w:r>
        <w:rPr>
          <w:rtl w:val="true"/>
        </w:rPr>
        <w:t xml:space="preserve">. </w:t>
      </w:r>
      <w:r>
        <w:rPr>
          <w:rtl w:val="true"/>
        </w:rPr>
        <w:t>غرور ملی</w:t>
      </w:r>
      <w:bookmarkEnd w:id="220"/>
    </w:p>
    <w:p>
      <w:pPr>
        <w:pStyle w:val="BookText"/>
        <w:rPr/>
      </w:pPr>
      <w:r>
        <w:rPr>
          <w:rFonts w:ascii="IRNazanin" w:hAnsi="IRNazanin" w:eastAsia="IRNazanin"/>
          <w:color w:val="111111"/>
          <w:sz w:val="28"/>
          <w:sz w:val="28"/>
          <w:szCs w:val="28"/>
          <w:rtl w:val="true"/>
          <w:lang w:bidi="fa-IR"/>
        </w:rPr>
        <w:t>زائران ایرانی به زبان و فرهنگ خود افتخار می‌کنند و در تلاشند تا آن را به دیگران معرفی کنند؛ یادگیری زبان فارسی توسط میزبانان عراقی، باعث خوشحالی زائران ایرانی می‌شود</w:t>
      </w:r>
      <w:r>
        <w:rPr>
          <w:rFonts w:eastAsia="IRNazanin" w:cs="IRNazanin"/>
          <w:color w:val="111111"/>
          <w:sz w:val="28"/>
          <w:szCs w:val="28"/>
          <w:rtl w:val="true"/>
          <w:lang w:bidi="fa-IR"/>
        </w:rPr>
        <w:t>.</w:t>
      </w:r>
    </w:p>
    <w:p>
      <w:pPr>
        <w:pStyle w:val="Heading3"/>
        <w:numPr>
          <w:ilvl w:val="2"/>
          <w:numId w:val="1"/>
        </w:numPr>
        <w:rPr/>
      </w:pPr>
      <w:bookmarkStart w:id="221" w:name="__RefHeading___Toc14423865_1280447820"/>
      <w:bookmarkStart w:id="222" w:name="_Toc82"/>
      <w:bookmarkEnd w:id="221"/>
      <w:r>
        <w:rPr/>
        <w:t>8</w:t>
      </w:r>
      <w:r>
        <w:rPr>
          <w:rtl w:val="true"/>
        </w:rPr>
        <w:t xml:space="preserve">. </w:t>
      </w:r>
      <w:r>
        <w:rPr>
          <w:rtl w:val="true"/>
        </w:rPr>
        <w:t>طنز</w:t>
      </w:r>
      <w:bookmarkEnd w:id="22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موقعیت‌های طنز زبانی، سفر اربعین را جذاب‌تر می‌کند؛ این طنز، صمیمیت و </w:t>
      </w:r>
      <w:bookmarkStart w:id="223" w:name="pg18842_238245"/>
    </w:p>
    <w:p>
      <w:pPr>
        <w:pStyle w:val="BookText"/>
        <w:rPr/>
      </w:pPr>
      <w:bookmarkEnd w:id="223"/>
      <w:r>
        <w:rPr>
          <w:rFonts w:ascii="IRNazanin" w:hAnsi="IRNazanin" w:eastAsia="IRNazanin"/>
          <w:color w:val="111111"/>
          <w:sz w:val="28"/>
          <w:sz w:val="28"/>
          <w:szCs w:val="28"/>
          <w:rtl w:val="true"/>
          <w:lang w:bidi="fa-IR"/>
        </w:rPr>
        <w:t>نزدیکی بین زائران را افزایش می‌دهد</w:t>
      </w:r>
      <w:r>
        <w:rPr>
          <w:rFonts w:eastAsia="IRNazanin" w:cs="IRNazanin"/>
          <w:color w:val="111111"/>
          <w:sz w:val="28"/>
          <w:szCs w:val="28"/>
          <w:rtl w:val="true"/>
          <w:lang w:bidi="fa-IR"/>
        </w:rPr>
        <w:t>.</w:t>
      </w:r>
    </w:p>
    <w:p>
      <w:pPr>
        <w:pStyle w:val="Heading3"/>
        <w:numPr>
          <w:ilvl w:val="2"/>
          <w:numId w:val="1"/>
        </w:numPr>
        <w:rPr/>
      </w:pPr>
      <w:bookmarkStart w:id="224" w:name="__RefHeading___Toc14423867_1280447820"/>
      <w:bookmarkStart w:id="225" w:name="_Toc83"/>
      <w:bookmarkEnd w:id="224"/>
      <w:r>
        <w:rPr/>
        <w:t>9</w:t>
      </w:r>
      <w:r>
        <w:rPr>
          <w:rtl w:val="true"/>
        </w:rPr>
        <w:t xml:space="preserve">. </w:t>
      </w:r>
      <w:r>
        <w:rPr>
          <w:rtl w:val="true"/>
        </w:rPr>
        <w:t>تجارب زبانی</w:t>
      </w:r>
      <w:bookmarkEnd w:id="225"/>
    </w:p>
    <w:p>
      <w:pPr>
        <w:pStyle w:val="BookText"/>
        <w:rPr/>
      </w:pPr>
      <w:r>
        <w:rPr>
          <w:rFonts w:ascii="IRNazanin" w:hAnsi="IRNazanin" w:eastAsia="IRNazanin"/>
          <w:color w:val="111111"/>
          <w:sz w:val="28"/>
          <w:sz w:val="28"/>
          <w:szCs w:val="28"/>
          <w:rtl w:val="true"/>
          <w:lang w:bidi="fa-IR"/>
        </w:rPr>
        <w:t>سفر اربعین، فرصتی برای تجربه زبان‌های مختلف و فرهنگ‌های متنوع است؛ این تجارب، دیدگاه زائران را نسبت به دنیای اطرافشان گسترش می‌دهد</w:t>
      </w:r>
      <w:r>
        <w:rPr>
          <w:rFonts w:eastAsia="IRNazanin" w:cs="IRNazanin"/>
          <w:color w:val="111111"/>
          <w:sz w:val="28"/>
          <w:szCs w:val="28"/>
          <w:rtl w:val="true"/>
          <w:lang w:bidi="fa-IR"/>
        </w:rPr>
        <w:t>.</w:t>
      </w:r>
    </w:p>
    <w:p>
      <w:pPr>
        <w:pStyle w:val="Heading3"/>
        <w:numPr>
          <w:ilvl w:val="2"/>
          <w:numId w:val="1"/>
        </w:numPr>
        <w:rPr/>
      </w:pPr>
      <w:bookmarkStart w:id="226" w:name="__RefHeading___Toc14423869_1280447820"/>
      <w:bookmarkStart w:id="227" w:name="_Toc84"/>
      <w:bookmarkEnd w:id="226"/>
      <w:r>
        <w:rPr/>
        <w:t>10</w:t>
      </w:r>
      <w:r>
        <w:rPr>
          <w:rtl w:val="true"/>
        </w:rPr>
        <w:t xml:space="preserve">. </w:t>
      </w:r>
      <w:r>
        <w:rPr>
          <w:rtl w:val="true"/>
        </w:rPr>
        <w:t>همبستگی</w:t>
      </w:r>
      <w:bookmarkEnd w:id="227"/>
    </w:p>
    <w:p>
      <w:pPr>
        <w:pStyle w:val="Heading4"/>
        <w:numPr>
          <w:ilvl w:val="3"/>
          <w:numId w:val="1"/>
        </w:numPr>
        <w:rPr/>
      </w:pPr>
      <w:bookmarkStart w:id="228" w:name="__RefHeading___Toc14423871_1280447820"/>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علی‌رغم وجود تفاوت‌های زبانی، زائران در غم و شادی هم شریک هستند؛ زبان مشترک ایمان و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یکدیگر پیوند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گروه های سنی گوناگونی در مراسم اربعین حسینی حضور می یابند، آیا نویسندگان به تأثیرات تربیتی این سفر اشاره کرده‌اند؟ چگونه و چه مواردی؟ به‌ویژه برای کودکان؟</w:t>
      </w:r>
    </w:p>
    <w:p>
      <w:pPr>
        <w:pStyle w:val="BookText"/>
        <w:rPr/>
      </w:pPr>
      <w:r>
        <w:rPr>
          <w:rFonts w:ascii="IRNazanin" w:hAnsi="IRNazanin" w:eastAsia="IRNazanin"/>
          <w:color w:val="111111"/>
          <w:sz w:val="28"/>
          <w:sz w:val="28"/>
          <w:szCs w:val="28"/>
          <w:rtl w:val="true"/>
          <w:lang w:bidi="fa-IR"/>
        </w:rPr>
        <w:t xml:space="preserve">آنقدر روحت لطیف می‌شود که بدون تلنگر اشکت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خانی،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مقدمه‌ای بود برای اینکه بگوید، امسال خانوادگی به همراه فرزندان به اربعین برویم تا آنها هم با تحمل سختی‌های سفر از اثرات تربیتی آن بی‌بهره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سختی چند ساعته ما که بر اثر هجوم خیل مشتاقان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بود، در مقابل سختی‌هایی که بزرگان ما برای هدایت ما متحمل شده‌اند، شاید قطره‌ای هم از دریانباشد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از فرماندهان طراز اول دفاع مقدس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ببین چه بی‌ریا و خالصانه به طور شبانه‌روزی، هر نوع خدمتی که از دستشان برمی‌آید،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نفر از این موج متحرک جمعیت، مثل من مشکلات زیادی را تا به اینجا تحمل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هیچ گلایه‌ای ندارند، بلکه برای قرار گرفتن در مسیری بهشتی، عاشقانه لحظه شماری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کسی حرص و آز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دنبال طمع‌ورزی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زندگی یک فرد در یک ساک یا کوله‌ای خلاصه شده که بر دوش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کودکان و نوجوانان عراقی در پذیرایی زائران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اوج گرما پارچ به دست با دست‌های کوچک خود بین زائران آب توزیع می‌کنند، ورزق‌های دستمال کاغذی را برای پاک کردن عرق زائران هدیه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نمونه بزرگتر همین نوزادان کالسکه سوار و بچه‌های کوچولوی عراقی هستند که همراه مادرانشان طی مسیر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عراقی در بین زائران سیب توزیع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الحسین در کودکان عراقی با گوشت و خونشان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است، خیلی دلم می‌خواهد تا دختران عزیزم را برای زیارت صحن و سرای امام عدالتخواهی و صلح طلبی ببرم و تک تک سلول‌های وجودشان را با قرار گرفتن در منار شریف متبرک کنم، اما در این شلوغی اصلا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خوبی بهم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گفت چه حسی ولی احساس می‌کنم در این هوای استخوان سوز، توی وجود همه این مردم، چیزی ناپیدا شکل گرفته است که دارد گرمایی مطبوع تولید می‌کند؛ حسی که هرکسی خودش باید تجربه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عیوضی،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متوجه فیلمی می‌شوم که از یک خانواده افغانی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جوانی با تنها دختر هشت نه ماهه‌شان در مسیر پیاده‌روی می‌رفتند و مدام تلاش می‌کردند بچه‌شان نخستین قدم‌هایش را در مسیر کربلا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 کلاه سفیدی برسر داشت و ژاکت صورتی رنگی پوشیده بود و غش غش می‌خندید و یک گام برمی‌داشت 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بچه‌ام باید فردا راه امام حسین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ذوق زده، بچه را بغل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بچه‌ام خسته شد، باشد فردا ان شاءالله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اگر وضع مالی خوبی می‌داشت، برای بچه‌اش کالسکه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مطمئن </w:t>
      </w:r>
      <w:bookmarkStart w:id="230" w:name="pg18842_238247"/>
    </w:p>
    <w:p>
      <w:pPr>
        <w:pStyle w:val="BookText"/>
        <w:rPr/>
      </w:pPr>
      <w:bookmarkEnd w:id="230"/>
      <w:r>
        <w:rPr>
          <w:rFonts w:ascii="IRNazanin" w:hAnsi="IRNazanin" w:eastAsia="IRNazanin"/>
          <w:color w:val="111111"/>
          <w:sz w:val="28"/>
          <w:sz w:val="28"/>
          <w:szCs w:val="28"/>
          <w:rtl w:val="true"/>
          <w:lang w:bidi="fa-IR"/>
        </w:rPr>
        <w:t xml:space="preserve">بودم که این بچه اینقدر خوشحال نمی‌شد که از کشیدن این جعبه توسط پدرش خوشحال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تحلیل متن‌ها، سفر اربعین تأثیرات تربیتی فراوانی برای زائران، به‌ویژه کودکان و نوجوانان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فرصتی برای تقویت ایمان و معنویت، صبر و بردباری، قناعت و ساده زیستی، نوع دوستی و ایثار، و حس تعلق خاطر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31" w:name="__RefHeading___Toc14423873_1280447820"/>
      <w:bookmarkStart w:id="232" w:name="_Toc86"/>
      <w:bookmarkEnd w:id="231"/>
      <w:r>
        <w:rPr/>
        <w:t>1</w:t>
      </w:r>
      <w:r>
        <w:rPr>
          <w:rtl w:val="true"/>
        </w:rPr>
        <w:t xml:space="preserve">. </w:t>
      </w:r>
      <w:r>
        <w:rPr>
          <w:rtl w:val="true"/>
        </w:rPr>
        <w:t>لطافت روح و معنویت</w:t>
      </w:r>
      <w:bookmarkEnd w:id="232"/>
    </w:p>
    <w:p>
      <w:pPr>
        <w:pStyle w:val="BookText"/>
        <w:rPr/>
      </w:pPr>
      <w:r>
        <w:rPr>
          <w:rFonts w:ascii="IRNazanin" w:hAnsi="IRNazanin" w:eastAsia="IRNazanin"/>
          <w:color w:val="111111"/>
          <w:sz w:val="28"/>
          <w:sz w:val="28"/>
          <w:szCs w:val="28"/>
          <w:rtl w:val="true"/>
          <w:lang w:bidi="fa-IR"/>
        </w:rPr>
        <w:t>زائر با حضور در این سفر معنوی، روحی لطیف و حساس پیدا می‌کند و به راحتی تحت تأثیر مفاهیم عمیق دینی قرار می‌گیرد</w:t>
      </w:r>
      <w:r>
        <w:rPr>
          <w:rFonts w:eastAsia="IRNazanin" w:cs="IRNazanin"/>
          <w:color w:val="111111"/>
          <w:sz w:val="28"/>
          <w:szCs w:val="28"/>
          <w:rtl w:val="true"/>
          <w:lang w:bidi="fa-IR"/>
        </w:rPr>
        <w:t>.</w:t>
      </w:r>
    </w:p>
    <w:p>
      <w:pPr>
        <w:pStyle w:val="Heading4"/>
        <w:numPr>
          <w:ilvl w:val="3"/>
          <w:numId w:val="1"/>
        </w:numPr>
        <w:rPr/>
      </w:pPr>
      <w:bookmarkStart w:id="233" w:name="__RefHeading___Toc14423875_1280447820"/>
      <w:bookmarkStart w:id="234" w:name="_Toc87"/>
      <w:bookmarkEnd w:id="233"/>
      <w:r>
        <w:rPr/>
        <w:t>2</w:t>
      </w:r>
      <w:r>
        <w:rPr>
          <w:rtl w:val="true"/>
        </w:rPr>
        <w:t xml:space="preserve">. </w:t>
      </w:r>
      <w:r>
        <w:rPr>
          <w:rtl w:val="true"/>
        </w:rPr>
        <w:t>تحمل سختی و صبر</w:t>
      </w:r>
      <w:bookmarkEnd w:id="234"/>
    </w:p>
    <w:p>
      <w:pPr>
        <w:pStyle w:val="BookText"/>
        <w:rPr/>
      </w:pPr>
      <w:r>
        <w:rPr>
          <w:rFonts w:ascii="IRNazanin" w:hAnsi="IRNazanin" w:eastAsia="IRNazanin"/>
          <w:color w:val="111111"/>
          <w:sz w:val="28"/>
          <w:sz w:val="28"/>
          <w:szCs w:val="28"/>
          <w:rtl w:val="true"/>
          <w:lang w:bidi="fa-IR"/>
        </w:rPr>
        <w:t>سختی‌های سفر، فرصتی برای تمرین صبر و بردباری و قدرشناسی از نعمات الهی است</w:t>
      </w:r>
      <w:r>
        <w:rPr>
          <w:rFonts w:eastAsia="IRNazanin" w:cs="IRNazanin"/>
          <w:color w:val="111111"/>
          <w:sz w:val="28"/>
          <w:szCs w:val="28"/>
          <w:rtl w:val="true"/>
          <w:lang w:bidi="fa-IR"/>
        </w:rPr>
        <w:t>.</w:t>
      </w:r>
    </w:p>
    <w:p>
      <w:pPr>
        <w:pStyle w:val="Heading4"/>
        <w:numPr>
          <w:ilvl w:val="3"/>
          <w:numId w:val="1"/>
        </w:numPr>
        <w:rPr/>
      </w:pPr>
      <w:bookmarkStart w:id="235" w:name="__RefHeading___Toc14423877_1280447820"/>
      <w:bookmarkStart w:id="236" w:name="_Toc88"/>
      <w:bookmarkEnd w:id="235"/>
      <w:r>
        <w:rPr/>
        <w:t>3</w:t>
      </w:r>
      <w:r>
        <w:rPr>
          <w:rtl w:val="true"/>
        </w:rPr>
        <w:t xml:space="preserve">. </w:t>
      </w:r>
      <w:r>
        <w:rPr>
          <w:rtl w:val="true"/>
        </w:rPr>
        <w:t>ایثار و فداکاری</w:t>
      </w:r>
      <w:bookmarkEnd w:id="236"/>
    </w:p>
    <w:p>
      <w:pPr>
        <w:pStyle w:val="BookText"/>
        <w:rPr/>
      </w:pPr>
      <w:r>
        <w:rPr>
          <w:rFonts w:ascii="IRNazanin" w:hAnsi="IRNazanin" w:eastAsia="IRNazanin"/>
          <w:color w:val="111111"/>
          <w:sz w:val="28"/>
          <w:sz w:val="28"/>
          <w:szCs w:val="28"/>
          <w:rtl w:val="true"/>
          <w:lang w:bidi="fa-IR"/>
        </w:rPr>
        <w:t>مشاهده ایثار و فداکاری خادمان زائران، درس بزرگی برای زائر در زمینه از خودگذشتگی و کمک به دیگران است</w:t>
      </w:r>
      <w:r>
        <w:rPr>
          <w:rFonts w:eastAsia="IRNazanin" w:cs="IRNazanin"/>
          <w:color w:val="111111"/>
          <w:sz w:val="28"/>
          <w:szCs w:val="28"/>
          <w:rtl w:val="true"/>
          <w:lang w:bidi="fa-IR"/>
        </w:rPr>
        <w:t>.</w:t>
      </w:r>
    </w:p>
    <w:p>
      <w:pPr>
        <w:pStyle w:val="Heading4"/>
        <w:numPr>
          <w:ilvl w:val="3"/>
          <w:numId w:val="1"/>
        </w:numPr>
        <w:rPr/>
      </w:pPr>
      <w:bookmarkStart w:id="237" w:name="__RefHeading___Toc14423879_1280447820"/>
      <w:bookmarkStart w:id="238" w:name="_Toc89"/>
      <w:bookmarkEnd w:id="237"/>
      <w:r>
        <w:rPr/>
        <w:t>4</w:t>
      </w:r>
      <w:r>
        <w:rPr>
          <w:rtl w:val="true"/>
        </w:rPr>
        <w:t xml:space="preserve">. </w:t>
      </w:r>
      <w:r>
        <w:rPr>
          <w:rtl w:val="true"/>
        </w:rPr>
        <w:t>قناعت و ساده‌زیستی</w:t>
      </w:r>
      <w:bookmarkEnd w:id="238"/>
    </w:p>
    <w:p>
      <w:pPr>
        <w:pStyle w:val="BookText"/>
        <w:rPr/>
      </w:pPr>
      <w:r>
        <w:rPr>
          <w:rFonts w:ascii="IRNazanin" w:hAnsi="IRNazanin" w:eastAsia="IRNazanin"/>
          <w:color w:val="111111"/>
          <w:sz w:val="28"/>
          <w:sz w:val="28"/>
          <w:szCs w:val="28"/>
          <w:rtl w:val="true"/>
          <w:lang w:bidi="fa-IR"/>
        </w:rPr>
        <w:t>در این سفر، زائر با مشاهده ساده‌زیستی و قناعت مردم، از تجملات و مادیات دنیا فاصله می‌گیرد و به ارزش‌های معنوی اهمیت بیشتری می‌دهد</w:t>
      </w:r>
      <w:r>
        <w:rPr>
          <w:rFonts w:eastAsia="IRNazanin" w:cs="IRNazanin"/>
          <w:color w:val="111111"/>
          <w:sz w:val="28"/>
          <w:szCs w:val="28"/>
          <w:rtl w:val="true"/>
          <w:lang w:bidi="fa-IR"/>
        </w:rPr>
        <w:t>.</w:t>
      </w:r>
    </w:p>
    <w:p>
      <w:pPr>
        <w:pStyle w:val="Heading4"/>
        <w:numPr>
          <w:ilvl w:val="3"/>
          <w:numId w:val="1"/>
        </w:numPr>
        <w:rPr/>
      </w:pPr>
      <w:bookmarkStart w:id="239" w:name="__RefHeading___Toc14423881_1280447820"/>
      <w:bookmarkStart w:id="240" w:name="_Toc90"/>
      <w:bookmarkEnd w:id="239"/>
      <w:r>
        <w:rPr/>
        <w:t>5</w:t>
      </w:r>
      <w:r>
        <w:rPr>
          <w:rtl w:val="true"/>
        </w:rPr>
        <w:t xml:space="preserve">. </w:t>
      </w:r>
      <w:r>
        <w:rPr>
          <w:rtl w:val="true"/>
        </w:rPr>
        <w:t>تربیت حس مسئولیت‌پذیری</w:t>
      </w:r>
      <w:bookmarkEnd w:id="240"/>
    </w:p>
    <w:p>
      <w:pPr>
        <w:pStyle w:val="BookText"/>
        <w:rPr/>
      </w:pPr>
      <w:r>
        <w:rPr>
          <w:rFonts w:ascii="IRNazanin" w:hAnsi="IRNazanin" w:eastAsia="IRNazanin"/>
          <w:color w:val="111111"/>
          <w:sz w:val="28"/>
          <w:sz w:val="28"/>
          <w:szCs w:val="28"/>
          <w:rtl w:val="true"/>
          <w:lang w:bidi="fa-IR"/>
        </w:rPr>
        <w:t>حضور فعال کودکان و نوجوانان در پذیرایی از زائران، حس مسئولیت‌پذیری و نوع دوستی را در آنها تقویت می‌کند</w:t>
      </w:r>
      <w:r>
        <w:rPr>
          <w:rFonts w:eastAsia="IRNazanin" w:cs="IRNazanin"/>
          <w:color w:val="111111"/>
          <w:sz w:val="28"/>
          <w:szCs w:val="28"/>
          <w:rtl w:val="true"/>
          <w:lang w:bidi="fa-IR"/>
        </w:rPr>
        <w:t>.</w:t>
      </w:r>
    </w:p>
    <w:p>
      <w:pPr>
        <w:pStyle w:val="Heading4"/>
        <w:numPr>
          <w:ilvl w:val="3"/>
          <w:numId w:val="1"/>
        </w:numPr>
        <w:rPr/>
      </w:pPr>
      <w:bookmarkStart w:id="241" w:name="__RefHeading___Toc14423883_1280447820"/>
      <w:bookmarkStart w:id="242" w:name="_Toc91"/>
      <w:bookmarkEnd w:id="241"/>
      <w:r>
        <w:rPr/>
        <w:t>6</w:t>
      </w:r>
      <w:r>
        <w:rPr>
          <w:rtl w:val="true"/>
        </w:rPr>
        <w:t xml:space="preserve">. </w:t>
      </w:r>
      <w:r>
        <w:rPr>
          <w:rtl w:val="true"/>
        </w:rPr>
        <w:t xml:space="preserve">تربیت حس تعلق خاطر به اهل بیت </w:t>
      </w:r>
      <w:r>
        <w:rPr>
          <w:rtl w:val="true"/>
        </w:rPr>
        <w:t>(</w:t>
      </w:r>
      <w:r>
        <w:rPr>
          <w:rtl w:val="true"/>
        </w:rPr>
        <w:t>علیهم السلام</w:t>
      </w:r>
      <w:r>
        <w:rPr>
          <w:rtl w:val="true"/>
        </w:rPr>
        <w:t>)</w:t>
      </w:r>
      <w:bookmarkEnd w:id="242"/>
    </w:p>
    <w:p>
      <w:pPr>
        <w:pStyle w:val="Heading5"/>
        <w:numPr>
          <w:ilvl w:val="4"/>
          <w:numId w:val="1"/>
        </w:numPr>
        <w:rPr/>
      </w:pPr>
      <w:bookmarkStart w:id="243" w:name="__RefHeading___Toc14423885_1280447820"/>
      <w:bookmarkStart w:id="244" w:name="_Toc92"/>
      <w:bookmarkEnd w:id="243"/>
      <w:r>
        <w:rPr>
          <w:rtl w:val="true"/>
        </w:rPr>
        <w:t>اشاره</w:t>
      </w:r>
      <w:bookmarkEnd w:id="24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عشق و ارادت مردم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کودکان، حس تعلق خاطر به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نهادینه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فرهنگ شیعی در بستری سیاسی رشد یافته، آیا نویسندگان سفرنامه‌ها از این رویداد فهم سیاسی داشته‌اند؟ چگونه آن را تبیین کرده‌اند؟</w:t>
      </w:r>
    </w:p>
    <w:p>
      <w:pPr>
        <w:pStyle w:val="BookText"/>
        <w:rPr/>
      </w:pPr>
      <w:r>
        <w:rPr>
          <w:rFonts w:ascii="IRNazanin" w:hAnsi="IRNazanin" w:eastAsia="IRNazanin"/>
          <w:color w:val="111111"/>
          <w:sz w:val="28"/>
          <w:sz w:val="28"/>
          <w:szCs w:val="28"/>
          <w:rtl w:val="true"/>
          <w:lang w:bidi="fa-IR"/>
        </w:rPr>
        <w:t xml:space="preserve">همایش جهانی اربعین و تأثیرات آن بر روی قلب مؤمنان پاکباخته و اتحاد مسلمانان واقعی در راستای حکومت جهانی منجی عالم بشریت به کابوسی برای جهان خواران تبدیل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خانی،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و در عصر معاصر، فاصله بین حق و باطل را به خوبی می‌توان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یک همایش جهانی با گرایش سیاسی و عقیدتی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می‌گوید داعش طی بیانیه‌ای مسئولیت سردی هوا را بر عهده گرفته است و گفته این کار را ما کرده‌ایم تا مردم به کربلا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عیوضی،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هرچقدر بهشان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مذاکرات بدبینیم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سرتون کلاه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گوششان بدهکار نیست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می‌دهم با مذاکره قضیه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مذاکرات، طرف مقابل من را گول می‌زند و از فواید آسایش و رفاه 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بلند شدن و خوابیدن در جای گرم و نرم و پر از مهر مهرداد می‌شوم که ناگهان یکی از غیور مردان هم وطن از در وارد می‌شود و خیلی راحت و بدون حتی یک حرکت اضافه توی جای مهرداد می‌خوابد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نرم، قضیه برجام را رویشان پیاده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غروب می‌شود که معلوم می‌شود کسی که منتظرش هستیم، یکی دو ساعت دیگر هم نمی‌تواند خودش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کلید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سال‌های آخر اربعین رنگ و بویی دیگر دارد و کربلا آمده است به خیابان، به تهران، به بغداد و دمشق و حلب و غزه و یمن و بحرین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دهه‌های آخر چه اتفاق‌های قشنگی دارد رقم می‌خورد و چقدر یزید و ابن سعد و ابن سلمان و ابن زهرمار و </w:t>
      </w:r>
      <w:bookmarkStart w:id="245" w:name="pg18842_238249"/>
    </w:p>
    <w:p>
      <w:pPr>
        <w:pStyle w:val="BookText"/>
        <w:rPr/>
      </w:pPr>
      <w:bookmarkEnd w:id="245"/>
      <w:r>
        <w:rPr>
          <w:rFonts w:ascii="IRNazanin" w:hAnsi="IRNazanin" w:eastAsia="IRNazanin"/>
          <w:color w:val="111111"/>
          <w:sz w:val="28"/>
          <w:sz w:val="28"/>
          <w:szCs w:val="28"/>
          <w:rtl w:val="true"/>
          <w:lang w:bidi="fa-IR"/>
        </w:rPr>
        <w:t xml:space="preserve">الترامپ که مثل خاشاک دریا آنان را به ساحل تُف کرده است و نمی‌دانند چه سرنوشت بدی در انتظار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افاضات شب قبل یکی از بزرگان اهل سیاست روزگارمان و نهیب‌های ناجوانمردانه‌اش به بعضی دلسوزان در نهایت بی‌پروایی در یک فضای مجازی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 هم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جابه‌جایی می‌شوند 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آدم‌ها را هم مثل واژگان جابه‌جا می‌کردیم و مسئولیت‌هایشان را هم جابه‌جا، دنیا موزون‌تر و بهتر می‌شد و همه چیز سر جایش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ما در این شبیه خوانی دستمان به شمر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معمولیمان گاهی باید کُلی وقت بگذاریم و معطل بمانیم تا بتوانیم با یکی از این شمرها دیدار کنیم و احیاناً عکسیادگاری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بگوییم راهپیمایی اربعین، باید بگوییم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باز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بار سیاسی دارد ولی پیاده‌روی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قانع نمی‌شود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اگر بار سیاسی داشته باشد که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سیاسی به‌طور مستقیم و غیرمستقیم در مجموع نشان از فهم سیاسی از رویداد اربعین در این سفرنامه‌ها دارد که بر حول محورهای اتحاد مسلمانان، تقابل با ظلم و ستم، ترویج فرهنگ ایثار و شهادت، و امید به آینده‌ای روشن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هم قرار دادن اطلاعات متن و تحلیل آنها، می‌توان به نتایج زیر در مورد فهم سیاسی از رویداد اربعین و اشارات سیاسی آن دست یافت</w:t>
      </w:r>
      <w:r>
        <w:rPr>
          <w:rFonts w:eastAsia="IRNazanin" w:cs="IRNazanin"/>
          <w:color w:val="111111"/>
          <w:sz w:val="28"/>
          <w:szCs w:val="28"/>
          <w:rtl w:val="true"/>
          <w:lang w:bidi="fa-IR"/>
        </w:rPr>
        <w:t>:</w:t>
      </w:r>
    </w:p>
    <w:p>
      <w:pPr>
        <w:pStyle w:val="Heading5"/>
        <w:numPr>
          <w:ilvl w:val="4"/>
          <w:numId w:val="1"/>
        </w:numPr>
        <w:rPr/>
      </w:pPr>
      <w:bookmarkStart w:id="246" w:name="__RefHeading___Toc14423887_1280447820"/>
      <w:bookmarkStart w:id="247" w:name="_Toc93"/>
      <w:bookmarkEnd w:id="246"/>
      <w:r>
        <w:rPr/>
        <w:t>1</w:t>
      </w:r>
      <w:r>
        <w:rPr>
          <w:rtl w:val="true"/>
        </w:rPr>
        <w:t xml:space="preserve">. </w:t>
      </w:r>
      <w:r>
        <w:rPr>
          <w:rtl w:val="true"/>
        </w:rPr>
        <w:t>اربعین به‌عنوان یک همایش جهانی با گرایش سیاسی و عقیدتی</w:t>
      </w:r>
      <w:bookmarkEnd w:id="247"/>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 اربعین به عنوان یک همایش جهانی با گرایش سیاسی و عقیدتی، فرصتی برای اتحاد مسلمانان واقعی در راستای حکومت جهانی منجی عالم بشریت تلقی می‌شود؛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جهانخواران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جهانی برای </w:t>
      </w:r>
      <w:bookmarkStart w:id="248" w:name="pg18842_238250"/>
    </w:p>
    <w:p>
      <w:pPr>
        <w:pStyle w:val="BookText"/>
        <w:rPr/>
      </w:pPr>
      <w:bookmarkEnd w:id="248"/>
      <w:r>
        <w:rPr>
          <w:rFonts w:ascii="IRNazanin" w:hAnsi="IRNazanin" w:eastAsia="IRNazanin"/>
          <w:color w:val="111111"/>
          <w:sz w:val="28"/>
          <w:sz w:val="28"/>
          <w:szCs w:val="28"/>
          <w:rtl w:val="true"/>
          <w:lang w:bidi="fa-IR"/>
        </w:rPr>
        <w:t>جهانخواران به کابوسی تبدیل شده‌است، زیرا نماد قدرت و انسجام مسلمانان را به نمایش می‌گذارد</w:t>
      </w:r>
      <w:r>
        <w:rPr>
          <w:rFonts w:eastAsia="IRNazanin" w:cs="IRNazanin"/>
          <w:color w:val="111111"/>
          <w:sz w:val="28"/>
          <w:szCs w:val="28"/>
          <w:rtl w:val="true"/>
          <w:lang w:bidi="fa-IR"/>
        </w:rPr>
        <w:t>.</w:t>
      </w:r>
    </w:p>
    <w:p>
      <w:pPr>
        <w:pStyle w:val="Heading5"/>
        <w:numPr>
          <w:ilvl w:val="4"/>
          <w:numId w:val="1"/>
        </w:numPr>
        <w:rPr/>
      </w:pPr>
      <w:bookmarkStart w:id="249" w:name="__RefHeading___Toc14423889_1280447820"/>
      <w:bookmarkStart w:id="250" w:name="_Toc94"/>
      <w:bookmarkEnd w:id="249"/>
      <w:r>
        <w:rPr/>
        <w:t>2</w:t>
      </w:r>
      <w:r>
        <w:rPr>
          <w:rtl w:val="true"/>
        </w:rPr>
        <w:t xml:space="preserve">. </w:t>
      </w:r>
      <w:r>
        <w:rPr>
          <w:rtl w:val="true"/>
        </w:rPr>
        <w:t>تمایز بین حق و باطل</w:t>
      </w:r>
      <w:bookmarkEnd w:id="2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وضوح بیان می‌کند که در عصر معاصر، فاصله بین حق و باطل را به خوبی می‌توان درک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میلیونی زائران در اربعین به‌عنوان نمادی از حق، در تقابل با ظلم و ستم جهانخواران و یزیدیان زمان قرار می‌گیرد</w:t>
      </w:r>
      <w:r>
        <w:rPr>
          <w:rFonts w:eastAsia="IRNazanin" w:cs="IRNazanin"/>
          <w:color w:val="111111"/>
          <w:sz w:val="28"/>
          <w:szCs w:val="28"/>
          <w:rtl w:val="true"/>
          <w:lang w:bidi="fa-IR"/>
        </w:rPr>
        <w:t>.</w:t>
      </w:r>
    </w:p>
    <w:p>
      <w:pPr>
        <w:pStyle w:val="Heading5"/>
        <w:numPr>
          <w:ilvl w:val="4"/>
          <w:numId w:val="1"/>
        </w:numPr>
        <w:rPr/>
      </w:pPr>
      <w:bookmarkStart w:id="251" w:name="__RefHeading___Toc14423891_1280447820"/>
      <w:bookmarkStart w:id="252" w:name="_Toc95"/>
      <w:bookmarkEnd w:id="251"/>
      <w:r>
        <w:rPr/>
        <w:t>3</w:t>
      </w:r>
      <w:r>
        <w:rPr>
          <w:rtl w:val="true"/>
        </w:rPr>
        <w:t xml:space="preserve">. </w:t>
      </w:r>
      <w:r>
        <w:rPr>
          <w:rtl w:val="true"/>
        </w:rPr>
        <w:t>نقد سیاست‌های داخلی و خارجی</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سفرنامه با لحنی طنز و کنایه آمیز، به موضوع مذاکرات و احتمال فریب خوردن در آن اشاره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وضعیت به داستان برجام، بیانگر عدم رضایت از نحوه اجرای این توافق و پیامدهای آن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لحنی انتقادی، خواستار جابه‌جایی مسئولیت‌ها و قرار گرفتن افراد در جایگاه مناسب خود، به منظور بهبود وضعیت جامعه می‌شود</w:t>
      </w:r>
      <w:r>
        <w:rPr>
          <w:rFonts w:eastAsia="IRNazanin" w:cs="IRNazanin"/>
          <w:color w:val="111111"/>
          <w:sz w:val="28"/>
          <w:szCs w:val="28"/>
          <w:rtl w:val="true"/>
          <w:lang w:bidi="fa-IR"/>
        </w:rPr>
        <w:t>.</w:t>
      </w:r>
    </w:p>
    <w:p>
      <w:pPr>
        <w:pStyle w:val="Heading5"/>
        <w:numPr>
          <w:ilvl w:val="4"/>
          <w:numId w:val="1"/>
        </w:numPr>
        <w:rPr/>
      </w:pPr>
      <w:bookmarkStart w:id="253" w:name="__RefHeading___Toc14423893_1280447820"/>
      <w:bookmarkStart w:id="254" w:name="_Toc96"/>
      <w:bookmarkEnd w:id="253"/>
      <w:r>
        <w:rPr/>
        <w:t>4</w:t>
      </w:r>
      <w:r>
        <w:rPr>
          <w:rtl w:val="true"/>
        </w:rPr>
        <w:t xml:space="preserve">. </w:t>
      </w:r>
      <w:r>
        <w:rPr>
          <w:rtl w:val="true"/>
        </w:rPr>
        <w:t>تقابل با دشمنان</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طعنه، مسئولیت سردی هوا را به داعش نسبت می‌دهد و نشان می‌دهد که هیچ عاملی نمی‌تواند مانع از حضور مردم در اربعین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یزیدیان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نمادی از ظلم و ستم هستند که در تقابل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قرار دارند؛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میلیونی زائران در اربعین، به‌عنوان نمادی از قدرت و اقتدار مسلمانان، به دشمنان نشان می‌دهد که سرنوشت بدی در انتظار آنها خواهد بود</w:t>
      </w:r>
      <w:r>
        <w:rPr>
          <w:rFonts w:eastAsia="IRNazanin" w:cs="IRNazanin"/>
          <w:color w:val="111111"/>
          <w:sz w:val="28"/>
          <w:szCs w:val="28"/>
          <w:rtl w:val="true"/>
          <w:lang w:bidi="fa-IR"/>
        </w:rPr>
        <w:t>.</w:t>
      </w:r>
    </w:p>
    <w:p>
      <w:pPr>
        <w:pStyle w:val="Heading5"/>
        <w:numPr>
          <w:ilvl w:val="4"/>
          <w:numId w:val="1"/>
        </w:numPr>
        <w:rPr/>
      </w:pPr>
      <w:bookmarkStart w:id="255" w:name="__RefHeading___Toc14423895_1280447820"/>
      <w:bookmarkStart w:id="256" w:name="_Toc97"/>
      <w:bookmarkEnd w:id="255"/>
      <w:r>
        <w:rPr/>
        <w:t>5</w:t>
      </w:r>
      <w:r>
        <w:rPr>
          <w:rtl w:val="true"/>
        </w:rPr>
        <w:t xml:space="preserve">. </w:t>
      </w:r>
      <w:r>
        <w:rPr>
          <w:rtl w:val="true"/>
        </w:rPr>
        <w:t>ترویج فرهنگ ایثار و شهادت</w:t>
      </w:r>
      <w:bookmarkEnd w:id="25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اشاره به سردار سلیمانی، الگوی ایثار و شهادت را ترویج می‌کند و خواستار پرورش چنین انسان‌هایی در جامعه می‌شود؛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برخی افراد به شمر، نشان دهنده تقابل حق و باطل در تمام دوران‌ها و ضرورت ایستادگی </w:t>
      </w:r>
      <w:bookmarkStart w:id="257" w:name="pg18842_238251"/>
    </w:p>
    <w:p>
      <w:pPr>
        <w:pStyle w:val="BookText"/>
        <w:rPr/>
      </w:pPr>
      <w:bookmarkEnd w:id="257"/>
      <w:r>
        <w:rPr>
          <w:rFonts w:ascii="IRNazanin" w:hAnsi="IRNazanin" w:eastAsia="IRNazanin"/>
          <w:color w:val="111111"/>
          <w:sz w:val="28"/>
          <w:sz w:val="28"/>
          <w:szCs w:val="28"/>
          <w:rtl w:val="true"/>
          <w:lang w:bidi="fa-IR"/>
        </w:rPr>
        <w:t>در برابر ظلم و ستم است</w:t>
      </w:r>
      <w:r>
        <w:rPr>
          <w:rFonts w:eastAsia="IRNazanin" w:cs="IRNazanin"/>
          <w:color w:val="111111"/>
          <w:sz w:val="28"/>
          <w:szCs w:val="28"/>
          <w:rtl w:val="true"/>
          <w:lang w:bidi="fa-IR"/>
        </w:rPr>
        <w:t>.</w:t>
      </w:r>
    </w:p>
    <w:p>
      <w:pPr>
        <w:pStyle w:val="Heading5"/>
        <w:numPr>
          <w:ilvl w:val="4"/>
          <w:numId w:val="1"/>
        </w:numPr>
        <w:rPr/>
      </w:pPr>
      <w:bookmarkStart w:id="258" w:name="__RefHeading___Toc14423897_1280447820"/>
      <w:bookmarkStart w:id="259" w:name="_Toc98"/>
      <w:bookmarkEnd w:id="258"/>
      <w:r>
        <w:rPr/>
        <w:t>6</w:t>
      </w:r>
      <w:r>
        <w:rPr>
          <w:rtl w:val="true"/>
        </w:rPr>
        <w:t xml:space="preserve">. </w:t>
      </w:r>
      <w:r>
        <w:rPr>
          <w:rtl w:val="true"/>
        </w:rPr>
        <w:t>اهمیت پیاده‌روی اربعین</w:t>
      </w:r>
      <w:bookmarkEnd w:id="2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پیاده‌روی و 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تفاوت ظریف بین پیاده‌روی و راهپیمایی اشاره می‌کند و بار معنوی و سیاسی پیاده‌روی اربعین را برجسته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پیاده‌رویاربعین به‌عنوان یک عمل عبادی و معنوی، دارای ارزش و جایگاه والایی است که فراتر از یک راهپیمایی سیاسی است</w:t>
      </w:r>
      <w:r>
        <w:rPr>
          <w:rFonts w:eastAsia="IRNazanin" w:cs="IRNazanin"/>
          <w:color w:val="111111"/>
          <w:sz w:val="28"/>
          <w:szCs w:val="28"/>
          <w:rtl w:val="true"/>
          <w:lang w:bidi="fa-IR"/>
        </w:rPr>
        <w:t>.</w:t>
      </w:r>
    </w:p>
    <w:p>
      <w:pPr>
        <w:pStyle w:val="Heading5"/>
        <w:numPr>
          <w:ilvl w:val="4"/>
          <w:numId w:val="1"/>
        </w:numPr>
        <w:rPr/>
      </w:pPr>
      <w:bookmarkStart w:id="260" w:name="__RefHeading___Toc14423899_1280447820"/>
      <w:bookmarkStart w:id="261" w:name="_Toc99"/>
      <w:bookmarkEnd w:id="260"/>
      <w:r>
        <w:rPr/>
        <w:t>7</w:t>
      </w:r>
      <w:r>
        <w:rPr>
          <w:rtl w:val="true"/>
        </w:rPr>
        <w:t xml:space="preserve">. </w:t>
      </w:r>
      <w:r>
        <w:rPr>
          <w:rtl w:val="true"/>
        </w:rPr>
        <w:t>تحولات و بیداری اسلامی</w:t>
      </w:r>
      <w:bookmarkEnd w:id="2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پیام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گسترش پیام اربعین در جهان و فراتر رفتن آن از مرزهای عراق اشاره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زائران از کشورهای مختلف در اربعین، نشان دهنده بیداری اسلامی و گرایش مردم به معنویت و عدالت خواهی است</w:t>
      </w:r>
      <w:r>
        <w:rPr>
          <w:rFonts w:eastAsia="IRNazanin" w:cs="IRNazanin"/>
          <w:color w:val="111111"/>
          <w:sz w:val="28"/>
          <w:szCs w:val="28"/>
          <w:rtl w:val="true"/>
          <w:lang w:bidi="fa-IR"/>
        </w:rPr>
        <w:t>.</w:t>
      </w:r>
    </w:p>
    <w:p>
      <w:pPr>
        <w:pStyle w:val="Heading5"/>
        <w:numPr>
          <w:ilvl w:val="4"/>
          <w:numId w:val="1"/>
        </w:numPr>
        <w:rPr/>
      </w:pPr>
      <w:bookmarkStart w:id="262" w:name="__RefHeading___Toc14423901_1280447820"/>
      <w:bookmarkStart w:id="263" w:name="_Toc100"/>
      <w:bookmarkEnd w:id="262"/>
      <w:r>
        <w:rPr/>
        <w:t>8</w:t>
      </w:r>
      <w:r>
        <w:rPr>
          <w:rtl w:val="true"/>
        </w:rPr>
        <w:t xml:space="preserve">. </w:t>
      </w:r>
      <w:r>
        <w:rPr>
          <w:rtl w:val="true"/>
        </w:rPr>
        <w:t>امید به آینده</w:t>
      </w:r>
      <w:bookmarkEnd w:id="263"/>
    </w:p>
    <w:p>
      <w:pPr>
        <w:pStyle w:val="BookText"/>
        <w:rPr/>
      </w:pPr>
      <w:r>
        <w:rPr>
          <w:rFonts w:ascii="IRNazanin" w:hAnsi="IRNazanin" w:eastAsia="IRNazanin"/>
          <w:color w:val="111111"/>
          <w:sz w:val="28"/>
          <w:sz w:val="28"/>
          <w:szCs w:val="28"/>
          <w:rtl w:val="true"/>
          <w:lang w:bidi="fa-IR"/>
        </w:rPr>
        <w:t>نویسنده با قاطعیت، سرنوشتی بد را برای یزیدیان زمان پیش‌بینی می‌کند و به آینده‌ای روشن برای اسلام و مسلمانان امیدوار است</w:t>
      </w:r>
      <w:r>
        <w:rPr>
          <w:rFonts w:eastAsia="IRNazanin" w:cs="IRNazanin"/>
          <w:color w:val="111111"/>
          <w:sz w:val="28"/>
          <w:szCs w:val="28"/>
          <w:rtl w:val="true"/>
          <w:lang w:bidi="fa-IR"/>
        </w:rPr>
        <w:t>.</w:t>
      </w:r>
    </w:p>
    <w:p>
      <w:pPr>
        <w:pStyle w:val="Heading3"/>
        <w:numPr>
          <w:ilvl w:val="2"/>
          <w:numId w:val="1"/>
        </w:numPr>
        <w:rPr/>
      </w:pPr>
      <w:bookmarkStart w:id="264" w:name="__RefHeading___Toc14423903_1280447820"/>
      <w:bookmarkStart w:id="265" w:name="_Toc101"/>
      <w:bookmarkEnd w:id="264"/>
      <w:r>
        <w:rPr>
          <w:rtl w:val="true"/>
        </w:rPr>
        <w:t>نتیجه</w:t>
      </w:r>
      <w:bookmarkEnd w:id="26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مسئله پژوهش که بررسی عناصر ثابت و متغیر در سفرنامه‌های اربعین در محدوده زمانی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بررسی شد که از نتایج آن می‌توان به نکات عناصر ثابت و متغیر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ثابت شامل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مواردی مانند سختی‌های مسیر، زیبایی‌های مسیر، موکب‌ها و خدمات ارائه شده در آنها و مانند اینها؛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مواردی مانند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اماکن مذهبی، حال و هوای معنوی کربلا و مانند اینها؛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مواردی مانند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ملیت‌ها، انگیزه‌ها، تجربیات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خادمان و مانند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متغیر نیز شامل دیدگاه سیاسی، مذهبی، و اجتماعی نویسنده؛ سبک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زبان، و نوع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تجربیات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اتفاقات و خاطرات منحصر به فرد هر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پژوهش و </w:t>
      </w:r>
      <w:bookmarkStart w:id="266" w:name="pg18842_238252"/>
    </w:p>
    <w:p>
      <w:pPr>
        <w:pStyle w:val="BookText"/>
        <w:rPr/>
      </w:pPr>
      <w:bookmarkEnd w:id="266"/>
      <w:r>
        <w:rPr>
          <w:rFonts w:ascii="IRNazanin" w:hAnsi="IRNazanin" w:eastAsia="IRNazanin"/>
          <w:color w:val="111111"/>
          <w:sz w:val="28"/>
          <w:sz w:val="28"/>
          <w:szCs w:val="28"/>
          <w:rtl w:val="true"/>
          <w:lang w:bidi="fa-IR"/>
        </w:rPr>
        <w:t>تحلیل متن سفرنامه‌ها توجه به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این سفر معنوی، صرفاً یک نیاز جسمانی نیست، بلکه واجد ابعاد معنوی، فرهنگی و اجتماعی متعددی است؛ تنوع زبانی، چالش‌های ارتباطی، خلاقیت زبانی، اشتباهات زبانی، یادگیری زبان، همدلی و صبر، غرور ملی، نکات طنز، تجارب زبانی و همبستگی؛ لطافت روح و معنویت، تحمل سختی و صبر، ایثار و فداکاری، قناعت و ساده‌زیستی، تربیت حس مسئولیت‌پذیری، و تربیت حس تعلق خاطر به اهل بیت و فهم سیاسی اربعین به‌عنوان یک همایش جهانی با گرایش سیاسی و عقیدتی، تمایز بین حق و باطل، نقد سیاست‌های داخلی و خارجی، تقابل با دشمنان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سفرنامه‌های اربعین منبعی ارزشمند برای شناخت بهتر این سفر معنوی و تجربیات و احساسات زائران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سفرنامه‌ها می‌تواند در ترویج فرهنگ حسینی و اربعین و تشویق دیگران به شرکت در این سفر نقش مهمی داشته باشد</w:t>
      </w:r>
      <w:r>
        <w:rPr>
          <w:rFonts w:eastAsia="IRNazanin" w:cs="IRNazanin"/>
          <w:color w:val="111111"/>
          <w:sz w:val="28"/>
          <w:szCs w:val="28"/>
          <w:rtl w:val="true"/>
          <w:lang w:bidi="fa-IR"/>
        </w:rPr>
        <w:t>.</w:t>
      </w:r>
    </w:p>
    <w:p>
      <w:pPr>
        <w:pStyle w:val="Heading3"/>
        <w:numPr>
          <w:ilvl w:val="2"/>
          <w:numId w:val="1"/>
        </w:numPr>
        <w:rPr/>
      </w:pPr>
      <w:bookmarkStart w:id="267" w:name="__RefHeading___Toc14423905_1280447820"/>
      <w:bookmarkStart w:id="268" w:name="_Toc102"/>
      <w:bookmarkEnd w:id="267"/>
      <w:r>
        <w:rPr>
          <w:rtl w:val="true"/>
        </w:rPr>
        <w:t>منابع</w:t>
      </w:r>
      <w:bookmarkEnd w:id="26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حسین‌خانی، محمد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پیاده‌روی اربعین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انتشارات مبشر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عیوضی، رضا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یافت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پیاده‌روی اربعین، انتشارات شهید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قزوه، علیرضا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پیاده تا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هشت سفر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سوره مهر</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اصفهانی، اباذر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شناسی سفرنامه ها و خاطرات ایرانیان از عتبات عالیات، فرهنگ زیارت تابستان،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269" w:name="pg18842_238253"/>
    </w:p>
    <w:p>
      <w:pPr>
        <w:pStyle w:val="Heading2"/>
        <w:numPr>
          <w:ilvl w:val="1"/>
          <w:numId w:val="1"/>
        </w:numPr>
        <w:rPr/>
      </w:pPr>
      <w:bookmarkStart w:id="270" w:name="__RefHeading___Toc14423907_1280447820"/>
      <w:bookmarkStart w:id="271" w:name="_Toc103"/>
      <w:bookmarkEnd w:id="269"/>
      <w:bookmarkEnd w:id="270"/>
      <w:r>
        <w:rPr>
          <w:rtl w:val="true"/>
        </w:rPr>
        <w:t xml:space="preserve">ارتباط شهادت امام حسین </w:t>
      </w:r>
      <w:r>
        <w:rPr>
          <w:rtl w:val="true"/>
        </w:rPr>
        <w:t>(</w:t>
      </w:r>
      <w:r>
        <w:rPr>
          <w:rtl w:val="true"/>
        </w:rPr>
        <w:t>علیه السلام</w:t>
      </w:r>
      <w:r>
        <w:rPr>
          <w:rtl w:val="true"/>
        </w:rPr>
        <w:t xml:space="preserve">) </w:t>
      </w:r>
      <w:r>
        <w:rPr>
          <w:rtl w:val="true"/>
        </w:rPr>
        <w:t xml:space="preserve">با </w:t>
      </w:r>
      <w:r>
        <w:rPr>
          <w:rtl w:val="true"/>
        </w:rPr>
        <w:t>«</w:t>
      </w:r>
      <w:r>
        <w:rPr>
          <w:rtl w:val="true"/>
        </w:rPr>
        <w:t>ذبح عظیم</w:t>
      </w:r>
      <w:r>
        <w:rPr>
          <w:rtl w:val="true"/>
        </w:rPr>
        <w:t xml:space="preserve">» </w:t>
      </w:r>
      <w:r>
        <w:rPr>
          <w:rtl w:val="true"/>
        </w:rPr>
        <w:t xml:space="preserve">در آیه </w:t>
      </w:r>
      <w:r>
        <w:rPr/>
        <w:t>107</w:t>
      </w:r>
      <w:r>
        <w:rPr>
          <w:rtl w:val="true"/>
        </w:rPr>
        <w:t xml:space="preserve"> </w:t>
      </w:r>
      <w:r>
        <w:rPr>
          <w:rtl w:val="true"/>
        </w:rPr>
        <w:t>سوره صافات</w:t>
      </w:r>
      <w:bookmarkEnd w:id="271"/>
    </w:p>
    <w:p>
      <w:pPr>
        <w:pStyle w:val="Heading3"/>
        <w:numPr>
          <w:ilvl w:val="2"/>
          <w:numId w:val="1"/>
        </w:numPr>
        <w:rPr/>
      </w:pPr>
      <w:bookmarkStart w:id="272" w:name="__RefHeading___Toc14423909_1280447820"/>
      <w:bookmarkStart w:id="273" w:name="_Toc10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علیرضا نوری فروشانی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19/04/1403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19/08/1403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روایات در بیان ذبح عظیم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قوچ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آیه می‌تواند دلالت بر عظمت شهادت حضرت داشته باشد در حالی که ذبح عظیم گوسفند آسمانی دانسته شده‌است؟ آیا دلالت آیه بر عظمت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ظاهر است یا باطنی و نمی‌توان رابطه ظاهر آیه را با آن درک کرد؟ این پرسش‌ها، دغدغه‌هایی هستند که در فهم و ارتباط آیه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درصدد پاسخ به این پرسش‌ها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پژوهش حاکی از آن است که ارتباط عمیقی </w:t>
      </w:r>
      <w:bookmarkStart w:id="274" w:name="pg18842_238254"/>
    </w:p>
    <w:p>
      <w:pPr>
        <w:pStyle w:val="BookText"/>
        <w:rPr/>
      </w:pPr>
      <w:bookmarkEnd w:id="274"/>
      <w:r>
        <w:rPr>
          <w:rFonts w:ascii="IRNazanin" w:hAnsi="IRNazanin" w:eastAsia="IRNazanin"/>
          <w:color w:val="111111"/>
          <w:sz w:val="28"/>
          <w:sz w:val="28"/>
          <w:szCs w:val="28"/>
          <w:rtl w:val="true"/>
          <w:lang w:bidi="fa-IR"/>
        </w:rPr>
        <w:t xml:space="preserve">بین ظاهر آیه و عظمت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مقصود از ذبح عظیم، قوچ آسمانی ذبح شده توسط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 عظیم</w:t>
      </w:r>
      <w:r>
        <w:rPr>
          <w:rFonts w:eastAsia="IRNazanin" w:cs="IRNazanin"/>
          <w:color w:val="111111"/>
          <w:sz w:val="28"/>
          <w:szCs w:val="28"/>
          <w:rtl w:val="true"/>
          <w:lang w:bidi="fa-IR"/>
        </w:rPr>
        <w:t>.</w:t>
      </w:r>
    </w:p>
    <w:p>
      <w:pPr>
        <w:pStyle w:val="Heading3"/>
        <w:numPr>
          <w:ilvl w:val="2"/>
          <w:numId w:val="1"/>
        </w:numPr>
        <w:rPr/>
      </w:pPr>
      <w:bookmarkStart w:id="275" w:name="__RefHeading___Toc14423911_1280447820"/>
      <w:bookmarkStart w:id="276" w:name="_Toc105"/>
      <w:bookmarkEnd w:id="275"/>
      <w:r>
        <w:rPr>
          <w:rtl w:val="true"/>
        </w:rPr>
        <w:t>مقدمه</w:t>
      </w:r>
      <w:bookmarkEnd w:id="276"/>
    </w:p>
    <w:p>
      <w:pPr>
        <w:pStyle w:val="BookText"/>
        <w:rPr/>
      </w:pPr>
      <w:r>
        <w:rPr>
          <w:rFonts w:ascii="IRNazanin" w:hAnsi="IRNazanin" w:eastAsia="IRNazanin"/>
          <w:color w:val="111111"/>
          <w:sz w:val="28"/>
          <w:sz w:val="28"/>
          <w:szCs w:val="28"/>
          <w:rtl w:val="true"/>
          <w:lang w:bidi="fa-IR"/>
        </w:rPr>
        <w:t xml:space="preserve">آیات فراوانی در مجموعه روایات شیعی به فضائل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شده‌است که ارتباط آنها مورد توجه و تمرکز دانشمندان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است که در مقام بیان عظمت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تنها یک روایت آن هم صحیح السند به این نکته اشاره دارد و مابقی روایات ذیل این آیه وآیات قبل از آن دلالتی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این سوال مطرح می‌شود که آیا آن یک روایت به بیان بطن آیه توجه دارد و ظاهر آیه هیچ مناسبتی با عظمت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 نظر نگارنده ظاهر آیه ارتباط مستقیمی با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حضرت در آن روایت درصدد بیان مصداق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و سیاق آیات قبلش نشان می‌دهد که ذبح عظیم نمی‌تواند برای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 حاضر با روش توصیفی و تحلیلی به بررسی نظرات تفسیری موجود ذیل این آیه و تأمل در روایات موجود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مستقلی در رابطه با این آیه شرفیه و ارتباط آن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بحثی کوتاه از شیخ هادی طهرانی صاحب کتاب الولایه و المقتل صورت نگرفته و ایشان نیز به حل تنافی روایات و سیاق آیات نیز نپرداخته است</w:t>
      </w:r>
      <w:r>
        <w:rPr>
          <w:rFonts w:eastAsia="IRNazanin" w:cs="IRNazanin"/>
          <w:color w:val="111111"/>
          <w:sz w:val="28"/>
          <w:szCs w:val="28"/>
          <w:rtl w:val="true"/>
          <w:lang w:bidi="fa-IR"/>
        </w:rPr>
        <w:t>.</w:t>
      </w:r>
    </w:p>
    <w:p>
      <w:pPr>
        <w:pStyle w:val="Heading3"/>
        <w:numPr>
          <w:ilvl w:val="2"/>
          <w:numId w:val="1"/>
        </w:numPr>
        <w:rPr/>
      </w:pPr>
      <w:bookmarkStart w:id="277" w:name="__RefHeading___Toc14423913_1280447820"/>
      <w:bookmarkStart w:id="278" w:name="_Toc106"/>
      <w:bookmarkEnd w:id="277"/>
      <w:r>
        <w:rPr/>
        <w:t>1</w:t>
      </w:r>
      <w:r>
        <w:rPr>
          <w:rtl w:val="true"/>
        </w:rPr>
        <w:t xml:space="preserve">. </w:t>
      </w:r>
      <w:r>
        <w:rPr>
          <w:rtl w:val="true"/>
        </w:rPr>
        <w:t>دیدگاه مفسران</w:t>
      </w:r>
      <w:bookmarkEnd w:id="278"/>
    </w:p>
    <w:p>
      <w:pPr>
        <w:pStyle w:val="Heading4"/>
        <w:numPr>
          <w:ilvl w:val="3"/>
          <w:numId w:val="1"/>
        </w:numPr>
        <w:rPr/>
      </w:pPr>
      <w:bookmarkStart w:id="279" w:name="__RefHeading___Toc14423915_1280447820"/>
      <w:bookmarkStart w:id="280" w:name="_Toc107"/>
      <w:bookmarkEnd w:id="279"/>
      <w:r>
        <w:rPr>
          <w:rtl w:val="true"/>
        </w:rPr>
        <w:t>اشاره</w:t>
      </w:r>
      <w:bookmarkEnd w:id="28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از چند جهت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فداء؛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فدیناه؛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ذبح و چرایی اطلاق ذبح؛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ذبح به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پژوهشبه بررسی جهات ذکر شده می‌پردازد</w:t>
      </w:r>
      <w:r>
        <w:rPr>
          <w:rFonts w:eastAsia="IRNazanin" w:cs="IRNazanin"/>
          <w:color w:val="111111"/>
          <w:sz w:val="28"/>
          <w:szCs w:val="28"/>
          <w:rtl w:val="true"/>
          <w:lang w:bidi="fa-IR"/>
        </w:rPr>
        <w:t xml:space="preserve">: </w:t>
      </w:r>
      <w:bookmarkStart w:id="281" w:name="pg18842_238255"/>
    </w:p>
    <w:p>
      <w:pPr>
        <w:pStyle w:val="Heading4"/>
        <w:numPr>
          <w:ilvl w:val="3"/>
          <w:numId w:val="1"/>
        </w:numPr>
        <w:rPr/>
      </w:pPr>
      <w:bookmarkStart w:id="282" w:name="__RefHeading___Toc14423917_1280447820"/>
      <w:bookmarkStart w:id="283" w:name="_Toc108"/>
      <w:bookmarkEnd w:id="281"/>
      <w:bookmarkEnd w:id="282"/>
      <w:r>
        <w:rPr/>
        <w:t>1</w:t>
      </w:r>
      <w:r>
        <w:rPr>
          <w:rtl w:val="true"/>
        </w:rPr>
        <w:t xml:space="preserve"> .</w:t>
      </w:r>
      <w:r>
        <w:rPr/>
        <w:t>1</w:t>
      </w:r>
      <w:r>
        <w:rPr>
          <w:rtl w:val="true"/>
        </w:rPr>
        <w:t xml:space="preserve">. </w:t>
      </w:r>
      <w:r>
        <w:rPr>
          <w:rtl w:val="true"/>
        </w:rPr>
        <w:t xml:space="preserve">معنای فداء و مرجع ضمیر در </w:t>
      </w:r>
      <w:r>
        <w:rPr>
          <w:rtl w:val="true"/>
        </w:rPr>
        <w:t>«</w:t>
      </w:r>
      <w:r>
        <w:rPr>
          <w:rtl w:val="true"/>
        </w:rPr>
        <w:t>فدیناه</w:t>
      </w:r>
      <w:r>
        <w:rPr>
          <w:rtl w:val="true"/>
        </w:rPr>
        <w:t>»</w:t>
      </w:r>
      <w:bookmarkEnd w:id="283"/>
    </w:p>
    <w:p>
      <w:pPr>
        <w:pStyle w:val="BookText"/>
        <w:rPr/>
      </w:pPr>
      <w:r>
        <w:rPr>
          <w:rFonts w:ascii="IRNazanin" w:hAnsi="IRNazanin" w:eastAsia="IRNazanin"/>
          <w:color w:val="111111"/>
          <w:sz w:val="28"/>
          <w:sz w:val="28"/>
          <w:szCs w:val="28"/>
          <w:rtl w:val="true"/>
          <w:lang w:bidi="fa-IR"/>
        </w:rPr>
        <w:t xml:space="preserve">برخی معتقدند فداء به چیزی گفته می‌شود که به جای چیز دیگری برای دفع ضرر از آن شیء قرار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8/520</w:t>
      </w:r>
      <w:r>
        <w:rPr>
          <w:rFonts w:ascii="IRNazanin" w:hAnsi="IRNazanin" w:eastAsia="IRNazanin"/>
          <w:color w:val="111111"/>
          <w:sz w:val="28"/>
          <w:sz w:val="28"/>
          <w:szCs w:val="28"/>
          <w:rtl w:val="true"/>
          <w:lang w:bidi="fa-IR"/>
        </w:rPr>
        <w:t xml:space="preserve">؛ نظام الدین نیشابوری،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اعطاء چیزی، بدل از حق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از نگاه مفسرین، فداء در جایی به کار می‌رود که چیزی را در جایگاه چیز دیگری قرار دهند به نحوی که مفدی‌به در رتبه ثانی و متاخر از مفدی‌عنه قرار داشته باشد و به عبارت دیگر مفدی‌عنه اصل و دیگری فرع آن باشد و به بیان اخر شیء دوم در ارزشمندی از شیء اول پایین‌تر تلقی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نیز این معنی قابل ملاحظه است از همین‌رو به مالی که برای نجات اسیر پرداخت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کفاره در برابر ذمه مشغول فدیه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نکته در معنی فداء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فداء بدل و عوض آوردن است؛ دیگر آنکه شیء اول مقدم بر شیء دوم است؛ سوم اینکه به شیء اول شیء دوم رهانده شده و خلاصی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هر فدائی چهار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فدیه دهنده یا مفدی؛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مفدی‌به یا فدیه یا شیء که برای رهاندن شیء دیگری توسط مفدی اعطا می‌شود؛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مفدی‌عنه یا همان شیءای که به خاطرش فدیه داده می‌شود؛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قصد رهاندن مفدی‌عنه از آن به اعطای مفدی‌به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مفدی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فدیه کبش و گوسفند آسمانی، مفدی‌عنه اسماعیل و ذبح امری است که رهانیدن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قصد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مقام فداء در امر ذبح مقام عبودیت و بندگی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شارع باید فدیه را بپذیرد تا فداء محقق شود، جعل فدیه بودن چیزی برای چیزی نیز به اراده اوست و امتنانی بر عبد در مقام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آیه مذکور، فدیه آوردن به خداوند نسبت داده شده‌است چون جعل الهی سبب فداء شدن کبش برای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اساسی این است که آیا آیه در مقام بیان فدیه کبش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و این توجیهات در مورد فداء با آیه تطابق دارد؟ یا اینکه معنای دیگری از آیه مراد است؟ در هر حال آیه در مقام بیان فداء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غالبا ضمیر را راجع‌به ولد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بنابر اختلافی که در مستندات روایی و تاریخی وجود دارد برخی مرجع آن را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اسماعیل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 مصداق آن نپرداخته و علت عدم ذکر اسم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دانسته‌اند که مقام بیان عظمت عبودیت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تسلیم او به ذبح ولد بوده و بیان نام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دخالتی در غرض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علاوه‌بر اینکه روایات شیعی به‌طور غالب بر ذبیح بودن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 بر مصداق ضمیر بودن اسحاق، در مقام تقیه صادر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سیاق آیه به همراه آیات قبل نشان می‌دهد که اگر در مقام بیان عظمت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عبودیت است در مقام بیان عظمت فرزند او نیز هست و مقام، همانطور که اقتضای ذکر نام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تعظیم دارد ذکر نام فرزند او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سیاق آیات بعد و قبل داستان ذبح، مربوط به ولدی است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بشارت او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ذبح بشارت به اسحاق نشان می‌دهد که غلام حلیم که مورد امتحان ذبح بوده غیر از اسحاق است و همین قرینه مکفی از ذکر نام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مقام اقتضای ضمیر دارد و نیازی به ذکر 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همانند روایت برید بن معاویه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خصوصیت سیاق و تعدد بشارت‌ها اشاره شده‌است؛ از حضرت سؤال شد که بین دو بشارت ابرهیم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فاصله بوده‌است؟ حضرت در جواب مقدار پنج سال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سائل از آیه شریفه بشارت متعدد و ولد متعدد فهمیده است به همین خاطر چنین سؤالی را طرح می‌کند وحضرت نیز سؤال او را ناصحیح تلقی نفرموده‌اند</w:t>
      </w:r>
      <w:r>
        <w:rPr>
          <w:rFonts w:eastAsia="IRNazanin" w:cs="IRNazanin"/>
          <w:color w:val="111111"/>
          <w:sz w:val="28"/>
          <w:szCs w:val="28"/>
          <w:rtl w:val="true"/>
          <w:lang w:bidi="fa-IR"/>
        </w:rPr>
        <w:t xml:space="preserve">. </w:t>
      </w:r>
      <w:bookmarkStart w:id="284" w:name="pg18842_238257"/>
    </w:p>
    <w:p>
      <w:pPr>
        <w:pStyle w:val="Heading4"/>
        <w:numPr>
          <w:ilvl w:val="3"/>
          <w:numId w:val="1"/>
        </w:numPr>
        <w:rPr/>
      </w:pPr>
      <w:bookmarkStart w:id="285" w:name="__RefHeading___Toc14423919_1280447820"/>
      <w:bookmarkStart w:id="286" w:name="_Toc109"/>
      <w:bookmarkEnd w:id="284"/>
      <w:bookmarkEnd w:id="285"/>
      <w:r>
        <w:rPr/>
        <w:t>1</w:t>
      </w:r>
      <w:r>
        <w:rPr>
          <w:rtl w:val="true"/>
        </w:rPr>
        <w:t xml:space="preserve">. </w:t>
      </w:r>
      <w:r>
        <w:rPr/>
        <w:t>2</w:t>
      </w:r>
      <w:r>
        <w:rPr>
          <w:rtl w:val="true"/>
        </w:rPr>
        <w:t xml:space="preserve">. </w:t>
      </w:r>
      <w:r>
        <w:rPr>
          <w:rtl w:val="true"/>
        </w:rPr>
        <w:t xml:space="preserve">علت به‌کارگیری لفظ </w:t>
      </w:r>
      <w:r>
        <w:rPr>
          <w:rtl w:val="true"/>
        </w:rPr>
        <w:t>«</w:t>
      </w:r>
      <w:r>
        <w:rPr>
          <w:rtl w:val="true"/>
        </w:rPr>
        <w:t>ذبح</w:t>
      </w:r>
      <w:r>
        <w:rPr>
          <w:rtl w:val="true"/>
        </w:rPr>
        <w:t xml:space="preserve">» </w:t>
      </w:r>
      <w:r>
        <w:rPr>
          <w:rtl w:val="true"/>
        </w:rPr>
        <w:t xml:space="preserve">و مصداق آن و اتصاف </w:t>
      </w:r>
      <w:r>
        <w:rPr>
          <w:rtl w:val="true"/>
        </w:rPr>
        <w:t>«</w:t>
      </w:r>
      <w:r>
        <w:rPr>
          <w:rtl w:val="true"/>
        </w:rPr>
        <w:t>ذبح</w:t>
      </w:r>
      <w:r>
        <w:rPr>
          <w:rtl w:val="true"/>
        </w:rPr>
        <w:t xml:space="preserve">» </w:t>
      </w:r>
      <w:r>
        <w:rPr>
          <w:rtl w:val="true"/>
        </w:rPr>
        <w:t xml:space="preserve">به وصف </w:t>
      </w:r>
      <w:r>
        <w:rPr>
          <w:rtl w:val="true"/>
        </w:rPr>
        <w:t>«</w:t>
      </w:r>
      <w:r>
        <w:rPr>
          <w:rtl w:val="true"/>
        </w:rPr>
        <w:t>عظیم</w:t>
      </w:r>
      <w:r>
        <w:rPr>
          <w:rtl w:val="true"/>
        </w:rPr>
        <w:t>»</w:t>
      </w:r>
      <w:bookmarkEnd w:id="286"/>
    </w:p>
    <w:p>
      <w:pPr>
        <w:pStyle w:val="BookText"/>
        <w:rPr/>
      </w:pPr>
      <w:r>
        <w:rPr>
          <w:rFonts w:ascii="IRNazanin" w:hAnsi="IRNazanin" w:eastAsia="IRNazanin"/>
          <w:color w:val="111111"/>
          <w:sz w:val="28"/>
          <w:sz w:val="28"/>
          <w:szCs w:val="28"/>
          <w:rtl w:val="true"/>
          <w:lang w:bidi="fa-IR"/>
        </w:rPr>
        <w:t xml:space="preserve">مسئله دیگر در آیه شریفه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این است که چرا به مذبوحی که فدیه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ذبح در ظاهر مصدر است و از طرفی مفسرین معتقد هستند که ذبح عظیم، فداء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معنی مصدری یعنی ذبح کردن نمی‌تواند فدیه برای اسماعیل باشد چون هیچ تناسبی بین آنها وجود ندارد و باید بین فداء و مفدی‌عنه سنخیت و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لزوما مقصود از ذبح، شیء مذبوح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اینکه ذبح به کسر، مصدر ثانی است و به اعتقاد مفسرین، غالبا، مصدر ثانی به معنی اسم مفعول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ذبح از این جهت به جای لفظ مذبوح به کار رفته زیرا کبش آسمانی قبل از اینکه ذبح شود فداء قرار داده شده‌است و این آیه در مقام جعل او به‌عنوان فداء است و همین که اقتضاء ذبح شدن را داشته باشد برای موضوع فداء واقع شدن کافی است و فعلیت وقوع ذبح نه تنها لازم نیست بلکه منافات با جعل دارد و از آن‌رو که مذبوح فی حد نفسه دلالت بر فعلیت دارد ولی ذبح بر اقتضاء دلالت دارد بنابراین در این آیه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خاطر غالب مفسرین در تفسیر آن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اعددت للذبح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r>
        <w:rPr>
          <w:rFonts w:ascii="IRNazanin" w:hAnsi="IRNazanin" w:eastAsia="IRNazanin"/>
          <w:color w:val="111111"/>
          <w:sz w:val="28"/>
          <w:sz w:val="28"/>
          <w:szCs w:val="28"/>
          <w:rtl w:val="true"/>
          <w:lang w:bidi="fa-IR"/>
        </w:rPr>
        <w:t xml:space="preserve">؛ فراء،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مورد مصداق ذبح، تمامی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کبش آسمانی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جزئیات نزول آن اختلاف نظر وجود دارد ولی در اصل اینکه مقصود از ذبح عظیم، کبش و گوسفند اعطائی الهی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گفتن ذبح و اراده مذبوح و شیءای همانند کبش حرف صحیحی نیست چون در صورتی می‌تواند مصدر ثانی به کار رود و مقصود اسم مفعول باشد که در وجود خارجی، مصدر با اسم مفعول اتحاد داشته باشد همانند خلق و مخلوق، لفظ و ملفوظ و غیراینها و گرنه اراده مفعول از مصدر مسوغی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طهرانی،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ذبح به همان معنای حدثی مقصود است و معنی جز حدث ذبح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اراده کبش و قوچ از ذبح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p>
    <w:p>
      <w:pPr>
        <w:pStyle w:val="BookText"/>
        <w:rPr/>
      </w:pPr>
      <w:r>
        <w:rPr>
          <w:rFonts w:ascii="IRNazanin" w:hAnsi="IRNazanin" w:eastAsia="IRNazanin"/>
          <w:color w:val="111111"/>
          <w:sz w:val="28"/>
          <w:sz w:val="28"/>
          <w:szCs w:val="28"/>
          <w:rtl w:val="true"/>
          <w:lang w:bidi="fa-IR"/>
        </w:rPr>
        <w:t>چیز دیگری مقصود است که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با دو پرسش اساسی روبه‌رو هستند، ابتدا اینکه عظیم چه نوع صفتی برای ذبح است، حقیقی یا سببی است ؟ دوم اینکه مقصود از عظیم بودن ذبح چیست؟ این دو پرسش به نحوی با یکدیگر در ارتباط مستقیم هستند که نوع دیدگاه در پرسش دوم در پاسخ به پرسش اول تأثیر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صفت حقیقی برای ذبح است و عظمت آن از آن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صفت حقیقی ذبح می‌دانند و عظیم بودنش را از جهت مقبول بودن آن دانسته‌اند و برخی دیگر معتقد هستند که ناظر به جسه کبش است پس عظیم به معنی کبیر و عظیم الجسه است و برخی نیز معتقدند که چون عظیم البرکت است ذبح متصف به عظیم شده‌است و برخی دیگر آن را نعت سببی دانسته و معتقد هستند که چون این کبش فداء برای شخص عظیم القدری قرار گرفته به عظیم به نحو سببی متصف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نیشابوری،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عظیم به نعت سببی از جهت عظمت آثار دانسته‌اند که رهایی نبی خداوند از ذبح شدن بوده‌است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اتصاف ذبح به عظیم با فرض اینکه مقصود از آن کبش و گوسفندی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فرزندش ذبح کرد، اختلاف وجود دارد و این نشان می‌دهد که اتصاف گوسفندی این چنینی به عظمت، غریب به نظر می‌رسد و نیاز به توجیه و توضیح دارد و لا اقل آیه از این جهت، متشابه خواهد بود وگرنه این همه اختلاف در بیان آن وجود نداشت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بین مجموعه روایات، نمی‌توان دلالتی بر هیچ یک از این توجیهات مذکور برای اتصاف کبش به عظمت یافت مگر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دلالت دارد بر اینکه ذبح عظیم همان کبش است و عظمتش از جهت این بوده که در مکان مناسبی زندگی کرده و رشدمناسب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روایت نمی‌تواند چنین دلالتی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با توجه به آنچه مفسرین بیان کرده‌اند آیه شریفه در مقام بیان عظمت مذبوحی است که عوض از اسماعیل قرار داده شده در </w:t>
      </w:r>
      <w:bookmarkStart w:id="287" w:name="pg18842_238259"/>
    </w:p>
    <w:p>
      <w:pPr>
        <w:pStyle w:val="BookText"/>
        <w:rPr/>
      </w:pPr>
      <w:bookmarkEnd w:id="287"/>
      <w:r>
        <w:rPr>
          <w:rFonts w:ascii="IRNazanin" w:hAnsi="IRNazanin" w:eastAsia="IRNazanin"/>
          <w:color w:val="111111"/>
          <w:sz w:val="28"/>
          <w:sz w:val="28"/>
          <w:szCs w:val="28"/>
          <w:rtl w:val="true"/>
          <w:lang w:bidi="fa-IR"/>
        </w:rPr>
        <w:t xml:space="preserve">حالی که مذبوح از آن جهت که مفدی‌به است نمی‌تواند دارای جایگاهی بالاتر از اسماعیل همانطور که در معنی فداء اشاره شد، باشد و دیگر اینکه خصوصیتی برای ذبح وجود ندارد تا کبش را در نظر الهی عظیم نشان دهد تا جایی که نیاز به بیان آن وجود داشته و مقام وحی نیز اقتضای آن را داشته باشد یعنی در جایگاهی از اهمیت باشد که وحی الهی به بیان عظمت آن تعلق گرفته و خداوند اخبار از عظمت آن را بر عهده بگیرد، علاوه‌بر این اگر عظمتی هم باشد از ناحیه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تبع عظمت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مذبوح مذکور دارای عظمت است و این مطلب با ظاهر وصف با و توجه به اینکه ظهور در حقیقی بودن دارد، منافی است</w:t>
      </w:r>
      <w:r>
        <w:rPr>
          <w:rFonts w:eastAsia="IRNazanin" w:cs="IRNazanin"/>
          <w:color w:val="111111"/>
          <w:sz w:val="28"/>
          <w:szCs w:val="28"/>
          <w:rtl w:val="true"/>
          <w:lang w:bidi="fa-IR"/>
        </w:rPr>
        <w:t>.</w:t>
      </w:r>
    </w:p>
    <w:p>
      <w:pPr>
        <w:pStyle w:val="Heading3"/>
        <w:numPr>
          <w:ilvl w:val="2"/>
          <w:numId w:val="1"/>
        </w:numPr>
        <w:rPr/>
      </w:pPr>
      <w:bookmarkStart w:id="288" w:name="__RefHeading___Toc14423921_1280447820"/>
      <w:bookmarkStart w:id="289" w:name="_Toc110"/>
      <w:bookmarkEnd w:id="288"/>
      <w:r>
        <w:rPr/>
        <w:t>2</w:t>
      </w:r>
      <w:r>
        <w:rPr>
          <w:rtl w:val="true"/>
        </w:rPr>
        <w:t xml:space="preserve">. </w:t>
      </w:r>
      <w:r>
        <w:rPr>
          <w:rtl w:val="true"/>
        </w:rPr>
        <w:t xml:space="preserve">نگاه روایات در معنی </w:t>
      </w:r>
      <w:r>
        <w:rPr>
          <w:rtl w:val="true"/>
        </w:rPr>
        <w:t>«</w:t>
      </w:r>
      <w:r>
        <w:rPr>
          <w:rtl w:val="true"/>
        </w:rPr>
        <w:t>ذبح عظیم</w:t>
      </w:r>
      <w:r>
        <w:rPr>
          <w:rtl w:val="true"/>
        </w:rPr>
        <w:t>»</w:t>
      </w:r>
      <w:bookmarkEnd w:id="289"/>
    </w:p>
    <w:p>
      <w:pPr>
        <w:pStyle w:val="Heading4"/>
        <w:numPr>
          <w:ilvl w:val="3"/>
          <w:numId w:val="1"/>
        </w:numPr>
        <w:rPr/>
      </w:pPr>
      <w:bookmarkStart w:id="290" w:name="__RefHeading___Toc14423923_1280447820"/>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روایات ذیل آیه شریفه جز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خصال و عیون الاخبار، ناظر به بیان مصداق فدیه و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تنها دلالت روشنی بر ابهامات تفسیری آیه ندارد، بر نظارت آیه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ایشان نیز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ابتدا حدیث شریف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می‌شود و سپس ارتباط این روایت با روایات دیگر و آیه شریفه را مورد بحث قرار می‌دهیم تا بتوانیم رابطه آیه شریفه با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Heading4"/>
        <w:numPr>
          <w:ilvl w:val="3"/>
          <w:numId w:val="1"/>
        </w:numPr>
        <w:rPr/>
      </w:pPr>
      <w:bookmarkStart w:id="292" w:name="__RefHeading___Toc14423925_1280447820"/>
      <w:bookmarkStart w:id="293" w:name="_Toc112"/>
      <w:bookmarkEnd w:id="292"/>
      <w:r>
        <w:rPr/>
        <w:t>1</w:t>
      </w:r>
      <w:r>
        <w:rPr>
          <w:rtl w:val="true"/>
        </w:rPr>
        <w:t xml:space="preserve"> .</w:t>
      </w:r>
      <w:r>
        <w:rPr/>
        <w:t>2</w:t>
      </w:r>
      <w:r>
        <w:rPr>
          <w:rtl w:val="true"/>
        </w:rPr>
        <w:t xml:space="preserve">. </w:t>
      </w:r>
      <w:r>
        <w:rPr>
          <w:rtl w:val="true"/>
        </w:rPr>
        <w:t xml:space="preserve">بررسی روایت خصال از امام رضا </w:t>
      </w:r>
      <w:r>
        <w:rPr>
          <w:rtl w:val="true"/>
        </w:rPr>
        <w:t>(</w:t>
      </w:r>
      <w:r>
        <w:rPr>
          <w:rtl w:val="true"/>
        </w:rPr>
        <w:t>علیه السلام</w:t>
      </w:r>
      <w:r>
        <w:rPr>
          <w:rtl w:val="true"/>
        </w:rPr>
        <w:t>)</w:t>
      </w:r>
      <w:bookmarkEnd w:id="293"/>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خصال آورده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الْوَاحِدِ بْنُ مُحَمَّدِ بْنِ عُبْدُوسٍ النَّیْسَابُورِیُّ الْعَطَّارُ رَضِیَ اللَّهُ عَنْهُ قَالَ حَدَّثَنَا عَلِیُّ بْنُ مُحَمَّدِ بْنِ قُتَیْبَةَ النَّیْسَابُورِیُّ عَنِ الْفَضْلِ بْنِ شَاذَانَ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لَمَّا أَمَرَ اللَّهُ عَزَّ وَ جَلَّ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یَذْبَحَ مَكَانَ ابْنِهِ إِسْمَاعِیلَ الْكَبْشَ الَّذِی أَنْزَلَهُ عَلَیْهِ تَمَنَّى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یَكُونَ قَدْ ذَبَحَ ابْنَهُ إِسْمَاعِیلَ بِیَدِهِ وَ أَنَّهُ لَمْ یُؤْمَرْ بِذَبْحِ الْكَبْشِ مَكَانَهُ لِیَرْجِعَ إِلَى قَلْبِهِ مَا یَرْجِعُ إِلَى قَلْبِ الْوَالِدِ الَّذِی یَذْبَحُ أَعَزَّ وُلْدِهِ عَلَیْهِ بِیَدِهِ فَیَسْتَحِقَّ بِذَلِكَ أَرْفَعَ دَرَجَاتِ أَهْلِ الثَّوَابِ عَلَى الْمَصَائِبِ فَأَوْحَى اللَّهُ عَزَّ وَ جَلَّ إِلَیْهِ یَا إِبْرَاهِیمُ مَنْ أَحَبُّ خَلْقِی إِلَیْكَ فَقَالَ یَا رَبِّ مَا خَلَقْتَ خَلْقاً هُوَ أَحَبُّ إِلَیَّ مِنْ حَبِیبِكَ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إِلَیْهِ أَ فَهُوَ أَحَبُّ إِلَیْكَ أَمْ نَفْسُكَ قَالَ بَلْ هُوَ أَحَبُّ إِلَیَّ مِنْ </w:t>
      </w:r>
    </w:p>
    <w:p>
      <w:pPr>
        <w:pStyle w:val="BookText"/>
        <w:rPr/>
      </w:pPr>
      <w:r>
        <w:rPr>
          <w:rFonts w:ascii="Amiri" w:hAnsi="Amiri" w:eastAsia="Amiri" w:cs="Amiri"/>
          <w:color w:val="111111"/>
          <w:sz w:val="28"/>
          <w:sz w:val="28"/>
          <w:szCs w:val="28"/>
          <w:rtl w:val="true"/>
          <w:lang w:bidi="ar-SA"/>
        </w:rPr>
        <w:t xml:space="preserve">نَفْسِی قَالَ فَوُلْدُهُ أَحَبُّ إِلَیْكَ أَمْ وُلْدُكَ قَالَ بَلْ وُلْدُهُ قَالَ فَذَبْحُ وُلْدِهِ ظُلْماً عَلَى أَیْدِی أَعْدَائِهِ أَوْجَعُ لِقَلْبِكَ أَوْ ذَبْحُ وُلْدِكَ بِیَدِكَ فِی طَاعَتِی قَالَ یَا رَبِّ بَلْ ذَبْحُ وُلْدِهِ ظُلْماً عَلَى أَیْدِی أَعْدَائِهِ أَوْجَعُ لِقَلْبِی قَالَ یَا إِبْرَاهِیمُ فَإِنَّ طَائِفَةً تَزْعُمُ أَنَّهَا مِنْ أُمَّةِ مُحَمَّدٍ سَتَقْتُلُ الْحُسَیْنَ ابْنَهُ مِنْ بَعْدِهِ ظُلْماً وَ عُدْوَاناً كَمَا یُذْبَحُ الْكَبْشُ وَ یَسْتَوْجِبُونَ بِذَلِكَ سَخَطِی فَجَزِعَ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تَوَجَّعَ قَلْبُهُ وَ أَقْبَلَ یَبْكِی فَأَوْحَى اللَّهُ عَزَّ وَ جَلَّ إِلَیْهِ یَا إِبْرَاهِیمُ قَدْ فَدَیْتُ جَزَعَكَ عَلَى ابْنِكَ إِسْمَاعِیلَ لَوْ ذَبَحْتَهُ بِیَدِكَ بِجَزَعِكَ عَلَى الْحُسَیْنِ وَ قَتْلِهِ وَ أَوْجَبْتُ لَكَ أَرْفَعَ دَرَجَاتِ أَهْلِ الثَّوَابِ عَلَى الْمَصَائِبِ وَ ذَلِكَ قَوْلُ اللَّهِ عَزَّ وَ جَلَ وَ فَدَیْناهُ بِذِبْحٍ عَظِیم؛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که به جای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کبشی را که نازل فرمود ذبح کند،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تمنی و خواهش کرد که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به دست خودش باشد و اینکه او را به ذبح کبش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نفرماید تا اینکه به قلبش آن مصیبتی وارد شود که به قلب پدری که عزیزتر این فرزنداش را به دستش ذبح می‌کند وارد شود تا اینکه به این مصیبت استحقاق بالاتر این درجه از درجات اهل ثواب بر مصائب را پیدا کند، بنابراین خداوند سبحان به ایشان وحی فرمود که 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خلق من نزد تو کیست؟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خلقی را محبوب‌تر از حبیب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نیافریده‌ای پس خداوند متعال به ایشان وحی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بیشتر دوست می‌داری یا او را؟ابراهیم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در نزد من از خودم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پیش تو محبوب‌تر است یا فرزند خودت؟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ایشان،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فرزند او از روی ظلم به دست دشمنانش قلب تو را به بیشتر به درد می‌آورد یا ذبح فرزندت به دست خودت در مقام طاعت من؟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بلکه ذبح فرزند ایشان به دست دشمنانش قلب من را بیشتر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طائفه و گروهی که گمان می‌کنند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را بعد از ایشان از روی ظلم و جفا خواهند کشت </w:t>
      </w:r>
    </w:p>
    <w:p>
      <w:pPr>
        <w:pStyle w:val="BookText"/>
        <w:rPr/>
      </w:pPr>
      <w:r>
        <w:rPr>
          <w:rFonts w:ascii="IRNazanin" w:hAnsi="IRNazanin" w:eastAsia="IRNazanin"/>
          <w:color w:val="111111"/>
          <w:sz w:val="28"/>
          <w:sz w:val="28"/>
          <w:szCs w:val="28"/>
          <w:rtl w:val="true"/>
          <w:lang w:bidi="fa-IR"/>
        </w:rPr>
        <w:t xml:space="preserve">همانطور که کبش را ذابحی ذبح می‌کند و به‌سبب این عمل لایق سخط و غضب من خواهند شد،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امر جزع کرد و قلبش به درد آمد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جزع تو بر فرزندت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فرض ذبح او به دست خودت را به‌سبب جزع کردنت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ایشان را فدیه دادم و بالاترین درجات ثواب بر مصیبت را بر تو واجب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معنی قول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جهت سند ظاهرا دچار اشکال نیست چون فضل بن شاذان که امامی ثقه است و وی را جلیل القدر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بن قتیبه نیشابوری نیز که از شاگردان و ملازمان فضل بوده؛ از محدثانی است که کشی بر او اعتماد کرده و این اعتماد را نجاشی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اعتماد کشی و عدم اعتراض نجاشی را دلیل بر وثاقت او دانست؛ علاوه‌بر این عده‌ای از معاصرین نیز به وثاقت او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عبدوس نیشابوری که از مشایخ صدوق است و وی را در مشیخه خود ذکر کرده است و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می‌کند به اینکه صدوق تصریح کرده است که او در نزد من اصح است و این اصح بودن ناظر به وثاقت است ولی خویی معتقد است که بر بیشتر از حجیت روایتش در نزد صدوق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همین مقدار در صحت روایت مذکور کافی است و صدوق نیز از مشایخ ثلالث است و جای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سند این روایت قابل خدشه نبوده و به دلالت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مضامین روایت شریفه می‌توان نکات زیر را استخراج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فداء بودن حزن بر مصایب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مصیبت بر فرزند، بعد از فدیه کبش به جای ذبح فرزند مطرح شده یعنی خداوند برای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قرار داد و او را مأمور کرد به اینکه کبش را به جای فرزندش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مواجهه با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فدیه و عوض حزن بر مصیبت ذبح ولد به دست خود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غرض تحصیل مقاماتی بوده که تنها از این طریق حاصل می‌شده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اگاهی داشته است و فداء برای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مقامات که ترفیع در بندگی بوده،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حزن بر مصایب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ایجاد و رسیدن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جات بالاتر عبودیت نسبت به حزن بر مصائب ذبح فرزند بوده و به ابتلاء به آن قرب بیشتری حاصل می‌شده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روایت دلالت دارد بر اینکه امر به ذبح فرزند، برای توجه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بندگی تام بوده که باتوجه به روایات همان مقام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آن مقامات ابتلائات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به جای ذبح فرزند برای آماده کردن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فعلیت یافتن لیاقت او برای کسب آنهاست به وسیله معرفت یافتن وی به اینکه این مقامات به ذبح فرزند و مصیبت بر او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به ابتلاء به ذبح ولد کسب می‌شود صبر بر مصیبت وارد بر محبوب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حزن آن کس که محبوب خدا است بعد از مقدم کردن محبوب خدا بر هر آنچه محبوب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بیان را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 دانسته‌اند و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قَوْلُ اللَّهِ عَزَّ وَ جَلَ وَ فَدَیْناهُ بِذِبْحٍ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روایت در این است که ذبح عظیم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سبب شده تا همانند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به حزن و جزع بر مصائب آن به مقامات بندگی تام نائل شود و نیازی به ذبح فرزند برای دسترسی به مقامات نداشته باشد در حالی که ذبح ولد نمی‌تواند او را به مقامی برساند که حزن و جزع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حدیث شریف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ناظر به قرار دادن کبش به‌عنوان فداء برای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اگرچه سیاق آیات سابق بر این آیه چنین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واضح‌تر آیات سابق یعنی از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دلالت بر امر به ذبح و فدیه دارد ولی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واقعه‌ای بعد از جریان فدیه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نیز به این مطلب اشاره دارد به‌عنوان مثال در روایتی طویل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الله بالذبح فإن إبراهیم ع حین أفاض من عرفات بات على المشعر الحرام و هو فزع فرأى فی النوم أن یذبح ابنه إسحاق و قد کان إسحاق حج بوالدته ساره فلما انتهى إلى منى رمى الجمرة هو و أهله و أمر أهله فسارت إلى البیت و احتبس الغلام فانطلق به إلى موضع الجمرة الوسطى فاستشار ابنه و قال کما حکى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أرى فی المنام أنی أذبحک فانظر ما 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الغلام کما حکى الله امض کما أمرک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افعل ما تؤمر 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 لأمر الله، و أقبل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ما ترید من هذا الغلام قال أرید أن أذبحه فقال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تذبح غلاما لم یعص 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إبراهیم إن الله أمرنی بذلک فقال ربک ینهاک عن ذلک و إنما أمرک بهذا الشیطان، فقال له إبراهیم ویلک إن الذی بلغنی هذا المبلغ هو الذی أمرنی به و الکلام الذی وقع فی أذنی فقال لا و الله ما أمرک بهذا إلا الشیطان فقال إبراهیم لا و الله لا أکلمک ثم عزم إبراهیم على الذبح، فقال یا إبراهیم إنک إمام یقتدى بک و إنک إن ذبحته ذبح الناس أولادهم فلم یکلمه و أقبل إلى الغلام فاستشاره فی الذبح فلما أسلما جمیعا لأمر الله قال الغلام یا أبت خمر وجهی و شد وثاقی فقال إبراهیم یا بنی الوثاق مع الذبح لا و الله لا أجمعهما علیک الیوم فرمى له بقرطان الحمار ثم أضجعه علیه و أخذ المدیة فوضعها على حلقه و رفع رأسه إلى السماء ثم انتحى علیه المدیة فقلب جبرئیل المدیة على قفاها و اجتر الکبش من قبل ثبیر و أثار الغلام من تحته و وضع الکبش مکان الغلام و نودی من مسیره مسجد الخیف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إبراهیم قد صدقت الرؤیا إنا کذلک نجزی المحسنین إن هذا لهو البلاء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روایات واقعه ذبح فرزند و فداء کبش به جای فرزند ابرهیم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آیات قبل از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است که در این روایت، داستان امر به ذبح و فدیه قرار دادن خداوند متعال برای فرزند مربوط به آیات قبل دانسته شده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را شاهد ماجرا تلقی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منافاتی با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تا لازم باشد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باطن آیه کنیم و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ظاهر آیه بدانیم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از احادیث مثل خبر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لایحضر را منافی با بیان مذکور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أَرَادَ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یَذْبَحَ ابْنَهُ فَقَالَ عَلَى الْجَمْرَةِ الْوُسْطَى وَ لَمَّا أَرَادَ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یَذْبَحَ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الْمُدْیَةَ وَ اجْتَرَّ الْكَبْشَ مِنْ قِبَلِ ثَبِیرٍ وَ اجْتَرَّ الْغُلَامَ مِنْ تَحْتِهِ وَ وَضَعَ الْكَبْشَ مَكَانَ الْغُلَامِ وَ نُودِیَ مِنْ مَیْسَرَةِ مَسْجِدِ الْخَیْفِ أَنْ یا إِبْراهِیمُ قَدْ صَدَّقْتَ الرُّؤْیا إِنَّا كَذلِكَ نَجْزِی الْمُحْسِنِینَ إِنَّ هذا لَهُوَ الْبَلاءُ الْمُبِینُ وَ فَدَیْناهُ بِذِبْحٍ عَظِیمٍ یَعْنِی بِكَبْشٍ أَمْلَحَ یَمْشِی فِی سَوَادٍ وَ یَأْكُلُ فِی سَوَادٍ وَ یَنْظُرُ فِی سَوَادٍ وَ یَبْعَرُ فِی سَوَادٍ وَ یَبُولُ فِی سَوَادٍ أَقْرَنَ فَحْلٍ وَ كَانَ یَرْتَعُ فِی رِیَاضِ الْجَنَّةِأَرْبَعِینَ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 روایت، حاصل می‌شود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بیان و توضیح ذبح عظیم است و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کبش املح تفسیر فرموده لیکن با توجه به روایت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مضامین با روایت مذکور تناسب دارد نه تنها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سیاق روایت نیز دلالتی بر تفسیر ذبح عظیم به کبش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الْحَسَنِ عَلِیَ‌بْنَ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النَّبِیِّ ص أَنَا ابْنُ الذَّبِیحَیْنِ قَالَ یَعْنِی إِسْمَاعِیلَ بْنَ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الْمُطَّلِبِ أَمَّا إِسْمَاعِیلُ فَهُوَ الْغُلَامُ الْحَلِیمُ الَّذِی بَشَّرَ اللَّهُ بِهِ إِبْرَاهِیمَ فَلَمَّا بَلَغَ مَعَهُ السَّعْیَ قالَ یا بُنَیَّ إِنِّی أَرى فِی الْمَنامِ أَنِّی أَذْبَحُكَ فَانْظُرْ ما ذا تَرى قالَ یا أَبَتِ افْعَلْ ما تُؤْمَرُ وَ لَمْ یَقُلْ لَهُ یَا أَبَتِ افْعَلْ مَا رَأَیْتَ سَتَجِدُنِی إِنْ شاءَ اللَّهُ مِنَ الصَّابِرِینَ فَلَمَّا عَزَمَ عَلَى ذَبْحِهِ فَدَاهُ اللَّهُ بِذِبْحٍ عَظِیمٍ بِكَبْشٍ أَمْلَحَ یَأْكُلُ فِی سَوَادٍ وَ یَشْرَبُ فِی سَوَادٍ وَ یَنْظُرُ فِی سَوَادٍ وَ یَمْشِی فِی سَوَادٍ وَ یَبُولُ وَ یَبْعَرُ فِی سَوَادٍ وَ كَانَ یَرْتَعُ قَبْلَ ذَلِكَ فِی رِیَاضِ الْجَنَّةِ أَرْبَعِینَ عَاماً وَ مَا خَرَجَ مِنْ رَحِمِ أُنْثَى وَ إِنَّمَا قَالَ اللَّهُ جَلَّ وَ عَزَّ لَهُ كُنْ فَكَانَ لِیَفْدِیَ بِهِ إِسْمَاعِیلَ فَكُلُّ مَا یُذْبَحُ بِمِنًى فَهُوَ فِدْیَةٌ لِإِسْمَاعِیلَ إِلَى یَوْمِ الْقِیَامَةِ فَهَذَا أَحَدُ الذَّبِیحَیْن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شریف با توجه به اینکه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محل بحث صادر شده و روایت محل بحث به جهت صراحت و اظهریت در مفاد مقدم بر این روایت و مفسر آن است لذا با توجه به این خبر می‌توان گفت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عزم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ذبح فرزندش را مشاهده کرد به سبب ذبح عظیم، ذبح فرزند را به کبشی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باء در کبش، باء تفدیه یا عوض است و باء در ذبح </w:t>
      </w:r>
    </w:p>
    <w:p>
      <w:pPr>
        <w:pStyle w:val="BookText"/>
        <w:rPr/>
      </w:pPr>
      <w:r>
        <w:rPr>
          <w:rFonts w:ascii="IRNazanin" w:hAnsi="IRNazanin" w:eastAsia="IRNazanin"/>
          <w:color w:val="111111"/>
          <w:sz w:val="28"/>
          <w:sz w:val="28"/>
          <w:szCs w:val="28"/>
          <w:rtl w:val="true"/>
          <w:lang w:bidi="fa-IR"/>
        </w:rPr>
        <w:t xml:space="preserve">عظیم، باء سببیت تا جمع بین روایات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بِكَبْشٍ 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ناحیه راوی به روایت اضافه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مضمون دو روایت مشابه است و در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وجود ندارد یا اینکه این لفظ مفسر مفدی‌به است نه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سبب بودن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ذیل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داده و آن را محتمل‌ترین فرض با وجود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روایاتی ظاهرش تفسیر و تبیین مصداق شخص مذبوح است همچون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صاحب الذبح،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روایات اگرچه در مقام تعیین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هیچ دلالتی بر مفاد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ندارد و نمی‌تواند در دلالت آیه مذکور نقشی را ایفاء کند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سیاق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از دو اتفاق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داستان امر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ذبح و سپس فداء آن به کبش خبر می‌دهد و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و سبب رسیدن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عالیه بندگی بدون ذبح فرزند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قبل از آن دلالت می‌کند بر اینکه خداوند متعال کبش را عوض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فداء برای او قرار داد؛ چون غرض از ذبح ولد به طریق اقوی و اعلی توسط ابتلاء او به مصائب شهادت و ذبح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می‌شد و برای رسیدن به این مرتبه قابلیت لازم بود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قابلیت را با عزم بر ذبح و تصدیق رویای خود و پذیرش این بلاء مبین در راه خداوند فراهم کرده بود و به مقام محسنین که اقتضای جزاء دارد رسید و لذا به سبب احسانی که در راه خداوند روا داشت، خداوند امر خود را برای او به مقدار ذبح کبش تقلیل داد و او را به ابتلاء به </w:t>
      </w:r>
    </w:p>
    <w:p>
      <w:pPr>
        <w:pStyle w:val="BookText"/>
        <w:rPr/>
      </w:pPr>
      <w:r>
        <w:rPr>
          <w:rFonts w:ascii="IRNazanin" w:hAnsi="IRNazanin" w:eastAsia="IRNazanin"/>
          <w:color w:val="111111"/>
          <w:sz w:val="28"/>
          <w:sz w:val="28"/>
          <w:szCs w:val="28"/>
          <w:rtl w:val="true"/>
          <w:lang w:bidi="fa-IR"/>
        </w:rPr>
        <w:t xml:space="preserve">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ذبح عظیم نبود هیچ راه و فرضی برای رسیدن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عالیه بندگی تا آن درجات وجود نداشت مگر ذبح فرزند و مصیبت زده شده بهآن در حالی که این مقدار از مصیبت هم به‌مانند مصیبت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 و رساننده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آیه در مقام بیان عظمت ذبح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 می‌دهد که هیچ چیزی حتی مصیبت بر مصائب فرزند نمی‌تواند انسان را به مقامات عالیه بندگی همچون مصیبت زدگی به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می‌توان نتیجه گرفت که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نیست که در 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عبارت ذبح عظیم، مفدی‌به را بیان می‌کند و مفدی‌به،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برای اعظم بودن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توجیهات مرحوم مجلسی در ذیل روایت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علامه مجلسی بعد از بیان آن توجیهات دیدگاه خودشان را درباره نظارت روایت بر آیه بیان می‌کند که می‌تواند موید برای توضیح نگارنده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 الانوار ذیل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بر این خبر وارد شده، از جمله اینکه اگر مقصود از ذبح عظیم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مفدی‌عنه نباید از مفدی‌به، مقام والاتری داشته باشد، زیرا ائمه صلوات الله علیهم شریف‌تر از پیامبران اولی العزم بودند، پس چگونه می‌شود مقام پایین‌تری نسبت به کسانی غیر از انبیا داشته باشند؟ با اینکه ظاهر استفاده از کلمه فداء، عوض آوردن چیزی است با چیز دیگری که اهمیت و ارزش پایین‌تری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می‌دهم که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بنابراین اگر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نمی‌آمد و همین طور ائمه و پیامبران که از نسل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عوض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ذبح یکی از فرزندان او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قرار داده 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در روایت وارد نشده، بلکه آمده است که جزع و گریه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جزع و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این اساس، فداء معنای اصلی خود را ندارد بلکه معنای آن تعویض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bookmarkStart w:id="294" w:name="pg18842_238267"/>
    </w:p>
    <w:p>
      <w:pPr>
        <w:pStyle w:val="BookText"/>
        <w:rPr/>
      </w:pPr>
      <w:bookmarkEnd w:id="294"/>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دست دادن ثواب گریه بر مصیبت فرزند افسوس خورد، خداوند این ثواب را با امری که ثواب و ارزش بیشتری داشت عوض کرد که همان گریه بر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قطعی و مقرر بوده و برای کشته نشدن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نبوده‌است که آن اشکال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ذکر کردیم، در این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مضاف را در تقدیر بگیریم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بجزع مذبوح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باء سببیه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بسبب مذبوح عظیم بأن جزع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تقدیر یا باید مضاف را در تقدیر گرفت و یا باید از باب مجاز در اسناد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توضیح از علامه مجلسی به طور کلی روایت ناظر است به اینکه ذبح عظیم سبب فداء بوده‌است نه مفدی‌به پس نیاز به توجیه بیان اعظمیت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ذبح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برتری ایشان بر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سیاق آیات با کمک روایات نشان می‌دهد که فدیه آمدن کبش برای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آیات مقدم بر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مذکور برای بیان علت فدیه است پس بیان علامه مجلسی و توجیه ایشان، امری مقبول و شایسته به نظر می‌رسد</w:t>
      </w:r>
      <w:r>
        <w:rPr>
          <w:rFonts w:eastAsia="IRNazanin" w:cs="IRNazanin"/>
          <w:color w:val="111111"/>
          <w:sz w:val="28"/>
          <w:szCs w:val="28"/>
          <w:rtl w:val="true"/>
          <w:lang w:bidi="fa-IR"/>
        </w:rPr>
        <w:t>.</w:t>
      </w:r>
    </w:p>
    <w:p>
      <w:pPr>
        <w:pStyle w:val="Heading3"/>
        <w:numPr>
          <w:ilvl w:val="2"/>
          <w:numId w:val="1"/>
        </w:numPr>
        <w:rPr/>
      </w:pPr>
      <w:bookmarkStart w:id="295" w:name="__RefHeading___Toc14423927_1280447820"/>
      <w:bookmarkStart w:id="296" w:name="_Toc113"/>
      <w:bookmarkEnd w:id="295"/>
      <w:r>
        <w:rPr>
          <w:rtl w:val="true"/>
        </w:rPr>
        <w:t>نتیجه</w:t>
      </w:r>
      <w:bookmarkEnd w:id="29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مفسرین در ذیل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آورده‌اند و با توجه به روایات موجود در ذیل این آیه و تأملاتی که در جمع و توضیح روایات و ارتباط آنها با آیه انجام گرفت مشخص شد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قاطبه مفسرین مقصود از ظاهر این آیه را بیان فداء قوچ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در بیان عظمت این گوسفند دچار اختلاف و توجیهات دور از مقصود آیه شده‌اند؛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مفسرین ظاهر آیه را ناظر به جریان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ندانسته‌اند و غالب آنها نیز به ارتباط آیه مذکور با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نکرده‌اند؛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مرحوم صدوق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ارتباط آیه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ما بقی روایات یا در مقام تعیین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در مقام فدیه برای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گوسفند آسمانی و خصوصیات آنکه نوعا در توضیح آیات قبل بوده </w:t>
      </w:r>
      <w:bookmarkStart w:id="297" w:name="pg18842_238268"/>
    </w:p>
    <w:p>
      <w:pPr>
        <w:pStyle w:val="BookText"/>
        <w:rPr/>
      </w:pPr>
      <w:bookmarkEnd w:id="297"/>
      <w:r>
        <w:rPr>
          <w:rFonts w:ascii="IRNazanin" w:hAnsi="IRNazanin" w:eastAsia="IRNazanin"/>
          <w:color w:val="111111"/>
          <w:sz w:val="28"/>
          <w:sz w:val="28"/>
          <w:szCs w:val="28"/>
          <w:rtl w:val="true"/>
          <w:lang w:bidi="fa-IR"/>
        </w:rPr>
        <w:t xml:space="preserve">و هیچ دلالتی بر آیه محل بحث ندارند لذا منافاتی بین روایات دیده نمی‌شود؛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ناظر به فداء کبش به جای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است ناظر علیت فداء و چگونگی رسیدن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تام عبودیت و امامت است که داستان ذبح فرزند و فداء در واقع مقدمه برای این مرحله و توفیق مصیبت زده شدن او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ذبح عظیم و نیل به آن مقامات است؛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روایت رضوی نمی‌تواند تفدیه یا عوض باشد بلکه باء سببیت تناسب بیشتری دارد</w:t>
      </w:r>
      <w:r>
        <w:rPr>
          <w:rFonts w:eastAsia="IRNazanin" w:cs="IRNazanin"/>
          <w:color w:val="111111"/>
          <w:sz w:val="28"/>
          <w:szCs w:val="28"/>
          <w:rtl w:val="true"/>
          <w:lang w:bidi="fa-IR"/>
        </w:rPr>
        <w:t>.</w:t>
      </w:r>
    </w:p>
    <w:p>
      <w:pPr>
        <w:pStyle w:val="Heading3"/>
        <w:numPr>
          <w:ilvl w:val="2"/>
          <w:numId w:val="1"/>
        </w:numPr>
        <w:rPr/>
      </w:pPr>
      <w:bookmarkStart w:id="298" w:name="__RefHeading___Toc14423929_1280447820"/>
      <w:bookmarkStart w:id="299" w:name="_Toc114"/>
      <w:bookmarkEnd w:id="298"/>
      <w:r>
        <w:rPr>
          <w:rtl w:val="true"/>
        </w:rPr>
        <w:t>منابع</w:t>
      </w:r>
      <w:bookmarkEnd w:id="29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عاشور،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بیروت، موسسه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عطیه اندلسی، عبدالحق بن غالب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الوجیز فی تفسیر الکتاب العزیز، تحقیق عبدالسلام عبدالشامی محمد،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القران، تهران،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التنزیل و اسرار التاویل، تحقیق محمد عبدالرحمن المرعشلی،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نیشابوری، ابو اسحاق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فی تفسیر القرآن، تحقیق ابومحمد بن عاشور، بیروت، 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 علی اکبر غفاری،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تحقیق علی اکبر غفاری،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تحقیق محمد جواد </w:t>
      </w:r>
    </w:p>
    <w:p>
      <w:pPr>
        <w:pStyle w:val="BookText"/>
        <w:rPr/>
      </w:pPr>
      <w:r>
        <w:rPr>
          <w:rFonts w:ascii="IRNazanin" w:hAnsi="IRNazanin" w:eastAsia="IRNazanin"/>
          <w:color w:val="111111"/>
          <w:sz w:val="28"/>
          <w:sz w:val="28"/>
          <w:szCs w:val="28"/>
          <w:rtl w:val="true"/>
          <w:lang w:bidi="fa-IR"/>
        </w:rPr>
        <w:t>بلاغی، تهران،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القران، تحقیق احمد قیصر عاملی،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طهرانی، شیخ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الولایه و المقتل، اهواز، انتشارات مکتبه دارالعلم ایت الله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فراء ابوزکریا، یحیی بن زیاد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القران، تحقیق احمد یوسف نجاتی، محمد علی نجار و عبدالفتاح اسماعیل، مصر، دارالمصریه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للرافعی، قم،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تحقیق طیب موسوی جزایری، قم،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مقاتل بن سلیمان بلخی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مقاتل بن سلیمان، تحقیق عبدالله محمود شحاته،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نجاشی، قم، موسسه النشر الاسلامی التابعه لجامعه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نظام الدین نیشابوری، حسن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غرائب القران و رغائب الفرقان، تحقیق زکریا عمیرات، بیروت، دار الکتب العلمیه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نمازی شاهرودی، شیخ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رجال الحدیث، تهران، ناشر فرزند مولف</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8842_238271"/>
      <w:bookmarkStart w:id="301" w:name="pg18842_238271"/>
      <w:bookmarkEnd w:id="301"/>
    </w:p>
    <w:p>
      <w:pPr>
        <w:pStyle w:val="Heading2"/>
        <w:numPr>
          <w:ilvl w:val="1"/>
          <w:numId w:val="1"/>
        </w:numPr>
        <w:rPr/>
      </w:pPr>
      <w:bookmarkStart w:id="302" w:name="pg18842_238271"/>
      <w:bookmarkStart w:id="303" w:name="__RefHeading___Toc14423931_1280447820"/>
      <w:bookmarkStart w:id="304" w:name="_Toc115"/>
      <w:bookmarkEnd w:id="302"/>
      <w:bookmarkEnd w:id="303"/>
      <w:r>
        <w:rPr>
          <w:rtl w:val="true"/>
        </w:rPr>
        <w:t>نکته‌هایی از معارف حسینی</w:t>
      </w:r>
      <w:bookmarkEnd w:id="304"/>
    </w:p>
    <w:p>
      <w:pPr>
        <w:pStyle w:val="Heading3"/>
        <w:numPr>
          <w:ilvl w:val="2"/>
          <w:numId w:val="1"/>
        </w:numPr>
        <w:rPr/>
      </w:pPr>
      <w:bookmarkStart w:id="305" w:name="__RefHeading___Toc14423933_1280447820"/>
      <w:bookmarkStart w:id="306" w:name="_Toc116"/>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محمد حسین مردانی نوکنده</w:t>
      </w:r>
    </w:p>
    <w:p>
      <w:pPr>
        <w:pStyle w:val="Heading3"/>
        <w:numPr>
          <w:ilvl w:val="2"/>
          <w:numId w:val="1"/>
        </w:numPr>
        <w:rPr/>
      </w:pPr>
      <w:bookmarkStart w:id="307" w:name="__RefHeading___Toc14423935_1280447820"/>
      <w:bookmarkStart w:id="308" w:name="_Toc117"/>
      <w:bookmarkEnd w:id="307"/>
      <w:r>
        <w:rPr>
          <w:rtl w:val="true"/>
        </w:rPr>
        <w:t>سیره علامه طباطبایی در مجالس روضه</w:t>
      </w:r>
      <w:bookmarkEnd w:id="308"/>
    </w:p>
    <w:p>
      <w:pPr>
        <w:pStyle w:val="BookText"/>
        <w:rPr/>
      </w:pPr>
      <w:r>
        <w:rPr>
          <w:rFonts w:ascii="IRNazanin" w:hAnsi="IRNazanin" w:eastAsia="IRNazanin"/>
          <w:color w:val="111111"/>
          <w:sz w:val="28"/>
          <w:sz w:val="28"/>
          <w:szCs w:val="28"/>
          <w:rtl w:val="true"/>
          <w:lang w:bidi="fa-IR"/>
        </w:rPr>
        <w:t>از علامه طباطبایی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عزادار، آتش جهنم را خاموش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قطره اشکی با اذن و خواست خدا، آتش جهنم را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قطره اشک نظیر توبه است که باعث آمرزش گناه و محو آثار و از بین بردن عذاب می‌شود و نیز در نقطه مقابل آن کفر، باعث حبط و نابودی حسنات و نعمت‌های بهشتی و سبب افروختن آتش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مجالس روضه‌ای که سیّدی در محله گذرخان قم تشکیل می‌داد شرکت می‌کرد، یک بار قسمتی از منزل آن سید نوسازی شده بود و علامه در همان قسمت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در اینجا مجلس عزاداری برپاست؟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از آن قسمت نوسازی شده، برخاستند و به قسمت قدیمی خانه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آجر‌هایی که چهل سال شاهد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قداستی دارند که انسان به این‌ها هم تبرک می‌جوید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ارادتمندان مرحوم علامه طباطبایی گفته است؛ با اینکه حضور ایشان عظمتی به مجلس عزاداری می‌داد، ولی در مجلس سوگواری برای سالار شهیدان </w:t>
      </w:r>
    </w:p>
    <w:p>
      <w:pPr>
        <w:pStyle w:val="BookText"/>
        <w:rPr/>
      </w:pPr>
      <w:r>
        <w:rPr>
          <w:rFonts w:ascii="IRNazanin" w:hAnsi="IRNazanin" w:eastAsia="IRNazanin"/>
          <w:color w:val="111111"/>
          <w:sz w:val="28"/>
          <w:sz w:val="28"/>
          <w:szCs w:val="28"/>
          <w:rtl w:val="true"/>
          <w:lang w:bidi="fa-IR"/>
        </w:rPr>
        <w:t>همچون افراد عادی شرکت می‌کرد و عقیده‌اش در حدّی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کتیبه‌های سیاه که بر در و دیوار حسینیه و محل عزاداری نصب کرده‌اند، ما را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مجلس عزاداری، شدید گریه می‌کردند، به طوری که دانه‌های اشک از چشمانشان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محضر علامه طباطبایی آمده بود، اما ایشان را نمی‌شناخت و به همین سبب، سخنان ناپسندی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شخصی که رو به روی او نشسته علامه طباطبایی است، اظهار شرمندگی و عذرخواهی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نمی‌کردم که شما حضرت علامه طباطبایی باشید و از ظاهرتان این گونه تصورکردم که یک روضه‌خوان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بنده یک مرثیه خوان حضرت سیدالشهداء بودم، همه سال‌هایی که سرگرم درس و بحث بوده‌ام با یک مرثیه‌خوانی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استاد بزرگوارشان علامه طباطبایی را چنین توصیف می‌کند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فیلسوف و عارف بسیار دیده‌ام و احترام مخصوص من به علامه طباطبایی، نه به خاطر این است که ایشان یک فیلسوف است، بلکه احترامم به این جهت است که او عاشق و دلباخته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ماه رمضان، روزه خود را با بوسه بر ضریح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پیاده به حرم مطهر مشرف می‌شد، ضریح مقدس را می‌بوسید، سپس به خانه می‌رفت و غدا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است که مرا به شدت شیفته ایشان کرده است</w:t>
      </w:r>
      <w:r>
        <w:rPr>
          <w:rFonts w:eastAsia="IRNazanin" w:cs="IRNazanin"/>
          <w:color w:val="111111"/>
          <w:sz w:val="28"/>
          <w:szCs w:val="28"/>
          <w:rtl w:val="true"/>
          <w:lang w:bidi="fa-IR"/>
        </w:rPr>
        <w:t xml:space="preserve">. </w:t>
      </w:r>
      <w:bookmarkStart w:id="309" w:name="pg18842_238273"/>
    </w:p>
    <w:p>
      <w:pPr>
        <w:pStyle w:val="Heading2"/>
        <w:numPr>
          <w:ilvl w:val="1"/>
          <w:numId w:val="1"/>
        </w:numPr>
        <w:rPr/>
      </w:pPr>
      <w:bookmarkStart w:id="310" w:name="__RefHeading___Toc14423937_1280447820"/>
      <w:bookmarkStart w:id="311" w:name="_Toc118"/>
      <w:bookmarkEnd w:id="309"/>
      <w:bookmarkEnd w:id="310"/>
      <w:r>
        <w:rPr>
          <w:rtl w:val="true"/>
        </w:rPr>
        <w:t>معرفی کتاب</w:t>
      </w:r>
      <w:bookmarkEnd w:id="311"/>
    </w:p>
    <w:p>
      <w:pPr>
        <w:pStyle w:val="BookText"/>
        <w:rPr/>
      </w:pPr>
      <w:r>
        <w:rPr>
          <w:rFonts w:ascii="IRNazanin" w:hAnsi="IRNazanin" w:eastAsia="IRNazanin"/>
          <w:color w:val="111111"/>
          <w:sz w:val="28"/>
          <w:sz w:val="28"/>
          <w:szCs w:val="28"/>
          <w:rtl w:val="true"/>
          <w:lang w:bidi="fa-IR"/>
        </w:rPr>
        <w:t>دکتر محمد رضا فخر روحانی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حسن عیسی الحکیم، مدرسة کربلا العلمیة و اسهاماتها فی عملیة النهوض المعرفی،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حسینی، </w:t>
      </w:r>
      <w:r>
        <w:rPr>
          <w:rFonts w:eastAsia="IRNazanin" w:cs="IRNazanin"/>
          <w:color w:val="111111"/>
          <w:sz w:val="28"/>
          <w:szCs w:val="28"/>
          <w:lang w:bidi="fa-IR"/>
        </w:rPr>
        <w:t>2024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مورد بحث یکی از تالیفات ارجمند محقق و مورخ معاصر عراقی، جناب آقای دکتر سید حسن عیسی الحکیم است که شهرت جهانی ایشان بیشتر به دلیل تمرکز و تفحص فراوان و مطالعات بیش از نیم قرن درباره تاریخ نجف اشرف و مراکز علمی آن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مدرسة کربلا العلمیه در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تدوین شده و شهر کربلا را با نگاهی دیگر به خوانندگان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شهر کربلا بیشتر به خاطر حرمین شریفین و صبغه غالبا ایرانی و تاجر پیشه و صنعتگر بودن آنان است، اما این فقط بخشی از هویت تاریخی این شهر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ساکنان شهر کربلا از زمانی به آنجا راه یافتند که سلسله‌های اموی و مروانی برچیده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برطرف شدن فشار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 نه تنها به مکان زیارتی بزرگ و در ترازی بعد از مکه و مدینه در حجاز قرار گرفت، بلکه به مرکزی برای گردآمدن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همه‌جا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درباره شهر نجف اشرف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خلاصه، حرکت علمی در عراق در شهر کوفه از اصحاب امامین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زندگینامه‌های اصحاب دانشمند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باید مورد کنکاش و مداقه قرار نگرفته است تا معلوم شود که آنان به چه شکلی و با چه دشواری‌هایی هم تقیه کرده و هم مشعل علم را پرفروغ و فروزنده نگهداشته و نگذاشتند تا پرچم علم در میان اتباع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مختصر باید گفت که نقش تاریخی ایرانیان در صیانت از خط فکری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ستودنی و برای نسل امروز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مورد بحث از یازده نفر قطب علمی شهر کربلا به همراه اهم آثارشان نام برده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زندگی نامه‌های مختصر همراه با توصیف مهمترین مولفات پنجاه و یک نفر از علمای برجسته قدیم کربلا درج شده، که تعداد قابل توجهی از آنان 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عنوان حرکت‌های فکری حوزه علمیه کربلا، پانزده نفر از معاریف کربلا شناساندهشده‌اند و تا بدینجا به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علمی شهر کربلا اشاره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بعدی کتاب به مدارس حوزه علمیه کربلا اشاره می‌کند که شمار بالایی از این‌ها به‌دست علما و خیرین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ایرانیان فعالیت‌های بسیار چشمگیری داشته‌اند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به بیش از هفتاد کتابخانه تخصصی و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می‌پردازد چرا که کتابخانه‌ها همواره بخش مهمی در تاریخ تحولات فکری و فرهنگی جوامع مسلمان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کتاب، سیری در روزنامه‌ها، </w:t>
      </w:r>
    </w:p>
    <w:p>
      <w:pPr>
        <w:pStyle w:val="BookText"/>
        <w:rPr/>
      </w:pPr>
      <w:r>
        <w:rPr>
          <w:rFonts w:ascii="IRNazanin" w:hAnsi="IRNazanin" w:eastAsia="IRNazanin"/>
          <w:color w:val="111111"/>
          <w:sz w:val="28"/>
          <w:sz w:val="28"/>
          <w:szCs w:val="28"/>
          <w:rtl w:val="true"/>
          <w:lang w:bidi="fa-IR"/>
        </w:rPr>
        <w:t>مجلات، نشریات و چاپ‌خانه‌ها را نیز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ریخت‌شناسی مردم‌شناختی شهر کربلا شامل خاندان‌های بزرگ و متنفذ در این شهر است، این کتاب از چهل خاندان بزرگ و غالبا ایرانی در کربلا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زندگینامه‌های آنان همراه با فهرستی از اهم خروجی‌های فکریفرهنگی آنان، دورنمایی زیبا از نقش هویت‌سازانه خاندان‌هایی را می‌دهد که سهم مهمی در بالندگی تاریخی و مانایی پرچم علم و ادب در کربلا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این خاندان‌های بزرگ ایرانی هستند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کتاب، فهرست منابع و مآخذ بوده که بیش از پانزده صفحه را دربرمی‌گیرد</w:t>
      </w:r>
      <w:r>
        <w:rPr>
          <w:rFonts w:eastAsia="IRNazanin" w:cs="IRNazanin"/>
          <w:color w:val="111111"/>
          <w:sz w:val="28"/>
          <w:szCs w:val="28"/>
          <w:rtl w:val="true"/>
          <w:lang w:bidi="fa-IR"/>
        </w:rPr>
        <w:t xml:space="preserve">. </w:t>
      </w:r>
      <w:bookmarkStart w:id="312" w:name="pg18842_238276"/>
    </w:p>
    <w:p>
      <w:pPr>
        <w:pStyle w:val="Heading2"/>
        <w:numPr>
          <w:ilvl w:val="1"/>
          <w:numId w:val="1"/>
        </w:numPr>
        <w:rPr/>
      </w:pPr>
      <w:bookmarkStart w:id="313" w:name="__RefHeading___Toc14423939_1280447820"/>
      <w:bookmarkStart w:id="314" w:name="_Toc119"/>
      <w:bookmarkEnd w:id="312"/>
      <w:bookmarkEnd w:id="313"/>
      <w:r>
        <w:rPr/>
        <w:t>International of Husayni Research Studies</w:t>
      </w:r>
      <w:bookmarkEnd w:id="314"/>
    </w:p>
    <w:p>
      <w:pPr>
        <w:pStyle w:val="BookText"/>
        <w:rPr/>
      </w:pPr>
      <w:r>
        <w:rPr>
          <w:rFonts w:eastAsia="Times New Roman" w:cs="Times New Roman" w:ascii="Times New Roman" w:hAnsi="Times New Roman"/>
          <w:color w:val="111111"/>
          <w:sz w:val="28"/>
          <w:szCs w:val="28"/>
          <w:lang w:val="en-US" w:bidi="en-US"/>
        </w:rPr>
        <w:t>Vol.9, No.36, Witer 2025</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w:t>
      </w:r>
    </w:p>
    <w:p>
      <w:pPr>
        <w:pStyle w:val="BookText"/>
        <w:rPr/>
      </w:pPr>
      <w:r>
        <w:rPr>
          <w:rFonts w:eastAsia="Times New Roman" w:cs="Times New Roman" w:ascii="Times New Roman" w:hAnsi="Times New Roman"/>
          <w:color w:val="111111"/>
          <w:sz w:val="28"/>
          <w:szCs w:val="28"/>
          <w:lang w:val="en-US" w:bidi="en-US"/>
        </w:rPr>
        <w:t>EditorinChief: Dr. MuhammadHusayn Mardani Nowkandeh</w:t>
      </w:r>
    </w:p>
    <w:p>
      <w:pPr>
        <w:pStyle w:val="Heading2"/>
        <w:numPr>
          <w:ilvl w:val="1"/>
          <w:numId w:val="1"/>
        </w:numPr>
        <w:rPr/>
      </w:pPr>
      <w:bookmarkStart w:id="315" w:name="__RefHeading___Toc14423941_1280447820"/>
      <w:bookmarkStart w:id="316" w:name="_Toc120"/>
      <w:bookmarkEnd w:id="315"/>
      <w:r>
        <w:rPr/>
        <w:t>Editorial Board</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bookmarkStart w:id="317" w:name="pg18842_238277"/>
    </w:p>
    <w:p>
      <w:pPr>
        <w:pStyle w:val="Heading2"/>
        <w:numPr>
          <w:ilvl w:val="1"/>
          <w:numId w:val="1"/>
        </w:numPr>
        <w:rPr/>
      </w:pPr>
      <w:bookmarkStart w:id="318" w:name="__RefHeading___Toc14423943_1280447820"/>
      <w:bookmarkStart w:id="319" w:name="_Toc121"/>
      <w:bookmarkEnd w:id="317"/>
      <w:bookmarkEnd w:id="318"/>
      <w:r>
        <w:rPr/>
        <w:t>ABSTRACTS</w:t>
      </w:r>
      <w:bookmarkEnd w:id="319"/>
    </w:p>
    <w:p>
      <w:pPr>
        <w:pStyle w:val="BookText"/>
        <w:rPr/>
      </w:pPr>
      <w:r>
        <w:rPr>
          <w:rFonts w:eastAsia="Times New Roman" w:cs="Times New Roman" w:ascii="Times New Roman" w:hAnsi="Times New Roman"/>
          <w:color w:val="111111"/>
          <w:sz w:val="28"/>
          <w:szCs w:val="28"/>
          <w:lang w:val="en-US" w:bidi="en-US"/>
        </w:rPr>
        <w:t>A Critical Appraisal of the Entry 'Husayn b. Ali' in the EI3</w:t>
      </w:r>
    </w:p>
    <w:p>
      <w:pPr>
        <w:pStyle w:val="BookText"/>
        <w:rPr/>
      </w:pPr>
      <w:r>
        <w:rPr>
          <w:rFonts w:eastAsia="Times New Roman" w:cs="Times New Roman" w:ascii="Times New Roman" w:hAnsi="Times New Roman"/>
          <w:color w:val="111111"/>
          <w:sz w:val="28"/>
          <w:szCs w:val="28"/>
          <w:lang w:val="en-US" w:bidi="en-US"/>
        </w:rPr>
        <w:t>Muhammad Taqavi</w:t>
      </w:r>
    </w:p>
    <w:p>
      <w:pPr>
        <w:pStyle w:val="BookText"/>
        <w:rPr/>
      </w:pPr>
      <w:r>
        <w:rPr>
          <w:rFonts w:eastAsia="Times New Roman" w:cs="Times New Roman" w:ascii="Times New Roman" w:hAnsi="Times New Roman"/>
          <w:color w:val="111111"/>
          <w:sz w:val="28"/>
          <w:szCs w:val="28"/>
          <w:lang w:val="en-US" w:bidi="en-US"/>
        </w:rPr>
        <w:t>The article 'Husayn b. Ali' in the EI3 was contributed by Najam Haider. It deals mostly with the Ashura episode at the expense of leaving other aspects or episodes of his life and times. Some of the points highlighted in the entry are subject to question for their leaving an improper or unbalanced impression of Imam alHusayn. It deals with some other doubtful historical claims, eg, his involvement in the conquests in the early Islamic period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Husayn b. Ali, Najem Haidar, EI3, Islamic studies in the West, early Islamic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Chittick and Search for the Spirit of Islam in the Husayni Supplications and Ashuraoriented Concepts</w:t>
      </w:r>
    </w:p>
    <w:p>
      <w:pPr>
        <w:pStyle w:val="BookText"/>
        <w:rPr/>
      </w:pPr>
      <w:r>
        <w:rPr>
          <w:rFonts w:eastAsia="Times New Roman" w:cs="Times New Roman" w:ascii="Times New Roman" w:hAnsi="Times New Roman"/>
          <w:color w:val="111111"/>
          <w:sz w:val="28"/>
          <w:szCs w:val="28"/>
          <w:lang w:val="en-US" w:bidi="en-US"/>
        </w:rPr>
        <w:t>MuhammadReza Zare Khormizi</w:t>
      </w:r>
    </w:p>
    <w:p>
      <w:pPr>
        <w:pStyle w:val="BookText"/>
        <w:rPr/>
      </w:pPr>
      <w:r>
        <w:rPr>
          <w:rFonts w:eastAsia="Times New Roman" w:cs="Times New Roman" w:ascii="Times New Roman" w:hAnsi="Times New Roman"/>
          <w:color w:val="111111"/>
          <w:sz w:val="28"/>
          <w:szCs w:val="28"/>
          <w:lang w:val="en-US" w:bidi="en-US"/>
        </w:rPr>
        <w:t>The present paper deals with the contemporary American scholar William Chittick and the Imam Husayn legacy of his famous Arafah Supplication. Chittick's English translation is intended to address and exert influence on mysticismoriented men of letters. One has to enquire how Chittick achieved conveying transference of such sublime mystical concepts embedded in the Arafah Supplication. An appropriate answer lies in Chittick's deep interest in Islamic mysticism with special reference to the Arafah Supplication, followed by other Ashuraoriented concepts. He has done his best to convey so far as feasible the beatitudes of Imam alHusayn's mysticism within the framework of his legacy if supplications and the Ashura epics</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Arafah, Ashura, supplications, mysticism, William Chittick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Spiritual and Cultural Parameters of the Husayni Culture in Iranian School Textbooks</w:t>
      </w:r>
    </w:p>
    <w:p>
      <w:pPr>
        <w:pStyle w:val="BookText"/>
        <w:rPr/>
      </w:pPr>
      <w:r>
        <w:rPr>
          <w:rFonts w:eastAsia="Times New Roman" w:cs="Times New Roman" w:ascii="Times New Roman" w:hAnsi="Times New Roman"/>
          <w:color w:val="111111"/>
          <w:sz w:val="28"/>
          <w:szCs w:val="28"/>
          <w:lang w:val="en-US" w:bidi="en-US"/>
        </w:rPr>
        <w:t>Mahdi Mirzayi Parvin Roshaninasab Aqdas Roshani Fatemeh Shikhani Zeynab Heydarizadeh</w:t>
      </w:r>
    </w:p>
    <w:p>
      <w:pPr>
        <w:pStyle w:val="BookText"/>
        <w:rPr/>
      </w:pPr>
      <w:r>
        <w:rPr>
          <w:rFonts w:eastAsia="Times New Roman" w:cs="Times New Roman" w:ascii="Times New Roman" w:hAnsi="Times New Roman"/>
          <w:color w:val="111111"/>
          <w:sz w:val="28"/>
          <w:szCs w:val="28"/>
          <w:lang w:val="en-US" w:bidi="en-US"/>
        </w:rPr>
        <w:t>Some parameters of the Husayni culture include cognizance, devotion to Allah, being a humble servant of Allah, and so forth. They are observable in Imam alHusayn's movement and culture. The present paper is devoted to figuring out how these cultural traits are represented in Iranian primary school textbooks. It has been found out that such parameters as sacrifice, combating statedirected arrogance, forbearance, and martyrdom have received the due attention in the textbooks under study. Other lessons that one may bear in mind include Hz. Zaynab's forbearance and electrifying hrangues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Hz. Zaynab, Husayni culture, cultural traits, parameters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Anthropography of the Arbaeen March: From the Beginning of Karbala to the Two Shrines Area, 1402 Sh/ 1445 AH/ 2023</w:t>
      </w:r>
    </w:p>
    <w:p>
      <w:pPr>
        <w:pStyle w:val="BookText"/>
        <w:rPr/>
      </w:pPr>
      <w:r>
        <w:rPr>
          <w:rFonts w:eastAsia="Times New Roman" w:cs="Times New Roman" w:ascii="Times New Roman" w:hAnsi="Times New Roman"/>
          <w:color w:val="111111"/>
          <w:sz w:val="28"/>
          <w:szCs w:val="28"/>
          <w:lang w:val="en-US" w:bidi="en-US"/>
        </w:rPr>
        <w:t>Akram Garroosi</w:t>
      </w:r>
    </w:p>
    <w:p>
      <w:pPr>
        <w:pStyle w:val="BookText"/>
        <w:rPr/>
      </w:pPr>
      <w:r>
        <w:rPr>
          <w:rFonts w:eastAsia="Times New Roman" w:cs="Times New Roman" w:ascii="Times New Roman" w:hAnsi="Times New Roman"/>
          <w:color w:val="111111"/>
          <w:sz w:val="28"/>
          <w:szCs w:val="28"/>
          <w:lang w:val="en-US" w:bidi="en-US"/>
        </w:rPr>
        <w:t>Within the recent decade, the Arbaeen March toward Karbala has turned into an escalating and attentiongetting international and interfaith ceremony. Millions of people take part in it from most nations, with a great majority from Iran. This paper focuses on certain anthropographic aspects of this international event that includes contacts of civilizations, local customs, religions, and so on. The area in focus takes in the beginning of Karbala to the area between the two main Karbala holy shrines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Arbaeen March, anthropography, field events,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Delving into the Inner Layers of a Pilgrimage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Rereading of Several Arbaeen Marches</w:t>
      </w:r>
    </w:p>
    <w:p>
      <w:pPr>
        <w:pStyle w:val="BookText"/>
        <w:rPr/>
      </w:pPr>
      <w:r>
        <w:rPr>
          <w:rFonts w:eastAsia="Times New Roman" w:cs="Times New Roman" w:ascii="Times New Roman" w:hAnsi="Times New Roman"/>
          <w:color w:val="111111"/>
          <w:sz w:val="28"/>
          <w:szCs w:val="28"/>
          <w:lang w:val="en-US" w:bidi="en-US"/>
        </w:rPr>
        <w:t>Sayyid Kamal Keshiknevis Razavi</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Recording one's memoirs of a journey makes the author get back to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true and inthemoment feelings and sentiments over and over, oftentimes with recollecting some minute details. Hence analyses of recorded memoirs of the Arbaeen marches reveal deeper and inner layers of recollections associated with this collective religious experience. In this paper, certain permanent and variable elements of this experience are brought into light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Travelogue, pilgrimage, Arbaeen, pilgrim, Atabat travelogues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Link Between Imam alHusayn and the 'Great Sacrifice' in the Holy Quran</w:t>
      </w:r>
    </w:p>
    <w:p>
      <w:pPr>
        <w:pStyle w:val="BookText"/>
        <w:rPr/>
      </w:pPr>
      <w:r>
        <w:rPr>
          <w:rFonts w:eastAsia="Times New Roman" w:cs="Times New Roman" w:ascii="Times New Roman" w:hAnsi="Times New Roman"/>
          <w:color w:val="111111"/>
          <w:sz w:val="28"/>
          <w:szCs w:val="28"/>
          <w:lang w:val="en-US" w:bidi="en-US"/>
        </w:rPr>
        <w:t>AliReza Noori Forooshani</w:t>
      </w:r>
    </w:p>
    <w:p>
      <w:pPr>
        <w:pStyle w:val="BookText"/>
        <w:rPr/>
      </w:pPr>
      <w:r>
        <w:rPr>
          <w:rFonts w:eastAsia="Times New Roman" w:cs="Times New Roman" w:ascii="Times New Roman" w:hAnsi="Times New Roman"/>
          <w:color w:val="111111"/>
          <w:sz w:val="28"/>
          <w:szCs w:val="28"/>
          <w:lang w:val="en-US" w:bidi="en-US"/>
        </w:rPr>
        <w:t>A literal reading of the 'Great Sacrifice' (The Holy Quran, Sura alSaffat [37]: 107) refers to a ram brought in from the heavens instead of Ishmael (Arabic Isma`il) to be sacrificed. There is yet another view in that its metaphorical meaning alludes to Imam alHusayn. This paper elaborates on this question</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Abraham, Ishmael, the 'Great Sacrifice', ram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فصل‌نامه پژوهش‌نامه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اندیشه‌ور که ترکیبی از اساتید حوزه و دانشگاه هستند،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پژوهش‌نامه معارف حسینی ضمن قدردانی از تلاش‌های صورت گرفته در تبلیغ و ترویج فرهنگ حسینی، درصدد است در حوزه‌های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 پژوهش‌نامه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3"/>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3.jpeg"/><Relationship Id="rId71" Type="http://schemas.openxmlformats.org/officeDocument/2006/relationships/image" Target="media/image3.jpeg"/><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image" Target="media/image4.png"/><Relationship Id="rId84" Type="http://schemas.openxmlformats.org/officeDocument/2006/relationships/image" Target="media/image4.png"/><Relationship Id="rId85" Type="http://schemas.openxmlformats.org/officeDocument/2006/relationships/footer" Target="footer76.xml"/><Relationship Id="rId86" Type="http://schemas.openxmlformats.org/officeDocument/2006/relationships/image" Target="media/image5.jpeg"/><Relationship Id="rId87" Type="http://schemas.openxmlformats.org/officeDocument/2006/relationships/image" Target="media/image5.jpeg"/><Relationship Id="rId88" Type="http://schemas.openxmlformats.org/officeDocument/2006/relationships/footer" Target="footer77.xml"/><Relationship Id="rId89" Type="http://schemas.openxmlformats.org/officeDocument/2006/relationships/image" Target="media/image6.png"/><Relationship Id="rId90" Type="http://schemas.openxmlformats.org/officeDocument/2006/relationships/image" Target="media/image6.png"/><Relationship Id="rId91" Type="http://schemas.openxmlformats.org/officeDocument/2006/relationships/footer" Target="footer78.xml"/><Relationship Id="rId92" Type="http://schemas.openxmlformats.org/officeDocument/2006/relationships/image" Target="media/image7.png"/><Relationship Id="rId93" Type="http://schemas.openxmlformats.org/officeDocument/2006/relationships/image" Target="media/image7.png"/><Relationship Id="rId94" Type="http://schemas.openxmlformats.org/officeDocument/2006/relationships/footer" Target="footer79.xml"/><Relationship Id="rId95" Type="http://schemas.openxmlformats.org/officeDocument/2006/relationships/image" Target="media/image8.png"/><Relationship Id="rId96" Type="http://schemas.openxmlformats.org/officeDocument/2006/relationships/image" Target="media/image8.png"/><Relationship Id="rId97" Type="http://schemas.openxmlformats.org/officeDocument/2006/relationships/footer" Target="footer80.xml"/><Relationship Id="rId98" Type="http://schemas.openxmlformats.org/officeDocument/2006/relationships/image" Target="media/image9.png"/><Relationship Id="rId99" Type="http://schemas.openxmlformats.org/officeDocument/2006/relationships/image" Target="media/image9.png"/><Relationship Id="rId100" Type="http://schemas.openxmlformats.org/officeDocument/2006/relationships/footer" Target="footer81.xml"/><Relationship Id="rId101" Type="http://schemas.openxmlformats.org/officeDocument/2006/relationships/image" Target="media/image10.jpeg"/><Relationship Id="rId102" Type="http://schemas.openxmlformats.org/officeDocument/2006/relationships/image" Target="media/image10.jpeg"/><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image" Target="media/image11.png"/><Relationship Id="rId106" Type="http://schemas.openxmlformats.org/officeDocument/2006/relationships/image" Target="media/image11.png"/><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image" Target="media/image12.png"/><Relationship Id="rId111" Type="http://schemas.openxmlformats.org/officeDocument/2006/relationships/image" Target="media/image12.png"/><Relationship Id="rId112" Type="http://schemas.openxmlformats.org/officeDocument/2006/relationships/footer" Target="footer87.xml"/><Relationship Id="rId113" Type="http://schemas.openxmlformats.org/officeDocument/2006/relationships/image" Target="media/image13.png"/><Relationship Id="rId114" Type="http://schemas.openxmlformats.org/officeDocument/2006/relationships/image" Target="media/image13.png"/><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image" Target="media/image14.png"/><Relationship Id="rId163" Type="http://schemas.openxmlformats.org/officeDocument/2006/relationships/image" Target="media/image14.png"/><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image" Target="media/image15.jpeg"/><Relationship Id="rId174" Type="http://schemas.openxmlformats.org/officeDocument/2006/relationships/image" Target="media/image15.jpeg"/><Relationship Id="rId175" Type="http://schemas.openxmlformats.org/officeDocument/2006/relationships/footer" Target="footer144.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45.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38525</Words>
  <Characters>164369</Characters>
  <CharactersWithSpaces>201960</CharactersWithSpaces>
  <Paragraphs>1084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2026-08-25T18:25:39Z</dcterms:created>
  <dc:creator>ghaemiyeh.com</dc:creator>
  <dc:description/>
  <dc:language>en-US</dc:language>
  <cp:lastModifiedBy/>
  <dcterms:modified xsi:type="dcterms:W3CDTF">2026-08-25T21:55:50Z</dcterms:modified>
  <cp:revision>1</cp:revision>
  <dc:subject/>
  <dc:title>پژوهش نامه معارف حسینی 36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