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عوائد القواعد الفقهیّة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9024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97902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979028_1280447820">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11979030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1979032_1280447820">
            <w:r>
              <w:rPr>
                <w:webHidden/>
                <w:rStyle w:val="IndexLink"/>
                <w:rtl w:val="true"/>
              </w:rPr>
              <w:t>[</w:t>
            </w:r>
            <w:r>
              <w:rPr>
                <w:rStyle w:val="IndexLink"/>
              </w:rPr>
              <w:t>44</w:t>
            </w:r>
            <w:r>
              <w:rPr>
                <w:rStyle w:val="IndexLink"/>
                <w:rtl w:val="true"/>
              </w:rPr>
              <w:t xml:space="preserve">:] </w:t>
            </w:r>
            <w:r>
              <w:rPr>
                <w:rStyle w:val="IndexLink"/>
                <w:rtl w:val="true"/>
              </w:rPr>
              <w:t>قاعدة عدم تداخُل الأسباب والمُسَبَّبات</w:t>
            </w:r>
            <w:r>
              <w:rPr>
                <w:rStyle w:val="IndexLink"/>
                <w:rtl w:val="true"/>
              </w:rPr>
              <w:tab/>
            </w:r>
            <w:r>
              <w:rPr>
                <w:rStyle w:val="IndexLink"/>
              </w:rPr>
              <w:t>20</w:t>
            </w:r>
          </w:hyperlink>
        </w:p>
        <w:p>
          <w:pPr>
            <w:pStyle w:val="Contents3"/>
            <w:tabs>
              <w:tab w:val="clear" w:pos="8459"/>
              <w:tab w:val="right" w:pos="9026" w:leader="dot"/>
            </w:tabs>
            <w:rPr/>
          </w:pPr>
          <w:hyperlink w:anchor="__RefHeading___Toc11979034_1280447820">
            <w:r>
              <w:rPr>
                <w:webHidden/>
                <w:rStyle w:val="IndexLink"/>
                <w:rtl w:val="true"/>
              </w:rPr>
              <w:t>عناوين أُخرىٰ للقاعدة</w:t>
            </w:r>
            <w:r>
              <w:rPr>
                <w:rStyle w:val="IndexLink"/>
                <w:rtl w:val="true"/>
              </w:rPr>
              <w:tab/>
            </w:r>
            <w:r>
              <w:rPr>
                <w:rStyle w:val="IndexLink"/>
              </w:rPr>
              <w:t>20</w:t>
            </w:r>
          </w:hyperlink>
        </w:p>
        <w:p>
          <w:pPr>
            <w:pStyle w:val="Contents3"/>
            <w:tabs>
              <w:tab w:val="clear" w:pos="8459"/>
              <w:tab w:val="right" w:pos="9026" w:leader="dot"/>
            </w:tabs>
            <w:rPr/>
          </w:pPr>
          <w:hyperlink w:anchor="__RefHeading___Toc11979036_1280447820">
            <w:r>
              <w:rPr>
                <w:webHidden/>
                <w:rStyle w:val="IndexLink"/>
                <w:rtl w:val="true"/>
              </w:rPr>
              <w:t>توضيح مفاد القاعدة</w:t>
            </w:r>
            <w:r>
              <w:rPr>
                <w:rStyle w:val="IndexLink"/>
                <w:rtl w:val="true"/>
              </w:rPr>
              <w:tab/>
            </w:r>
            <w:r>
              <w:rPr>
                <w:rStyle w:val="IndexLink"/>
              </w:rPr>
              <w:t>21</w:t>
            </w:r>
          </w:hyperlink>
        </w:p>
        <w:p>
          <w:pPr>
            <w:pStyle w:val="Contents3"/>
            <w:tabs>
              <w:tab w:val="clear" w:pos="8459"/>
              <w:tab w:val="right" w:pos="9026" w:leader="dot"/>
            </w:tabs>
            <w:rPr/>
          </w:pPr>
          <w:hyperlink w:anchor="__RefHeading___Toc11979038_1280447820">
            <w:r>
              <w:rPr>
                <w:webHidden/>
                <w:rStyle w:val="IndexLink"/>
                <w:rtl w:val="true"/>
              </w:rPr>
              <w:t>مدركُ القاعدة</w:t>
            </w:r>
            <w:r>
              <w:rPr>
                <w:rStyle w:val="IndexLink"/>
                <w:rtl w:val="true"/>
              </w:rPr>
              <w:tab/>
            </w:r>
            <w:r>
              <w:rPr>
                <w:rStyle w:val="IndexLink"/>
              </w:rPr>
              <w:t>22</w:t>
            </w:r>
          </w:hyperlink>
        </w:p>
        <w:p>
          <w:pPr>
            <w:pStyle w:val="Contents3"/>
            <w:tabs>
              <w:tab w:val="clear" w:pos="8459"/>
              <w:tab w:val="right" w:pos="9026" w:leader="dot"/>
            </w:tabs>
            <w:rPr/>
          </w:pPr>
          <w:hyperlink w:anchor="__RefHeading___Toc11979040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22</w:t>
            </w:r>
          </w:hyperlink>
        </w:p>
        <w:p>
          <w:pPr>
            <w:pStyle w:val="Contents3"/>
            <w:tabs>
              <w:tab w:val="clear" w:pos="8459"/>
              <w:tab w:val="right" w:pos="9026" w:leader="dot"/>
            </w:tabs>
            <w:rPr/>
          </w:pPr>
          <w:hyperlink w:anchor="__RefHeading___Toc11979042_1280447820">
            <w:r>
              <w:rPr>
                <w:webHidden/>
                <w:rStyle w:val="IndexLink"/>
                <w:rtl w:val="true"/>
              </w:rPr>
              <w:t>تنبيهٌ‌</w:t>
            </w:r>
            <w:r>
              <w:rPr>
                <w:rStyle w:val="IndexLink"/>
                <w:rtl w:val="true"/>
              </w:rPr>
              <w:t>:</w:t>
              <w:tab/>
            </w:r>
            <w:r>
              <w:rPr>
                <w:rStyle w:val="IndexLink"/>
              </w:rPr>
              <w:t>25</w:t>
            </w:r>
          </w:hyperlink>
        </w:p>
        <w:p>
          <w:pPr>
            <w:pStyle w:val="Contents3"/>
            <w:tabs>
              <w:tab w:val="clear" w:pos="8459"/>
              <w:tab w:val="right" w:pos="9026" w:leader="dot"/>
            </w:tabs>
            <w:rPr/>
          </w:pPr>
          <w:hyperlink w:anchor="__RefHeading___Toc11979044_1280447820">
            <w:r>
              <w:rPr>
                <w:webHidden/>
                <w:rStyle w:val="IndexLink"/>
                <w:rtl w:val="true"/>
              </w:rPr>
              <w:t>أمثلةٌ لاستعمال القاعدة في الفقه</w:t>
            </w:r>
            <w:r>
              <w:rPr>
                <w:rStyle w:val="IndexLink"/>
                <w:rtl w:val="true"/>
              </w:rPr>
              <w:t>:</w:t>
              <w:tab/>
            </w:r>
            <w:r>
              <w:rPr>
                <w:rStyle w:val="IndexLink"/>
              </w:rPr>
              <w:t>26</w:t>
            </w:r>
          </w:hyperlink>
        </w:p>
        <w:p>
          <w:pPr>
            <w:pStyle w:val="Contents2"/>
            <w:tabs>
              <w:tab w:val="clear" w:pos="8743"/>
              <w:tab w:val="right" w:pos="9026" w:leader="dot"/>
            </w:tabs>
            <w:rPr/>
          </w:pPr>
          <w:hyperlink w:anchor="__RefHeading___Toc11979046_1280447820">
            <w:r>
              <w:rPr>
                <w:webHidden/>
                <w:rStyle w:val="IndexLink"/>
                <w:rtl w:val="true"/>
              </w:rPr>
              <w:t>[</w:t>
            </w:r>
            <w:r>
              <w:rPr>
                <w:rStyle w:val="IndexLink"/>
              </w:rPr>
              <w:t>45</w:t>
            </w:r>
            <w:r>
              <w:rPr>
                <w:rStyle w:val="IndexLink"/>
                <w:rtl w:val="true"/>
              </w:rPr>
              <w:t xml:space="preserve">:] </w:t>
            </w:r>
            <w:r>
              <w:rPr>
                <w:rStyle w:val="IndexLink"/>
                <w:rtl w:val="true"/>
              </w:rPr>
              <w:t>قاعدة كثير الشَّكِّ‌</w:t>
            </w:r>
            <w:r>
              <w:rPr>
                <w:rStyle w:val="IndexLink"/>
                <w:rtl w:val="true"/>
              </w:rPr>
              <w:tab/>
            </w:r>
            <w:r>
              <w:rPr>
                <w:rStyle w:val="IndexLink"/>
              </w:rPr>
              <w:t>30</w:t>
            </w:r>
          </w:hyperlink>
        </w:p>
        <w:p>
          <w:pPr>
            <w:pStyle w:val="Contents3"/>
            <w:tabs>
              <w:tab w:val="clear" w:pos="8459"/>
              <w:tab w:val="right" w:pos="9026" w:leader="dot"/>
            </w:tabs>
            <w:rPr/>
          </w:pPr>
          <w:hyperlink w:anchor="__RefHeading___Toc11979048_1280447820">
            <w:r>
              <w:rPr>
                <w:webHidden/>
                <w:rStyle w:val="IndexLink"/>
                <w:rtl w:val="true"/>
              </w:rPr>
              <w:t>عناوين أُخرىٰ للقاعدة</w:t>
            </w:r>
            <w:r>
              <w:rPr>
                <w:rStyle w:val="IndexLink"/>
                <w:rtl w:val="true"/>
              </w:rPr>
              <w:tab/>
            </w:r>
            <w:r>
              <w:rPr>
                <w:rStyle w:val="IndexLink"/>
              </w:rPr>
              <w:t>30</w:t>
            </w:r>
          </w:hyperlink>
        </w:p>
        <w:p>
          <w:pPr>
            <w:pStyle w:val="Contents3"/>
            <w:tabs>
              <w:tab w:val="clear" w:pos="8459"/>
              <w:tab w:val="right" w:pos="9026" w:leader="dot"/>
            </w:tabs>
            <w:rPr/>
          </w:pPr>
          <w:hyperlink w:anchor="__RefHeading___Toc11979050_1280447820">
            <w:r>
              <w:rPr>
                <w:webHidden/>
                <w:rStyle w:val="IndexLink"/>
                <w:rtl w:val="true"/>
              </w:rPr>
              <w:t>توضيح مفاد القاعدة</w:t>
            </w:r>
            <w:r>
              <w:rPr>
                <w:rStyle w:val="IndexLink"/>
                <w:rtl w:val="true"/>
              </w:rPr>
              <w:tab/>
            </w:r>
            <w:r>
              <w:rPr>
                <w:rStyle w:val="IndexLink"/>
              </w:rPr>
              <w:t>31</w:t>
            </w:r>
          </w:hyperlink>
        </w:p>
        <w:p>
          <w:pPr>
            <w:pStyle w:val="Contents3"/>
            <w:tabs>
              <w:tab w:val="clear" w:pos="8459"/>
              <w:tab w:val="right" w:pos="9026" w:leader="dot"/>
            </w:tabs>
            <w:rPr/>
          </w:pPr>
          <w:hyperlink w:anchor="__RefHeading___Toc11979052_1280447820">
            <w:r>
              <w:rPr>
                <w:webHidden/>
                <w:rStyle w:val="IndexLink"/>
                <w:rtl w:val="true"/>
              </w:rPr>
              <w:t>مدركُ القاعدة</w:t>
            </w:r>
            <w:r>
              <w:rPr>
                <w:rStyle w:val="IndexLink"/>
                <w:rtl w:val="true"/>
              </w:rPr>
              <w:tab/>
            </w:r>
            <w:r>
              <w:rPr>
                <w:rStyle w:val="IndexLink"/>
              </w:rPr>
              <w:t>32</w:t>
            </w:r>
          </w:hyperlink>
        </w:p>
        <w:p>
          <w:pPr>
            <w:pStyle w:val="Contents4"/>
            <w:tabs>
              <w:tab w:val="clear" w:pos="8176"/>
              <w:tab w:val="right" w:pos="9026" w:leader="dot"/>
            </w:tabs>
            <w:rPr/>
          </w:pPr>
          <w:hyperlink w:anchor="__RefHeading___Toc11979054_1280447820">
            <w:r>
              <w:rPr>
                <w:webHidden/>
                <w:rStyle w:val="IndexLink"/>
                <w:rtl w:val="true"/>
              </w:rPr>
              <w:t>أوَّلًا</w:t>
            </w:r>
            <w:r>
              <w:rPr>
                <w:rStyle w:val="IndexLink"/>
                <w:rtl w:val="true"/>
              </w:rPr>
              <w:t xml:space="preserve">: </w:t>
            </w:r>
            <w:r>
              <w:rPr>
                <w:rStyle w:val="IndexLink"/>
                <w:rtl w:val="true"/>
              </w:rPr>
              <w:t>السُّنَّة</w:t>
            </w:r>
            <w:r>
              <w:rPr>
                <w:rStyle w:val="IndexLink"/>
                <w:rtl w:val="true"/>
              </w:rPr>
              <w:tab/>
            </w:r>
            <w:r>
              <w:rPr>
                <w:rStyle w:val="IndexLink"/>
              </w:rPr>
              <w:t>32</w:t>
            </w:r>
          </w:hyperlink>
        </w:p>
        <w:p>
          <w:pPr>
            <w:pStyle w:val="Contents4"/>
            <w:tabs>
              <w:tab w:val="clear" w:pos="8176"/>
              <w:tab w:val="right" w:pos="9026" w:leader="dot"/>
            </w:tabs>
            <w:rPr/>
          </w:pPr>
          <w:hyperlink w:anchor="__RefHeading___Toc11979056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33</w:t>
            </w:r>
          </w:hyperlink>
        </w:p>
        <w:p>
          <w:pPr>
            <w:pStyle w:val="Contents3"/>
            <w:tabs>
              <w:tab w:val="clear" w:pos="8459"/>
              <w:tab w:val="right" w:pos="9026" w:leader="dot"/>
            </w:tabs>
            <w:rPr/>
          </w:pPr>
          <w:hyperlink w:anchor="__RefHeading___Toc11979058_1280447820">
            <w:r>
              <w:rPr>
                <w:webHidden/>
                <w:rStyle w:val="IndexLink"/>
                <w:rtl w:val="true"/>
              </w:rPr>
              <w:t>تنبيهاتٌ‌</w:t>
            </w:r>
            <w:r>
              <w:rPr>
                <w:rStyle w:val="IndexLink"/>
                <w:rtl w:val="true"/>
              </w:rPr>
              <w:t>:</w:t>
              <w:tab/>
            </w:r>
            <w:r>
              <w:rPr>
                <w:rStyle w:val="IndexLink"/>
              </w:rPr>
              <w:t>33</w:t>
            </w:r>
          </w:hyperlink>
        </w:p>
        <w:p>
          <w:pPr>
            <w:pStyle w:val="Contents4"/>
            <w:tabs>
              <w:tab w:val="clear" w:pos="8176"/>
              <w:tab w:val="right" w:pos="9026" w:leader="dot"/>
            </w:tabs>
            <w:rPr/>
          </w:pPr>
          <w:hyperlink w:anchor="__RefHeading___Toc11979060_1280447820">
            <w:r>
              <w:rPr>
                <w:webHidden/>
                <w:rStyle w:val="IndexLink"/>
                <w:rtl w:val="true"/>
              </w:rPr>
              <w:t>التَّنبيه الأوَّل</w:t>
            </w:r>
            <w:r>
              <w:rPr>
                <w:rStyle w:val="IndexLink"/>
                <w:rtl w:val="true"/>
              </w:rPr>
              <w:t>:</w:t>
              <w:tab/>
            </w:r>
            <w:r>
              <w:rPr>
                <w:rStyle w:val="IndexLink"/>
              </w:rPr>
              <w:t>33</w:t>
            </w:r>
          </w:hyperlink>
        </w:p>
        <w:p>
          <w:pPr>
            <w:pStyle w:val="Contents4"/>
            <w:tabs>
              <w:tab w:val="clear" w:pos="8176"/>
              <w:tab w:val="right" w:pos="9026" w:leader="dot"/>
            </w:tabs>
            <w:rPr/>
          </w:pPr>
          <w:hyperlink w:anchor="__RefHeading___Toc11979062_1280447820">
            <w:r>
              <w:rPr>
                <w:webHidden/>
                <w:rStyle w:val="IndexLink"/>
                <w:rtl w:val="true"/>
              </w:rPr>
              <w:t>التَّنبيه الثَّاني</w:t>
            </w:r>
            <w:r>
              <w:rPr>
                <w:rStyle w:val="IndexLink"/>
                <w:rtl w:val="true"/>
              </w:rPr>
              <w:t>:</w:t>
              <w:tab/>
            </w:r>
            <w:r>
              <w:rPr>
                <w:rStyle w:val="IndexLink"/>
              </w:rPr>
              <w:t>34</w:t>
            </w:r>
          </w:hyperlink>
        </w:p>
        <w:p>
          <w:pPr>
            <w:pStyle w:val="Contents4"/>
            <w:tabs>
              <w:tab w:val="clear" w:pos="8176"/>
              <w:tab w:val="right" w:pos="9026" w:leader="dot"/>
            </w:tabs>
            <w:rPr/>
          </w:pPr>
          <w:hyperlink w:anchor="__RefHeading___Toc11979064_1280447820">
            <w:r>
              <w:rPr>
                <w:webHidden/>
                <w:rStyle w:val="IndexLink"/>
                <w:rtl w:val="true"/>
              </w:rPr>
              <w:t>التَّنبيه الثَّالث</w:t>
            </w:r>
            <w:r>
              <w:rPr>
                <w:rStyle w:val="IndexLink"/>
                <w:rtl w:val="true"/>
              </w:rPr>
              <w:t>:</w:t>
              <w:tab/>
            </w:r>
            <w:r>
              <w:rPr>
                <w:rStyle w:val="IndexLink"/>
              </w:rPr>
              <w:t>36</w:t>
            </w:r>
          </w:hyperlink>
        </w:p>
        <w:p>
          <w:pPr>
            <w:pStyle w:val="Contents4"/>
            <w:tabs>
              <w:tab w:val="clear" w:pos="8176"/>
              <w:tab w:val="right" w:pos="9026" w:leader="dot"/>
            </w:tabs>
            <w:rPr/>
          </w:pPr>
          <w:hyperlink w:anchor="__RefHeading___Toc11979066_1280447820">
            <w:r>
              <w:rPr>
                <w:webHidden/>
                <w:rStyle w:val="IndexLink"/>
                <w:rtl w:val="true"/>
              </w:rPr>
              <w:t>التَّنبيه الرَّابع</w:t>
            </w:r>
            <w:r>
              <w:rPr>
                <w:rStyle w:val="IndexLink"/>
                <w:rtl w:val="true"/>
              </w:rPr>
              <w:t>:</w:t>
              <w:tab/>
            </w:r>
            <w:r>
              <w:rPr>
                <w:rStyle w:val="IndexLink"/>
              </w:rPr>
              <w:t>39</w:t>
            </w:r>
          </w:hyperlink>
        </w:p>
        <w:p>
          <w:pPr>
            <w:pStyle w:val="Contents4"/>
            <w:tabs>
              <w:tab w:val="clear" w:pos="8176"/>
              <w:tab w:val="right" w:pos="9026" w:leader="dot"/>
            </w:tabs>
            <w:rPr/>
          </w:pPr>
          <w:hyperlink w:anchor="__RefHeading___Toc11979068_1280447820">
            <w:r>
              <w:rPr>
                <w:webHidden/>
                <w:rStyle w:val="IndexLink"/>
                <w:rtl w:val="true"/>
              </w:rPr>
              <w:t>التَّنبيه الخامس</w:t>
            </w:r>
            <w:r>
              <w:rPr>
                <w:rStyle w:val="IndexLink"/>
                <w:rtl w:val="true"/>
              </w:rPr>
              <w:t>:</w:t>
              <w:tab/>
            </w:r>
            <w:r>
              <w:rPr>
                <w:rStyle w:val="IndexLink"/>
              </w:rPr>
              <w:t>40</w:t>
            </w:r>
          </w:hyperlink>
        </w:p>
        <w:p>
          <w:pPr>
            <w:pStyle w:val="Contents4"/>
            <w:tabs>
              <w:tab w:val="clear" w:pos="8176"/>
              <w:tab w:val="right" w:pos="9026" w:leader="dot"/>
            </w:tabs>
            <w:rPr/>
          </w:pPr>
          <w:hyperlink w:anchor="__RefHeading___Toc11979070_1280447820">
            <w:r>
              <w:rPr>
                <w:webHidden/>
                <w:rStyle w:val="IndexLink"/>
                <w:rtl w:val="true"/>
              </w:rPr>
              <w:t>التَّنبيه السَّادس</w:t>
            </w:r>
            <w:r>
              <w:rPr>
                <w:rStyle w:val="IndexLink"/>
                <w:rtl w:val="true"/>
              </w:rPr>
              <w:t>:</w:t>
              <w:tab/>
            </w:r>
            <w:r>
              <w:rPr>
                <w:rStyle w:val="IndexLink"/>
              </w:rPr>
              <w:t>41</w:t>
            </w:r>
          </w:hyperlink>
        </w:p>
        <w:p>
          <w:pPr>
            <w:pStyle w:val="Contents4"/>
            <w:tabs>
              <w:tab w:val="clear" w:pos="8176"/>
              <w:tab w:val="right" w:pos="9026" w:leader="dot"/>
            </w:tabs>
            <w:rPr/>
          </w:pPr>
          <w:hyperlink w:anchor="__RefHeading___Toc11979072_1280447820">
            <w:r>
              <w:rPr>
                <w:webHidden/>
                <w:rStyle w:val="IndexLink"/>
                <w:rtl w:val="true"/>
              </w:rPr>
              <w:t>التَّنبيه السَّابع</w:t>
            </w:r>
            <w:r>
              <w:rPr>
                <w:rStyle w:val="IndexLink"/>
                <w:rtl w:val="true"/>
              </w:rPr>
              <w:t>:</w:t>
              <w:tab/>
            </w:r>
            <w:r>
              <w:rPr>
                <w:rStyle w:val="IndexLink"/>
              </w:rPr>
              <w:t>44</w:t>
            </w:r>
          </w:hyperlink>
        </w:p>
        <w:p>
          <w:pPr>
            <w:pStyle w:val="Contents4"/>
            <w:tabs>
              <w:tab w:val="clear" w:pos="8176"/>
              <w:tab w:val="right" w:pos="9026" w:leader="dot"/>
            </w:tabs>
            <w:rPr/>
          </w:pPr>
          <w:hyperlink w:anchor="__RefHeading___Toc11979074_1280447820">
            <w:r>
              <w:rPr>
                <w:webHidden/>
                <w:rStyle w:val="IndexLink"/>
                <w:rtl w:val="true"/>
              </w:rPr>
              <w:t>التَّنبيه الثَّامن</w:t>
            </w:r>
            <w:r>
              <w:rPr>
                <w:rStyle w:val="IndexLink"/>
                <w:rtl w:val="true"/>
              </w:rPr>
              <w:t>:</w:t>
              <w:tab/>
            </w:r>
            <w:r>
              <w:rPr>
                <w:rStyle w:val="IndexLink"/>
              </w:rPr>
              <w:t>45</w:t>
            </w:r>
          </w:hyperlink>
        </w:p>
        <w:p>
          <w:pPr>
            <w:pStyle w:val="Contents4"/>
            <w:tabs>
              <w:tab w:val="clear" w:pos="8176"/>
              <w:tab w:val="right" w:pos="9026" w:leader="dot"/>
            </w:tabs>
            <w:rPr/>
          </w:pPr>
          <w:hyperlink w:anchor="__RefHeading___Toc11979076_1280447820">
            <w:r>
              <w:rPr>
                <w:webHidden/>
                <w:rStyle w:val="IndexLink"/>
                <w:rtl w:val="true"/>
              </w:rPr>
              <w:t>التَّنبيه التَّاسع</w:t>
            </w:r>
            <w:r>
              <w:rPr>
                <w:rStyle w:val="IndexLink"/>
                <w:rtl w:val="true"/>
              </w:rPr>
              <w:t>:</w:t>
              <w:tab/>
            </w:r>
            <w:r>
              <w:rPr>
                <w:rStyle w:val="IndexLink"/>
              </w:rPr>
              <w:t>46</w:t>
            </w:r>
          </w:hyperlink>
        </w:p>
        <w:p>
          <w:pPr>
            <w:pStyle w:val="Contents4"/>
            <w:tabs>
              <w:tab w:val="clear" w:pos="8176"/>
              <w:tab w:val="right" w:pos="9026" w:leader="dot"/>
            </w:tabs>
            <w:rPr/>
          </w:pPr>
          <w:hyperlink w:anchor="__RefHeading___Toc11979078_1280447820">
            <w:r>
              <w:rPr>
                <w:webHidden/>
                <w:rStyle w:val="IndexLink"/>
                <w:rtl w:val="true"/>
              </w:rPr>
              <w:t>التَّنبيه العاشر</w:t>
            </w:r>
            <w:r>
              <w:rPr>
                <w:rStyle w:val="IndexLink"/>
                <w:rtl w:val="true"/>
              </w:rPr>
              <w:t>:</w:t>
              <w:tab/>
            </w:r>
            <w:r>
              <w:rPr>
                <w:rStyle w:val="IndexLink"/>
              </w:rPr>
              <w:t>48</w:t>
            </w:r>
          </w:hyperlink>
        </w:p>
        <w:p>
          <w:pPr>
            <w:pStyle w:val="Contents3"/>
            <w:tabs>
              <w:tab w:val="clear" w:pos="8459"/>
              <w:tab w:val="right" w:pos="9026" w:leader="dot"/>
            </w:tabs>
            <w:rPr/>
          </w:pPr>
          <w:hyperlink w:anchor="__RefHeading___Toc11979080_1280447820">
            <w:r>
              <w:rPr>
                <w:webHidden/>
                <w:rStyle w:val="IndexLink"/>
                <w:rtl w:val="true"/>
              </w:rPr>
              <w:t>أمثلةٌ لاستعمال القاعدة في الفقه</w:t>
            </w:r>
            <w:r>
              <w:rPr>
                <w:rStyle w:val="IndexLink"/>
                <w:rtl w:val="true"/>
              </w:rPr>
              <w:t>:</w:t>
              <w:tab/>
            </w:r>
            <w:r>
              <w:rPr>
                <w:rStyle w:val="IndexLink"/>
              </w:rPr>
              <w:t>48</w:t>
            </w:r>
          </w:hyperlink>
        </w:p>
        <w:p>
          <w:pPr>
            <w:pStyle w:val="Contents2"/>
            <w:tabs>
              <w:tab w:val="clear" w:pos="8743"/>
              <w:tab w:val="right" w:pos="9026" w:leader="dot"/>
            </w:tabs>
            <w:rPr/>
          </w:pPr>
          <w:hyperlink w:anchor="__RefHeading___Toc11979082_1280447820">
            <w:r>
              <w:rPr>
                <w:webHidden/>
                <w:rStyle w:val="IndexLink"/>
                <w:rtl w:val="true"/>
              </w:rPr>
              <w:t>[</w:t>
            </w:r>
            <w:r>
              <w:rPr>
                <w:rStyle w:val="IndexLink"/>
              </w:rPr>
              <w:t>46</w:t>
            </w:r>
            <w:r>
              <w:rPr>
                <w:rStyle w:val="IndexLink"/>
                <w:rtl w:val="true"/>
              </w:rPr>
              <w:t xml:space="preserve">:] </w:t>
            </w:r>
            <w:r>
              <w:rPr>
                <w:rStyle w:val="IndexLink"/>
                <w:rtl w:val="true"/>
              </w:rPr>
              <w:t>قاعدة كلِّ كافرٍ نجسٌ‌</w:t>
            </w:r>
            <w:r>
              <w:rPr>
                <w:rStyle w:val="IndexLink"/>
                <w:rtl w:val="true"/>
              </w:rPr>
              <w:tab/>
            </w:r>
            <w:r>
              <w:rPr>
                <w:rStyle w:val="IndexLink"/>
              </w:rPr>
              <w:t>50</w:t>
            </w:r>
          </w:hyperlink>
        </w:p>
        <w:p>
          <w:pPr>
            <w:pStyle w:val="Contents3"/>
            <w:tabs>
              <w:tab w:val="clear" w:pos="8459"/>
              <w:tab w:val="right" w:pos="9026" w:leader="dot"/>
            </w:tabs>
            <w:rPr/>
          </w:pPr>
          <w:hyperlink w:anchor="__RefHeading___Toc11979084_1280447820">
            <w:r>
              <w:rPr>
                <w:webHidden/>
                <w:rStyle w:val="IndexLink"/>
                <w:rtl w:val="true"/>
              </w:rPr>
              <w:t>عناوين أُخرىٰ للقاعدة</w:t>
            </w:r>
            <w:r>
              <w:rPr>
                <w:rStyle w:val="IndexLink"/>
                <w:rtl w:val="true"/>
              </w:rPr>
              <w:tab/>
            </w:r>
            <w:r>
              <w:rPr>
                <w:rStyle w:val="IndexLink"/>
              </w:rPr>
              <w:t>50</w:t>
            </w:r>
          </w:hyperlink>
        </w:p>
        <w:p>
          <w:pPr>
            <w:pStyle w:val="Contents3"/>
            <w:tabs>
              <w:tab w:val="clear" w:pos="8459"/>
              <w:tab w:val="right" w:pos="9026" w:leader="dot"/>
            </w:tabs>
            <w:rPr/>
          </w:pPr>
          <w:hyperlink w:anchor="__RefHeading___Toc11979086_1280447820">
            <w:r>
              <w:rPr>
                <w:webHidden/>
                <w:rStyle w:val="IndexLink"/>
                <w:rtl w:val="true"/>
              </w:rPr>
              <w:t>توضيح مفاد القاعدة</w:t>
            </w:r>
            <w:r>
              <w:rPr>
                <w:rStyle w:val="IndexLink"/>
                <w:rtl w:val="true"/>
              </w:rPr>
              <w:tab/>
            </w:r>
            <w:r>
              <w:rPr>
                <w:rStyle w:val="IndexLink"/>
              </w:rPr>
              <w:t>50</w:t>
            </w:r>
          </w:hyperlink>
        </w:p>
        <w:p>
          <w:pPr>
            <w:pStyle w:val="Contents4"/>
            <w:tabs>
              <w:tab w:val="clear" w:pos="8176"/>
              <w:tab w:val="right" w:pos="9026" w:leader="dot"/>
            </w:tabs>
            <w:rPr/>
          </w:pPr>
          <w:hyperlink w:anchor="__RefHeading___Toc11979088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979090_1280447820">
            <w:r>
              <w:rPr>
                <w:webHidden/>
                <w:rStyle w:val="IndexLink"/>
                <w:rtl w:val="true"/>
              </w:rPr>
              <w:t>الأمر الأوَّل</w:t>
            </w:r>
            <w:r>
              <w:rPr>
                <w:rStyle w:val="IndexLink"/>
                <w:rtl w:val="true"/>
              </w:rPr>
              <w:t>:</w:t>
              <w:tab/>
            </w:r>
            <w:r>
              <w:rPr>
                <w:rStyle w:val="IndexLink"/>
              </w:rPr>
              <w:t>50</w:t>
            </w:r>
          </w:hyperlink>
        </w:p>
        <w:p>
          <w:pPr>
            <w:pStyle w:val="Contents4"/>
            <w:tabs>
              <w:tab w:val="clear" w:pos="8176"/>
              <w:tab w:val="right" w:pos="9026" w:leader="dot"/>
            </w:tabs>
            <w:rPr/>
          </w:pPr>
          <w:hyperlink w:anchor="__RefHeading___Toc11979092_1280447820">
            <w:r>
              <w:rPr>
                <w:webHidden/>
                <w:rStyle w:val="IndexLink"/>
                <w:rtl w:val="true"/>
              </w:rPr>
              <w:t>الأمر الثَّاني</w:t>
            </w:r>
            <w:r>
              <w:rPr>
                <w:rStyle w:val="IndexLink"/>
                <w:rtl w:val="true"/>
              </w:rPr>
              <w:t>:</w:t>
              <w:tab/>
            </w:r>
            <w:r>
              <w:rPr>
                <w:rStyle w:val="IndexLink"/>
              </w:rPr>
              <w:t>52</w:t>
            </w:r>
          </w:hyperlink>
        </w:p>
        <w:p>
          <w:pPr>
            <w:pStyle w:val="Contents4"/>
            <w:tabs>
              <w:tab w:val="clear" w:pos="8176"/>
              <w:tab w:val="right" w:pos="9026" w:leader="dot"/>
            </w:tabs>
            <w:rPr/>
          </w:pPr>
          <w:hyperlink w:anchor="__RefHeading___Toc11979094_1280447820">
            <w:r>
              <w:rPr>
                <w:webHidden/>
                <w:rStyle w:val="IndexLink"/>
                <w:rtl w:val="true"/>
              </w:rPr>
              <w:t>الأمر الثَّالث</w:t>
            </w:r>
            <w:r>
              <w:rPr>
                <w:rStyle w:val="IndexLink"/>
                <w:rtl w:val="true"/>
              </w:rPr>
              <w:t>:</w:t>
              <w:tab/>
            </w:r>
            <w:r>
              <w:rPr>
                <w:rStyle w:val="IndexLink"/>
              </w:rPr>
              <w:t>52</w:t>
            </w:r>
          </w:hyperlink>
        </w:p>
        <w:p>
          <w:pPr>
            <w:pStyle w:val="Contents3"/>
            <w:tabs>
              <w:tab w:val="clear" w:pos="8459"/>
              <w:tab w:val="right" w:pos="9026" w:leader="dot"/>
            </w:tabs>
            <w:rPr/>
          </w:pPr>
          <w:hyperlink w:anchor="__RefHeading___Toc11979096_1280447820">
            <w:r>
              <w:rPr>
                <w:webHidden/>
                <w:rStyle w:val="IndexLink"/>
                <w:rtl w:val="true"/>
              </w:rPr>
              <w:t>مدركُ القاعدة</w:t>
            </w:r>
            <w:r>
              <w:rPr>
                <w:rStyle w:val="IndexLink"/>
                <w:rtl w:val="true"/>
              </w:rPr>
              <w:tab/>
            </w:r>
            <w:r>
              <w:rPr>
                <w:rStyle w:val="IndexLink"/>
              </w:rPr>
              <w:t>52</w:t>
            </w:r>
          </w:hyperlink>
        </w:p>
        <w:p>
          <w:pPr>
            <w:pStyle w:val="Contents4"/>
            <w:tabs>
              <w:tab w:val="clear" w:pos="8176"/>
              <w:tab w:val="right" w:pos="9026" w:leader="dot"/>
            </w:tabs>
            <w:rPr/>
          </w:pPr>
          <w:hyperlink w:anchor="__RefHeading___Toc11979098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979100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52</w:t>
            </w:r>
          </w:hyperlink>
        </w:p>
        <w:p>
          <w:pPr>
            <w:pStyle w:val="Contents4"/>
            <w:tabs>
              <w:tab w:val="clear" w:pos="8176"/>
              <w:tab w:val="right" w:pos="9026" w:leader="dot"/>
            </w:tabs>
            <w:rPr/>
          </w:pPr>
          <w:hyperlink w:anchor="__RefHeading___Toc11979102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57</w:t>
            </w:r>
          </w:hyperlink>
        </w:p>
        <w:p>
          <w:pPr>
            <w:pStyle w:val="Contents4"/>
            <w:tabs>
              <w:tab w:val="clear" w:pos="8176"/>
              <w:tab w:val="right" w:pos="9026" w:leader="dot"/>
            </w:tabs>
            <w:rPr/>
          </w:pPr>
          <w:hyperlink w:anchor="__RefHeading___Toc11979104_1280447820">
            <w:r>
              <w:rPr>
                <w:webHidden/>
                <w:rStyle w:val="IndexLink"/>
                <w:rtl w:val="true"/>
              </w:rPr>
              <w:t>النَّظرُ في الأدلَّة المعارِضة</w:t>
            </w:r>
            <w:r>
              <w:rPr>
                <w:rStyle w:val="IndexLink"/>
                <w:rtl w:val="true"/>
              </w:rPr>
              <w:tab/>
            </w:r>
            <w:r>
              <w:rPr>
                <w:rStyle w:val="IndexLink"/>
              </w:rPr>
              <w:t>59</w:t>
            </w:r>
          </w:hyperlink>
        </w:p>
        <w:p>
          <w:pPr>
            <w:pStyle w:val="Contents4"/>
            <w:tabs>
              <w:tab w:val="clear" w:pos="8176"/>
              <w:tab w:val="right" w:pos="9026" w:leader="dot"/>
            </w:tabs>
            <w:rPr/>
          </w:pPr>
          <w:hyperlink w:anchor="__RefHeading___Toc11979106_1280447820">
            <w:r>
              <w:rPr>
                <w:webHidden/>
                <w:rStyle w:val="IndexLink"/>
                <w:rtl w:val="true"/>
              </w:rPr>
              <w:t>لهذه الطَّائفة من الرِّوايات</w:t>
            </w:r>
            <w:r>
              <w:rPr>
                <w:rStyle w:val="IndexLink"/>
                <w:rtl w:val="true"/>
              </w:rPr>
              <w:tab/>
            </w:r>
            <w:r>
              <w:rPr>
                <w:rStyle w:val="IndexLink"/>
              </w:rPr>
              <w:t>59</w:t>
            </w:r>
          </w:hyperlink>
        </w:p>
        <w:p>
          <w:pPr>
            <w:pStyle w:val="Contents4"/>
            <w:tabs>
              <w:tab w:val="clear" w:pos="8176"/>
              <w:tab w:val="right" w:pos="9026" w:leader="dot"/>
            </w:tabs>
            <w:rPr/>
          </w:pPr>
          <w:hyperlink w:anchor="__RefHeading___Toc11979108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65</w:t>
            </w:r>
          </w:hyperlink>
        </w:p>
        <w:p>
          <w:pPr>
            <w:pStyle w:val="Contents3"/>
            <w:tabs>
              <w:tab w:val="clear" w:pos="8459"/>
              <w:tab w:val="right" w:pos="9026" w:leader="dot"/>
            </w:tabs>
            <w:rPr/>
          </w:pPr>
          <w:hyperlink w:anchor="__RefHeading___Toc11979110_1280447820">
            <w:r>
              <w:rPr>
                <w:webHidden/>
                <w:rStyle w:val="IndexLink"/>
                <w:rtl w:val="true"/>
              </w:rPr>
              <w:t>تنبيهاتٌ‌</w:t>
            </w:r>
            <w:r>
              <w:rPr>
                <w:rStyle w:val="IndexLink"/>
                <w:rtl w:val="true"/>
              </w:rPr>
              <w:t>:</w:t>
              <w:tab/>
            </w:r>
            <w:r>
              <w:rPr>
                <w:rStyle w:val="IndexLink"/>
              </w:rPr>
              <w:t>66</w:t>
            </w:r>
          </w:hyperlink>
        </w:p>
        <w:p>
          <w:pPr>
            <w:pStyle w:val="Contents4"/>
            <w:tabs>
              <w:tab w:val="clear" w:pos="8176"/>
              <w:tab w:val="right" w:pos="9026" w:leader="dot"/>
            </w:tabs>
            <w:rPr/>
          </w:pPr>
          <w:hyperlink w:anchor="__RefHeading___Toc11979112_1280447820">
            <w:r>
              <w:rPr>
                <w:webHidden/>
                <w:rStyle w:val="IndexLink"/>
                <w:rtl w:val="true"/>
              </w:rPr>
              <w:t>التَّنبيه الأوَّل</w:t>
            </w:r>
            <w:r>
              <w:rPr>
                <w:rStyle w:val="IndexLink"/>
                <w:rtl w:val="true"/>
              </w:rPr>
              <w:t>:</w:t>
              <w:tab/>
            </w:r>
            <w:r>
              <w:rPr>
                <w:rStyle w:val="IndexLink"/>
              </w:rPr>
              <w:t>66</w:t>
            </w:r>
          </w:hyperlink>
        </w:p>
        <w:p>
          <w:pPr>
            <w:pStyle w:val="Contents4"/>
            <w:tabs>
              <w:tab w:val="clear" w:pos="8176"/>
              <w:tab w:val="right" w:pos="9026" w:leader="dot"/>
            </w:tabs>
            <w:rPr/>
          </w:pPr>
          <w:hyperlink w:anchor="__RefHeading___Toc11979114_1280447820">
            <w:r>
              <w:rPr>
                <w:webHidden/>
                <w:rStyle w:val="IndexLink"/>
                <w:rtl w:val="true"/>
              </w:rPr>
              <w:t>التَّنبيه الثَّاني</w:t>
            </w:r>
            <w:r>
              <w:rPr>
                <w:rStyle w:val="IndexLink"/>
                <w:rtl w:val="true"/>
              </w:rPr>
              <w:t>:</w:t>
              <w:tab/>
            </w:r>
            <w:r>
              <w:rPr>
                <w:rStyle w:val="IndexLink"/>
              </w:rPr>
              <w:t>68</w:t>
            </w:r>
          </w:hyperlink>
        </w:p>
        <w:p>
          <w:pPr>
            <w:pStyle w:val="Contents4"/>
            <w:tabs>
              <w:tab w:val="clear" w:pos="8176"/>
              <w:tab w:val="right" w:pos="9026" w:leader="dot"/>
            </w:tabs>
            <w:rPr/>
          </w:pPr>
          <w:hyperlink w:anchor="__RefHeading___Toc11979116_1280447820">
            <w:r>
              <w:rPr>
                <w:webHidden/>
                <w:rStyle w:val="IndexLink"/>
                <w:rtl w:val="true"/>
              </w:rPr>
              <w:t>التَّنبيه الثَّالث</w:t>
            </w:r>
            <w:r>
              <w:rPr>
                <w:rStyle w:val="IndexLink"/>
                <w:rtl w:val="true"/>
              </w:rPr>
              <w:t>:</w:t>
              <w:tab/>
            </w:r>
            <w:r>
              <w:rPr>
                <w:rStyle w:val="IndexLink"/>
              </w:rPr>
              <w:t>72</w:t>
            </w:r>
          </w:hyperlink>
        </w:p>
        <w:p>
          <w:pPr>
            <w:pStyle w:val="Contents4"/>
            <w:tabs>
              <w:tab w:val="clear" w:pos="8176"/>
              <w:tab w:val="right" w:pos="9026" w:leader="dot"/>
            </w:tabs>
            <w:rPr/>
          </w:pPr>
          <w:hyperlink w:anchor="__RefHeading___Toc11979118_1280447820">
            <w:r>
              <w:rPr>
                <w:webHidden/>
                <w:rStyle w:val="IndexLink"/>
                <w:rtl w:val="true"/>
              </w:rPr>
              <w:t>التَّنبيه الرَّابع</w:t>
            </w:r>
            <w:r>
              <w:rPr>
                <w:rStyle w:val="IndexLink"/>
                <w:rtl w:val="true"/>
              </w:rPr>
              <w:t>:</w:t>
              <w:tab/>
            </w:r>
            <w:r>
              <w:rPr>
                <w:rStyle w:val="IndexLink"/>
              </w:rPr>
              <w:t>73</w:t>
            </w:r>
          </w:hyperlink>
        </w:p>
        <w:p>
          <w:pPr>
            <w:pStyle w:val="Contents4"/>
            <w:tabs>
              <w:tab w:val="clear" w:pos="8176"/>
              <w:tab w:val="right" w:pos="9026" w:leader="dot"/>
            </w:tabs>
            <w:rPr/>
          </w:pPr>
          <w:hyperlink w:anchor="__RefHeading___Toc11979120_1280447820">
            <w:r>
              <w:rPr>
                <w:webHidden/>
                <w:rStyle w:val="IndexLink"/>
                <w:rtl w:val="true"/>
              </w:rPr>
              <w:t>أمثلةٌ لاستعمال القاعدة في الفقه</w:t>
            </w:r>
            <w:r>
              <w:rPr>
                <w:rStyle w:val="IndexLink"/>
                <w:rtl w:val="true"/>
              </w:rPr>
              <w:t>:</w:t>
              <w:tab/>
            </w:r>
            <w:r>
              <w:rPr>
                <w:rStyle w:val="IndexLink"/>
              </w:rPr>
              <w:t>76</w:t>
            </w:r>
          </w:hyperlink>
        </w:p>
        <w:p>
          <w:pPr>
            <w:pStyle w:val="Contents2"/>
            <w:tabs>
              <w:tab w:val="clear" w:pos="8743"/>
              <w:tab w:val="right" w:pos="9026" w:leader="dot"/>
            </w:tabs>
            <w:rPr/>
          </w:pPr>
          <w:hyperlink w:anchor="__RefHeading___Toc11979122_1280447820">
            <w:r>
              <w:rPr>
                <w:webHidden/>
                <w:rStyle w:val="IndexLink"/>
                <w:rtl w:val="true"/>
              </w:rPr>
              <w:t>[</w:t>
            </w:r>
            <w:r>
              <w:rPr>
                <w:rStyle w:val="IndexLink"/>
              </w:rPr>
              <w:t>47</w:t>
            </w:r>
            <w:r>
              <w:rPr>
                <w:rStyle w:val="IndexLink"/>
                <w:rtl w:val="true"/>
              </w:rPr>
              <w:t xml:space="preserve">:] </w:t>
            </w:r>
            <w:r>
              <w:rPr>
                <w:rStyle w:val="IndexLink"/>
                <w:rtl w:val="true"/>
              </w:rPr>
              <w:t>قاعدة كلِّ ما تصحُّ إعارتُه تصحُّ إجارتُه</w:t>
            </w:r>
            <w:r>
              <w:rPr>
                <w:rStyle w:val="IndexLink"/>
                <w:rtl w:val="true"/>
              </w:rPr>
              <w:tab/>
            </w:r>
            <w:r>
              <w:rPr>
                <w:rStyle w:val="IndexLink"/>
              </w:rPr>
              <w:t>78</w:t>
            </w:r>
          </w:hyperlink>
        </w:p>
        <w:p>
          <w:pPr>
            <w:pStyle w:val="Contents3"/>
            <w:tabs>
              <w:tab w:val="clear" w:pos="8459"/>
              <w:tab w:val="right" w:pos="9026" w:leader="dot"/>
            </w:tabs>
            <w:rPr/>
          </w:pPr>
          <w:hyperlink w:anchor="__RefHeading___Toc11979124_1280447820">
            <w:r>
              <w:rPr>
                <w:webHidden/>
                <w:rStyle w:val="IndexLink"/>
                <w:rtl w:val="true"/>
              </w:rPr>
              <w:t>عناوين أُخرىٰ للقاعدة</w:t>
            </w:r>
            <w:r>
              <w:rPr>
                <w:rStyle w:val="IndexLink"/>
                <w:rtl w:val="true"/>
              </w:rPr>
              <w:tab/>
            </w:r>
            <w:r>
              <w:rPr>
                <w:rStyle w:val="IndexLink"/>
              </w:rPr>
              <w:t>78</w:t>
            </w:r>
          </w:hyperlink>
        </w:p>
        <w:p>
          <w:pPr>
            <w:pStyle w:val="Contents3"/>
            <w:tabs>
              <w:tab w:val="clear" w:pos="8459"/>
              <w:tab w:val="right" w:pos="9026" w:leader="dot"/>
            </w:tabs>
            <w:rPr/>
          </w:pPr>
          <w:hyperlink w:anchor="__RefHeading___Toc11979126_1280447820">
            <w:r>
              <w:rPr>
                <w:webHidden/>
                <w:rStyle w:val="IndexLink"/>
                <w:rtl w:val="true"/>
              </w:rPr>
              <w:t>توضيح مفاد القاعدة</w:t>
            </w:r>
            <w:r>
              <w:rPr>
                <w:rStyle w:val="IndexLink"/>
                <w:rtl w:val="true"/>
              </w:rPr>
              <w:tab/>
            </w:r>
            <w:r>
              <w:rPr>
                <w:rStyle w:val="IndexLink"/>
              </w:rPr>
              <w:t>79</w:t>
            </w:r>
          </w:hyperlink>
        </w:p>
        <w:p>
          <w:pPr>
            <w:pStyle w:val="Contents3"/>
            <w:tabs>
              <w:tab w:val="clear" w:pos="8459"/>
              <w:tab w:val="right" w:pos="9026" w:leader="dot"/>
            </w:tabs>
            <w:rPr/>
          </w:pPr>
          <w:hyperlink w:anchor="__RefHeading___Toc11979128_1280447820">
            <w:r>
              <w:rPr>
                <w:webHidden/>
                <w:rStyle w:val="IndexLink"/>
                <w:rtl w:val="true"/>
              </w:rPr>
              <w:t>مدركُ القاعدة</w:t>
            </w:r>
            <w:r>
              <w:rPr>
                <w:rStyle w:val="IndexLink"/>
                <w:rtl w:val="true"/>
              </w:rPr>
              <w:tab/>
            </w:r>
            <w:r>
              <w:rPr>
                <w:rStyle w:val="IndexLink"/>
              </w:rPr>
              <w:t>82</w:t>
            </w:r>
          </w:hyperlink>
        </w:p>
        <w:p>
          <w:pPr>
            <w:pStyle w:val="Contents3"/>
            <w:tabs>
              <w:tab w:val="clear" w:pos="8459"/>
              <w:tab w:val="right" w:pos="9026" w:leader="dot"/>
            </w:tabs>
            <w:rPr/>
          </w:pPr>
          <w:hyperlink w:anchor="__RefHeading___Toc11979130_1280447820">
            <w:r>
              <w:rPr>
                <w:webHidden/>
                <w:rStyle w:val="IndexLink"/>
                <w:rtl w:val="true"/>
              </w:rPr>
              <w:t>تنبيهٌ‌</w:t>
            </w:r>
            <w:r>
              <w:rPr>
                <w:rStyle w:val="IndexLink"/>
                <w:rtl w:val="true"/>
              </w:rPr>
              <w:t>:</w:t>
              <w:tab/>
            </w:r>
            <w:r>
              <w:rPr>
                <w:rStyle w:val="IndexLink"/>
              </w:rPr>
              <w:t>83</w:t>
            </w:r>
          </w:hyperlink>
        </w:p>
        <w:p>
          <w:pPr>
            <w:pStyle w:val="Contents3"/>
            <w:tabs>
              <w:tab w:val="clear" w:pos="8459"/>
              <w:tab w:val="right" w:pos="9026" w:leader="dot"/>
            </w:tabs>
            <w:rPr/>
          </w:pPr>
          <w:hyperlink w:anchor="__RefHeading___Toc11979132_1280447820">
            <w:r>
              <w:rPr>
                <w:webHidden/>
                <w:rStyle w:val="IndexLink"/>
                <w:rtl w:val="true"/>
              </w:rPr>
              <w:t>أمثلةٌ لاستعمال القاعدة في الفقه</w:t>
            </w:r>
            <w:r>
              <w:rPr>
                <w:rStyle w:val="IndexLink"/>
                <w:rtl w:val="true"/>
              </w:rPr>
              <w:t>:</w:t>
              <w:tab/>
            </w:r>
            <w:r>
              <w:rPr>
                <w:rStyle w:val="IndexLink"/>
              </w:rPr>
              <w:t>85</w:t>
            </w:r>
          </w:hyperlink>
        </w:p>
        <w:p>
          <w:pPr>
            <w:pStyle w:val="Contents2"/>
            <w:tabs>
              <w:tab w:val="clear" w:pos="8743"/>
              <w:tab w:val="right" w:pos="9026" w:leader="dot"/>
            </w:tabs>
            <w:rPr/>
          </w:pPr>
          <w:hyperlink w:anchor="__RefHeading___Toc11979134_1280447820">
            <w:r>
              <w:rPr>
                <w:webHidden/>
                <w:rStyle w:val="IndexLink"/>
                <w:rtl w:val="true"/>
              </w:rPr>
              <w:t>[</w:t>
            </w:r>
            <w:r>
              <w:rPr>
                <w:rStyle w:val="IndexLink"/>
              </w:rPr>
              <w:t>48</w:t>
            </w:r>
            <w:r>
              <w:rPr>
                <w:rStyle w:val="IndexLink"/>
                <w:rtl w:val="true"/>
              </w:rPr>
              <w:t xml:space="preserve">:] </w:t>
            </w:r>
            <w:r>
              <w:rPr>
                <w:rStyle w:val="IndexLink"/>
                <w:rtl w:val="true"/>
              </w:rPr>
              <w:t>قاعدة كلُّ مبيعٍ تلف في زمنِ الخيار فهو ممَّن لاخيار له</w:t>
            </w:r>
            <w:r>
              <w:rPr>
                <w:rStyle w:val="IndexLink"/>
                <w:rtl w:val="true"/>
              </w:rPr>
              <w:tab/>
            </w:r>
            <w:r>
              <w:rPr>
                <w:rStyle w:val="IndexLink"/>
              </w:rPr>
              <w:t>86</w:t>
            </w:r>
          </w:hyperlink>
        </w:p>
        <w:p>
          <w:pPr>
            <w:pStyle w:val="Contents3"/>
            <w:tabs>
              <w:tab w:val="clear" w:pos="8459"/>
              <w:tab w:val="right" w:pos="9026" w:leader="dot"/>
            </w:tabs>
            <w:rPr/>
          </w:pPr>
          <w:hyperlink w:anchor="__RefHeading___Toc11979136_1280447820">
            <w:r>
              <w:rPr>
                <w:webHidden/>
                <w:rStyle w:val="IndexLink"/>
                <w:rtl w:val="true"/>
              </w:rPr>
              <w:t>عناوين أُخرىٰ للقاعدة</w:t>
            </w:r>
            <w:r>
              <w:rPr>
                <w:rStyle w:val="IndexLink"/>
                <w:rtl w:val="true"/>
              </w:rPr>
              <w:tab/>
            </w:r>
            <w:r>
              <w:rPr>
                <w:rStyle w:val="IndexLink"/>
              </w:rPr>
              <w:t>86</w:t>
            </w:r>
          </w:hyperlink>
        </w:p>
        <w:p>
          <w:pPr>
            <w:pStyle w:val="Contents3"/>
            <w:tabs>
              <w:tab w:val="clear" w:pos="8459"/>
              <w:tab w:val="right" w:pos="9026" w:leader="dot"/>
            </w:tabs>
            <w:rPr/>
          </w:pPr>
          <w:hyperlink w:anchor="__RefHeading___Toc11979138_1280447820">
            <w:r>
              <w:rPr>
                <w:webHidden/>
                <w:rStyle w:val="IndexLink"/>
                <w:rtl w:val="true"/>
              </w:rPr>
              <w:t>توضيح مفاد القاعدة</w:t>
            </w:r>
            <w:r>
              <w:rPr>
                <w:rStyle w:val="IndexLink"/>
                <w:rtl w:val="true"/>
              </w:rPr>
              <w:tab/>
            </w:r>
            <w:r>
              <w:rPr>
                <w:rStyle w:val="IndexLink"/>
              </w:rPr>
              <w:t>87</w:t>
            </w:r>
          </w:hyperlink>
        </w:p>
        <w:p>
          <w:pPr>
            <w:pStyle w:val="Contents3"/>
            <w:tabs>
              <w:tab w:val="clear" w:pos="8459"/>
              <w:tab w:val="right" w:pos="9026" w:leader="dot"/>
            </w:tabs>
            <w:rPr/>
          </w:pPr>
          <w:hyperlink w:anchor="__RefHeading___Toc11979140_1280447820">
            <w:r>
              <w:rPr>
                <w:webHidden/>
                <w:rStyle w:val="IndexLink"/>
                <w:rtl w:val="true"/>
              </w:rPr>
              <w:t>مدركُ القاعدة</w:t>
            </w:r>
            <w:r>
              <w:rPr>
                <w:rStyle w:val="IndexLink"/>
                <w:rtl w:val="true"/>
              </w:rPr>
              <w:tab/>
            </w:r>
            <w:r>
              <w:rPr>
                <w:rStyle w:val="IndexLink"/>
              </w:rPr>
              <w:t>88</w:t>
            </w:r>
          </w:hyperlink>
        </w:p>
        <w:p>
          <w:pPr>
            <w:pStyle w:val="Contents4"/>
            <w:tabs>
              <w:tab w:val="clear" w:pos="8176"/>
              <w:tab w:val="right" w:pos="9026" w:leader="dot"/>
            </w:tabs>
            <w:rPr/>
          </w:pPr>
          <w:hyperlink w:anchor="__RefHeading___Toc11979142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979144_1280447820">
            <w:r>
              <w:rPr>
                <w:webHidden/>
                <w:rStyle w:val="IndexLink"/>
                <w:rtl w:val="true"/>
              </w:rPr>
              <w:t>أوَّلًا</w:t>
            </w:r>
            <w:r>
              <w:rPr>
                <w:rStyle w:val="IndexLink"/>
                <w:rtl w:val="true"/>
              </w:rPr>
              <w:t xml:space="preserve">: </w:t>
            </w:r>
            <w:r>
              <w:rPr>
                <w:rStyle w:val="IndexLink"/>
                <w:rtl w:val="true"/>
              </w:rPr>
              <w:t>روايات الباب</w:t>
            </w:r>
            <w:r>
              <w:rPr>
                <w:rStyle w:val="IndexLink"/>
                <w:rtl w:val="true"/>
              </w:rPr>
              <w:tab/>
            </w:r>
            <w:r>
              <w:rPr>
                <w:rStyle w:val="IndexLink"/>
              </w:rPr>
              <w:t>88</w:t>
            </w:r>
          </w:hyperlink>
        </w:p>
        <w:p>
          <w:pPr>
            <w:pStyle w:val="Contents4"/>
            <w:tabs>
              <w:tab w:val="clear" w:pos="8176"/>
              <w:tab w:val="right" w:pos="9026" w:leader="dot"/>
            </w:tabs>
            <w:rPr/>
          </w:pPr>
          <w:hyperlink w:anchor="__RefHeading___Toc11979146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89</w:t>
            </w:r>
          </w:hyperlink>
        </w:p>
        <w:p>
          <w:pPr>
            <w:pStyle w:val="Contents4"/>
            <w:tabs>
              <w:tab w:val="clear" w:pos="8176"/>
              <w:tab w:val="right" w:pos="9026" w:leader="dot"/>
            </w:tabs>
            <w:rPr/>
          </w:pPr>
          <w:hyperlink w:anchor="__RefHeading___Toc11979148_1280447820">
            <w:r>
              <w:rPr>
                <w:webHidden/>
                <w:rStyle w:val="IndexLink"/>
                <w:rtl w:val="true"/>
              </w:rPr>
              <w:t>ثالثًا</w:t>
            </w:r>
            <w:r>
              <w:rPr>
                <w:rStyle w:val="IndexLink"/>
                <w:rtl w:val="true"/>
              </w:rPr>
              <w:t xml:space="preserve">: </w:t>
            </w:r>
            <w:r>
              <w:rPr>
                <w:rStyle w:val="IndexLink"/>
                <w:rtl w:val="true"/>
              </w:rPr>
              <w:t>الأدلَّة الاِصطياديَّة</w:t>
            </w:r>
            <w:r>
              <w:rPr>
                <w:rStyle w:val="IndexLink"/>
                <w:rtl w:val="true"/>
              </w:rPr>
              <w:tab/>
            </w:r>
            <w:r>
              <w:rPr>
                <w:rStyle w:val="IndexLink"/>
              </w:rPr>
              <w:t>90</w:t>
            </w:r>
          </w:hyperlink>
        </w:p>
        <w:p>
          <w:pPr>
            <w:pStyle w:val="Contents3"/>
            <w:tabs>
              <w:tab w:val="clear" w:pos="8459"/>
              <w:tab w:val="right" w:pos="9026" w:leader="dot"/>
            </w:tabs>
            <w:rPr/>
          </w:pPr>
          <w:hyperlink w:anchor="__RefHeading___Toc11979150_1280447820">
            <w:r>
              <w:rPr>
                <w:webHidden/>
                <w:rStyle w:val="IndexLink"/>
                <w:rtl w:val="true"/>
              </w:rPr>
              <w:t>تنبيهاتٌ‌</w:t>
            </w:r>
            <w:r>
              <w:rPr>
                <w:rStyle w:val="IndexLink"/>
                <w:rtl w:val="true"/>
              </w:rPr>
              <w:t>:</w:t>
              <w:tab/>
            </w:r>
            <w:r>
              <w:rPr>
                <w:rStyle w:val="IndexLink"/>
              </w:rPr>
              <w:t>91</w:t>
            </w:r>
          </w:hyperlink>
        </w:p>
        <w:p>
          <w:pPr>
            <w:pStyle w:val="Contents4"/>
            <w:tabs>
              <w:tab w:val="clear" w:pos="8176"/>
              <w:tab w:val="right" w:pos="9026" w:leader="dot"/>
            </w:tabs>
            <w:rPr/>
          </w:pPr>
          <w:hyperlink w:anchor="__RefHeading___Toc11979152_1280447820">
            <w:r>
              <w:rPr>
                <w:webHidden/>
                <w:rStyle w:val="IndexLink"/>
                <w:rtl w:val="true"/>
              </w:rPr>
              <w:t>التَّنبيه الأوَّل</w:t>
            </w:r>
            <w:r>
              <w:rPr>
                <w:rStyle w:val="IndexLink"/>
                <w:rtl w:val="true"/>
              </w:rPr>
              <w:t>:</w:t>
              <w:tab/>
            </w:r>
            <w:r>
              <w:rPr>
                <w:rStyle w:val="IndexLink"/>
              </w:rPr>
              <w:t>91</w:t>
            </w:r>
          </w:hyperlink>
        </w:p>
        <w:p>
          <w:pPr>
            <w:pStyle w:val="Contents4"/>
            <w:tabs>
              <w:tab w:val="clear" w:pos="8176"/>
              <w:tab w:val="right" w:pos="9026" w:leader="dot"/>
            </w:tabs>
            <w:rPr/>
          </w:pPr>
          <w:hyperlink w:anchor="__RefHeading___Toc11979154_1280447820">
            <w:r>
              <w:rPr>
                <w:webHidden/>
                <w:rStyle w:val="IndexLink"/>
                <w:rtl w:val="true"/>
              </w:rPr>
              <w:t>التَّنبيه الثَّاني</w:t>
            </w:r>
            <w:r>
              <w:rPr>
                <w:rStyle w:val="IndexLink"/>
                <w:rtl w:val="true"/>
              </w:rPr>
              <w:t>:</w:t>
              <w:tab/>
            </w:r>
            <w:r>
              <w:rPr>
                <w:rStyle w:val="IndexLink"/>
              </w:rPr>
              <w:t>93</w:t>
            </w:r>
          </w:hyperlink>
        </w:p>
        <w:p>
          <w:pPr>
            <w:pStyle w:val="Contents4"/>
            <w:tabs>
              <w:tab w:val="clear" w:pos="8176"/>
              <w:tab w:val="right" w:pos="9026" w:leader="dot"/>
            </w:tabs>
            <w:rPr/>
          </w:pPr>
          <w:hyperlink w:anchor="__RefHeading___Toc11979156_1280447820">
            <w:r>
              <w:rPr>
                <w:webHidden/>
                <w:rStyle w:val="IndexLink"/>
                <w:rtl w:val="true"/>
              </w:rPr>
              <w:t>التَّنبيه الثَّالث</w:t>
            </w:r>
            <w:r>
              <w:rPr>
                <w:rStyle w:val="IndexLink"/>
                <w:rtl w:val="true"/>
              </w:rPr>
              <w:t>:</w:t>
              <w:tab/>
            </w:r>
            <w:r>
              <w:rPr>
                <w:rStyle w:val="IndexLink"/>
              </w:rPr>
              <w:t>94</w:t>
            </w:r>
          </w:hyperlink>
        </w:p>
        <w:p>
          <w:pPr>
            <w:pStyle w:val="Contents4"/>
            <w:tabs>
              <w:tab w:val="clear" w:pos="8176"/>
              <w:tab w:val="right" w:pos="9026" w:leader="dot"/>
            </w:tabs>
            <w:rPr/>
          </w:pPr>
          <w:hyperlink w:anchor="__RefHeading___Toc11979158_1280447820">
            <w:r>
              <w:rPr>
                <w:webHidden/>
                <w:rStyle w:val="IndexLink"/>
                <w:rtl w:val="true"/>
              </w:rPr>
              <w:t>التَّنبيه الرَّابع</w:t>
            </w:r>
            <w:r>
              <w:rPr>
                <w:rStyle w:val="IndexLink"/>
                <w:rtl w:val="true"/>
              </w:rPr>
              <w:t>:</w:t>
              <w:tab/>
            </w:r>
            <w:r>
              <w:rPr>
                <w:rStyle w:val="IndexLink"/>
              </w:rPr>
              <w:t>94</w:t>
            </w:r>
          </w:hyperlink>
        </w:p>
        <w:p>
          <w:pPr>
            <w:pStyle w:val="Contents3"/>
            <w:tabs>
              <w:tab w:val="clear" w:pos="8459"/>
              <w:tab w:val="right" w:pos="9026" w:leader="dot"/>
            </w:tabs>
            <w:rPr/>
          </w:pPr>
          <w:hyperlink w:anchor="__RefHeading___Toc11979160_1280447820">
            <w:r>
              <w:rPr>
                <w:webHidden/>
                <w:rStyle w:val="IndexLink"/>
                <w:rtl w:val="true"/>
              </w:rPr>
              <w:t>أمثلةٌ لاستعمال القاعدة في الفقه</w:t>
            </w:r>
            <w:r>
              <w:rPr>
                <w:rStyle w:val="IndexLink"/>
                <w:rtl w:val="true"/>
              </w:rPr>
              <w:t>:</w:t>
              <w:tab/>
            </w:r>
            <w:r>
              <w:rPr>
                <w:rStyle w:val="IndexLink"/>
              </w:rPr>
              <w:t>95</w:t>
            </w:r>
          </w:hyperlink>
        </w:p>
        <w:p>
          <w:pPr>
            <w:pStyle w:val="Contents2"/>
            <w:tabs>
              <w:tab w:val="clear" w:pos="8743"/>
              <w:tab w:val="right" w:pos="9026" w:leader="dot"/>
            </w:tabs>
            <w:rPr/>
          </w:pPr>
          <w:hyperlink w:anchor="__RefHeading___Toc11979162_1280447820">
            <w:r>
              <w:rPr>
                <w:webHidden/>
                <w:rStyle w:val="IndexLink"/>
                <w:rtl w:val="true"/>
              </w:rPr>
              <w:t>[</w:t>
            </w:r>
            <w:r>
              <w:rPr>
                <w:rStyle w:val="IndexLink"/>
              </w:rPr>
              <w:t>49</w:t>
            </w:r>
            <w:r>
              <w:rPr>
                <w:rStyle w:val="IndexLink"/>
                <w:rtl w:val="true"/>
              </w:rPr>
              <w:t xml:space="preserve">:] </w:t>
            </w:r>
            <w:r>
              <w:rPr>
                <w:rStyle w:val="IndexLink"/>
                <w:rtl w:val="true"/>
              </w:rPr>
              <w:t>قاعدة كلُّ مدَّعٍ يُسمَعُ قولُه بلابيِّنةٍ فعليه الحلفُ‌</w:t>
            </w:r>
            <w:r>
              <w:rPr>
                <w:rStyle w:val="IndexLink"/>
                <w:rtl w:val="true"/>
              </w:rPr>
              <w:tab/>
            </w:r>
            <w:r>
              <w:rPr>
                <w:rStyle w:val="IndexLink"/>
              </w:rPr>
              <w:t>98</w:t>
            </w:r>
          </w:hyperlink>
        </w:p>
        <w:p>
          <w:pPr>
            <w:pStyle w:val="Contents3"/>
            <w:tabs>
              <w:tab w:val="clear" w:pos="8459"/>
              <w:tab w:val="right" w:pos="9026" w:leader="dot"/>
            </w:tabs>
            <w:rPr/>
          </w:pPr>
          <w:hyperlink w:anchor="__RefHeading___Toc11979164_1280447820">
            <w:r>
              <w:rPr>
                <w:webHidden/>
                <w:rStyle w:val="IndexLink"/>
                <w:rtl w:val="true"/>
              </w:rPr>
              <w:t>عناوين أُخرىٰ للقاعدة</w:t>
            </w:r>
            <w:r>
              <w:rPr>
                <w:rStyle w:val="IndexLink"/>
                <w:rtl w:val="true"/>
              </w:rPr>
              <w:tab/>
            </w:r>
            <w:r>
              <w:rPr>
                <w:rStyle w:val="IndexLink"/>
              </w:rPr>
              <w:t>98</w:t>
            </w:r>
          </w:hyperlink>
        </w:p>
        <w:p>
          <w:pPr>
            <w:pStyle w:val="Contents3"/>
            <w:tabs>
              <w:tab w:val="clear" w:pos="8459"/>
              <w:tab w:val="right" w:pos="9026" w:leader="dot"/>
            </w:tabs>
            <w:rPr/>
          </w:pPr>
          <w:hyperlink w:anchor="__RefHeading___Toc11979166_1280447820">
            <w:r>
              <w:rPr>
                <w:webHidden/>
                <w:rStyle w:val="IndexLink"/>
                <w:rtl w:val="true"/>
              </w:rPr>
              <w:t>توضيح مفاد القاعدة</w:t>
            </w:r>
            <w:r>
              <w:rPr>
                <w:rStyle w:val="IndexLink"/>
                <w:rtl w:val="true"/>
              </w:rPr>
              <w:tab/>
            </w:r>
            <w:r>
              <w:rPr>
                <w:rStyle w:val="IndexLink"/>
              </w:rPr>
              <w:t>99</w:t>
            </w:r>
          </w:hyperlink>
        </w:p>
        <w:p>
          <w:pPr>
            <w:pStyle w:val="Contents3"/>
            <w:tabs>
              <w:tab w:val="clear" w:pos="8459"/>
              <w:tab w:val="right" w:pos="9026" w:leader="dot"/>
            </w:tabs>
            <w:rPr/>
          </w:pPr>
          <w:hyperlink w:anchor="__RefHeading___Toc11979168_1280447820">
            <w:r>
              <w:rPr>
                <w:webHidden/>
                <w:rStyle w:val="IndexLink"/>
                <w:rtl w:val="true"/>
              </w:rPr>
              <w:t>مدركُ القاعدة</w:t>
            </w:r>
            <w:r>
              <w:rPr>
                <w:rStyle w:val="IndexLink"/>
                <w:rtl w:val="true"/>
              </w:rPr>
              <w:tab/>
            </w:r>
            <w:r>
              <w:rPr>
                <w:rStyle w:val="IndexLink"/>
              </w:rPr>
              <w:t>100</w:t>
            </w:r>
          </w:hyperlink>
        </w:p>
        <w:p>
          <w:pPr>
            <w:pStyle w:val="Contents4"/>
            <w:tabs>
              <w:tab w:val="clear" w:pos="8176"/>
              <w:tab w:val="right" w:pos="9026" w:leader="dot"/>
            </w:tabs>
            <w:rPr/>
          </w:pPr>
          <w:hyperlink w:anchor="__RefHeading___Toc11979170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979172_1280447820">
            <w:r>
              <w:rPr>
                <w:webHidden/>
                <w:rStyle w:val="IndexLink"/>
                <w:rtl w:val="true"/>
              </w:rPr>
              <w:t>أوَّلًا</w:t>
            </w:r>
            <w:r>
              <w:rPr>
                <w:rStyle w:val="IndexLink"/>
                <w:rtl w:val="true"/>
              </w:rPr>
              <w:t xml:space="preserve">: </w:t>
            </w:r>
            <w:r>
              <w:rPr>
                <w:rStyle w:val="IndexLink"/>
                <w:rtl w:val="true"/>
              </w:rPr>
              <w:t>روايات الباب</w:t>
            </w:r>
            <w:r>
              <w:rPr>
                <w:rStyle w:val="IndexLink"/>
                <w:rtl w:val="true"/>
              </w:rPr>
              <w:tab/>
            </w:r>
            <w:r>
              <w:rPr>
                <w:rStyle w:val="IndexLink"/>
              </w:rPr>
              <w:t>100</w:t>
            </w:r>
          </w:hyperlink>
        </w:p>
        <w:p>
          <w:pPr>
            <w:pStyle w:val="Contents4"/>
            <w:tabs>
              <w:tab w:val="clear" w:pos="8176"/>
              <w:tab w:val="right" w:pos="9026" w:leader="dot"/>
            </w:tabs>
            <w:rPr/>
          </w:pPr>
          <w:hyperlink w:anchor="__RefHeading___Toc11979174_1280447820">
            <w:r>
              <w:rPr>
                <w:webHidden/>
                <w:rStyle w:val="IndexLink"/>
                <w:rtl w:val="true"/>
              </w:rPr>
              <w:t>ثانيًا</w:t>
            </w:r>
            <w:r>
              <w:rPr>
                <w:rStyle w:val="IndexLink"/>
                <w:rtl w:val="true"/>
              </w:rPr>
              <w:t xml:space="preserve">: </w:t>
            </w:r>
            <w:r>
              <w:rPr>
                <w:rStyle w:val="IndexLink"/>
                <w:rtl w:val="true"/>
              </w:rPr>
              <w:t>الأدلة الاِصطياديَّة</w:t>
            </w:r>
            <w:r>
              <w:rPr>
                <w:rStyle w:val="IndexLink"/>
                <w:rtl w:val="true"/>
              </w:rPr>
              <w:tab/>
            </w:r>
            <w:r>
              <w:rPr>
                <w:rStyle w:val="IndexLink"/>
              </w:rPr>
              <w:t>101</w:t>
            </w:r>
          </w:hyperlink>
        </w:p>
        <w:p>
          <w:pPr>
            <w:pStyle w:val="Contents4"/>
            <w:tabs>
              <w:tab w:val="clear" w:pos="8176"/>
              <w:tab w:val="right" w:pos="9026" w:leader="dot"/>
            </w:tabs>
            <w:rPr/>
          </w:pPr>
          <w:hyperlink w:anchor="__RefHeading___Toc11979176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101</w:t>
            </w:r>
          </w:hyperlink>
        </w:p>
        <w:p>
          <w:pPr>
            <w:pStyle w:val="Contents3"/>
            <w:tabs>
              <w:tab w:val="clear" w:pos="8459"/>
              <w:tab w:val="right" w:pos="9026" w:leader="dot"/>
            </w:tabs>
            <w:rPr/>
          </w:pPr>
          <w:hyperlink w:anchor="__RefHeading___Toc11979178_1280447820">
            <w:r>
              <w:rPr>
                <w:webHidden/>
                <w:rStyle w:val="IndexLink"/>
                <w:rtl w:val="true"/>
              </w:rPr>
              <w:t>تنبيهاتٌ‌</w:t>
            </w:r>
            <w:r>
              <w:rPr>
                <w:rStyle w:val="IndexLink"/>
                <w:rtl w:val="true"/>
              </w:rPr>
              <w:t>:</w:t>
              <w:tab/>
            </w:r>
            <w:r>
              <w:rPr>
                <w:rStyle w:val="IndexLink"/>
              </w:rPr>
              <w:t>102</w:t>
            </w:r>
          </w:hyperlink>
        </w:p>
        <w:p>
          <w:pPr>
            <w:pStyle w:val="Contents4"/>
            <w:tabs>
              <w:tab w:val="clear" w:pos="8176"/>
              <w:tab w:val="right" w:pos="9026" w:leader="dot"/>
            </w:tabs>
            <w:rPr/>
          </w:pPr>
          <w:hyperlink w:anchor="__RefHeading___Toc11979180_1280447820">
            <w:r>
              <w:rPr>
                <w:webHidden/>
                <w:rStyle w:val="IndexLink"/>
                <w:rtl w:val="true"/>
              </w:rPr>
              <w:t>التَّنبيه الأوَّل</w:t>
            </w:r>
            <w:r>
              <w:rPr>
                <w:rStyle w:val="IndexLink"/>
                <w:rtl w:val="true"/>
              </w:rPr>
              <w:t>:</w:t>
              <w:tab/>
            </w:r>
            <w:r>
              <w:rPr>
                <w:rStyle w:val="IndexLink"/>
              </w:rPr>
              <w:t>102</w:t>
            </w:r>
          </w:hyperlink>
        </w:p>
        <w:p>
          <w:pPr>
            <w:pStyle w:val="Contents4"/>
            <w:tabs>
              <w:tab w:val="clear" w:pos="8176"/>
              <w:tab w:val="right" w:pos="9026" w:leader="dot"/>
            </w:tabs>
            <w:rPr/>
          </w:pPr>
          <w:hyperlink w:anchor="__RefHeading___Toc11979182_1280447820">
            <w:r>
              <w:rPr>
                <w:webHidden/>
                <w:rStyle w:val="IndexLink"/>
                <w:rtl w:val="true"/>
              </w:rPr>
              <w:t>التَّنبيه الثَّاني</w:t>
            </w:r>
            <w:r>
              <w:rPr>
                <w:rStyle w:val="IndexLink"/>
                <w:rtl w:val="true"/>
              </w:rPr>
              <w:t>:</w:t>
              <w:tab/>
            </w:r>
            <w:r>
              <w:rPr>
                <w:rStyle w:val="IndexLink"/>
              </w:rPr>
              <w:t>103</w:t>
            </w:r>
          </w:hyperlink>
        </w:p>
        <w:p>
          <w:pPr>
            <w:pStyle w:val="Contents3"/>
            <w:tabs>
              <w:tab w:val="clear" w:pos="8459"/>
              <w:tab w:val="right" w:pos="9026" w:leader="dot"/>
            </w:tabs>
            <w:rPr/>
          </w:pPr>
          <w:hyperlink w:anchor="__RefHeading___Toc11979184_1280447820">
            <w:r>
              <w:rPr>
                <w:webHidden/>
                <w:rStyle w:val="IndexLink"/>
                <w:rtl w:val="true"/>
              </w:rPr>
              <w:t>أمثلةٌ لاستعمال القاعدة في الفقه</w:t>
            </w:r>
            <w:r>
              <w:rPr>
                <w:rStyle w:val="IndexLink"/>
                <w:rtl w:val="true"/>
              </w:rPr>
              <w:t>:</w:t>
              <w:tab/>
            </w:r>
            <w:r>
              <w:rPr>
                <w:rStyle w:val="IndexLink"/>
              </w:rPr>
              <w:t>110</w:t>
            </w:r>
          </w:hyperlink>
        </w:p>
        <w:p>
          <w:pPr>
            <w:pStyle w:val="Contents2"/>
            <w:tabs>
              <w:tab w:val="clear" w:pos="8743"/>
              <w:tab w:val="right" w:pos="9026" w:leader="dot"/>
            </w:tabs>
            <w:rPr/>
          </w:pPr>
          <w:hyperlink w:anchor="__RefHeading___Toc11979186_1280447820">
            <w:r>
              <w:rPr>
                <w:webHidden/>
                <w:rStyle w:val="IndexLink"/>
                <w:rtl w:val="true"/>
              </w:rPr>
              <w:t>[</w:t>
            </w:r>
            <w:r>
              <w:rPr>
                <w:rStyle w:val="IndexLink"/>
              </w:rPr>
              <w:t>50</w:t>
            </w:r>
            <w:r>
              <w:rPr>
                <w:rStyle w:val="IndexLink"/>
                <w:rtl w:val="true"/>
              </w:rPr>
              <w:t xml:space="preserve">:] </w:t>
            </w:r>
            <w:r>
              <w:rPr>
                <w:rStyle w:val="IndexLink"/>
                <w:rtl w:val="true"/>
              </w:rPr>
              <w:t>قاعدة كلِّ مسكرٍ مائعٍ بالأصالة نجسٌ‌</w:t>
            </w:r>
            <w:r>
              <w:rPr>
                <w:rStyle w:val="IndexLink"/>
                <w:rtl w:val="true"/>
              </w:rPr>
              <w:tab/>
            </w:r>
            <w:r>
              <w:rPr>
                <w:rStyle w:val="IndexLink"/>
              </w:rPr>
              <w:t>112</w:t>
            </w:r>
          </w:hyperlink>
        </w:p>
        <w:p>
          <w:pPr>
            <w:pStyle w:val="Contents3"/>
            <w:tabs>
              <w:tab w:val="clear" w:pos="8459"/>
              <w:tab w:val="right" w:pos="9026" w:leader="dot"/>
            </w:tabs>
            <w:rPr/>
          </w:pPr>
          <w:hyperlink w:anchor="__RefHeading___Toc11979188_1280447820">
            <w:r>
              <w:rPr>
                <w:webHidden/>
                <w:rStyle w:val="IndexLink"/>
                <w:rtl w:val="true"/>
              </w:rPr>
              <w:t>عناوين أُخرىٰ للقاعدة</w:t>
            </w:r>
            <w:r>
              <w:rPr>
                <w:rStyle w:val="IndexLink"/>
                <w:rtl w:val="true"/>
              </w:rPr>
              <w:tab/>
            </w:r>
            <w:r>
              <w:rPr>
                <w:rStyle w:val="IndexLink"/>
              </w:rPr>
              <w:t>112</w:t>
            </w:r>
          </w:hyperlink>
        </w:p>
        <w:p>
          <w:pPr>
            <w:pStyle w:val="Contents3"/>
            <w:tabs>
              <w:tab w:val="clear" w:pos="8459"/>
              <w:tab w:val="right" w:pos="9026" w:leader="dot"/>
            </w:tabs>
            <w:rPr/>
          </w:pPr>
          <w:hyperlink w:anchor="__RefHeading___Toc11979190_1280447820">
            <w:r>
              <w:rPr>
                <w:webHidden/>
                <w:rStyle w:val="IndexLink"/>
                <w:rtl w:val="true"/>
              </w:rPr>
              <w:t>توضيح مفاد القاعدة</w:t>
            </w:r>
            <w:r>
              <w:rPr>
                <w:rStyle w:val="IndexLink"/>
                <w:rtl w:val="true"/>
              </w:rPr>
              <w:tab/>
            </w:r>
            <w:r>
              <w:rPr>
                <w:rStyle w:val="IndexLink"/>
              </w:rPr>
              <w:t>112</w:t>
            </w:r>
          </w:hyperlink>
        </w:p>
        <w:p>
          <w:pPr>
            <w:pStyle w:val="Contents3"/>
            <w:tabs>
              <w:tab w:val="clear" w:pos="8459"/>
              <w:tab w:val="right" w:pos="9026" w:leader="dot"/>
            </w:tabs>
            <w:rPr/>
          </w:pPr>
          <w:hyperlink w:anchor="__RefHeading___Toc11979192_1280447820">
            <w:r>
              <w:rPr>
                <w:webHidden/>
                <w:rStyle w:val="IndexLink"/>
                <w:rtl w:val="true"/>
              </w:rPr>
              <w:t>مدركُ القاعدة</w:t>
            </w:r>
            <w:r>
              <w:rPr>
                <w:rStyle w:val="IndexLink"/>
                <w:rtl w:val="true"/>
              </w:rPr>
              <w:tab/>
            </w:r>
            <w:r>
              <w:rPr>
                <w:rStyle w:val="IndexLink"/>
              </w:rPr>
              <w:t>114</w:t>
            </w:r>
          </w:hyperlink>
        </w:p>
        <w:p>
          <w:pPr>
            <w:pStyle w:val="Contents4"/>
            <w:tabs>
              <w:tab w:val="clear" w:pos="8176"/>
              <w:tab w:val="right" w:pos="9026" w:leader="dot"/>
            </w:tabs>
            <w:rPr/>
          </w:pPr>
          <w:hyperlink w:anchor="__RefHeading___Toc11979194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979196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114</w:t>
            </w:r>
          </w:hyperlink>
        </w:p>
        <w:p>
          <w:pPr>
            <w:pStyle w:val="Contents4"/>
            <w:tabs>
              <w:tab w:val="clear" w:pos="8176"/>
              <w:tab w:val="right" w:pos="9026" w:leader="dot"/>
            </w:tabs>
            <w:rPr/>
          </w:pPr>
          <w:hyperlink w:anchor="__RefHeading___Toc11979198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115</w:t>
            </w:r>
          </w:hyperlink>
        </w:p>
        <w:p>
          <w:pPr>
            <w:pStyle w:val="Contents3"/>
            <w:tabs>
              <w:tab w:val="clear" w:pos="8459"/>
              <w:tab w:val="right" w:pos="9026" w:leader="dot"/>
            </w:tabs>
            <w:rPr/>
          </w:pPr>
          <w:hyperlink w:anchor="__RefHeading___Toc11979200_1280447820">
            <w:r>
              <w:rPr>
                <w:webHidden/>
                <w:rStyle w:val="IndexLink"/>
                <w:rtl w:val="true"/>
              </w:rPr>
              <w:t>أمثلةٌ لاستعمال القاعدة في الفقه</w:t>
            </w:r>
            <w:r>
              <w:rPr>
                <w:rStyle w:val="IndexLink"/>
                <w:rtl w:val="true"/>
              </w:rPr>
              <w:t>:</w:t>
              <w:tab/>
            </w:r>
            <w:r>
              <w:rPr>
                <w:rStyle w:val="IndexLink"/>
              </w:rPr>
              <w:t>124</w:t>
            </w:r>
          </w:hyperlink>
        </w:p>
        <w:p>
          <w:pPr>
            <w:pStyle w:val="Contents2"/>
            <w:tabs>
              <w:tab w:val="clear" w:pos="8743"/>
              <w:tab w:val="right" w:pos="9026" w:leader="dot"/>
            </w:tabs>
            <w:rPr/>
          </w:pPr>
          <w:hyperlink w:anchor="__RefHeading___Toc11979202_1280447820">
            <w:r>
              <w:rPr>
                <w:webHidden/>
                <w:rStyle w:val="IndexLink"/>
                <w:rtl w:val="true"/>
              </w:rPr>
              <w:t>[</w:t>
            </w:r>
            <w:r>
              <w:rPr>
                <w:rStyle w:val="IndexLink"/>
              </w:rPr>
              <w:t>51</w:t>
            </w:r>
            <w:r>
              <w:rPr>
                <w:rStyle w:val="IndexLink"/>
                <w:rtl w:val="true"/>
              </w:rPr>
              <w:t xml:space="preserve">:] </w:t>
            </w:r>
            <w:r>
              <w:rPr>
                <w:rStyle w:val="IndexLink"/>
                <w:rtl w:val="true"/>
              </w:rPr>
              <w:t>قاعدة لاتُعاد</w:t>
            </w:r>
            <w:r>
              <w:rPr>
                <w:rStyle w:val="IndexLink"/>
                <w:rtl w:val="true"/>
              </w:rPr>
              <w:tab/>
            </w:r>
            <w:r>
              <w:rPr>
                <w:rStyle w:val="IndexLink"/>
              </w:rPr>
              <w:t>126</w:t>
            </w:r>
          </w:hyperlink>
        </w:p>
        <w:p>
          <w:pPr>
            <w:pStyle w:val="Contents3"/>
            <w:tabs>
              <w:tab w:val="clear" w:pos="8459"/>
              <w:tab w:val="right" w:pos="9026" w:leader="dot"/>
            </w:tabs>
            <w:rPr/>
          </w:pPr>
          <w:hyperlink w:anchor="__RefHeading___Toc11979204_1280447820">
            <w:r>
              <w:rPr>
                <w:webHidden/>
                <w:rStyle w:val="IndexLink"/>
                <w:rtl w:val="true"/>
              </w:rPr>
              <w:t>عناوين أُخرىٰ للقاعدة</w:t>
            </w:r>
            <w:r>
              <w:rPr>
                <w:rStyle w:val="IndexLink"/>
                <w:rtl w:val="true"/>
              </w:rPr>
              <w:tab/>
            </w:r>
            <w:r>
              <w:rPr>
                <w:rStyle w:val="IndexLink"/>
              </w:rPr>
              <w:t>126</w:t>
            </w:r>
          </w:hyperlink>
        </w:p>
        <w:p>
          <w:pPr>
            <w:pStyle w:val="Contents3"/>
            <w:tabs>
              <w:tab w:val="clear" w:pos="8459"/>
              <w:tab w:val="right" w:pos="9026" w:leader="dot"/>
            </w:tabs>
            <w:rPr/>
          </w:pPr>
          <w:hyperlink w:anchor="__RefHeading___Toc11979206_1280447820">
            <w:r>
              <w:rPr>
                <w:webHidden/>
                <w:rStyle w:val="IndexLink"/>
                <w:rtl w:val="true"/>
              </w:rPr>
              <w:t>توضيح مفاد القاعدة</w:t>
            </w:r>
            <w:r>
              <w:rPr>
                <w:rStyle w:val="IndexLink"/>
                <w:rtl w:val="true"/>
              </w:rPr>
              <w:tab/>
            </w:r>
            <w:r>
              <w:rPr>
                <w:rStyle w:val="IndexLink"/>
              </w:rPr>
              <w:t>126</w:t>
            </w:r>
          </w:hyperlink>
        </w:p>
        <w:p>
          <w:pPr>
            <w:pStyle w:val="Contents3"/>
            <w:tabs>
              <w:tab w:val="clear" w:pos="8459"/>
              <w:tab w:val="right" w:pos="9026" w:leader="dot"/>
            </w:tabs>
            <w:rPr/>
          </w:pPr>
          <w:hyperlink w:anchor="__RefHeading___Toc11979208_1280447820">
            <w:r>
              <w:rPr>
                <w:webHidden/>
                <w:rStyle w:val="IndexLink"/>
                <w:rtl w:val="true"/>
              </w:rPr>
              <w:t>مدركُ القاعدة</w:t>
            </w:r>
            <w:r>
              <w:rPr>
                <w:rStyle w:val="IndexLink"/>
                <w:rtl w:val="true"/>
              </w:rPr>
              <w:tab/>
            </w:r>
            <w:r>
              <w:rPr>
                <w:rStyle w:val="IndexLink"/>
              </w:rPr>
              <w:t>127</w:t>
            </w:r>
          </w:hyperlink>
        </w:p>
        <w:p>
          <w:pPr>
            <w:pStyle w:val="Contents3"/>
            <w:tabs>
              <w:tab w:val="clear" w:pos="8459"/>
              <w:tab w:val="right" w:pos="9026" w:leader="dot"/>
            </w:tabs>
            <w:rPr/>
          </w:pPr>
          <w:hyperlink w:anchor="__RefHeading___Toc11979210_1280447820">
            <w:r>
              <w:rPr>
                <w:webHidden/>
                <w:rStyle w:val="IndexLink"/>
                <w:rtl w:val="true"/>
              </w:rPr>
              <w:t>السُّنَّة</w:t>
            </w:r>
            <w:r>
              <w:rPr>
                <w:rStyle w:val="IndexLink"/>
                <w:rtl w:val="true"/>
              </w:rPr>
              <w:tab/>
            </w:r>
            <w:r>
              <w:rPr>
                <w:rStyle w:val="IndexLink"/>
              </w:rPr>
              <w:t>127</w:t>
            </w:r>
          </w:hyperlink>
        </w:p>
        <w:p>
          <w:pPr>
            <w:pStyle w:val="Contents3"/>
            <w:tabs>
              <w:tab w:val="clear" w:pos="8459"/>
              <w:tab w:val="right" w:pos="9026" w:leader="dot"/>
            </w:tabs>
            <w:rPr/>
          </w:pPr>
          <w:hyperlink w:anchor="__RefHeading___Toc11979212_1280447820">
            <w:r>
              <w:rPr>
                <w:webHidden/>
                <w:rStyle w:val="IndexLink"/>
                <w:rtl w:val="true"/>
              </w:rPr>
              <w:t>تنبيهاتٌ‌</w:t>
            </w:r>
            <w:r>
              <w:rPr>
                <w:rStyle w:val="IndexLink"/>
                <w:rtl w:val="true"/>
              </w:rPr>
              <w:t>:</w:t>
              <w:tab/>
            </w:r>
            <w:r>
              <w:rPr>
                <w:rStyle w:val="IndexLink"/>
              </w:rPr>
              <w:t>128</w:t>
            </w:r>
          </w:hyperlink>
        </w:p>
        <w:p>
          <w:pPr>
            <w:pStyle w:val="Contents4"/>
            <w:tabs>
              <w:tab w:val="clear" w:pos="8176"/>
              <w:tab w:val="right" w:pos="9026" w:leader="dot"/>
            </w:tabs>
            <w:rPr/>
          </w:pPr>
          <w:hyperlink w:anchor="__RefHeading___Toc11979214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979216_1280447820">
            <w:r>
              <w:rPr>
                <w:webHidden/>
                <w:rStyle w:val="IndexLink"/>
                <w:rtl w:val="true"/>
              </w:rPr>
              <w:t>التَّنبيه الأوَّل</w:t>
            </w:r>
            <w:r>
              <w:rPr>
                <w:rStyle w:val="IndexLink"/>
                <w:rtl w:val="true"/>
              </w:rPr>
              <w:t>:</w:t>
              <w:tab/>
            </w:r>
            <w:r>
              <w:rPr>
                <w:rStyle w:val="IndexLink"/>
              </w:rPr>
              <w:t>129</w:t>
            </w:r>
          </w:hyperlink>
        </w:p>
        <w:p>
          <w:pPr>
            <w:pStyle w:val="Contents4"/>
            <w:tabs>
              <w:tab w:val="clear" w:pos="8176"/>
              <w:tab w:val="right" w:pos="9026" w:leader="dot"/>
            </w:tabs>
            <w:rPr/>
          </w:pPr>
          <w:hyperlink w:anchor="__RefHeading___Toc11979218_1280447820">
            <w:r>
              <w:rPr>
                <w:webHidden/>
                <w:rStyle w:val="IndexLink"/>
                <w:rtl w:val="true"/>
              </w:rPr>
              <w:t>التَّنبيه الثَّاني</w:t>
            </w:r>
            <w:r>
              <w:rPr>
                <w:rStyle w:val="IndexLink"/>
                <w:rtl w:val="true"/>
              </w:rPr>
              <w:t>:</w:t>
              <w:tab/>
            </w:r>
            <w:r>
              <w:rPr>
                <w:rStyle w:val="IndexLink"/>
              </w:rPr>
              <w:t>129</w:t>
            </w:r>
          </w:hyperlink>
        </w:p>
        <w:p>
          <w:pPr>
            <w:pStyle w:val="Contents4"/>
            <w:tabs>
              <w:tab w:val="clear" w:pos="8176"/>
              <w:tab w:val="right" w:pos="9026" w:leader="dot"/>
            </w:tabs>
            <w:rPr/>
          </w:pPr>
          <w:hyperlink w:anchor="__RefHeading___Toc11979220_1280447820">
            <w:r>
              <w:rPr>
                <w:webHidden/>
                <w:rStyle w:val="IndexLink"/>
                <w:rtl w:val="true"/>
              </w:rPr>
              <w:t>التَّنبيه الثَّالث</w:t>
            </w:r>
            <w:r>
              <w:rPr>
                <w:rStyle w:val="IndexLink"/>
                <w:rtl w:val="true"/>
              </w:rPr>
              <w:t>:</w:t>
              <w:tab/>
            </w:r>
            <w:r>
              <w:rPr>
                <w:rStyle w:val="IndexLink"/>
              </w:rPr>
              <w:t>131</w:t>
            </w:r>
          </w:hyperlink>
        </w:p>
        <w:p>
          <w:pPr>
            <w:pStyle w:val="Contents4"/>
            <w:tabs>
              <w:tab w:val="clear" w:pos="8176"/>
              <w:tab w:val="right" w:pos="9026" w:leader="dot"/>
            </w:tabs>
            <w:rPr/>
          </w:pPr>
          <w:hyperlink w:anchor="__RefHeading___Toc11979222_1280447820">
            <w:r>
              <w:rPr>
                <w:webHidden/>
                <w:rStyle w:val="IndexLink"/>
                <w:rtl w:val="true"/>
              </w:rPr>
              <w:t>التَّنبيه الرَّابع</w:t>
            </w:r>
            <w:r>
              <w:rPr>
                <w:rStyle w:val="IndexLink"/>
                <w:rtl w:val="true"/>
              </w:rPr>
              <w:t>:</w:t>
              <w:tab/>
            </w:r>
            <w:r>
              <w:rPr>
                <w:rStyle w:val="IndexLink"/>
              </w:rPr>
              <w:t>131</w:t>
            </w:r>
          </w:hyperlink>
        </w:p>
        <w:p>
          <w:pPr>
            <w:pStyle w:val="Contents4"/>
            <w:tabs>
              <w:tab w:val="clear" w:pos="8176"/>
              <w:tab w:val="right" w:pos="9026" w:leader="dot"/>
            </w:tabs>
            <w:rPr/>
          </w:pPr>
          <w:hyperlink w:anchor="__RefHeading___Toc11979224_1280447820">
            <w:r>
              <w:rPr>
                <w:webHidden/>
                <w:rStyle w:val="IndexLink"/>
                <w:rtl w:val="true"/>
              </w:rPr>
              <w:t>التَّنبيه الخامس</w:t>
            </w:r>
            <w:r>
              <w:rPr>
                <w:rStyle w:val="IndexLink"/>
                <w:rtl w:val="true"/>
              </w:rPr>
              <w:t>:</w:t>
              <w:tab/>
            </w:r>
            <w:r>
              <w:rPr>
                <w:rStyle w:val="IndexLink"/>
              </w:rPr>
              <w:t>133</w:t>
            </w:r>
          </w:hyperlink>
        </w:p>
        <w:p>
          <w:pPr>
            <w:pStyle w:val="Contents3"/>
            <w:tabs>
              <w:tab w:val="clear" w:pos="8459"/>
              <w:tab w:val="right" w:pos="9026" w:leader="dot"/>
            </w:tabs>
            <w:rPr/>
          </w:pPr>
          <w:hyperlink w:anchor="__RefHeading___Toc11979226_1280447820">
            <w:r>
              <w:rPr>
                <w:webHidden/>
                <w:rStyle w:val="IndexLink"/>
                <w:rtl w:val="true"/>
              </w:rPr>
              <w:t>أمثلةٌ لاستعمال القاعدة في الفقه</w:t>
            </w:r>
            <w:r>
              <w:rPr>
                <w:rStyle w:val="IndexLink"/>
                <w:rtl w:val="true"/>
              </w:rPr>
              <w:t>:</w:t>
              <w:tab/>
            </w:r>
            <w:r>
              <w:rPr>
                <w:rStyle w:val="IndexLink"/>
              </w:rPr>
              <w:t>134</w:t>
            </w:r>
          </w:hyperlink>
        </w:p>
        <w:p>
          <w:pPr>
            <w:pStyle w:val="Contents2"/>
            <w:tabs>
              <w:tab w:val="clear" w:pos="8743"/>
              <w:tab w:val="right" w:pos="9026" w:leader="dot"/>
            </w:tabs>
            <w:rPr/>
          </w:pPr>
          <w:hyperlink w:anchor="__RefHeading___Toc11979228_1280447820">
            <w:r>
              <w:rPr>
                <w:webHidden/>
                <w:rStyle w:val="IndexLink"/>
                <w:rtl w:val="true"/>
              </w:rPr>
              <w:t>[</w:t>
            </w:r>
            <w:r>
              <w:rPr>
                <w:rStyle w:val="IndexLink"/>
              </w:rPr>
              <w:t>52</w:t>
            </w:r>
            <w:r>
              <w:rPr>
                <w:rStyle w:val="IndexLink"/>
                <w:rtl w:val="true"/>
              </w:rPr>
              <w:t xml:space="preserve">:] </w:t>
            </w:r>
            <w:r>
              <w:rPr>
                <w:rStyle w:val="IndexLink"/>
                <w:rtl w:val="true"/>
              </w:rPr>
              <w:t>قاعدة لا رهن إلَّامقبُوضًا</w:t>
            </w:r>
            <w:r>
              <w:rPr>
                <w:rStyle w:val="IndexLink"/>
                <w:rtl w:val="true"/>
              </w:rPr>
              <w:tab/>
            </w:r>
            <w:r>
              <w:rPr>
                <w:rStyle w:val="IndexLink"/>
              </w:rPr>
              <w:t>136</w:t>
            </w:r>
          </w:hyperlink>
        </w:p>
        <w:p>
          <w:pPr>
            <w:pStyle w:val="Contents3"/>
            <w:tabs>
              <w:tab w:val="clear" w:pos="8459"/>
              <w:tab w:val="right" w:pos="9026" w:leader="dot"/>
            </w:tabs>
            <w:rPr/>
          </w:pPr>
          <w:hyperlink w:anchor="__RefHeading___Toc11979230_1280447820">
            <w:r>
              <w:rPr>
                <w:webHidden/>
                <w:rStyle w:val="IndexLink"/>
                <w:rtl w:val="true"/>
              </w:rPr>
              <w:t>عناوين أُخرىٰ للقاعدة</w:t>
            </w:r>
            <w:r>
              <w:rPr>
                <w:rStyle w:val="IndexLink"/>
                <w:rtl w:val="true"/>
              </w:rPr>
              <w:tab/>
            </w:r>
            <w:r>
              <w:rPr>
                <w:rStyle w:val="IndexLink"/>
              </w:rPr>
              <w:t>136</w:t>
            </w:r>
          </w:hyperlink>
        </w:p>
        <w:p>
          <w:pPr>
            <w:pStyle w:val="Contents3"/>
            <w:tabs>
              <w:tab w:val="clear" w:pos="8459"/>
              <w:tab w:val="right" w:pos="9026" w:leader="dot"/>
            </w:tabs>
            <w:rPr/>
          </w:pPr>
          <w:hyperlink w:anchor="__RefHeading___Toc11979232_1280447820">
            <w:r>
              <w:rPr>
                <w:webHidden/>
                <w:rStyle w:val="IndexLink"/>
                <w:rtl w:val="true"/>
              </w:rPr>
              <w:t>توضيح مفاد القاعدة</w:t>
            </w:r>
            <w:r>
              <w:rPr>
                <w:rStyle w:val="IndexLink"/>
                <w:rtl w:val="true"/>
              </w:rPr>
              <w:tab/>
            </w:r>
            <w:r>
              <w:rPr>
                <w:rStyle w:val="IndexLink"/>
              </w:rPr>
              <w:t>136</w:t>
            </w:r>
          </w:hyperlink>
        </w:p>
        <w:p>
          <w:pPr>
            <w:pStyle w:val="Contents3"/>
            <w:tabs>
              <w:tab w:val="clear" w:pos="8459"/>
              <w:tab w:val="right" w:pos="9026" w:leader="dot"/>
            </w:tabs>
            <w:rPr/>
          </w:pPr>
          <w:hyperlink w:anchor="__RefHeading___Toc11979234_1280447820">
            <w:r>
              <w:rPr>
                <w:webHidden/>
                <w:rStyle w:val="IndexLink"/>
                <w:rtl w:val="true"/>
              </w:rPr>
              <w:t>مدركُ القاعدة</w:t>
            </w:r>
            <w:r>
              <w:rPr>
                <w:rStyle w:val="IndexLink"/>
                <w:rtl w:val="true"/>
              </w:rPr>
              <w:tab/>
            </w:r>
            <w:r>
              <w:rPr>
                <w:rStyle w:val="IndexLink"/>
              </w:rPr>
              <w:t>139</w:t>
            </w:r>
          </w:hyperlink>
        </w:p>
        <w:p>
          <w:pPr>
            <w:pStyle w:val="Contents4"/>
            <w:tabs>
              <w:tab w:val="clear" w:pos="8176"/>
              <w:tab w:val="right" w:pos="9026" w:leader="dot"/>
            </w:tabs>
            <w:rPr/>
          </w:pPr>
          <w:hyperlink w:anchor="__RefHeading___Toc11979236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979238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139</w:t>
            </w:r>
          </w:hyperlink>
        </w:p>
        <w:p>
          <w:pPr>
            <w:pStyle w:val="Contents4"/>
            <w:tabs>
              <w:tab w:val="clear" w:pos="8176"/>
              <w:tab w:val="right" w:pos="9026" w:leader="dot"/>
            </w:tabs>
            <w:rPr/>
          </w:pPr>
          <w:hyperlink w:anchor="__RefHeading___Toc11979240_1280447820">
            <w:r>
              <w:rPr>
                <w:webHidden/>
                <w:rStyle w:val="IndexLink"/>
                <w:rtl w:val="true"/>
              </w:rPr>
              <w:t>ثانيًا</w:t>
            </w:r>
            <w:r>
              <w:rPr>
                <w:rStyle w:val="IndexLink"/>
                <w:rtl w:val="true"/>
              </w:rPr>
              <w:t xml:space="preserve">: </w:t>
            </w:r>
            <w:r>
              <w:rPr>
                <w:rStyle w:val="IndexLink"/>
                <w:rtl w:val="true"/>
              </w:rPr>
              <w:t>الكتاب</w:t>
            </w:r>
            <w:r>
              <w:rPr>
                <w:rStyle w:val="IndexLink"/>
                <w:rtl w:val="true"/>
              </w:rPr>
              <w:tab/>
            </w:r>
            <w:r>
              <w:rPr>
                <w:rStyle w:val="IndexLink"/>
              </w:rPr>
              <w:t>139</w:t>
            </w:r>
          </w:hyperlink>
        </w:p>
        <w:p>
          <w:pPr>
            <w:pStyle w:val="Contents4"/>
            <w:tabs>
              <w:tab w:val="clear" w:pos="8176"/>
              <w:tab w:val="right" w:pos="9026" w:leader="dot"/>
            </w:tabs>
            <w:rPr/>
          </w:pPr>
          <w:hyperlink w:anchor="__RefHeading___Toc11979242_1280447820">
            <w:r>
              <w:rPr>
                <w:webHidden/>
                <w:rStyle w:val="IndexLink"/>
                <w:rtl w:val="true"/>
              </w:rPr>
              <w:t>ثالثًا</w:t>
            </w:r>
            <w:r>
              <w:rPr>
                <w:rStyle w:val="IndexLink"/>
                <w:rtl w:val="true"/>
              </w:rPr>
              <w:t xml:space="preserve">: </w:t>
            </w:r>
            <w:r>
              <w:rPr>
                <w:rStyle w:val="IndexLink"/>
                <w:rtl w:val="true"/>
              </w:rPr>
              <w:t>السُّنَّة</w:t>
            </w:r>
            <w:r>
              <w:rPr>
                <w:rStyle w:val="IndexLink"/>
                <w:rtl w:val="true"/>
              </w:rPr>
              <w:tab/>
            </w:r>
            <w:r>
              <w:rPr>
                <w:rStyle w:val="IndexLink"/>
              </w:rPr>
              <w:t>140</w:t>
            </w:r>
          </w:hyperlink>
        </w:p>
        <w:p>
          <w:pPr>
            <w:pStyle w:val="Contents4"/>
            <w:tabs>
              <w:tab w:val="clear" w:pos="8176"/>
              <w:tab w:val="right" w:pos="9026" w:leader="dot"/>
            </w:tabs>
            <w:rPr/>
          </w:pPr>
          <w:hyperlink w:anchor="__RefHeading___Toc11979244_1280447820">
            <w:r>
              <w:rPr>
                <w:webHidden/>
                <w:rStyle w:val="IndexLink"/>
                <w:rtl w:val="true"/>
              </w:rPr>
              <w:t>رابعًا</w:t>
            </w:r>
            <w:r>
              <w:rPr>
                <w:rStyle w:val="IndexLink"/>
                <w:rtl w:val="true"/>
              </w:rPr>
              <w:t xml:space="preserve">: </w:t>
            </w:r>
            <w:r>
              <w:rPr>
                <w:rStyle w:val="IndexLink"/>
                <w:rtl w:val="true"/>
              </w:rPr>
              <w:t>الإجماع</w:t>
            </w:r>
            <w:r>
              <w:rPr>
                <w:rStyle w:val="IndexLink"/>
                <w:rtl w:val="true"/>
              </w:rPr>
              <w:tab/>
            </w:r>
            <w:r>
              <w:rPr>
                <w:rStyle w:val="IndexLink"/>
              </w:rPr>
              <w:t>140</w:t>
            </w:r>
          </w:hyperlink>
        </w:p>
        <w:p>
          <w:pPr>
            <w:pStyle w:val="Contents3"/>
            <w:tabs>
              <w:tab w:val="clear" w:pos="8459"/>
              <w:tab w:val="right" w:pos="9026" w:leader="dot"/>
            </w:tabs>
            <w:rPr/>
          </w:pPr>
          <w:hyperlink w:anchor="__RefHeading___Toc11979246_1280447820">
            <w:r>
              <w:rPr>
                <w:webHidden/>
                <w:rStyle w:val="IndexLink"/>
                <w:rtl w:val="true"/>
              </w:rPr>
              <w:t>تنبيهاتٌ‌</w:t>
            </w:r>
            <w:r>
              <w:rPr>
                <w:rStyle w:val="IndexLink"/>
                <w:rtl w:val="true"/>
              </w:rPr>
              <w:t>:</w:t>
              <w:tab/>
            </w:r>
            <w:r>
              <w:rPr>
                <w:rStyle w:val="IndexLink"/>
              </w:rPr>
              <w:t>141</w:t>
            </w:r>
          </w:hyperlink>
        </w:p>
        <w:p>
          <w:pPr>
            <w:pStyle w:val="Contents4"/>
            <w:tabs>
              <w:tab w:val="clear" w:pos="8176"/>
              <w:tab w:val="right" w:pos="9026" w:leader="dot"/>
            </w:tabs>
            <w:rPr/>
          </w:pPr>
          <w:hyperlink w:anchor="__RefHeading___Toc11979248_1280447820">
            <w:r>
              <w:rPr>
                <w:webHidden/>
                <w:rStyle w:val="IndexLink"/>
                <w:rtl w:val="true"/>
              </w:rPr>
              <w:t>التَّنبيه الأوَّل</w:t>
            </w:r>
            <w:r>
              <w:rPr>
                <w:rStyle w:val="IndexLink"/>
                <w:rtl w:val="true"/>
              </w:rPr>
              <w:t>:</w:t>
              <w:tab/>
            </w:r>
            <w:r>
              <w:rPr>
                <w:rStyle w:val="IndexLink"/>
              </w:rPr>
              <w:t>141</w:t>
            </w:r>
          </w:hyperlink>
        </w:p>
        <w:p>
          <w:pPr>
            <w:pStyle w:val="Contents4"/>
            <w:tabs>
              <w:tab w:val="clear" w:pos="8176"/>
              <w:tab w:val="right" w:pos="9026" w:leader="dot"/>
            </w:tabs>
            <w:rPr/>
          </w:pPr>
          <w:hyperlink w:anchor="__RefHeading___Toc11979250_1280447820">
            <w:r>
              <w:rPr>
                <w:webHidden/>
                <w:rStyle w:val="IndexLink"/>
                <w:rtl w:val="true"/>
              </w:rPr>
              <w:t>التَّنبيه الثَّاني</w:t>
            </w:r>
            <w:r>
              <w:rPr>
                <w:rStyle w:val="IndexLink"/>
                <w:rtl w:val="true"/>
              </w:rPr>
              <w:t>:</w:t>
              <w:tab/>
            </w:r>
            <w:r>
              <w:rPr>
                <w:rStyle w:val="IndexLink"/>
              </w:rPr>
              <w:t>144</w:t>
            </w:r>
          </w:hyperlink>
        </w:p>
        <w:p>
          <w:pPr>
            <w:pStyle w:val="Contents4"/>
            <w:tabs>
              <w:tab w:val="clear" w:pos="8176"/>
              <w:tab w:val="right" w:pos="9026" w:leader="dot"/>
            </w:tabs>
            <w:rPr/>
          </w:pPr>
          <w:hyperlink w:anchor="__RefHeading___Toc11979252_1280447820">
            <w:r>
              <w:rPr>
                <w:webHidden/>
                <w:rStyle w:val="IndexLink"/>
                <w:rtl w:val="true"/>
              </w:rPr>
              <w:t>التَّنبيه الثَّالث</w:t>
            </w:r>
            <w:r>
              <w:rPr>
                <w:rStyle w:val="IndexLink"/>
                <w:rtl w:val="true"/>
              </w:rPr>
              <w:t>:</w:t>
              <w:tab/>
            </w:r>
            <w:r>
              <w:rPr>
                <w:rStyle w:val="IndexLink"/>
              </w:rPr>
              <w:t>146</w:t>
            </w:r>
          </w:hyperlink>
        </w:p>
        <w:p>
          <w:pPr>
            <w:pStyle w:val="Contents4"/>
            <w:tabs>
              <w:tab w:val="clear" w:pos="8176"/>
              <w:tab w:val="right" w:pos="9026" w:leader="dot"/>
            </w:tabs>
            <w:rPr/>
          </w:pPr>
          <w:hyperlink w:anchor="__RefHeading___Toc11979254_1280447820">
            <w:r>
              <w:rPr>
                <w:webHidden/>
                <w:rStyle w:val="IndexLink"/>
                <w:rtl w:val="true"/>
              </w:rPr>
              <w:t>التَّنبيه الرَّابع</w:t>
            </w:r>
            <w:r>
              <w:rPr>
                <w:rStyle w:val="IndexLink"/>
                <w:rtl w:val="true"/>
              </w:rPr>
              <w:t>:</w:t>
              <w:tab/>
            </w:r>
            <w:r>
              <w:rPr>
                <w:rStyle w:val="IndexLink"/>
              </w:rPr>
              <w:t>148</w:t>
            </w:r>
          </w:hyperlink>
        </w:p>
        <w:p>
          <w:pPr>
            <w:pStyle w:val="Contents4"/>
            <w:tabs>
              <w:tab w:val="clear" w:pos="8176"/>
              <w:tab w:val="right" w:pos="9026" w:leader="dot"/>
            </w:tabs>
            <w:rPr/>
          </w:pPr>
          <w:hyperlink w:anchor="__RefHeading___Toc11979256_1280447820">
            <w:r>
              <w:rPr>
                <w:webHidden/>
                <w:rStyle w:val="IndexLink"/>
                <w:rtl w:val="true"/>
              </w:rPr>
              <w:t>التَّنبيه الخامس</w:t>
            </w:r>
            <w:r>
              <w:rPr>
                <w:rStyle w:val="IndexLink"/>
                <w:rtl w:val="true"/>
              </w:rPr>
              <w:t>:</w:t>
              <w:tab/>
            </w:r>
            <w:r>
              <w:rPr>
                <w:rStyle w:val="IndexLink"/>
              </w:rPr>
              <w:t>149</w:t>
            </w:r>
          </w:hyperlink>
        </w:p>
        <w:p>
          <w:pPr>
            <w:pStyle w:val="Contents4"/>
            <w:tabs>
              <w:tab w:val="clear" w:pos="8176"/>
              <w:tab w:val="right" w:pos="9026" w:leader="dot"/>
            </w:tabs>
            <w:rPr/>
          </w:pPr>
          <w:hyperlink w:anchor="__RefHeading___Toc11979258_1280447820">
            <w:r>
              <w:rPr>
                <w:webHidden/>
                <w:rStyle w:val="IndexLink"/>
                <w:rtl w:val="true"/>
              </w:rPr>
              <w:t>التَّنبيه السَّادس</w:t>
            </w:r>
            <w:r>
              <w:rPr>
                <w:rStyle w:val="IndexLink"/>
                <w:rtl w:val="true"/>
              </w:rPr>
              <w:t>:</w:t>
              <w:tab/>
            </w:r>
            <w:r>
              <w:rPr>
                <w:rStyle w:val="IndexLink"/>
              </w:rPr>
              <w:t>151</w:t>
            </w:r>
          </w:hyperlink>
        </w:p>
        <w:p>
          <w:pPr>
            <w:pStyle w:val="Contents4"/>
            <w:tabs>
              <w:tab w:val="clear" w:pos="8176"/>
              <w:tab w:val="right" w:pos="9026" w:leader="dot"/>
            </w:tabs>
            <w:rPr/>
          </w:pPr>
          <w:hyperlink w:anchor="__RefHeading___Toc11979260_1280447820">
            <w:r>
              <w:rPr>
                <w:webHidden/>
                <w:rStyle w:val="IndexLink"/>
                <w:rtl w:val="true"/>
              </w:rPr>
              <w:t>التَّنبيه السَّابع</w:t>
            </w:r>
            <w:r>
              <w:rPr>
                <w:rStyle w:val="IndexLink"/>
                <w:rtl w:val="true"/>
              </w:rPr>
              <w:t>:</w:t>
              <w:tab/>
            </w:r>
            <w:r>
              <w:rPr>
                <w:rStyle w:val="IndexLink"/>
              </w:rPr>
              <w:t>154</w:t>
            </w:r>
          </w:hyperlink>
        </w:p>
        <w:p>
          <w:pPr>
            <w:pStyle w:val="Contents4"/>
            <w:tabs>
              <w:tab w:val="clear" w:pos="8176"/>
              <w:tab w:val="right" w:pos="9026" w:leader="dot"/>
            </w:tabs>
            <w:rPr/>
          </w:pPr>
          <w:hyperlink w:anchor="__RefHeading___Toc11979262_1280447820">
            <w:r>
              <w:rPr>
                <w:webHidden/>
                <w:rStyle w:val="IndexLink"/>
                <w:rtl w:val="true"/>
              </w:rPr>
              <w:t>التَّنبيه الثَّامن</w:t>
            </w:r>
            <w:r>
              <w:rPr>
                <w:rStyle w:val="IndexLink"/>
                <w:rtl w:val="true"/>
              </w:rPr>
              <w:t>:</w:t>
              <w:tab/>
            </w:r>
            <w:r>
              <w:rPr>
                <w:rStyle w:val="IndexLink"/>
              </w:rPr>
              <w:t>156</w:t>
            </w:r>
          </w:hyperlink>
        </w:p>
        <w:p>
          <w:pPr>
            <w:pStyle w:val="Contents4"/>
            <w:tabs>
              <w:tab w:val="clear" w:pos="8176"/>
              <w:tab w:val="right" w:pos="9026" w:leader="dot"/>
            </w:tabs>
            <w:rPr/>
          </w:pPr>
          <w:hyperlink w:anchor="__RefHeading___Toc11979264_1280447820">
            <w:r>
              <w:rPr>
                <w:webHidden/>
                <w:rStyle w:val="IndexLink"/>
                <w:rtl w:val="true"/>
              </w:rPr>
              <w:t>التَّنبيه التَّاسع</w:t>
            </w:r>
            <w:r>
              <w:rPr>
                <w:rStyle w:val="IndexLink"/>
                <w:rtl w:val="true"/>
              </w:rPr>
              <w:t>:</w:t>
              <w:tab/>
            </w:r>
            <w:r>
              <w:rPr>
                <w:rStyle w:val="IndexLink"/>
              </w:rPr>
              <w:t>157</w:t>
            </w:r>
          </w:hyperlink>
        </w:p>
        <w:p>
          <w:pPr>
            <w:pStyle w:val="Contents3"/>
            <w:tabs>
              <w:tab w:val="clear" w:pos="8459"/>
              <w:tab w:val="right" w:pos="9026" w:leader="dot"/>
            </w:tabs>
            <w:rPr/>
          </w:pPr>
          <w:hyperlink w:anchor="__RefHeading___Toc11979266_1280447820">
            <w:r>
              <w:rPr>
                <w:webHidden/>
                <w:rStyle w:val="IndexLink"/>
                <w:rtl w:val="true"/>
              </w:rPr>
              <w:t>أمثلةٌ لاستعمال القاعدة في الفقه</w:t>
            </w:r>
            <w:r>
              <w:rPr>
                <w:rStyle w:val="IndexLink"/>
                <w:rtl w:val="true"/>
              </w:rPr>
              <w:t>:</w:t>
              <w:tab/>
            </w:r>
            <w:r>
              <w:rPr>
                <w:rStyle w:val="IndexLink"/>
              </w:rPr>
              <w:t>158</w:t>
            </w:r>
          </w:hyperlink>
        </w:p>
        <w:p>
          <w:pPr>
            <w:pStyle w:val="Contents2"/>
            <w:tabs>
              <w:tab w:val="clear" w:pos="8743"/>
              <w:tab w:val="right" w:pos="9026" w:leader="dot"/>
            </w:tabs>
            <w:rPr/>
          </w:pPr>
          <w:hyperlink w:anchor="__RefHeading___Toc11979268_1280447820">
            <w:r>
              <w:rPr>
                <w:webHidden/>
                <w:rStyle w:val="IndexLink"/>
                <w:rtl w:val="true"/>
              </w:rPr>
              <w:t>[</w:t>
            </w:r>
            <w:r>
              <w:rPr>
                <w:rStyle w:val="IndexLink"/>
              </w:rPr>
              <w:t>53</w:t>
            </w:r>
            <w:r>
              <w:rPr>
                <w:rStyle w:val="IndexLink"/>
                <w:rtl w:val="true"/>
              </w:rPr>
              <w:t xml:space="preserve">:] </w:t>
            </w:r>
            <w:r>
              <w:rPr>
                <w:rStyle w:val="IndexLink"/>
                <w:rtl w:val="true"/>
              </w:rPr>
              <w:t>قاعدة لاشكَّ في النَّافلة</w:t>
            </w:r>
            <w:r>
              <w:rPr>
                <w:rStyle w:val="IndexLink"/>
                <w:rtl w:val="true"/>
              </w:rPr>
              <w:tab/>
            </w:r>
            <w:r>
              <w:rPr>
                <w:rStyle w:val="IndexLink"/>
              </w:rPr>
              <w:t>160</w:t>
            </w:r>
          </w:hyperlink>
        </w:p>
        <w:p>
          <w:pPr>
            <w:pStyle w:val="Contents3"/>
            <w:tabs>
              <w:tab w:val="clear" w:pos="8459"/>
              <w:tab w:val="right" w:pos="9026" w:leader="dot"/>
            </w:tabs>
            <w:rPr/>
          </w:pPr>
          <w:hyperlink w:anchor="__RefHeading___Toc11979270_1280447820">
            <w:r>
              <w:rPr>
                <w:webHidden/>
                <w:rStyle w:val="IndexLink"/>
                <w:rtl w:val="true"/>
              </w:rPr>
              <w:t>عناوين أُخرىٰ للقاعدة</w:t>
            </w:r>
            <w:r>
              <w:rPr>
                <w:rStyle w:val="IndexLink"/>
                <w:rtl w:val="true"/>
              </w:rPr>
              <w:tab/>
            </w:r>
            <w:r>
              <w:rPr>
                <w:rStyle w:val="IndexLink"/>
              </w:rPr>
              <w:t>160</w:t>
            </w:r>
          </w:hyperlink>
        </w:p>
        <w:p>
          <w:pPr>
            <w:pStyle w:val="Contents3"/>
            <w:tabs>
              <w:tab w:val="clear" w:pos="8459"/>
              <w:tab w:val="right" w:pos="9026" w:leader="dot"/>
            </w:tabs>
            <w:rPr/>
          </w:pPr>
          <w:hyperlink w:anchor="__RefHeading___Toc11979272_1280447820">
            <w:r>
              <w:rPr>
                <w:webHidden/>
                <w:rStyle w:val="IndexLink"/>
                <w:rtl w:val="true"/>
              </w:rPr>
              <w:t>توضيح مفاد القاعدة</w:t>
            </w:r>
            <w:r>
              <w:rPr>
                <w:rStyle w:val="IndexLink"/>
                <w:rtl w:val="true"/>
              </w:rPr>
              <w:tab/>
            </w:r>
            <w:r>
              <w:rPr>
                <w:rStyle w:val="IndexLink"/>
              </w:rPr>
              <w:t>161</w:t>
            </w:r>
          </w:hyperlink>
        </w:p>
        <w:p>
          <w:pPr>
            <w:pStyle w:val="Contents3"/>
            <w:tabs>
              <w:tab w:val="clear" w:pos="8459"/>
              <w:tab w:val="right" w:pos="9026" w:leader="dot"/>
            </w:tabs>
            <w:rPr/>
          </w:pPr>
          <w:hyperlink w:anchor="__RefHeading___Toc11979274_1280447820">
            <w:r>
              <w:rPr>
                <w:webHidden/>
                <w:rStyle w:val="IndexLink"/>
                <w:rtl w:val="true"/>
              </w:rPr>
              <w:t>مدركُ القاعدة</w:t>
            </w:r>
            <w:r>
              <w:rPr>
                <w:rStyle w:val="IndexLink"/>
                <w:rtl w:val="true"/>
              </w:rPr>
              <w:tab/>
            </w:r>
            <w:r>
              <w:rPr>
                <w:rStyle w:val="IndexLink"/>
              </w:rPr>
              <w:t>161</w:t>
            </w:r>
          </w:hyperlink>
        </w:p>
        <w:p>
          <w:pPr>
            <w:pStyle w:val="Contents4"/>
            <w:tabs>
              <w:tab w:val="clear" w:pos="8176"/>
              <w:tab w:val="right" w:pos="9026" w:leader="dot"/>
            </w:tabs>
            <w:rPr/>
          </w:pPr>
          <w:hyperlink w:anchor="__RefHeading___Toc11979276_1280447820">
            <w:r>
              <w:rPr>
                <w:webHidden/>
                <w:rStyle w:val="IndexLink"/>
                <w:rtl w:val="true"/>
              </w:rPr>
              <w:t>أوَّلًا</w:t>
            </w:r>
            <w:r>
              <w:rPr>
                <w:rStyle w:val="IndexLink"/>
                <w:rtl w:val="true"/>
              </w:rPr>
              <w:t xml:space="preserve">: </w:t>
            </w:r>
            <w:r>
              <w:rPr>
                <w:rStyle w:val="IndexLink"/>
                <w:rtl w:val="true"/>
              </w:rPr>
              <w:t>جملةٌ من القواعد الأُخَر الفقهيَّة</w:t>
            </w:r>
            <w:r>
              <w:rPr>
                <w:rStyle w:val="IndexLink"/>
                <w:rtl w:val="true"/>
              </w:rPr>
              <w:tab/>
            </w:r>
            <w:r>
              <w:rPr>
                <w:rStyle w:val="IndexLink"/>
              </w:rPr>
              <w:t>161</w:t>
            </w:r>
          </w:hyperlink>
        </w:p>
        <w:p>
          <w:pPr>
            <w:pStyle w:val="Contents4"/>
            <w:tabs>
              <w:tab w:val="clear" w:pos="8176"/>
              <w:tab w:val="right" w:pos="9026" w:leader="dot"/>
            </w:tabs>
            <w:rPr/>
          </w:pPr>
          <w:hyperlink w:anchor="__RefHeading___Toc11979278_1280447820">
            <w:r>
              <w:rPr>
                <w:webHidden/>
                <w:rStyle w:val="IndexLink"/>
                <w:rtl w:val="true"/>
              </w:rPr>
              <w:t>ثانيًا</w:t>
            </w:r>
            <w:r>
              <w:rPr>
                <w:rStyle w:val="IndexLink"/>
                <w:rtl w:val="true"/>
              </w:rPr>
              <w:t xml:space="preserve">: </w:t>
            </w:r>
            <w:r>
              <w:rPr>
                <w:rStyle w:val="IndexLink"/>
                <w:rtl w:val="true"/>
              </w:rPr>
              <w:t>روايات الباب</w:t>
            </w:r>
            <w:r>
              <w:rPr>
                <w:rStyle w:val="IndexLink"/>
                <w:rtl w:val="true"/>
              </w:rPr>
              <w:tab/>
            </w:r>
            <w:r>
              <w:rPr>
                <w:rStyle w:val="IndexLink"/>
              </w:rPr>
              <w:t>161</w:t>
            </w:r>
          </w:hyperlink>
        </w:p>
        <w:p>
          <w:pPr>
            <w:pStyle w:val="Contents4"/>
            <w:tabs>
              <w:tab w:val="clear" w:pos="8176"/>
              <w:tab w:val="right" w:pos="9026" w:leader="dot"/>
            </w:tabs>
            <w:rPr/>
          </w:pPr>
          <w:hyperlink w:anchor="__RefHeading___Toc11979280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163</w:t>
            </w:r>
          </w:hyperlink>
        </w:p>
        <w:p>
          <w:pPr>
            <w:pStyle w:val="Contents3"/>
            <w:tabs>
              <w:tab w:val="clear" w:pos="8459"/>
              <w:tab w:val="right" w:pos="9026" w:leader="dot"/>
            </w:tabs>
            <w:rPr/>
          </w:pPr>
          <w:hyperlink w:anchor="__RefHeading___Toc11979282_1280447820">
            <w:r>
              <w:rPr>
                <w:webHidden/>
                <w:rStyle w:val="IndexLink"/>
                <w:rtl w:val="true"/>
              </w:rPr>
              <w:t>تنبيهاتٌ‌</w:t>
            </w:r>
            <w:r>
              <w:rPr>
                <w:rStyle w:val="IndexLink"/>
                <w:rtl w:val="true"/>
              </w:rPr>
              <w:t>:</w:t>
              <w:tab/>
            </w:r>
            <w:r>
              <w:rPr>
                <w:rStyle w:val="IndexLink"/>
              </w:rPr>
              <w:t>164</w:t>
            </w:r>
          </w:hyperlink>
        </w:p>
        <w:p>
          <w:pPr>
            <w:pStyle w:val="Contents4"/>
            <w:tabs>
              <w:tab w:val="clear" w:pos="8176"/>
              <w:tab w:val="right" w:pos="9026" w:leader="dot"/>
            </w:tabs>
            <w:rPr/>
          </w:pPr>
          <w:hyperlink w:anchor="__RefHeading___Toc11979284_1280447820">
            <w:r>
              <w:rPr>
                <w:webHidden/>
                <w:rStyle w:val="IndexLink"/>
                <w:rtl w:val="true"/>
              </w:rPr>
              <w:t>التَّنبيه الأوَّل</w:t>
            </w:r>
            <w:r>
              <w:rPr>
                <w:rStyle w:val="IndexLink"/>
                <w:rtl w:val="true"/>
              </w:rPr>
              <w:t>:</w:t>
              <w:tab/>
            </w:r>
            <w:r>
              <w:rPr>
                <w:rStyle w:val="IndexLink"/>
              </w:rPr>
              <w:t>164</w:t>
            </w:r>
          </w:hyperlink>
        </w:p>
        <w:p>
          <w:pPr>
            <w:pStyle w:val="Contents4"/>
            <w:tabs>
              <w:tab w:val="clear" w:pos="8176"/>
              <w:tab w:val="right" w:pos="9026" w:leader="dot"/>
            </w:tabs>
            <w:rPr/>
          </w:pPr>
          <w:hyperlink w:anchor="__RefHeading___Toc11979286_1280447820">
            <w:r>
              <w:rPr>
                <w:webHidden/>
                <w:rStyle w:val="IndexLink"/>
                <w:rtl w:val="true"/>
              </w:rPr>
              <w:t>التَّنبيه الثَّاني</w:t>
            </w:r>
            <w:r>
              <w:rPr>
                <w:rStyle w:val="IndexLink"/>
                <w:rtl w:val="true"/>
              </w:rPr>
              <w:t>:</w:t>
              <w:tab/>
            </w:r>
            <w:r>
              <w:rPr>
                <w:rStyle w:val="IndexLink"/>
              </w:rPr>
              <w:t>165</w:t>
            </w:r>
          </w:hyperlink>
        </w:p>
        <w:p>
          <w:pPr>
            <w:pStyle w:val="Contents4"/>
            <w:tabs>
              <w:tab w:val="clear" w:pos="8176"/>
              <w:tab w:val="right" w:pos="9026" w:leader="dot"/>
            </w:tabs>
            <w:rPr/>
          </w:pPr>
          <w:hyperlink w:anchor="__RefHeading___Toc11979288_1280447820">
            <w:r>
              <w:rPr>
                <w:webHidden/>
                <w:rStyle w:val="IndexLink"/>
                <w:rtl w:val="true"/>
              </w:rPr>
              <w:t>التَّنبيه الثَّالث</w:t>
            </w:r>
            <w:r>
              <w:rPr>
                <w:rStyle w:val="IndexLink"/>
                <w:rtl w:val="true"/>
              </w:rPr>
              <w:t>:</w:t>
              <w:tab/>
            </w:r>
            <w:r>
              <w:rPr>
                <w:rStyle w:val="IndexLink"/>
              </w:rPr>
              <w:t>168</w:t>
            </w:r>
          </w:hyperlink>
        </w:p>
        <w:p>
          <w:pPr>
            <w:pStyle w:val="Contents4"/>
            <w:tabs>
              <w:tab w:val="clear" w:pos="8176"/>
              <w:tab w:val="right" w:pos="9026" w:leader="dot"/>
            </w:tabs>
            <w:rPr/>
          </w:pPr>
          <w:hyperlink w:anchor="__RefHeading___Toc11979290_1280447820">
            <w:r>
              <w:rPr>
                <w:webHidden/>
                <w:rStyle w:val="IndexLink"/>
                <w:rtl w:val="true"/>
              </w:rPr>
              <w:t>التَّنبيه الرَّابع</w:t>
            </w:r>
            <w:r>
              <w:rPr>
                <w:rStyle w:val="IndexLink"/>
                <w:rtl w:val="true"/>
              </w:rPr>
              <w:t>:</w:t>
              <w:tab/>
            </w:r>
            <w:r>
              <w:rPr>
                <w:rStyle w:val="IndexLink"/>
              </w:rPr>
              <w:t>170</w:t>
            </w:r>
          </w:hyperlink>
        </w:p>
        <w:p>
          <w:pPr>
            <w:pStyle w:val="Contents3"/>
            <w:tabs>
              <w:tab w:val="clear" w:pos="8459"/>
              <w:tab w:val="right" w:pos="9026" w:leader="dot"/>
            </w:tabs>
            <w:rPr/>
          </w:pPr>
          <w:hyperlink w:anchor="__RefHeading___Toc11979292_1280447820">
            <w:r>
              <w:rPr>
                <w:webHidden/>
                <w:rStyle w:val="IndexLink"/>
                <w:rtl w:val="true"/>
              </w:rPr>
              <w:t>أمثلةٌ لاستعمال القاعدة في الفقه</w:t>
            </w:r>
            <w:r>
              <w:rPr>
                <w:rStyle w:val="IndexLink"/>
                <w:rtl w:val="true"/>
              </w:rPr>
              <w:t>:</w:t>
              <w:tab/>
            </w:r>
            <w:r>
              <w:rPr>
                <w:rStyle w:val="IndexLink"/>
              </w:rPr>
              <w:t>171</w:t>
            </w:r>
          </w:hyperlink>
        </w:p>
        <w:p>
          <w:pPr>
            <w:pStyle w:val="Contents2"/>
            <w:tabs>
              <w:tab w:val="clear" w:pos="8743"/>
              <w:tab w:val="right" w:pos="9026" w:leader="dot"/>
            </w:tabs>
            <w:rPr/>
          </w:pPr>
          <w:hyperlink w:anchor="__RefHeading___Toc11979294_1280447820">
            <w:r>
              <w:rPr>
                <w:webHidden/>
                <w:rStyle w:val="IndexLink"/>
                <w:rtl w:val="true"/>
              </w:rPr>
              <w:t>[</w:t>
            </w:r>
            <w:r>
              <w:rPr>
                <w:rStyle w:val="IndexLink"/>
              </w:rPr>
              <w:t>54</w:t>
            </w:r>
            <w:r>
              <w:rPr>
                <w:rStyle w:val="IndexLink"/>
                <w:rtl w:val="true"/>
              </w:rPr>
              <w:t xml:space="preserve">:] </w:t>
            </w:r>
            <w:r>
              <w:rPr>
                <w:rStyle w:val="IndexLink"/>
                <w:rtl w:val="true"/>
              </w:rPr>
              <w:t>قاعدة لا ضرر ولا ضرار</w:t>
            </w:r>
            <w:r>
              <w:rPr>
                <w:rStyle w:val="IndexLink"/>
                <w:rtl w:val="true"/>
              </w:rPr>
              <w:tab/>
            </w:r>
            <w:r>
              <w:rPr>
                <w:rStyle w:val="IndexLink"/>
              </w:rPr>
              <w:t>172</w:t>
            </w:r>
          </w:hyperlink>
        </w:p>
        <w:p>
          <w:pPr>
            <w:pStyle w:val="Contents3"/>
            <w:tabs>
              <w:tab w:val="clear" w:pos="8459"/>
              <w:tab w:val="right" w:pos="9026" w:leader="dot"/>
            </w:tabs>
            <w:rPr/>
          </w:pPr>
          <w:hyperlink w:anchor="__RefHeading___Toc11979296_1280447820">
            <w:r>
              <w:rPr>
                <w:webHidden/>
                <w:rStyle w:val="IndexLink"/>
                <w:rtl w:val="true"/>
              </w:rPr>
              <w:t>عناوين أُخرىٰ للقاعدة</w:t>
            </w:r>
            <w:r>
              <w:rPr>
                <w:rStyle w:val="IndexLink"/>
                <w:rtl w:val="true"/>
              </w:rPr>
              <w:tab/>
            </w:r>
            <w:r>
              <w:rPr>
                <w:rStyle w:val="IndexLink"/>
              </w:rPr>
              <w:t>172</w:t>
            </w:r>
          </w:hyperlink>
        </w:p>
        <w:p>
          <w:pPr>
            <w:pStyle w:val="Contents3"/>
            <w:tabs>
              <w:tab w:val="clear" w:pos="8459"/>
              <w:tab w:val="right" w:pos="9026" w:leader="dot"/>
            </w:tabs>
            <w:rPr/>
          </w:pPr>
          <w:hyperlink w:anchor="__RefHeading___Toc11979298_1280447820">
            <w:r>
              <w:rPr>
                <w:webHidden/>
                <w:rStyle w:val="IndexLink"/>
                <w:rtl w:val="true"/>
              </w:rPr>
              <w:t>توضيح مفاد القاعدة</w:t>
            </w:r>
            <w:r>
              <w:rPr>
                <w:rStyle w:val="IndexLink"/>
                <w:rtl w:val="true"/>
              </w:rPr>
              <w:tab/>
            </w:r>
            <w:r>
              <w:rPr>
                <w:rStyle w:val="IndexLink"/>
              </w:rPr>
              <w:t>172</w:t>
            </w:r>
          </w:hyperlink>
        </w:p>
        <w:p>
          <w:pPr>
            <w:pStyle w:val="Contents4"/>
            <w:tabs>
              <w:tab w:val="clear" w:pos="8176"/>
              <w:tab w:val="right" w:pos="9026" w:leader="dot"/>
            </w:tabs>
            <w:rPr/>
          </w:pPr>
          <w:hyperlink w:anchor="__RefHeading___Toc11979300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979302_1280447820">
            <w:r>
              <w:rPr>
                <w:webHidden/>
                <w:rStyle w:val="IndexLink"/>
                <w:rtl w:val="true"/>
              </w:rPr>
              <w:t>أوَّلًا</w:t>
            </w:r>
            <w:r>
              <w:rPr>
                <w:rStyle w:val="IndexLink"/>
                <w:rtl w:val="true"/>
              </w:rPr>
              <w:t xml:space="preserve">: </w:t>
            </w:r>
            <w:r>
              <w:rPr>
                <w:rStyle w:val="IndexLink"/>
                <w:rtl w:val="true"/>
              </w:rPr>
              <w:t>البحث عن المفردات المُستَعمَلة في العنوان</w:t>
            </w:r>
            <w:r>
              <w:rPr>
                <w:rStyle w:val="IndexLink"/>
                <w:rtl w:val="true"/>
              </w:rPr>
              <w:tab/>
            </w:r>
            <w:r>
              <w:rPr>
                <w:rStyle w:val="IndexLink"/>
              </w:rPr>
              <w:t>172</w:t>
            </w:r>
          </w:hyperlink>
        </w:p>
        <w:p>
          <w:pPr>
            <w:pStyle w:val="Contents4"/>
            <w:tabs>
              <w:tab w:val="clear" w:pos="8176"/>
              <w:tab w:val="right" w:pos="9026" w:leader="dot"/>
            </w:tabs>
            <w:rPr/>
          </w:pPr>
          <w:hyperlink w:anchor="__RefHeading___Toc11979304_1280447820">
            <w:r>
              <w:rPr>
                <w:webHidden/>
                <w:rStyle w:val="IndexLink"/>
                <w:rtl w:val="true"/>
              </w:rPr>
              <w:t>ثانيًا</w:t>
            </w:r>
            <w:r>
              <w:rPr>
                <w:rStyle w:val="IndexLink"/>
                <w:rtl w:val="true"/>
              </w:rPr>
              <w:t xml:space="preserve">: </w:t>
            </w:r>
            <w:r>
              <w:rPr>
                <w:rStyle w:val="IndexLink"/>
                <w:rtl w:val="true"/>
              </w:rPr>
              <w:t>البحث عن هيئة العنوان التَّركيبيَّة</w:t>
            </w:r>
            <w:r>
              <w:rPr>
                <w:rStyle w:val="IndexLink"/>
                <w:rtl w:val="true"/>
              </w:rPr>
              <w:tab/>
            </w:r>
            <w:r>
              <w:rPr>
                <w:rStyle w:val="IndexLink"/>
              </w:rPr>
              <w:t>175</w:t>
            </w:r>
          </w:hyperlink>
        </w:p>
        <w:p>
          <w:pPr>
            <w:pStyle w:val="Contents3"/>
            <w:tabs>
              <w:tab w:val="clear" w:pos="8459"/>
              <w:tab w:val="right" w:pos="9026" w:leader="dot"/>
            </w:tabs>
            <w:rPr/>
          </w:pPr>
          <w:hyperlink w:anchor="__RefHeading___Toc11979306_1280447820">
            <w:r>
              <w:rPr>
                <w:webHidden/>
                <w:rStyle w:val="IndexLink"/>
                <w:rtl w:val="true"/>
              </w:rPr>
              <w:t>مدركُ القاعدة</w:t>
            </w:r>
            <w:r>
              <w:rPr>
                <w:rStyle w:val="IndexLink"/>
                <w:rtl w:val="true"/>
              </w:rPr>
              <w:tab/>
            </w:r>
            <w:r>
              <w:rPr>
                <w:rStyle w:val="IndexLink"/>
              </w:rPr>
              <w:t>184</w:t>
            </w:r>
          </w:hyperlink>
        </w:p>
        <w:p>
          <w:pPr>
            <w:pStyle w:val="Contents4"/>
            <w:tabs>
              <w:tab w:val="clear" w:pos="8176"/>
              <w:tab w:val="right" w:pos="9026" w:leader="dot"/>
            </w:tabs>
            <w:rPr/>
          </w:pPr>
          <w:hyperlink w:anchor="__RefHeading___Toc11979308_1280447820">
            <w:r>
              <w:rPr>
                <w:webHidden/>
                <w:rStyle w:val="IndexLink"/>
                <w:rtl w:val="true"/>
              </w:rPr>
              <w:t>أوَّلًا</w:t>
            </w:r>
            <w:r>
              <w:rPr>
                <w:rStyle w:val="IndexLink"/>
                <w:rtl w:val="true"/>
              </w:rPr>
              <w:t xml:space="preserve">: </w:t>
            </w:r>
            <w:r>
              <w:rPr>
                <w:rStyle w:val="IndexLink"/>
                <w:rtl w:val="true"/>
              </w:rPr>
              <w:t>السُّنَّة المطهَّرة</w:t>
            </w:r>
            <w:r>
              <w:rPr>
                <w:rStyle w:val="IndexLink"/>
                <w:rtl w:val="true"/>
              </w:rPr>
              <w:tab/>
            </w:r>
            <w:r>
              <w:rPr>
                <w:rStyle w:val="IndexLink"/>
              </w:rPr>
              <w:t>184</w:t>
            </w:r>
          </w:hyperlink>
        </w:p>
        <w:p>
          <w:pPr>
            <w:pStyle w:val="Contents3"/>
            <w:tabs>
              <w:tab w:val="clear" w:pos="8459"/>
              <w:tab w:val="right" w:pos="9026" w:leader="dot"/>
            </w:tabs>
            <w:rPr/>
          </w:pPr>
          <w:hyperlink w:anchor="__RefHeading___Toc11979310_1280447820">
            <w:r>
              <w:rPr>
                <w:webHidden/>
                <w:rStyle w:val="IndexLink"/>
                <w:rtl w:val="true"/>
              </w:rPr>
              <w:t>تنبيهاتٌ‌</w:t>
            </w:r>
            <w:r>
              <w:rPr>
                <w:rStyle w:val="IndexLink"/>
                <w:rtl w:val="true"/>
              </w:rPr>
              <w:t>:</w:t>
              <w:tab/>
            </w:r>
            <w:r>
              <w:rPr>
                <w:rStyle w:val="IndexLink"/>
              </w:rPr>
              <w:t>188</w:t>
            </w:r>
          </w:hyperlink>
        </w:p>
        <w:p>
          <w:pPr>
            <w:pStyle w:val="Contents4"/>
            <w:tabs>
              <w:tab w:val="clear" w:pos="8176"/>
              <w:tab w:val="right" w:pos="9026" w:leader="dot"/>
            </w:tabs>
            <w:rPr/>
          </w:pPr>
          <w:hyperlink w:anchor="__RefHeading___Toc11979312_1280447820">
            <w:r>
              <w:rPr>
                <w:webHidden/>
                <w:rStyle w:val="IndexLink"/>
                <w:rtl w:val="true"/>
              </w:rPr>
              <w:t>التَّنبيه الأوَّل</w:t>
            </w:r>
            <w:r>
              <w:rPr>
                <w:rStyle w:val="IndexLink"/>
                <w:rtl w:val="true"/>
              </w:rPr>
              <w:t>:</w:t>
              <w:tab/>
            </w:r>
            <w:r>
              <w:rPr>
                <w:rStyle w:val="IndexLink"/>
              </w:rPr>
              <w:t>188</w:t>
            </w:r>
          </w:hyperlink>
        </w:p>
        <w:p>
          <w:pPr>
            <w:pStyle w:val="Contents4"/>
            <w:tabs>
              <w:tab w:val="clear" w:pos="8176"/>
              <w:tab w:val="right" w:pos="9026" w:leader="dot"/>
            </w:tabs>
            <w:rPr/>
          </w:pPr>
          <w:hyperlink w:anchor="__RefHeading___Toc11979314_1280447820">
            <w:r>
              <w:rPr>
                <w:webHidden/>
                <w:rStyle w:val="IndexLink"/>
                <w:rtl w:val="true"/>
              </w:rPr>
              <w:t>التَّنبيه الثَّاني</w:t>
            </w:r>
            <w:r>
              <w:rPr>
                <w:rStyle w:val="IndexLink"/>
                <w:rtl w:val="true"/>
              </w:rPr>
              <w:t>:</w:t>
              <w:tab/>
            </w:r>
            <w:r>
              <w:rPr>
                <w:rStyle w:val="IndexLink"/>
              </w:rPr>
              <w:t>188</w:t>
            </w:r>
          </w:hyperlink>
        </w:p>
        <w:p>
          <w:pPr>
            <w:pStyle w:val="Contents4"/>
            <w:tabs>
              <w:tab w:val="clear" w:pos="8176"/>
              <w:tab w:val="right" w:pos="9026" w:leader="dot"/>
            </w:tabs>
            <w:rPr/>
          </w:pPr>
          <w:hyperlink w:anchor="__RefHeading___Toc11979316_1280447820">
            <w:r>
              <w:rPr>
                <w:webHidden/>
                <w:rStyle w:val="IndexLink"/>
                <w:rtl w:val="true"/>
              </w:rPr>
              <w:t>التَّنبيه الثَّالث</w:t>
            </w:r>
            <w:r>
              <w:rPr>
                <w:rStyle w:val="IndexLink"/>
                <w:rtl w:val="true"/>
              </w:rPr>
              <w:t>:</w:t>
              <w:tab/>
            </w:r>
            <w:r>
              <w:rPr>
                <w:rStyle w:val="IndexLink"/>
              </w:rPr>
              <w:t>189</w:t>
            </w:r>
          </w:hyperlink>
        </w:p>
        <w:p>
          <w:pPr>
            <w:pStyle w:val="Contents4"/>
            <w:tabs>
              <w:tab w:val="clear" w:pos="8176"/>
              <w:tab w:val="right" w:pos="9026" w:leader="dot"/>
            </w:tabs>
            <w:rPr/>
          </w:pPr>
          <w:hyperlink w:anchor="__RefHeading___Toc11979318_1280447820">
            <w:r>
              <w:rPr>
                <w:webHidden/>
                <w:rStyle w:val="IndexLink"/>
                <w:rtl w:val="true"/>
              </w:rPr>
              <w:t>التَّنبيه الرَّابع</w:t>
            </w:r>
            <w:r>
              <w:rPr>
                <w:rStyle w:val="IndexLink"/>
                <w:rtl w:val="true"/>
              </w:rPr>
              <w:t>:</w:t>
              <w:tab/>
            </w:r>
            <w:r>
              <w:rPr>
                <w:rStyle w:val="IndexLink"/>
              </w:rPr>
              <w:t>190</w:t>
            </w:r>
          </w:hyperlink>
        </w:p>
        <w:p>
          <w:pPr>
            <w:pStyle w:val="Contents4"/>
            <w:tabs>
              <w:tab w:val="clear" w:pos="8176"/>
              <w:tab w:val="right" w:pos="9026" w:leader="dot"/>
            </w:tabs>
            <w:rPr/>
          </w:pPr>
          <w:hyperlink w:anchor="__RefHeading___Toc11979320_1280447820">
            <w:r>
              <w:rPr>
                <w:webHidden/>
                <w:rStyle w:val="IndexLink"/>
                <w:rtl w:val="true"/>
              </w:rPr>
              <w:t>التَّنبيه الخامس</w:t>
            </w:r>
            <w:r>
              <w:rPr>
                <w:rStyle w:val="IndexLink"/>
                <w:rtl w:val="true"/>
              </w:rPr>
              <w:t>:</w:t>
              <w:tab/>
            </w:r>
            <w:r>
              <w:rPr>
                <w:rStyle w:val="IndexLink"/>
              </w:rPr>
              <w:t>192</w:t>
            </w:r>
          </w:hyperlink>
        </w:p>
        <w:p>
          <w:pPr>
            <w:pStyle w:val="Contents4"/>
            <w:tabs>
              <w:tab w:val="clear" w:pos="8176"/>
              <w:tab w:val="right" w:pos="9026" w:leader="dot"/>
            </w:tabs>
            <w:rPr/>
          </w:pPr>
          <w:hyperlink w:anchor="__RefHeading___Toc11979322_1280447820">
            <w:r>
              <w:rPr>
                <w:webHidden/>
                <w:rStyle w:val="IndexLink"/>
                <w:rtl w:val="true"/>
              </w:rPr>
              <w:t>التَّنبيه السَّادس</w:t>
            </w:r>
            <w:r>
              <w:rPr>
                <w:rStyle w:val="IndexLink"/>
                <w:rtl w:val="true"/>
              </w:rPr>
              <w:t>:</w:t>
              <w:tab/>
            </w:r>
            <w:r>
              <w:rPr>
                <w:rStyle w:val="IndexLink"/>
              </w:rPr>
              <w:t>192</w:t>
            </w:r>
          </w:hyperlink>
        </w:p>
        <w:p>
          <w:pPr>
            <w:pStyle w:val="Contents4"/>
            <w:tabs>
              <w:tab w:val="clear" w:pos="8176"/>
              <w:tab w:val="right" w:pos="9026" w:leader="dot"/>
            </w:tabs>
            <w:rPr/>
          </w:pPr>
          <w:hyperlink w:anchor="__RefHeading___Toc11979324_1280447820">
            <w:r>
              <w:rPr>
                <w:webHidden/>
                <w:rStyle w:val="IndexLink"/>
                <w:rtl w:val="true"/>
              </w:rPr>
              <w:t>التَّنبيه السَّابع</w:t>
            </w:r>
            <w:r>
              <w:rPr>
                <w:rStyle w:val="IndexLink"/>
                <w:rtl w:val="true"/>
              </w:rPr>
              <w:t>:</w:t>
              <w:tab/>
            </w:r>
            <w:r>
              <w:rPr>
                <w:rStyle w:val="IndexLink"/>
              </w:rPr>
              <w:t>193</w:t>
            </w:r>
          </w:hyperlink>
        </w:p>
        <w:p>
          <w:pPr>
            <w:pStyle w:val="Contents3"/>
            <w:tabs>
              <w:tab w:val="clear" w:pos="8459"/>
              <w:tab w:val="right" w:pos="9026" w:leader="dot"/>
            </w:tabs>
            <w:rPr/>
          </w:pPr>
          <w:hyperlink w:anchor="__RefHeading___Toc11979326_1280447820">
            <w:r>
              <w:rPr>
                <w:webHidden/>
                <w:rStyle w:val="IndexLink"/>
                <w:rtl w:val="true"/>
              </w:rPr>
              <w:t>أمثلةٌ لاستعمال القاعدة في الفقه</w:t>
            </w:r>
            <w:r>
              <w:rPr>
                <w:rStyle w:val="IndexLink"/>
                <w:rtl w:val="true"/>
              </w:rPr>
              <w:t>:</w:t>
              <w:tab/>
            </w:r>
            <w:r>
              <w:rPr>
                <w:rStyle w:val="IndexLink"/>
              </w:rPr>
              <w:t>195</w:t>
            </w:r>
          </w:hyperlink>
        </w:p>
        <w:p>
          <w:pPr>
            <w:pStyle w:val="Contents2"/>
            <w:tabs>
              <w:tab w:val="clear" w:pos="8743"/>
              <w:tab w:val="right" w:pos="9026" w:leader="dot"/>
            </w:tabs>
            <w:rPr/>
          </w:pPr>
          <w:hyperlink w:anchor="__RefHeading___Toc11979328_1280447820">
            <w:r>
              <w:rPr>
                <w:webHidden/>
                <w:rStyle w:val="IndexLink"/>
                <w:rtl w:val="true"/>
              </w:rPr>
              <w:t>[</w:t>
            </w:r>
            <w:r>
              <w:rPr>
                <w:rStyle w:val="IndexLink"/>
              </w:rPr>
              <w:t>55</w:t>
            </w:r>
            <w:r>
              <w:rPr>
                <w:rStyle w:val="IndexLink"/>
                <w:rtl w:val="true"/>
              </w:rPr>
              <w:t xml:space="preserve">:] </w:t>
            </w:r>
            <w:r>
              <w:rPr>
                <w:rStyle w:val="IndexLink"/>
                <w:rtl w:val="true"/>
              </w:rPr>
              <w:t>قاعدة لاضِمانَ علىٰ المستعيرِ</w:t>
            </w:r>
            <w:r>
              <w:rPr>
                <w:rStyle w:val="IndexLink"/>
                <w:rtl w:val="true"/>
              </w:rPr>
              <w:tab/>
            </w:r>
            <w:r>
              <w:rPr>
                <w:rStyle w:val="IndexLink"/>
              </w:rPr>
              <w:t>198</w:t>
            </w:r>
          </w:hyperlink>
        </w:p>
        <w:p>
          <w:pPr>
            <w:pStyle w:val="Contents3"/>
            <w:tabs>
              <w:tab w:val="clear" w:pos="8459"/>
              <w:tab w:val="right" w:pos="9026" w:leader="dot"/>
            </w:tabs>
            <w:rPr/>
          </w:pPr>
          <w:hyperlink w:anchor="__RefHeading___Toc11979330_1280447820">
            <w:r>
              <w:rPr>
                <w:webHidden/>
                <w:rStyle w:val="IndexLink"/>
                <w:rtl w:val="true"/>
              </w:rPr>
              <w:t>عناوين أُخرىٰ للقاعدة</w:t>
            </w:r>
            <w:r>
              <w:rPr>
                <w:rStyle w:val="IndexLink"/>
                <w:rtl w:val="true"/>
              </w:rPr>
              <w:tab/>
            </w:r>
            <w:r>
              <w:rPr>
                <w:rStyle w:val="IndexLink"/>
              </w:rPr>
              <w:t>198</w:t>
            </w:r>
          </w:hyperlink>
        </w:p>
        <w:p>
          <w:pPr>
            <w:pStyle w:val="Contents3"/>
            <w:tabs>
              <w:tab w:val="clear" w:pos="8459"/>
              <w:tab w:val="right" w:pos="9026" w:leader="dot"/>
            </w:tabs>
            <w:rPr/>
          </w:pPr>
          <w:hyperlink w:anchor="__RefHeading___Toc11979332_1280447820">
            <w:r>
              <w:rPr>
                <w:webHidden/>
                <w:rStyle w:val="IndexLink"/>
                <w:rtl w:val="true"/>
              </w:rPr>
              <w:t>توضيح مفاد القاعدة</w:t>
            </w:r>
            <w:r>
              <w:rPr>
                <w:rStyle w:val="IndexLink"/>
                <w:rtl w:val="true"/>
              </w:rPr>
              <w:tab/>
            </w:r>
            <w:r>
              <w:rPr>
                <w:rStyle w:val="IndexLink"/>
              </w:rPr>
              <w:t>199</w:t>
            </w:r>
          </w:hyperlink>
        </w:p>
        <w:p>
          <w:pPr>
            <w:pStyle w:val="Contents3"/>
            <w:tabs>
              <w:tab w:val="clear" w:pos="8459"/>
              <w:tab w:val="right" w:pos="9026" w:leader="dot"/>
            </w:tabs>
            <w:rPr/>
          </w:pPr>
          <w:hyperlink w:anchor="__RefHeading___Toc11979334_1280447820">
            <w:r>
              <w:rPr>
                <w:webHidden/>
                <w:rStyle w:val="IndexLink"/>
                <w:rtl w:val="true"/>
              </w:rPr>
              <w:t>مدركُ القاعدة</w:t>
            </w:r>
            <w:r>
              <w:rPr>
                <w:rStyle w:val="IndexLink"/>
                <w:rtl w:val="true"/>
              </w:rPr>
              <w:tab/>
            </w:r>
            <w:r>
              <w:rPr>
                <w:rStyle w:val="IndexLink"/>
              </w:rPr>
              <w:t>200</w:t>
            </w:r>
          </w:hyperlink>
        </w:p>
        <w:p>
          <w:pPr>
            <w:pStyle w:val="Contents4"/>
            <w:tabs>
              <w:tab w:val="clear" w:pos="8176"/>
              <w:tab w:val="right" w:pos="9026" w:leader="dot"/>
            </w:tabs>
            <w:rPr/>
          </w:pPr>
          <w:hyperlink w:anchor="__RefHeading___Toc11979336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200</w:t>
            </w:r>
          </w:hyperlink>
        </w:p>
        <w:p>
          <w:pPr>
            <w:pStyle w:val="Contents4"/>
            <w:tabs>
              <w:tab w:val="clear" w:pos="8176"/>
              <w:tab w:val="right" w:pos="9026" w:leader="dot"/>
            </w:tabs>
            <w:rPr/>
          </w:pPr>
          <w:hyperlink w:anchor="__RefHeading___Toc11979338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200</w:t>
            </w:r>
          </w:hyperlink>
        </w:p>
        <w:p>
          <w:pPr>
            <w:pStyle w:val="Contents3"/>
            <w:tabs>
              <w:tab w:val="clear" w:pos="8459"/>
              <w:tab w:val="right" w:pos="9026" w:leader="dot"/>
            </w:tabs>
            <w:rPr/>
          </w:pPr>
          <w:hyperlink w:anchor="__RefHeading___Toc11979340_1280447820">
            <w:r>
              <w:rPr>
                <w:webHidden/>
                <w:rStyle w:val="IndexLink"/>
                <w:rtl w:val="true"/>
              </w:rPr>
              <w:t>تنبيهاتٌ‌</w:t>
            </w:r>
            <w:r>
              <w:rPr>
                <w:rStyle w:val="IndexLink"/>
                <w:rtl w:val="true"/>
              </w:rPr>
              <w:t>:</w:t>
              <w:tab/>
            </w:r>
            <w:r>
              <w:rPr>
                <w:rStyle w:val="IndexLink"/>
              </w:rPr>
              <w:t>201</w:t>
            </w:r>
          </w:hyperlink>
        </w:p>
        <w:p>
          <w:pPr>
            <w:pStyle w:val="Contents4"/>
            <w:tabs>
              <w:tab w:val="clear" w:pos="8176"/>
              <w:tab w:val="right" w:pos="9026" w:leader="dot"/>
            </w:tabs>
            <w:rPr/>
          </w:pPr>
          <w:hyperlink w:anchor="__RefHeading___Toc11979342_1280447820">
            <w:r>
              <w:rPr>
                <w:webHidden/>
                <w:rStyle w:val="IndexLink"/>
                <w:rtl w:val="true"/>
              </w:rPr>
              <w:t>التَّنبيه الأوَّل</w:t>
            </w:r>
            <w:r>
              <w:rPr>
                <w:rStyle w:val="IndexLink"/>
                <w:rtl w:val="true"/>
              </w:rPr>
              <w:t>:</w:t>
              <w:tab/>
            </w:r>
            <w:r>
              <w:rPr>
                <w:rStyle w:val="IndexLink"/>
              </w:rPr>
              <w:t>201</w:t>
            </w:r>
          </w:hyperlink>
        </w:p>
        <w:p>
          <w:pPr>
            <w:pStyle w:val="Contents4"/>
            <w:tabs>
              <w:tab w:val="clear" w:pos="8176"/>
              <w:tab w:val="right" w:pos="9026" w:leader="dot"/>
            </w:tabs>
            <w:rPr/>
          </w:pPr>
          <w:hyperlink w:anchor="__RefHeading___Toc11979344_1280447820">
            <w:r>
              <w:rPr>
                <w:webHidden/>
                <w:rStyle w:val="IndexLink"/>
                <w:rtl w:val="true"/>
              </w:rPr>
              <w:t>التَّنبيه الثَّاني</w:t>
            </w:r>
            <w:r>
              <w:rPr>
                <w:rStyle w:val="IndexLink"/>
                <w:rtl w:val="true"/>
              </w:rPr>
              <w:t>:</w:t>
              <w:tab/>
            </w:r>
            <w:r>
              <w:rPr>
                <w:rStyle w:val="IndexLink"/>
              </w:rPr>
              <w:t>201</w:t>
            </w:r>
          </w:hyperlink>
        </w:p>
        <w:p>
          <w:pPr>
            <w:pStyle w:val="Contents4"/>
            <w:tabs>
              <w:tab w:val="clear" w:pos="8176"/>
              <w:tab w:val="right" w:pos="9026" w:leader="dot"/>
            </w:tabs>
            <w:rPr/>
          </w:pPr>
          <w:hyperlink w:anchor="__RefHeading___Toc11979346_1280447820">
            <w:r>
              <w:rPr>
                <w:webHidden/>
                <w:rStyle w:val="IndexLink"/>
                <w:rtl w:val="true"/>
              </w:rPr>
              <w:t>التَّنبيه الثَّالث</w:t>
            </w:r>
            <w:r>
              <w:rPr>
                <w:rStyle w:val="IndexLink"/>
                <w:rtl w:val="true"/>
              </w:rPr>
              <w:t>:</w:t>
              <w:tab/>
            </w:r>
            <w:r>
              <w:rPr>
                <w:rStyle w:val="IndexLink"/>
              </w:rPr>
              <w:t>202</w:t>
            </w:r>
          </w:hyperlink>
        </w:p>
        <w:p>
          <w:pPr>
            <w:pStyle w:val="Contents4"/>
            <w:tabs>
              <w:tab w:val="clear" w:pos="8176"/>
              <w:tab w:val="right" w:pos="9026" w:leader="dot"/>
            </w:tabs>
            <w:rPr/>
          </w:pPr>
          <w:hyperlink w:anchor="__RefHeading___Toc11979348_1280447820">
            <w:r>
              <w:rPr>
                <w:webHidden/>
                <w:rStyle w:val="IndexLink"/>
                <w:rtl w:val="true"/>
              </w:rPr>
              <w:t>التَّنبيه الرَّابع</w:t>
            </w:r>
            <w:r>
              <w:rPr>
                <w:rStyle w:val="IndexLink"/>
                <w:rtl w:val="true"/>
              </w:rPr>
              <w:t>:</w:t>
              <w:tab/>
            </w:r>
            <w:r>
              <w:rPr>
                <w:rStyle w:val="IndexLink"/>
              </w:rPr>
              <w:t>203</w:t>
            </w:r>
          </w:hyperlink>
        </w:p>
        <w:p>
          <w:pPr>
            <w:pStyle w:val="Contents4"/>
            <w:tabs>
              <w:tab w:val="clear" w:pos="8176"/>
              <w:tab w:val="right" w:pos="9026" w:leader="dot"/>
            </w:tabs>
            <w:rPr/>
          </w:pPr>
          <w:hyperlink w:anchor="__RefHeading___Toc11979350_1280447820">
            <w:r>
              <w:rPr>
                <w:webHidden/>
                <w:rStyle w:val="IndexLink"/>
                <w:rtl w:val="true"/>
              </w:rPr>
              <w:t>التَّنبيه الخامس</w:t>
            </w:r>
            <w:r>
              <w:rPr>
                <w:rStyle w:val="IndexLink"/>
                <w:rtl w:val="true"/>
              </w:rPr>
              <w:t>:</w:t>
              <w:tab/>
            </w:r>
            <w:r>
              <w:rPr>
                <w:rStyle w:val="IndexLink"/>
              </w:rPr>
              <w:t>203</w:t>
            </w:r>
          </w:hyperlink>
        </w:p>
        <w:p>
          <w:pPr>
            <w:pStyle w:val="Contents3"/>
            <w:tabs>
              <w:tab w:val="clear" w:pos="8459"/>
              <w:tab w:val="right" w:pos="9026" w:leader="dot"/>
            </w:tabs>
            <w:rPr/>
          </w:pPr>
          <w:hyperlink w:anchor="__RefHeading___Toc11979352_1280447820">
            <w:r>
              <w:rPr>
                <w:webHidden/>
                <w:rStyle w:val="IndexLink"/>
                <w:rtl w:val="true"/>
              </w:rPr>
              <w:t>أمثلةٌ لاستعمال القاعدة في الفقه</w:t>
            </w:r>
            <w:r>
              <w:rPr>
                <w:rStyle w:val="IndexLink"/>
                <w:rtl w:val="true"/>
              </w:rPr>
              <w:t>:</w:t>
              <w:tab/>
            </w:r>
            <w:r>
              <w:rPr>
                <w:rStyle w:val="IndexLink"/>
              </w:rPr>
              <w:t>206</w:t>
            </w:r>
          </w:hyperlink>
        </w:p>
        <w:p>
          <w:pPr>
            <w:pStyle w:val="Contents2"/>
            <w:tabs>
              <w:tab w:val="clear" w:pos="8743"/>
              <w:tab w:val="right" w:pos="9026" w:leader="dot"/>
            </w:tabs>
            <w:rPr/>
          </w:pPr>
          <w:hyperlink w:anchor="__RefHeading___Toc11979354_1280447820">
            <w:r>
              <w:rPr>
                <w:webHidden/>
                <w:rStyle w:val="IndexLink"/>
                <w:rtl w:val="true"/>
              </w:rPr>
              <w:t>[</w:t>
            </w:r>
            <w:r>
              <w:rPr>
                <w:rStyle w:val="IndexLink"/>
              </w:rPr>
              <w:t>56</w:t>
            </w:r>
            <w:r>
              <w:rPr>
                <w:rStyle w:val="IndexLink"/>
                <w:rtl w:val="true"/>
              </w:rPr>
              <w:t xml:space="preserve">:] </w:t>
            </w:r>
            <w:r>
              <w:rPr>
                <w:rStyle w:val="IndexLink"/>
                <w:rtl w:val="true"/>
              </w:rPr>
              <w:t>قاعدة ما يُضمَن بصحيحه يُضمَنُ بفاسده</w:t>
            </w:r>
            <w:r>
              <w:rPr>
                <w:rStyle w:val="IndexLink"/>
                <w:rtl w:val="true"/>
              </w:rPr>
              <w:tab/>
            </w:r>
            <w:r>
              <w:rPr>
                <w:rStyle w:val="IndexLink"/>
              </w:rPr>
              <w:t>208</w:t>
            </w:r>
          </w:hyperlink>
        </w:p>
        <w:p>
          <w:pPr>
            <w:pStyle w:val="Contents3"/>
            <w:tabs>
              <w:tab w:val="clear" w:pos="8459"/>
              <w:tab w:val="right" w:pos="9026" w:leader="dot"/>
            </w:tabs>
            <w:rPr/>
          </w:pPr>
          <w:hyperlink w:anchor="__RefHeading___Toc11979356_1280447820">
            <w:r>
              <w:rPr>
                <w:webHidden/>
                <w:rStyle w:val="IndexLink"/>
                <w:rtl w:val="true"/>
              </w:rPr>
              <w:t>عناوين أُخرىٰ للقاعدة</w:t>
            </w:r>
            <w:r>
              <w:rPr>
                <w:rStyle w:val="IndexLink"/>
                <w:rtl w:val="true"/>
              </w:rPr>
              <w:tab/>
            </w:r>
            <w:r>
              <w:rPr>
                <w:rStyle w:val="IndexLink"/>
              </w:rPr>
              <w:t>208</w:t>
            </w:r>
          </w:hyperlink>
        </w:p>
        <w:p>
          <w:pPr>
            <w:pStyle w:val="Contents3"/>
            <w:tabs>
              <w:tab w:val="clear" w:pos="8459"/>
              <w:tab w:val="right" w:pos="9026" w:leader="dot"/>
            </w:tabs>
            <w:rPr/>
          </w:pPr>
          <w:hyperlink w:anchor="__RefHeading___Toc11979358_1280447820">
            <w:r>
              <w:rPr>
                <w:webHidden/>
                <w:rStyle w:val="IndexLink"/>
                <w:rtl w:val="true"/>
              </w:rPr>
              <w:t>توضيح مفاد القاعدة</w:t>
            </w:r>
            <w:r>
              <w:rPr>
                <w:rStyle w:val="IndexLink"/>
                <w:rtl w:val="true"/>
              </w:rPr>
              <w:tab/>
            </w:r>
            <w:r>
              <w:rPr>
                <w:rStyle w:val="IndexLink"/>
              </w:rPr>
              <w:t>208</w:t>
            </w:r>
          </w:hyperlink>
        </w:p>
        <w:p>
          <w:pPr>
            <w:pStyle w:val="Contents3"/>
            <w:tabs>
              <w:tab w:val="clear" w:pos="8459"/>
              <w:tab w:val="right" w:pos="9026" w:leader="dot"/>
            </w:tabs>
            <w:rPr/>
          </w:pPr>
          <w:hyperlink w:anchor="__RefHeading___Toc11979360_1280447820">
            <w:r>
              <w:rPr>
                <w:webHidden/>
                <w:rStyle w:val="IndexLink"/>
                <w:rtl w:val="true"/>
              </w:rPr>
              <w:t>مدركُ القاعدة</w:t>
            </w:r>
            <w:r>
              <w:rPr>
                <w:rStyle w:val="IndexLink"/>
                <w:rtl w:val="true"/>
              </w:rPr>
              <w:tab/>
            </w:r>
            <w:r>
              <w:rPr>
                <w:rStyle w:val="IndexLink"/>
              </w:rPr>
              <w:t>210</w:t>
            </w:r>
          </w:hyperlink>
        </w:p>
        <w:p>
          <w:pPr>
            <w:pStyle w:val="Contents4"/>
            <w:tabs>
              <w:tab w:val="clear" w:pos="8176"/>
              <w:tab w:val="right" w:pos="9026" w:leader="dot"/>
            </w:tabs>
            <w:rPr/>
          </w:pPr>
          <w:hyperlink w:anchor="__RefHeading___Toc11979362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1979364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210</w:t>
            </w:r>
          </w:hyperlink>
        </w:p>
        <w:p>
          <w:pPr>
            <w:pStyle w:val="Contents4"/>
            <w:tabs>
              <w:tab w:val="clear" w:pos="8176"/>
              <w:tab w:val="right" w:pos="9026" w:leader="dot"/>
            </w:tabs>
            <w:rPr/>
          </w:pPr>
          <w:hyperlink w:anchor="__RefHeading___Toc11979366_1280447820">
            <w:r>
              <w:rPr>
                <w:webHidden/>
                <w:rStyle w:val="IndexLink"/>
                <w:rtl w:val="true"/>
              </w:rPr>
              <w:t>ثانيًا</w:t>
            </w:r>
            <w:r>
              <w:rPr>
                <w:rStyle w:val="IndexLink"/>
                <w:rtl w:val="true"/>
              </w:rPr>
              <w:t xml:space="preserve">: </w:t>
            </w:r>
            <w:r>
              <w:rPr>
                <w:rStyle w:val="IndexLink"/>
                <w:rtl w:val="true"/>
              </w:rPr>
              <w:t>قاعدة الإقدام</w:t>
            </w:r>
            <w:r>
              <w:rPr>
                <w:rStyle w:val="IndexLink"/>
                <w:rtl w:val="true"/>
              </w:rPr>
              <w:tab/>
            </w:r>
            <w:r>
              <w:rPr>
                <w:rStyle w:val="IndexLink"/>
              </w:rPr>
              <w:t>210</w:t>
            </w:r>
          </w:hyperlink>
        </w:p>
        <w:p>
          <w:pPr>
            <w:pStyle w:val="Contents4"/>
            <w:tabs>
              <w:tab w:val="clear" w:pos="8176"/>
              <w:tab w:val="right" w:pos="9026" w:leader="dot"/>
            </w:tabs>
            <w:rPr/>
          </w:pPr>
          <w:hyperlink w:anchor="__RefHeading___Toc11979368_1280447820">
            <w:r>
              <w:rPr>
                <w:webHidden/>
                <w:rStyle w:val="IndexLink"/>
                <w:rtl w:val="true"/>
              </w:rPr>
              <w:t>ثالثًا</w:t>
            </w:r>
            <w:r>
              <w:rPr>
                <w:rStyle w:val="IndexLink"/>
                <w:rtl w:val="true"/>
              </w:rPr>
              <w:t xml:space="preserve">: </w:t>
            </w:r>
            <w:r>
              <w:rPr>
                <w:rStyle w:val="IndexLink"/>
                <w:rtl w:val="true"/>
              </w:rPr>
              <w:t>قاعدة حرمة مال المُسلم</w:t>
            </w:r>
            <w:r>
              <w:rPr>
                <w:rStyle w:val="IndexLink"/>
                <w:rtl w:val="true"/>
              </w:rPr>
              <w:tab/>
            </w:r>
            <w:r>
              <w:rPr>
                <w:rStyle w:val="IndexLink"/>
              </w:rPr>
              <w:t>210</w:t>
            </w:r>
          </w:hyperlink>
        </w:p>
        <w:p>
          <w:pPr>
            <w:pStyle w:val="Contents4"/>
            <w:tabs>
              <w:tab w:val="clear" w:pos="8176"/>
              <w:tab w:val="right" w:pos="9026" w:leader="dot"/>
            </w:tabs>
            <w:rPr/>
          </w:pPr>
          <w:hyperlink w:anchor="__RefHeading___Toc11979370_1280447820">
            <w:r>
              <w:rPr>
                <w:webHidden/>
                <w:rStyle w:val="IndexLink"/>
                <w:rtl w:val="true"/>
              </w:rPr>
              <w:t>رابعًا</w:t>
            </w:r>
            <w:r>
              <w:rPr>
                <w:rStyle w:val="IndexLink"/>
                <w:rtl w:val="true"/>
              </w:rPr>
              <w:t xml:space="preserve">: </w:t>
            </w:r>
            <w:r>
              <w:rPr>
                <w:rStyle w:val="IndexLink"/>
                <w:rtl w:val="true"/>
              </w:rPr>
              <w:t>قاعدة اليد</w:t>
            </w:r>
            <w:r>
              <w:rPr>
                <w:rStyle w:val="IndexLink"/>
                <w:rtl w:val="true"/>
              </w:rPr>
              <w:tab/>
            </w:r>
            <w:r>
              <w:rPr>
                <w:rStyle w:val="IndexLink"/>
              </w:rPr>
              <w:t>210</w:t>
            </w:r>
          </w:hyperlink>
        </w:p>
        <w:p>
          <w:pPr>
            <w:pStyle w:val="Contents3"/>
            <w:tabs>
              <w:tab w:val="clear" w:pos="8459"/>
              <w:tab w:val="right" w:pos="9026" w:leader="dot"/>
            </w:tabs>
            <w:rPr/>
          </w:pPr>
          <w:hyperlink w:anchor="__RefHeading___Toc11979372_1280447820">
            <w:r>
              <w:rPr>
                <w:webHidden/>
                <w:rStyle w:val="IndexLink"/>
                <w:rtl w:val="true"/>
              </w:rPr>
              <w:t>تنبيهٌ‌</w:t>
            </w:r>
            <w:r>
              <w:rPr>
                <w:rStyle w:val="IndexLink"/>
                <w:rtl w:val="true"/>
              </w:rPr>
              <w:t>:</w:t>
              <w:tab/>
            </w:r>
            <w:r>
              <w:rPr>
                <w:rStyle w:val="IndexLink"/>
              </w:rPr>
              <w:t>212</w:t>
            </w:r>
          </w:hyperlink>
        </w:p>
        <w:p>
          <w:pPr>
            <w:pStyle w:val="Contents3"/>
            <w:tabs>
              <w:tab w:val="clear" w:pos="8459"/>
              <w:tab w:val="right" w:pos="9026" w:leader="dot"/>
            </w:tabs>
            <w:rPr/>
          </w:pPr>
          <w:hyperlink w:anchor="__RefHeading___Toc11979374_1280447820">
            <w:r>
              <w:rPr>
                <w:webHidden/>
                <w:rStyle w:val="IndexLink"/>
                <w:rtl w:val="true"/>
              </w:rPr>
              <w:t>أمثلةٌ لاستعمال القاعدة في الفقه</w:t>
            </w:r>
            <w:r>
              <w:rPr>
                <w:rStyle w:val="IndexLink"/>
                <w:rtl w:val="true"/>
              </w:rPr>
              <w:t>:</w:t>
              <w:tab/>
            </w:r>
            <w:r>
              <w:rPr>
                <w:rStyle w:val="IndexLink"/>
              </w:rPr>
              <w:t>215</w:t>
            </w:r>
          </w:hyperlink>
        </w:p>
        <w:p>
          <w:pPr>
            <w:pStyle w:val="Contents2"/>
            <w:tabs>
              <w:tab w:val="clear" w:pos="8743"/>
              <w:tab w:val="right" w:pos="9026" w:leader="dot"/>
            </w:tabs>
            <w:rPr/>
          </w:pPr>
          <w:hyperlink w:anchor="__RefHeading___Toc11979376_1280447820">
            <w:r>
              <w:rPr>
                <w:webHidden/>
                <w:rStyle w:val="IndexLink"/>
                <w:rtl w:val="true"/>
              </w:rPr>
              <w:t>[</w:t>
            </w:r>
            <w:r>
              <w:rPr>
                <w:rStyle w:val="IndexLink"/>
              </w:rPr>
              <w:t>57</w:t>
            </w:r>
            <w:r>
              <w:rPr>
                <w:rStyle w:val="IndexLink"/>
                <w:rtl w:val="true"/>
              </w:rPr>
              <w:t xml:space="preserve">:] </w:t>
            </w:r>
            <w:r>
              <w:rPr>
                <w:rStyle w:val="IndexLink"/>
                <w:rtl w:val="true"/>
              </w:rPr>
              <w:t>قاعدة مشروعيَّة عِبادات الصَّبيِّ‌</w:t>
            </w:r>
            <w:r>
              <w:rPr>
                <w:rStyle w:val="IndexLink"/>
                <w:rtl w:val="true"/>
              </w:rPr>
              <w:tab/>
            </w:r>
            <w:r>
              <w:rPr>
                <w:rStyle w:val="IndexLink"/>
              </w:rPr>
              <w:t>218</w:t>
            </w:r>
          </w:hyperlink>
        </w:p>
        <w:p>
          <w:pPr>
            <w:pStyle w:val="Contents3"/>
            <w:tabs>
              <w:tab w:val="clear" w:pos="8459"/>
              <w:tab w:val="right" w:pos="9026" w:leader="dot"/>
            </w:tabs>
            <w:rPr/>
          </w:pPr>
          <w:hyperlink w:anchor="__RefHeading___Toc11979378_1280447820">
            <w:r>
              <w:rPr>
                <w:webHidden/>
                <w:rStyle w:val="IndexLink"/>
                <w:rtl w:val="true"/>
              </w:rPr>
              <w:t>عناوين أُخرىٰ للقاعدة</w:t>
            </w:r>
            <w:r>
              <w:rPr>
                <w:rStyle w:val="IndexLink"/>
                <w:rtl w:val="true"/>
              </w:rPr>
              <w:tab/>
            </w:r>
            <w:r>
              <w:rPr>
                <w:rStyle w:val="IndexLink"/>
              </w:rPr>
              <w:t>218</w:t>
            </w:r>
          </w:hyperlink>
        </w:p>
        <w:p>
          <w:pPr>
            <w:pStyle w:val="Contents3"/>
            <w:tabs>
              <w:tab w:val="clear" w:pos="8459"/>
              <w:tab w:val="right" w:pos="9026" w:leader="dot"/>
            </w:tabs>
            <w:rPr/>
          </w:pPr>
          <w:hyperlink w:anchor="__RefHeading___Toc11979380_1280447820">
            <w:r>
              <w:rPr>
                <w:webHidden/>
                <w:rStyle w:val="IndexLink"/>
                <w:rtl w:val="true"/>
              </w:rPr>
              <w:t>توضيح مفاد القاعدة</w:t>
            </w:r>
            <w:r>
              <w:rPr>
                <w:rStyle w:val="IndexLink"/>
                <w:rtl w:val="true"/>
              </w:rPr>
              <w:tab/>
            </w:r>
            <w:r>
              <w:rPr>
                <w:rStyle w:val="IndexLink"/>
              </w:rPr>
              <w:t>218</w:t>
            </w:r>
          </w:hyperlink>
        </w:p>
        <w:p>
          <w:pPr>
            <w:pStyle w:val="Contents3"/>
            <w:tabs>
              <w:tab w:val="clear" w:pos="8459"/>
              <w:tab w:val="right" w:pos="9026" w:leader="dot"/>
            </w:tabs>
            <w:rPr/>
          </w:pPr>
          <w:hyperlink w:anchor="__RefHeading___Toc11979382_1280447820">
            <w:r>
              <w:rPr>
                <w:webHidden/>
                <w:rStyle w:val="IndexLink"/>
                <w:rtl w:val="true"/>
              </w:rPr>
              <w:t>مدركُ القاعدة</w:t>
            </w:r>
            <w:r>
              <w:rPr>
                <w:rStyle w:val="IndexLink"/>
                <w:rtl w:val="true"/>
              </w:rPr>
              <w:tab/>
            </w:r>
            <w:r>
              <w:rPr>
                <w:rStyle w:val="IndexLink"/>
              </w:rPr>
              <w:t>224</w:t>
            </w:r>
          </w:hyperlink>
        </w:p>
        <w:p>
          <w:pPr>
            <w:pStyle w:val="Contents4"/>
            <w:tabs>
              <w:tab w:val="clear" w:pos="8176"/>
              <w:tab w:val="right" w:pos="9026" w:leader="dot"/>
            </w:tabs>
            <w:rPr/>
          </w:pPr>
          <w:hyperlink w:anchor="__RefHeading___Toc11979384_1280447820">
            <w:r>
              <w:rPr>
                <w:webHidden/>
                <w:rStyle w:val="IndexLink"/>
                <w:rtl w:val="true"/>
              </w:rPr>
              <w:t>أوَّلًا</w:t>
            </w:r>
            <w:r>
              <w:rPr>
                <w:rStyle w:val="IndexLink"/>
                <w:rtl w:val="true"/>
              </w:rPr>
              <w:t xml:space="preserve">: </w:t>
            </w:r>
            <w:r>
              <w:rPr>
                <w:rStyle w:val="IndexLink"/>
                <w:rtl w:val="true"/>
              </w:rPr>
              <w:t>عموم الأدلَّة كتابًا وسنَّةً‌</w:t>
            </w:r>
            <w:r>
              <w:rPr>
                <w:rStyle w:val="IndexLink"/>
                <w:rtl w:val="true"/>
              </w:rPr>
              <w:tab/>
            </w:r>
            <w:r>
              <w:rPr>
                <w:rStyle w:val="IndexLink"/>
              </w:rPr>
              <w:t>224</w:t>
            </w:r>
          </w:hyperlink>
        </w:p>
        <w:p>
          <w:pPr>
            <w:pStyle w:val="Contents3"/>
            <w:tabs>
              <w:tab w:val="clear" w:pos="8459"/>
              <w:tab w:val="right" w:pos="9026" w:leader="dot"/>
            </w:tabs>
            <w:rPr/>
          </w:pPr>
          <w:hyperlink w:anchor="__RefHeading___Toc11979386_1280447820">
            <w:r>
              <w:rPr>
                <w:webHidden/>
                <w:rStyle w:val="IndexLink"/>
                <w:rtl w:val="true"/>
              </w:rPr>
              <w:t>تنبيهاتٌ‌</w:t>
            </w:r>
            <w:r>
              <w:rPr>
                <w:rStyle w:val="IndexLink"/>
                <w:rtl w:val="true"/>
              </w:rPr>
              <w:t>:</w:t>
              <w:tab/>
            </w:r>
            <w:r>
              <w:rPr>
                <w:rStyle w:val="IndexLink"/>
              </w:rPr>
              <w:t>225</w:t>
            </w:r>
          </w:hyperlink>
        </w:p>
        <w:p>
          <w:pPr>
            <w:pStyle w:val="Contents4"/>
            <w:tabs>
              <w:tab w:val="clear" w:pos="8176"/>
              <w:tab w:val="right" w:pos="9026" w:leader="dot"/>
            </w:tabs>
            <w:rPr/>
          </w:pPr>
          <w:hyperlink w:anchor="__RefHeading___Toc11979388_1280447820">
            <w:r>
              <w:rPr>
                <w:webHidden/>
                <w:rStyle w:val="IndexLink"/>
                <w:rtl w:val="true"/>
              </w:rPr>
              <w:t>التَّنبيه الأوَّل</w:t>
            </w:r>
            <w:r>
              <w:rPr>
                <w:rStyle w:val="IndexLink"/>
                <w:rtl w:val="true"/>
              </w:rPr>
              <w:t>:</w:t>
              <w:tab/>
            </w:r>
            <w:r>
              <w:rPr>
                <w:rStyle w:val="IndexLink"/>
              </w:rPr>
              <w:t>225</w:t>
            </w:r>
          </w:hyperlink>
        </w:p>
        <w:p>
          <w:pPr>
            <w:pStyle w:val="Contents4"/>
            <w:tabs>
              <w:tab w:val="clear" w:pos="8176"/>
              <w:tab w:val="right" w:pos="9026" w:leader="dot"/>
            </w:tabs>
            <w:rPr/>
          </w:pPr>
          <w:hyperlink w:anchor="__RefHeading___Toc11979390_1280447820">
            <w:r>
              <w:rPr>
                <w:webHidden/>
                <w:rStyle w:val="IndexLink"/>
                <w:rtl w:val="true"/>
              </w:rPr>
              <w:t>التَّنبيه الثَّاني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79392_1280447820">
            <w:r>
              <w:rPr>
                <w:webHidden/>
                <w:rStyle w:val="IndexLink"/>
                <w:rtl w:val="true"/>
              </w:rPr>
              <w:t>أمثلةٌ لاستعمال القاعدة في الفقه</w:t>
            </w:r>
            <w:r>
              <w:rPr>
                <w:rStyle w:val="IndexLink"/>
                <w:rtl w:val="true"/>
              </w:rPr>
              <w:t>:</w:t>
              <w:tab/>
            </w:r>
            <w:r>
              <w:rPr>
                <w:rStyle w:val="IndexLink"/>
              </w:rPr>
              <w:t>230</w:t>
            </w:r>
          </w:hyperlink>
        </w:p>
        <w:p>
          <w:pPr>
            <w:pStyle w:val="Contents2"/>
            <w:tabs>
              <w:tab w:val="clear" w:pos="8743"/>
              <w:tab w:val="right" w:pos="9026" w:leader="dot"/>
            </w:tabs>
            <w:rPr/>
          </w:pPr>
          <w:hyperlink w:anchor="__RefHeading___Toc11979394_1280447820">
            <w:r>
              <w:rPr>
                <w:webHidden/>
                <w:rStyle w:val="IndexLink"/>
                <w:rtl w:val="true"/>
              </w:rPr>
              <w:t>[</w:t>
            </w:r>
            <w:r>
              <w:rPr>
                <w:rStyle w:val="IndexLink"/>
              </w:rPr>
              <w:t>58</w:t>
            </w:r>
            <w:r>
              <w:rPr>
                <w:rStyle w:val="IndexLink"/>
                <w:rtl w:val="true"/>
              </w:rPr>
              <w:t xml:space="preserve">:] </w:t>
            </w:r>
            <w:r>
              <w:rPr>
                <w:rStyle w:val="IndexLink"/>
                <w:rtl w:val="true"/>
              </w:rPr>
              <w:t>قاعدة من ملِكَ شيئًا ملِكَ الإقرار به</w:t>
            </w:r>
            <w:r>
              <w:rPr>
                <w:rStyle w:val="IndexLink"/>
                <w:rtl w:val="true"/>
              </w:rPr>
              <w:tab/>
            </w:r>
            <w:r>
              <w:rPr>
                <w:rStyle w:val="IndexLink"/>
              </w:rPr>
              <w:t>232</w:t>
            </w:r>
          </w:hyperlink>
        </w:p>
        <w:p>
          <w:pPr>
            <w:pStyle w:val="Contents3"/>
            <w:tabs>
              <w:tab w:val="clear" w:pos="8459"/>
              <w:tab w:val="right" w:pos="9026" w:leader="dot"/>
            </w:tabs>
            <w:rPr/>
          </w:pPr>
          <w:hyperlink w:anchor="__RefHeading___Toc11979396_1280447820">
            <w:r>
              <w:rPr>
                <w:webHidden/>
                <w:rStyle w:val="IndexLink"/>
                <w:rtl w:val="true"/>
              </w:rPr>
              <w:t>عناوين أُخرىٰ للقاعدة</w:t>
            </w:r>
            <w:r>
              <w:rPr>
                <w:rStyle w:val="IndexLink"/>
                <w:rtl w:val="true"/>
              </w:rPr>
              <w:t>:</w:t>
              <w:tab/>
            </w:r>
            <w:r>
              <w:rPr>
                <w:rStyle w:val="IndexLink"/>
              </w:rPr>
              <w:t>232</w:t>
            </w:r>
          </w:hyperlink>
        </w:p>
        <w:p>
          <w:pPr>
            <w:pStyle w:val="Contents3"/>
            <w:tabs>
              <w:tab w:val="clear" w:pos="8459"/>
              <w:tab w:val="right" w:pos="9026" w:leader="dot"/>
            </w:tabs>
            <w:rPr/>
          </w:pPr>
          <w:hyperlink w:anchor="__RefHeading___Toc11979398_1280447820">
            <w:r>
              <w:rPr>
                <w:webHidden/>
                <w:rStyle w:val="IndexLink"/>
                <w:rtl w:val="true"/>
              </w:rPr>
              <w:t>توضيح مفاد القاعدة</w:t>
            </w:r>
            <w:r>
              <w:rPr>
                <w:rStyle w:val="IndexLink"/>
                <w:rtl w:val="true"/>
              </w:rPr>
              <w:t>:</w:t>
              <w:tab/>
            </w:r>
            <w:r>
              <w:rPr>
                <w:rStyle w:val="IndexLink"/>
              </w:rPr>
              <w:t>232</w:t>
            </w:r>
          </w:hyperlink>
        </w:p>
        <w:p>
          <w:pPr>
            <w:pStyle w:val="Contents3"/>
            <w:tabs>
              <w:tab w:val="clear" w:pos="8459"/>
              <w:tab w:val="right" w:pos="9026" w:leader="dot"/>
            </w:tabs>
            <w:rPr/>
          </w:pPr>
          <w:hyperlink w:anchor="__RefHeading___Toc11979400_1280447820">
            <w:r>
              <w:rPr>
                <w:webHidden/>
                <w:rStyle w:val="IndexLink"/>
                <w:rtl w:val="true"/>
              </w:rPr>
              <w:t>مدركُ القاعدة</w:t>
            </w:r>
            <w:r>
              <w:rPr>
                <w:rStyle w:val="IndexLink"/>
                <w:rtl w:val="true"/>
              </w:rPr>
              <w:t>:</w:t>
              <w:tab/>
            </w:r>
            <w:r>
              <w:rPr>
                <w:rStyle w:val="IndexLink"/>
              </w:rPr>
              <w:t>233</w:t>
            </w:r>
          </w:hyperlink>
        </w:p>
        <w:p>
          <w:pPr>
            <w:pStyle w:val="Contents4"/>
            <w:tabs>
              <w:tab w:val="clear" w:pos="8176"/>
              <w:tab w:val="right" w:pos="9026" w:leader="dot"/>
            </w:tabs>
            <w:rPr/>
          </w:pPr>
          <w:hyperlink w:anchor="__RefHeading___Toc11979402_1280447820">
            <w:r>
              <w:rPr>
                <w:webHidden/>
                <w:rStyle w:val="IndexLink"/>
                <w:rtl w:val="true"/>
              </w:rPr>
              <w:t>أوَّلًا</w:t>
            </w:r>
            <w:r>
              <w:rPr>
                <w:rStyle w:val="IndexLink"/>
                <w:rtl w:val="true"/>
              </w:rPr>
              <w:t xml:space="preserve">: </w:t>
            </w:r>
            <w:r>
              <w:rPr>
                <w:rStyle w:val="IndexLink"/>
                <w:rtl w:val="true"/>
              </w:rPr>
              <w:t>سيرة العقلاء</w:t>
            </w:r>
            <w:r>
              <w:rPr>
                <w:rStyle w:val="IndexLink"/>
                <w:rtl w:val="true"/>
              </w:rPr>
              <w:tab/>
            </w:r>
            <w:r>
              <w:rPr>
                <w:rStyle w:val="IndexLink"/>
              </w:rPr>
              <w:t>233</w:t>
            </w:r>
          </w:hyperlink>
        </w:p>
        <w:p>
          <w:pPr>
            <w:pStyle w:val="Contents4"/>
            <w:tabs>
              <w:tab w:val="clear" w:pos="8176"/>
              <w:tab w:val="right" w:pos="9026" w:leader="dot"/>
            </w:tabs>
            <w:rPr/>
          </w:pPr>
          <w:hyperlink w:anchor="__RefHeading___Toc11979404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234</w:t>
            </w:r>
          </w:hyperlink>
        </w:p>
        <w:p>
          <w:pPr>
            <w:pStyle w:val="Contents4"/>
            <w:tabs>
              <w:tab w:val="clear" w:pos="8176"/>
              <w:tab w:val="right" w:pos="9026" w:leader="dot"/>
            </w:tabs>
            <w:rPr/>
          </w:pPr>
          <w:hyperlink w:anchor="__RefHeading___Toc11979406_1280447820">
            <w:r>
              <w:rPr>
                <w:webHidden/>
                <w:rStyle w:val="IndexLink"/>
                <w:rtl w:val="true"/>
              </w:rPr>
              <w:t>ثالثًا</w:t>
            </w:r>
            <w:r>
              <w:rPr>
                <w:rStyle w:val="IndexLink"/>
                <w:rtl w:val="true"/>
              </w:rPr>
              <w:t xml:space="preserve">: </w:t>
            </w:r>
            <w:r>
              <w:rPr>
                <w:rStyle w:val="IndexLink"/>
                <w:rtl w:val="true"/>
              </w:rPr>
              <w:t>روايات الباب</w:t>
            </w:r>
            <w:r>
              <w:rPr>
                <w:rStyle w:val="IndexLink"/>
                <w:rtl w:val="true"/>
              </w:rPr>
              <w:tab/>
            </w:r>
            <w:r>
              <w:rPr>
                <w:rStyle w:val="IndexLink"/>
              </w:rPr>
              <w:t>235</w:t>
            </w:r>
          </w:hyperlink>
        </w:p>
        <w:p>
          <w:pPr>
            <w:pStyle w:val="Contents3"/>
            <w:tabs>
              <w:tab w:val="clear" w:pos="8459"/>
              <w:tab w:val="right" w:pos="9026" w:leader="dot"/>
            </w:tabs>
            <w:rPr/>
          </w:pPr>
          <w:hyperlink w:anchor="__RefHeading___Toc11979408_1280447820">
            <w:r>
              <w:rPr>
                <w:webHidden/>
                <w:rStyle w:val="IndexLink"/>
                <w:rtl w:val="true"/>
              </w:rPr>
              <w:t>تنبيهاتٌ‌</w:t>
            </w:r>
            <w:r>
              <w:rPr>
                <w:rStyle w:val="IndexLink"/>
                <w:rtl w:val="true"/>
              </w:rPr>
              <w:t>:</w:t>
              <w:tab/>
            </w:r>
            <w:r>
              <w:rPr>
                <w:rStyle w:val="IndexLink"/>
              </w:rPr>
              <w:t>235</w:t>
            </w:r>
          </w:hyperlink>
        </w:p>
        <w:p>
          <w:pPr>
            <w:pStyle w:val="Contents4"/>
            <w:tabs>
              <w:tab w:val="clear" w:pos="8176"/>
              <w:tab w:val="right" w:pos="9026" w:leader="dot"/>
            </w:tabs>
            <w:rPr/>
          </w:pPr>
          <w:hyperlink w:anchor="__RefHeading___Toc11979410_1280447820">
            <w:r>
              <w:rPr>
                <w:webHidden/>
                <w:rStyle w:val="IndexLink"/>
                <w:rtl w:val="true"/>
              </w:rPr>
              <w:t>التَّنبيه الأوَّل</w:t>
            </w:r>
            <w:r>
              <w:rPr>
                <w:rStyle w:val="IndexLink"/>
                <w:rtl w:val="true"/>
              </w:rPr>
              <w:t>:</w:t>
              <w:tab/>
            </w:r>
            <w:r>
              <w:rPr>
                <w:rStyle w:val="IndexLink"/>
              </w:rPr>
              <w:t>235</w:t>
            </w:r>
          </w:hyperlink>
        </w:p>
        <w:p>
          <w:pPr>
            <w:pStyle w:val="Contents4"/>
            <w:tabs>
              <w:tab w:val="clear" w:pos="8176"/>
              <w:tab w:val="right" w:pos="9026" w:leader="dot"/>
            </w:tabs>
            <w:rPr/>
          </w:pPr>
          <w:hyperlink w:anchor="__RefHeading___Toc11979412_1280447820">
            <w:r>
              <w:rPr>
                <w:webHidden/>
                <w:rStyle w:val="IndexLink"/>
                <w:rtl w:val="true"/>
              </w:rPr>
              <w:t>التَّنبيه الثَّاني</w:t>
            </w:r>
            <w:r>
              <w:rPr>
                <w:rStyle w:val="IndexLink"/>
                <w:rtl w:val="true"/>
              </w:rPr>
              <w:t>:</w:t>
              <w:tab/>
            </w:r>
            <w:r>
              <w:rPr>
                <w:rStyle w:val="IndexLink"/>
              </w:rPr>
              <w:t>236</w:t>
            </w:r>
          </w:hyperlink>
        </w:p>
        <w:p>
          <w:pPr>
            <w:pStyle w:val="Contents3"/>
            <w:tabs>
              <w:tab w:val="clear" w:pos="8459"/>
              <w:tab w:val="right" w:pos="9026" w:leader="dot"/>
            </w:tabs>
            <w:rPr/>
          </w:pPr>
          <w:hyperlink w:anchor="__RefHeading___Toc11979414_1280447820">
            <w:r>
              <w:rPr>
                <w:webHidden/>
                <w:rStyle w:val="IndexLink"/>
                <w:rtl w:val="true"/>
              </w:rPr>
              <w:t>أمثلةٌ لاستعمال القاعدة في الفقه</w:t>
            </w:r>
            <w:r>
              <w:rPr>
                <w:rStyle w:val="IndexLink"/>
                <w:rtl w:val="true"/>
              </w:rPr>
              <w:t>:</w:t>
              <w:tab/>
            </w:r>
            <w:r>
              <w:rPr>
                <w:rStyle w:val="IndexLink"/>
              </w:rPr>
              <w:t>237</w:t>
            </w:r>
          </w:hyperlink>
        </w:p>
        <w:p>
          <w:pPr>
            <w:pStyle w:val="Contents2"/>
            <w:tabs>
              <w:tab w:val="clear" w:pos="8743"/>
              <w:tab w:val="right" w:pos="9026" w:leader="dot"/>
            </w:tabs>
            <w:rPr/>
          </w:pPr>
          <w:hyperlink w:anchor="__RefHeading___Toc11979416_1280447820">
            <w:r>
              <w:rPr>
                <w:webHidden/>
                <w:rStyle w:val="IndexLink"/>
                <w:rtl w:val="true"/>
              </w:rPr>
              <w:t>[</w:t>
            </w:r>
            <w:r>
              <w:rPr>
                <w:rStyle w:val="IndexLink"/>
              </w:rPr>
              <w:t>59</w:t>
            </w:r>
            <w:r>
              <w:rPr>
                <w:rStyle w:val="IndexLink"/>
                <w:rtl w:val="true"/>
              </w:rPr>
              <w:t xml:space="preserve">:] </w:t>
            </w:r>
            <w:r>
              <w:rPr>
                <w:rStyle w:val="IndexLink"/>
                <w:rtl w:val="true"/>
              </w:rPr>
              <w:t>قاعدة نفي السُّلطة</w:t>
            </w:r>
            <w:r>
              <w:rPr>
                <w:rStyle w:val="IndexLink"/>
                <w:rtl w:val="true"/>
              </w:rPr>
              <w:tab/>
            </w:r>
            <w:r>
              <w:rPr>
                <w:rStyle w:val="IndexLink"/>
              </w:rPr>
              <w:t>240</w:t>
            </w:r>
          </w:hyperlink>
        </w:p>
        <w:p>
          <w:pPr>
            <w:pStyle w:val="Contents3"/>
            <w:tabs>
              <w:tab w:val="clear" w:pos="8459"/>
              <w:tab w:val="right" w:pos="9026" w:leader="dot"/>
            </w:tabs>
            <w:rPr/>
          </w:pPr>
          <w:hyperlink w:anchor="__RefHeading___Toc11979418_1280447820">
            <w:r>
              <w:rPr>
                <w:webHidden/>
                <w:rStyle w:val="IndexLink"/>
                <w:rtl w:val="true"/>
              </w:rPr>
              <w:t>عناوين أُخرىٰ للقاعدة</w:t>
            </w:r>
            <w:r>
              <w:rPr>
                <w:rStyle w:val="IndexLink"/>
                <w:rtl w:val="true"/>
              </w:rPr>
              <w:tab/>
            </w:r>
            <w:r>
              <w:rPr>
                <w:rStyle w:val="IndexLink"/>
              </w:rPr>
              <w:t>240</w:t>
            </w:r>
          </w:hyperlink>
        </w:p>
        <w:p>
          <w:pPr>
            <w:pStyle w:val="Contents3"/>
            <w:tabs>
              <w:tab w:val="clear" w:pos="8459"/>
              <w:tab w:val="right" w:pos="9026" w:leader="dot"/>
            </w:tabs>
            <w:rPr/>
          </w:pPr>
          <w:hyperlink w:anchor="__RefHeading___Toc11979420_1280447820">
            <w:r>
              <w:rPr>
                <w:webHidden/>
                <w:rStyle w:val="IndexLink"/>
                <w:rtl w:val="true"/>
              </w:rPr>
              <w:t>توضيح مفاد القاعدة</w:t>
            </w:r>
            <w:r>
              <w:rPr>
                <w:rStyle w:val="IndexLink"/>
                <w:rtl w:val="true"/>
              </w:rPr>
              <w:tab/>
            </w:r>
            <w:r>
              <w:rPr>
                <w:rStyle w:val="IndexLink"/>
              </w:rPr>
              <w:t>240</w:t>
            </w:r>
          </w:hyperlink>
        </w:p>
        <w:p>
          <w:pPr>
            <w:pStyle w:val="Contents3"/>
            <w:tabs>
              <w:tab w:val="clear" w:pos="8459"/>
              <w:tab w:val="right" w:pos="9026" w:leader="dot"/>
            </w:tabs>
            <w:rPr/>
          </w:pPr>
          <w:hyperlink w:anchor="__RefHeading___Toc11979422_1280447820">
            <w:r>
              <w:rPr>
                <w:webHidden/>
                <w:rStyle w:val="IndexLink"/>
                <w:rtl w:val="true"/>
              </w:rPr>
              <w:t>مدركُ القاعدة</w:t>
            </w:r>
            <w:r>
              <w:rPr>
                <w:rStyle w:val="IndexLink"/>
                <w:rtl w:val="true"/>
              </w:rPr>
              <w:tab/>
            </w:r>
            <w:r>
              <w:rPr>
                <w:rStyle w:val="IndexLink"/>
              </w:rPr>
              <w:t>242</w:t>
            </w:r>
          </w:hyperlink>
        </w:p>
        <w:p>
          <w:pPr>
            <w:pStyle w:val="Contents4"/>
            <w:tabs>
              <w:tab w:val="clear" w:pos="8176"/>
              <w:tab w:val="right" w:pos="9026" w:leader="dot"/>
            </w:tabs>
            <w:rPr/>
          </w:pPr>
          <w:hyperlink w:anchor="__RefHeading___Toc11979424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242</w:t>
            </w:r>
          </w:hyperlink>
        </w:p>
        <w:p>
          <w:pPr>
            <w:pStyle w:val="Contents4"/>
            <w:tabs>
              <w:tab w:val="clear" w:pos="8176"/>
              <w:tab w:val="right" w:pos="9026" w:leader="dot"/>
            </w:tabs>
            <w:rPr/>
          </w:pPr>
          <w:hyperlink w:anchor="__RefHeading___Toc11979426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11979428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245</w:t>
            </w:r>
          </w:hyperlink>
        </w:p>
        <w:p>
          <w:pPr>
            <w:pStyle w:val="Contents3"/>
            <w:tabs>
              <w:tab w:val="clear" w:pos="8459"/>
              <w:tab w:val="right" w:pos="9026" w:leader="dot"/>
            </w:tabs>
            <w:rPr/>
          </w:pPr>
          <w:hyperlink w:anchor="__RefHeading___Toc11979430_1280447820">
            <w:r>
              <w:rPr>
                <w:webHidden/>
                <w:rStyle w:val="IndexLink"/>
                <w:rtl w:val="true"/>
              </w:rPr>
              <w:t>تنبيهاتٌ‌</w:t>
            </w:r>
            <w:r>
              <w:rPr>
                <w:rStyle w:val="IndexLink"/>
                <w:rtl w:val="true"/>
              </w:rPr>
              <w:t>:</w:t>
              <w:tab/>
            </w:r>
            <w:r>
              <w:rPr>
                <w:rStyle w:val="IndexLink"/>
              </w:rPr>
              <w:t>246</w:t>
            </w:r>
          </w:hyperlink>
        </w:p>
        <w:p>
          <w:pPr>
            <w:pStyle w:val="Contents4"/>
            <w:tabs>
              <w:tab w:val="clear" w:pos="8176"/>
              <w:tab w:val="right" w:pos="9026" w:leader="dot"/>
            </w:tabs>
            <w:rPr/>
          </w:pPr>
          <w:hyperlink w:anchor="__RefHeading___Toc11979432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1979434_1280447820">
            <w:r>
              <w:rPr>
                <w:webHidden/>
                <w:rStyle w:val="IndexLink"/>
                <w:rtl w:val="true"/>
              </w:rPr>
              <w:t>التَّنبيه الأوَّل</w:t>
            </w:r>
            <w:r>
              <w:rPr>
                <w:rStyle w:val="IndexLink"/>
                <w:rtl w:val="true"/>
              </w:rPr>
              <w:t>:</w:t>
              <w:tab/>
            </w:r>
            <w:r>
              <w:rPr>
                <w:rStyle w:val="IndexLink"/>
              </w:rPr>
              <w:t>246</w:t>
            </w:r>
          </w:hyperlink>
        </w:p>
        <w:p>
          <w:pPr>
            <w:pStyle w:val="Contents4"/>
            <w:tabs>
              <w:tab w:val="clear" w:pos="8176"/>
              <w:tab w:val="right" w:pos="9026" w:leader="dot"/>
            </w:tabs>
            <w:rPr/>
          </w:pPr>
          <w:hyperlink w:anchor="__RefHeading___Toc11979436_1280447820">
            <w:r>
              <w:rPr>
                <w:webHidden/>
                <w:rStyle w:val="IndexLink"/>
                <w:rtl w:val="true"/>
              </w:rPr>
              <w:t>التَّنبيه الثَّاني</w:t>
            </w:r>
            <w:r>
              <w:rPr>
                <w:rStyle w:val="IndexLink"/>
                <w:rtl w:val="true"/>
              </w:rPr>
              <w:t>:</w:t>
              <w:tab/>
            </w:r>
            <w:r>
              <w:rPr>
                <w:rStyle w:val="IndexLink"/>
              </w:rPr>
              <w:t>247</w:t>
            </w:r>
          </w:hyperlink>
        </w:p>
        <w:p>
          <w:pPr>
            <w:pStyle w:val="Contents4"/>
            <w:tabs>
              <w:tab w:val="clear" w:pos="8176"/>
              <w:tab w:val="right" w:pos="9026" w:leader="dot"/>
            </w:tabs>
            <w:rPr/>
          </w:pPr>
          <w:hyperlink w:anchor="__RefHeading___Toc11979438_1280447820">
            <w:r>
              <w:rPr>
                <w:webHidden/>
                <w:rStyle w:val="IndexLink"/>
                <w:rtl w:val="true"/>
              </w:rPr>
              <w:t>التَّنبيه الثَّالث</w:t>
            </w:r>
            <w:r>
              <w:rPr>
                <w:rStyle w:val="IndexLink"/>
                <w:rtl w:val="true"/>
              </w:rPr>
              <w:t>:</w:t>
              <w:tab/>
            </w:r>
            <w:r>
              <w:rPr>
                <w:rStyle w:val="IndexLink"/>
              </w:rPr>
              <w:t>247</w:t>
            </w:r>
          </w:hyperlink>
        </w:p>
        <w:p>
          <w:pPr>
            <w:pStyle w:val="Contents4"/>
            <w:tabs>
              <w:tab w:val="clear" w:pos="8176"/>
              <w:tab w:val="right" w:pos="9026" w:leader="dot"/>
            </w:tabs>
            <w:rPr/>
          </w:pPr>
          <w:hyperlink w:anchor="__RefHeading___Toc11979440_1280447820">
            <w:r>
              <w:rPr>
                <w:webHidden/>
                <w:rStyle w:val="IndexLink"/>
                <w:rtl w:val="true"/>
              </w:rPr>
              <w:t>التَّنبيه الرَّابع</w:t>
            </w:r>
            <w:r>
              <w:rPr>
                <w:rStyle w:val="IndexLink"/>
                <w:rtl w:val="true"/>
              </w:rPr>
              <w:t>:</w:t>
              <w:tab/>
            </w:r>
            <w:r>
              <w:rPr>
                <w:rStyle w:val="IndexLink"/>
              </w:rPr>
              <w:t>248</w:t>
            </w:r>
          </w:hyperlink>
        </w:p>
        <w:p>
          <w:pPr>
            <w:pStyle w:val="Contents4"/>
            <w:tabs>
              <w:tab w:val="clear" w:pos="8176"/>
              <w:tab w:val="right" w:pos="9026" w:leader="dot"/>
            </w:tabs>
            <w:rPr/>
          </w:pPr>
          <w:hyperlink w:anchor="__RefHeading___Toc11979442_1280447820">
            <w:r>
              <w:rPr>
                <w:webHidden/>
                <w:rStyle w:val="IndexLink"/>
                <w:rtl w:val="true"/>
              </w:rPr>
              <w:t>التَّنبيه الخامس</w:t>
            </w:r>
            <w:r>
              <w:rPr>
                <w:rStyle w:val="IndexLink"/>
                <w:rtl w:val="true"/>
              </w:rPr>
              <w:t>:</w:t>
              <w:tab/>
            </w:r>
            <w:r>
              <w:rPr>
                <w:rStyle w:val="IndexLink"/>
              </w:rPr>
              <w:t>248</w:t>
            </w:r>
          </w:hyperlink>
        </w:p>
        <w:p>
          <w:pPr>
            <w:pStyle w:val="Contents4"/>
            <w:tabs>
              <w:tab w:val="clear" w:pos="8176"/>
              <w:tab w:val="right" w:pos="9026" w:leader="dot"/>
            </w:tabs>
            <w:rPr/>
          </w:pPr>
          <w:hyperlink w:anchor="__RefHeading___Toc11979444_1280447820">
            <w:r>
              <w:rPr>
                <w:webHidden/>
                <w:rStyle w:val="IndexLink"/>
                <w:rtl w:val="true"/>
              </w:rPr>
              <w:t>التَّنبيه السَّادس</w:t>
            </w:r>
            <w:r>
              <w:rPr>
                <w:rStyle w:val="IndexLink"/>
                <w:rtl w:val="true"/>
              </w:rPr>
              <w:t>:</w:t>
              <w:tab/>
            </w:r>
            <w:r>
              <w:rPr>
                <w:rStyle w:val="IndexLink"/>
              </w:rPr>
              <w:t>250</w:t>
            </w:r>
          </w:hyperlink>
        </w:p>
        <w:p>
          <w:pPr>
            <w:pStyle w:val="Contents4"/>
            <w:tabs>
              <w:tab w:val="clear" w:pos="8176"/>
              <w:tab w:val="right" w:pos="9026" w:leader="dot"/>
            </w:tabs>
            <w:rPr/>
          </w:pPr>
          <w:hyperlink w:anchor="__RefHeading___Toc11979446_1280447820">
            <w:r>
              <w:rPr>
                <w:webHidden/>
                <w:rStyle w:val="IndexLink"/>
                <w:rtl w:val="true"/>
              </w:rPr>
              <w:t>التَّنبيه السَّابع</w:t>
            </w:r>
            <w:r>
              <w:rPr>
                <w:rStyle w:val="IndexLink"/>
                <w:rtl w:val="true"/>
              </w:rPr>
              <w:t>:</w:t>
              <w:tab/>
            </w:r>
            <w:r>
              <w:rPr>
                <w:rStyle w:val="IndexLink"/>
              </w:rPr>
              <w:t>252</w:t>
            </w:r>
          </w:hyperlink>
        </w:p>
        <w:p>
          <w:pPr>
            <w:pStyle w:val="Contents4"/>
            <w:tabs>
              <w:tab w:val="clear" w:pos="8176"/>
              <w:tab w:val="right" w:pos="9026" w:leader="dot"/>
            </w:tabs>
            <w:rPr/>
          </w:pPr>
          <w:hyperlink w:anchor="__RefHeading___Toc11979448_1280447820">
            <w:r>
              <w:rPr>
                <w:webHidden/>
                <w:rStyle w:val="IndexLink"/>
                <w:rtl w:val="true"/>
              </w:rPr>
              <w:t>التَّنبيه الثَّامن</w:t>
            </w:r>
            <w:r>
              <w:rPr>
                <w:rStyle w:val="IndexLink"/>
                <w:rtl w:val="true"/>
              </w:rPr>
              <w:t>:</w:t>
              <w:tab/>
            </w:r>
            <w:r>
              <w:rPr>
                <w:rStyle w:val="IndexLink"/>
              </w:rPr>
              <w:t>253</w:t>
            </w:r>
          </w:hyperlink>
        </w:p>
        <w:p>
          <w:pPr>
            <w:pStyle w:val="Contents4"/>
            <w:tabs>
              <w:tab w:val="clear" w:pos="8176"/>
              <w:tab w:val="right" w:pos="9026" w:leader="dot"/>
            </w:tabs>
            <w:rPr/>
          </w:pPr>
          <w:hyperlink w:anchor="__RefHeading___Toc11979450_1280447820">
            <w:r>
              <w:rPr>
                <w:webHidden/>
                <w:rStyle w:val="IndexLink"/>
                <w:rtl w:val="true"/>
              </w:rPr>
              <w:t>التَّنبيه التَّاسع</w:t>
            </w:r>
            <w:r>
              <w:rPr>
                <w:rStyle w:val="IndexLink"/>
                <w:rtl w:val="true"/>
              </w:rPr>
              <w:t>:</w:t>
              <w:tab/>
            </w:r>
            <w:r>
              <w:rPr>
                <w:rStyle w:val="IndexLink"/>
              </w:rPr>
              <w:t>254</w:t>
            </w:r>
          </w:hyperlink>
        </w:p>
        <w:p>
          <w:pPr>
            <w:pStyle w:val="Contents3"/>
            <w:tabs>
              <w:tab w:val="clear" w:pos="8459"/>
              <w:tab w:val="right" w:pos="9026" w:leader="dot"/>
            </w:tabs>
            <w:rPr/>
          </w:pPr>
          <w:hyperlink w:anchor="__RefHeading___Toc11979452_1280447820">
            <w:r>
              <w:rPr>
                <w:webHidden/>
                <w:rStyle w:val="IndexLink"/>
                <w:rtl w:val="true"/>
              </w:rPr>
              <w:t>أمثلةٌ لاستعمال القاعدة في الفقه</w:t>
            </w:r>
            <w:r>
              <w:rPr>
                <w:rStyle w:val="IndexLink"/>
                <w:rtl w:val="true"/>
              </w:rPr>
              <w:t>:</w:t>
              <w:tab/>
            </w:r>
            <w:r>
              <w:rPr>
                <w:rStyle w:val="IndexLink"/>
              </w:rPr>
              <w:t>255</w:t>
            </w:r>
          </w:hyperlink>
        </w:p>
        <w:p>
          <w:pPr>
            <w:pStyle w:val="Contents2"/>
            <w:tabs>
              <w:tab w:val="clear" w:pos="8743"/>
              <w:tab w:val="right" w:pos="9026" w:leader="dot"/>
            </w:tabs>
            <w:rPr/>
          </w:pPr>
          <w:hyperlink w:anchor="__RefHeading___Toc11979454_1280447820">
            <w:r>
              <w:rPr>
                <w:webHidden/>
                <w:rStyle w:val="IndexLink"/>
                <w:rtl w:val="true"/>
              </w:rPr>
              <w:t>[</w:t>
            </w:r>
            <w:r>
              <w:rPr>
                <w:rStyle w:val="IndexLink"/>
              </w:rPr>
              <w:t>60</w:t>
            </w:r>
            <w:r>
              <w:rPr>
                <w:rStyle w:val="IndexLink"/>
                <w:rtl w:val="true"/>
              </w:rPr>
              <w:t xml:space="preserve">:] </w:t>
            </w:r>
            <w:r>
              <w:rPr>
                <w:rStyle w:val="IndexLink"/>
                <w:rtl w:val="true"/>
              </w:rPr>
              <w:t>قاعدة يحرُمُ من الرَّضاع ما يحرُمُ من النَّسَب</w:t>
            </w:r>
            <w:r>
              <w:rPr>
                <w:rStyle w:val="IndexLink"/>
                <w:rtl w:val="true"/>
              </w:rPr>
              <w:tab/>
            </w:r>
            <w:r>
              <w:rPr>
                <w:rStyle w:val="IndexLink"/>
              </w:rPr>
              <w:t>258</w:t>
            </w:r>
          </w:hyperlink>
        </w:p>
        <w:p>
          <w:pPr>
            <w:pStyle w:val="Contents3"/>
            <w:tabs>
              <w:tab w:val="clear" w:pos="8459"/>
              <w:tab w:val="right" w:pos="9026" w:leader="dot"/>
            </w:tabs>
            <w:rPr/>
          </w:pPr>
          <w:hyperlink w:anchor="__RefHeading___Toc11979456_1280447820">
            <w:r>
              <w:rPr>
                <w:webHidden/>
                <w:rStyle w:val="IndexLink"/>
                <w:rtl w:val="true"/>
              </w:rPr>
              <w:t>عناوين أُخرىٰ للقاعدة</w:t>
            </w:r>
            <w:r>
              <w:rPr>
                <w:rStyle w:val="IndexLink"/>
                <w:rtl w:val="true"/>
              </w:rPr>
              <w:tab/>
            </w:r>
            <w:r>
              <w:rPr>
                <w:rStyle w:val="IndexLink"/>
              </w:rPr>
              <w:t>258</w:t>
            </w:r>
          </w:hyperlink>
        </w:p>
        <w:p>
          <w:pPr>
            <w:pStyle w:val="Contents3"/>
            <w:tabs>
              <w:tab w:val="clear" w:pos="8459"/>
              <w:tab w:val="right" w:pos="9026" w:leader="dot"/>
            </w:tabs>
            <w:rPr/>
          </w:pPr>
          <w:hyperlink w:anchor="__RefHeading___Toc11979458_1280447820">
            <w:r>
              <w:rPr>
                <w:webHidden/>
                <w:rStyle w:val="IndexLink"/>
                <w:rtl w:val="true"/>
              </w:rPr>
              <w:t>توضيح مفاد القاعدة</w:t>
            </w:r>
            <w:r>
              <w:rPr>
                <w:rStyle w:val="IndexLink"/>
                <w:rtl w:val="true"/>
              </w:rPr>
              <w:tab/>
            </w:r>
            <w:r>
              <w:rPr>
                <w:rStyle w:val="IndexLink"/>
              </w:rPr>
              <w:t>259</w:t>
            </w:r>
          </w:hyperlink>
        </w:p>
        <w:p>
          <w:pPr>
            <w:pStyle w:val="Contents3"/>
            <w:tabs>
              <w:tab w:val="clear" w:pos="8459"/>
              <w:tab w:val="right" w:pos="9026" w:leader="dot"/>
            </w:tabs>
            <w:rPr/>
          </w:pPr>
          <w:hyperlink w:anchor="__RefHeading___Toc11979460_1280447820">
            <w:r>
              <w:rPr>
                <w:webHidden/>
                <w:rStyle w:val="IndexLink"/>
                <w:rtl w:val="true"/>
              </w:rPr>
              <w:t>مدركُ القاعدة</w:t>
            </w:r>
            <w:r>
              <w:rPr>
                <w:rStyle w:val="IndexLink"/>
                <w:rtl w:val="true"/>
              </w:rPr>
              <w:tab/>
            </w:r>
            <w:r>
              <w:rPr>
                <w:rStyle w:val="IndexLink"/>
              </w:rPr>
              <w:t>259</w:t>
            </w:r>
          </w:hyperlink>
        </w:p>
        <w:p>
          <w:pPr>
            <w:pStyle w:val="Contents4"/>
            <w:tabs>
              <w:tab w:val="clear" w:pos="8176"/>
              <w:tab w:val="right" w:pos="9026" w:leader="dot"/>
            </w:tabs>
            <w:rPr/>
          </w:pPr>
          <w:hyperlink w:anchor="__RefHeading___Toc11979462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1979464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260</w:t>
            </w:r>
          </w:hyperlink>
        </w:p>
        <w:p>
          <w:pPr>
            <w:pStyle w:val="Contents4"/>
            <w:tabs>
              <w:tab w:val="clear" w:pos="8176"/>
              <w:tab w:val="right" w:pos="9026" w:leader="dot"/>
            </w:tabs>
            <w:rPr/>
          </w:pPr>
          <w:hyperlink w:anchor="__RefHeading___Toc11979466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260</w:t>
            </w:r>
          </w:hyperlink>
        </w:p>
        <w:p>
          <w:pPr>
            <w:pStyle w:val="Contents3"/>
            <w:tabs>
              <w:tab w:val="clear" w:pos="8459"/>
              <w:tab w:val="right" w:pos="9026" w:leader="dot"/>
            </w:tabs>
            <w:rPr/>
          </w:pPr>
          <w:hyperlink w:anchor="__RefHeading___Toc11979468_1280447820">
            <w:r>
              <w:rPr>
                <w:webHidden/>
                <w:rStyle w:val="IndexLink"/>
                <w:rtl w:val="true"/>
              </w:rPr>
              <w:t>تنبيهاتٌ‌</w:t>
            </w:r>
            <w:r>
              <w:rPr>
                <w:rStyle w:val="IndexLink"/>
                <w:rtl w:val="true"/>
              </w:rPr>
              <w:t>:</w:t>
              <w:tab/>
            </w:r>
            <w:r>
              <w:rPr>
                <w:rStyle w:val="IndexLink"/>
              </w:rPr>
              <w:t>262</w:t>
            </w:r>
          </w:hyperlink>
        </w:p>
        <w:p>
          <w:pPr>
            <w:pStyle w:val="Contents4"/>
            <w:tabs>
              <w:tab w:val="clear" w:pos="8176"/>
              <w:tab w:val="right" w:pos="9026" w:leader="dot"/>
            </w:tabs>
            <w:rPr/>
          </w:pPr>
          <w:hyperlink w:anchor="__RefHeading___Toc11979470_1280447820">
            <w:r>
              <w:rPr>
                <w:webHidden/>
                <w:rStyle w:val="IndexLink"/>
                <w:rtl w:val="true"/>
              </w:rPr>
              <w:t>التَّنبيه الأوَّل</w:t>
            </w:r>
            <w:r>
              <w:rPr>
                <w:rStyle w:val="IndexLink"/>
                <w:rtl w:val="true"/>
              </w:rPr>
              <w:t>:</w:t>
              <w:tab/>
            </w:r>
            <w:r>
              <w:rPr>
                <w:rStyle w:val="IndexLink"/>
              </w:rPr>
              <w:t>262</w:t>
            </w:r>
          </w:hyperlink>
        </w:p>
        <w:p>
          <w:pPr>
            <w:pStyle w:val="Contents4"/>
            <w:tabs>
              <w:tab w:val="clear" w:pos="8176"/>
              <w:tab w:val="right" w:pos="9026" w:leader="dot"/>
            </w:tabs>
            <w:rPr/>
          </w:pPr>
          <w:hyperlink w:anchor="__RefHeading___Toc11979472_1280447820">
            <w:r>
              <w:rPr>
                <w:webHidden/>
                <w:rStyle w:val="IndexLink"/>
                <w:rtl w:val="true"/>
              </w:rPr>
              <w:t>التَّنبيه الثَّاني</w:t>
            </w:r>
            <w:r>
              <w:rPr>
                <w:rStyle w:val="IndexLink"/>
                <w:rtl w:val="true"/>
              </w:rPr>
              <w:t>:</w:t>
              <w:tab/>
            </w:r>
            <w:r>
              <w:rPr>
                <w:rStyle w:val="IndexLink"/>
              </w:rPr>
              <w:t>263</w:t>
            </w:r>
          </w:hyperlink>
        </w:p>
        <w:p>
          <w:pPr>
            <w:pStyle w:val="Contents4"/>
            <w:tabs>
              <w:tab w:val="clear" w:pos="8176"/>
              <w:tab w:val="right" w:pos="9026" w:leader="dot"/>
            </w:tabs>
            <w:rPr/>
          </w:pPr>
          <w:hyperlink w:anchor="__RefHeading___Toc11979474_1280447820">
            <w:r>
              <w:rPr>
                <w:webHidden/>
                <w:rStyle w:val="IndexLink"/>
                <w:rtl w:val="true"/>
              </w:rPr>
              <w:t>التَّنبيه الثَّالث</w:t>
            </w:r>
            <w:r>
              <w:rPr>
                <w:rStyle w:val="IndexLink"/>
                <w:rtl w:val="true"/>
              </w:rPr>
              <w:t>:</w:t>
              <w:tab/>
            </w:r>
            <w:r>
              <w:rPr>
                <w:rStyle w:val="IndexLink"/>
              </w:rPr>
              <w:t>267</w:t>
            </w:r>
          </w:hyperlink>
        </w:p>
        <w:p>
          <w:pPr>
            <w:pStyle w:val="Contents4"/>
            <w:tabs>
              <w:tab w:val="clear" w:pos="8176"/>
              <w:tab w:val="right" w:pos="9026" w:leader="dot"/>
            </w:tabs>
            <w:rPr/>
          </w:pPr>
          <w:hyperlink w:anchor="__RefHeading___Toc11979476_1280447820">
            <w:r>
              <w:rPr>
                <w:webHidden/>
                <w:rStyle w:val="IndexLink"/>
                <w:rtl w:val="true"/>
              </w:rPr>
              <w:t>التَّنبيه الرَّابع</w:t>
            </w:r>
            <w:r>
              <w:rPr>
                <w:rStyle w:val="IndexLink"/>
                <w:rtl w:val="true"/>
              </w:rPr>
              <w:t>:</w:t>
              <w:tab/>
            </w:r>
            <w:r>
              <w:rPr>
                <w:rStyle w:val="IndexLink"/>
              </w:rPr>
              <w:t>296</w:t>
            </w:r>
          </w:hyperlink>
        </w:p>
        <w:p>
          <w:pPr>
            <w:pStyle w:val="Contents4"/>
            <w:tabs>
              <w:tab w:val="clear" w:pos="8176"/>
              <w:tab w:val="right" w:pos="9026" w:leader="dot"/>
            </w:tabs>
            <w:rPr/>
          </w:pPr>
          <w:hyperlink w:anchor="__RefHeading___Toc11979478_1280447820">
            <w:r>
              <w:rPr>
                <w:webHidden/>
                <w:rStyle w:val="IndexLink"/>
                <w:rtl w:val="true"/>
              </w:rPr>
              <w:t>التَّنبيه الخامس</w:t>
            </w:r>
            <w:r>
              <w:rPr>
                <w:rStyle w:val="IndexLink"/>
                <w:rtl w:val="true"/>
              </w:rPr>
              <w:t>:</w:t>
              <w:tab/>
            </w:r>
            <w:r>
              <w:rPr>
                <w:rStyle w:val="IndexLink"/>
              </w:rPr>
              <w:t>303</w:t>
            </w:r>
          </w:hyperlink>
        </w:p>
        <w:p>
          <w:pPr>
            <w:pStyle w:val="Contents4"/>
            <w:tabs>
              <w:tab w:val="clear" w:pos="8176"/>
              <w:tab w:val="right" w:pos="9026" w:leader="dot"/>
            </w:tabs>
            <w:rPr/>
          </w:pPr>
          <w:hyperlink w:anchor="__RefHeading___Toc11979480_1280447820">
            <w:r>
              <w:rPr>
                <w:webHidden/>
                <w:rStyle w:val="IndexLink"/>
                <w:rtl w:val="true"/>
              </w:rPr>
              <w:t>التَّنبيه السَّادس</w:t>
            </w:r>
            <w:r>
              <w:rPr>
                <w:rStyle w:val="IndexLink"/>
                <w:rtl w:val="true"/>
              </w:rPr>
              <w:t>:</w:t>
              <w:tab/>
            </w:r>
            <w:r>
              <w:rPr>
                <w:rStyle w:val="IndexLink"/>
              </w:rPr>
              <w:t>307</w:t>
            </w:r>
          </w:hyperlink>
        </w:p>
        <w:p>
          <w:pPr>
            <w:pStyle w:val="Contents4"/>
            <w:tabs>
              <w:tab w:val="clear" w:pos="8176"/>
              <w:tab w:val="right" w:pos="9026" w:leader="dot"/>
            </w:tabs>
            <w:rPr/>
          </w:pPr>
          <w:hyperlink w:anchor="__RefHeading___Toc11979482_1280447820">
            <w:r>
              <w:rPr>
                <w:webHidden/>
                <w:rStyle w:val="IndexLink"/>
                <w:rtl w:val="true"/>
              </w:rPr>
              <w:t>التَّنبيه السَّابع</w:t>
            </w:r>
            <w:r>
              <w:rPr>
                <w:rStyle w:val="IndexLink"/>
                <w:rtl w:val="true"/>
              </w:rPr>
              <w:t>:</w:t>
              <w:tab/>
            </w:r>
            <w:r>
              <w:rPr>
                <w:rStyle w:val="IndexLink"/>
              </w:rPr>
              <w:t>308</w:t>
            </w:r>
          </w:hyperlink>
        </w:p>
        <w:p>
          <w:pPr>
            <w:pStyle w:val="Contents4"/>
            <w:tabs>
              <w:tab w:val="clear" w:pos="8176"/>
              <w:tab w:val="right" w:pos="9026" w:leader="dot"/>
            </w:tabs>
            <w:rPr/>
          </w:pPr>
          <w:hyperlink w:anchor="__RefHeading___Toc11979484_1280447820">
            <w:r>
              <w:rPr>
                <w:webHidden/>
                <w:rStyle w:val="IndexLink"/>
                <w:rtl w:val="true"/>
              </w:rPr>
              <w:t>التَّنبيه الثَّامن</w:t>
            </w:r>
            <w:r>
              <w:rPr>
                <w:rStyle w:val="IndexLink"/>
                <w:rtl w:val="true"/>
              </w:rPr>
              <w:t>:</w:t>
              <w:tab/>
            </w:r>
            <w:r>
              <w:rPr>
                <w:rStyle w:val="IndexLink"/>
              </w:rPr>
              <w:t>311</w:t>
            </w:r>
          </w:hyperlink>
        </w:p>
        <w:p>
          <w:pPr>
            <w:pStyle w:val="Contents2"/>
            <w:tabs>
              <w:tab w:val="clear" w:pos="8743"/>
              <w:tab w:val="right" w:pos="9026" w:leader="dot"/>
            </w:tabs>
            <w:rPr/>
          </w:pPr>
          <w:hyperlink w:anchor="__RefHeading___Toc11979486_1280447820">
            <w:r>
              <w:rPr>
                <w:webHidden/>
                <w:rStyle w:val="IndexLink"/>
                <w:rtl w:val="true"/>
              </w:rPr>
              <w:t>الفهرس التَّفصيلي</w:t>
            </w:r>
            <w:r>
              <w:rPr>
                <w:rStyle w:val="IndexLink"/>
                <w:rtl w:val="true"/>
              </w:rPr>
              <w:tab/>
            </w:r>
            <w:r>
              <w:rPr>
                <w:rStyle w:val="IndexLink"/>
              </w:rPr>
              <w:t>316</w:t>
            </w:r>
          </w:hyperlink>
        </w:p>
        <w:p>
          <w:pPr>
            <w:pStyle w:val="Contents2"/>
            <w:tabs>
              <w:tab w:val="clear" w:pos="8743"/>
              <w:tab w:val="right" w:pos="9026" w:leader="dot"/>
            </w:tabs>
            <w:rPr/>
          </w:pPr>
          <w:hyperlink w:anchor="__RefHeading___Toc11979488_1280447820">
            <w:r>
              <w:rPr>
                <w:webHidden/>
                <w:rStyle w:val="IndexLink"/>
                <w:rtl w:val="true"/>
              </w:rPr>
              <w:t>فهرس المصادر والمنابع</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9_220290"/>
      <w:bookmarkStart w:id="1" w:name="pg20339_220290"/>
      <w:bookmarkEnd w:id="1"/>
    </w:p>
    <w:p>
      <w:pPr>
        <w:pStyle w:val="Heading2"/>
        <w:numPr>
          <w:ilvl w:val="1"/>
          <w:numId w:val="1"/>
        </w:numPr>
        <w:rPr/>
      </w:pPr>
      <w:bookmarkStart w:id="2" w:name="pg20339_220290"/>
      <w:bookmarkStart w:id="3" w:name="__RefHeading___Toc11979024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عوائد القواعد الفقهیّة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790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39_220294"/>
      <w:bookmarkStart w:id="8" w:name="pg20339_220294"/>
      <w:bookmarkEnd w:id="8"/>
    </w:p>
    <w:p>
      <w:pPr>
        <w:pStyle w:val="Heading2"/>
        <w:numPr>
          <w:ilvl w:val="1"/>
          <w:numId w:val="1"/>
        </w:numPr>
        <w:rPr/>
      </w:pPr>
      <w:bookmarkStart w:id="9" w:name="pg20339_220294"/>
      <w:bookmarkStart w:id="10" w:name="__RefHeading___Toc11979028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 xml:space="preserve">مقدَّمة المقرِّر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تداخُل الأسباب والمُسَبَّبات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كثير الشَّكِّ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كافرٍ نجسٌ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ما تصحُّ إعارتُه تصحُّ إجارتُه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مبيعٍ تلف في زمنِ الخيار فهو ممَّن لاخيار له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مدَّعٍ يُسمَعُ قولُه بلابيِّنةٍ فعليه الحلفُ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مسكرٍ مائعٍ بالأصالة نجسٌ </w:t>
      </w:r>
      <w:r>
        <w:rPr>
          <w:rFonts w:eastAsia="Amiri" w:cs="Amiri" w:ascii="Amiri" w:hAnsi="Amiri"/>
          <w:color w:val="111111"/>
          <w:sz w:val="28"/>
          <w:szCs w:val="28"/>
          <w:lang w:bidi="ar-SA"/>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لاتُعاد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رهن إلَّامقبُوضًا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لاشكَّ في النَّافلة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ولا ضرار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لاضِمانَ علىٰ المستعيرِ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ما يُضمَن بصحيحه يُضمَنُ بفاسده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مشروعيَّة عِبادات الصَّبيِّ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من ملِكَ شيئًا ملِكَ الإقرار به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السُّلطة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يحرُمُ من الرَّضاع ما يحرُمُ من النَّسَب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والمنابع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12" w:name="pg20339_220296"/>
    </w:p>
    <w:p>
      <w:pPr>
        <w:pStyle w:val="Heading2"/>
        <w:numPr>
          <w:ilvl w:val="1"/>
          <w:numId w:val="1"/>
        </w:numPr>
        <w:rPr/>
      </w:pPr>
      <w:bookmarkStart w:id="13" w:name="__RefHeading___Toc11979030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ومولانا محمَّدٍ المُصطفىٰ خاتم الأنبياء والمرسلين، وعلىٰ أهل بيته الطَّاهرين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كتاب عوائد القواعد الفقهيَّة، وقد قرَّرنا فيه ما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أن نستفيدَ من أبحاثٍ ألقاها شيخنا الأستاذ الفقيه آية اللَّه العُظمىٰ الشَّيخ حسين مظاهري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 وجعله في حفظه ورَعْيه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حوزة أصفهان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صينَتْ عن الحدثان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القواعد الفقهيَّة؛ وللَّه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والمنَّة حيث وفَّقنا لِما كنَّا نرومه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المجموعة الَّتي تقعُ في ثلاث مجلَّداتٍ في مقدَّمةٍ قدَّمتُها علىٰ الكتاب، وسمَّيتُها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الفوائد في التَّقديم علىٰ عوائد القواعد؛ فليُراجِع إليها من يريد التَّعريف بالكتاب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المجلَّد الثَّالث منه؛ نُقدِّمه إلى القُرَّاء الكرام، عسىٰ أن يجعل اللَّه فيه نفعًا وبركةً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التَّوفيق</w:t>
      </w:r>
      <w:r>
        <w:rPr>
          <w:rFonts w:eastAsia="Amiri" w:cs="Amiri" w:ascii="Amiri" w:hAnsi="Amiri"/>
          <w:color w:val="111111"/>
          <w:sz w:val="28"/>
          <w:szCs w:val="28"/>
          <w:rtl w:val="true"/>
          <w:lang w:bidi="ar-SA"/>
        </w:rPr>
        <w:t xml:space="preserve">!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339_220302"/>
      <w:bookmarkStart w:id="16" w:name="pg20339_220302"/>
      <w:bookmarkEnd w:id="16"/>
    </w:p>
    <w:p>
      <w:pPr>
        <w:pStyle w:val="Heading2"/>
        <w:numPr>
          <w:ilvl w:val="1"/>
          <w:numId w:val="1"/>
        </w:numPr>
        <w:rPr/>
      </w:pPr>
      <w:bookmarkStart w:id="17" w:name="pg20339_220302"/>
      <w:bookmarkStart w:id="18" w:name="__RefHeading___Toc11979032_1280447820"/>
      <w:bookmarkStart w:id="19" w:name="_Toc5"/>
      <w:bookmarkEnd w:id="17"/>
      <w:bookmarkEnd w:id="18"/>
      <w:r>
        <w:rPr>
          <w:rtl w:val="true"/>
        </w:rPr>
        <w:t>[</w:t>
      </w:r>
      <w:r>
        <w:rPr/>
        <w:t>44</w:t>
      </w:r>
      <w:r>
        <w:rPr>
          <w:rtl w:val="true"/>
        </w:rPr>
        <w:t xml:space="preserve">:] </w:t>
      </w:r>
      <w:r>
        <w:rPr>
          <w:rtl w:val="true"/>
        </w:rPr>
        <w:t>قاعدة عدم تداخُل الأسباب والمُسَبَّبات</w:t>
      </w:r>
      <w:bookmarkEnd w:id="19"/>
    </w:p>
    <w:p>
      <w:pPr>
        <w:pStyle w:val="Heading3"/>
        <w:numPr>
          <w:ilvl w:val="2"/>
          <w:numId w:val="1"/>
        </w:numPr>
        <w:rPr/>
      </w:pPr>
      <w:bookmarkStart w:id="20" w:name="__RefHeading___Toc11979034_1280447820"/>
      <w:bookmarkStart w:id="21" w:name="_Toc6"/>
      <w:bookmarkEnd w:id="20"/>
      <w:r>
        <w:rPr>
          <w:rtl w:val="true"/>
        </w:rPr>
        <w:t>عناوين أُخرىٰ للقاعدة</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عدم تداخل الأسباب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لوكرَّر السَّبب المقتضي لوجوب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الكفَّارة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الأسباب عدم تداخلها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2" w:name="pg20339_220303"/>
    </w:p>
    <w:p>
      <w:pPr>
        <w:pStyle w:val="BookText"/>
        <w:rPr/>
      </w:pPr>
      <w:bookmarkEnd w:id="22"/>
      <w:r>
        <w:rPr>
          <w:rFonts w:ascii="Amiri" w:hAnsi="Amiri" w:eastAsia="Amiri" w:cs="Amiri"/>
          <w:color w:val="111111"/>
          <w:sz w:val="28"/>
          <w:sz w:val="28"/>
          <w:szCs w:val="28"/>
          <w:rtl w:val="true"/>
          <w:lang w:bidi="ar-SA"/>
        </w:rPr>
        <w:t>الأصل في الأسباب أن تعمل عملَها ولاتتداخَل مسبَّباتها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الأسباب الواقعيَّة عدم التَّداخل وتعدُّد المسبَّبات بتعدُّدها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الأسباب إذا اجتمعَتْ عدم التَّداخل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1979036_1280447820"/>
      <w:bookmarkStart w:id="24" w:name="_Toc7"/>
      <w:bookmarkEnd w:id="23"/>
      <w:r>
        <w:rPr>
          <w:rtl w:val="true"/>
        </w:rPr>
        <w:t>توضيح مفاد القاعدة</w:t>
      </w:r>
      <w:bookmarkEnd w:id="24"/>
    </w:p>
    <w:p>
      <w:pPr>
        <w:pStyle w:val="BookText"/>
        <w:rPr/>
      </w:pPr>
      <w:r>
        <w:rPr>
          <w:rFonts w:ascii="Amiri" w:hAnsi="Amiri" w:eastAsia="Amiri" w:cs="Amiri"/>
          <w:color w:val="111111"/>
          <w:sz w:val="28"/>
          <w:sz w:val="28"/>
          <w:szCs w:val="28"/>
          <w:rtl w:val="true"/>
          <w:lang w:bidi="ar-SA"/>
        </w:rPr>
        <w:t>توضيح مفاد القاعدة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المراد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الذي ينشأ منه مسبَّبٌ في عالم التَّشريع لايتداخل مع السَّبب الآخر الذي ينشأ منه نفسُ المسبَّب؛ فلكلِّ سببٍ حكمٌ‌، كما أنَّ له مسبَّبٌ‌، فإذن الأصل في جميع الأسباب الاستقلالُ فى السَّببيَّة وإنشاء الحكم اللَّائق به؛ وكذلك بعينه في المسبَّبات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لاتغفَل عن موضوع علمنا هذا، فليس الكلام أوَّلًا وبالذَّات في الأسباب والعِلَل الحقيقيَّة التَّكوينيَّة، فهو وإن يجري فيها في بعض الفروض ولكن الكلام فيها </w:t>
      </w:r>
      <w:bookmarkStart w:id="25" w:name="pg20339_220304"/>
    </w:p>
    <w:p>
      <w:pPr>
        <w:pStyle w:val="BookText"/>
        <w:rPr/>
      </w:pPr>
      <w:bookmarkEnd w:id="25"/>
      <w:r>
        <w:rPr>
          <w:rFonts w:ascii="Amiri" w:hAnsi="Amiri" w:eastAsia="Amiri" w:cs="Amiri"/>
          <w:color w:val="111111"/>
          <w:sz w:val="28"/>
          <w:sz w:val="28"/>
          <w:szCs w:val="28"/>
          <w:rtl w:val="true"/>
          <w:lang w:bidi="ar-SA"/>
        </w:rPr>
        <w:t>خارجٌ عمَّا نحن بصدده الآن؛ فتفطَّنْ من هذا حتَّى لايختلط عليك الأمرُ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ثمَّ إنِّه قدس سره أسَّس بيانًا جديدًا لهذه القاعدة بعد أن فرغ من الأوَّل؛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والمجلَّد،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1979038_1280447820"/>
      <w:bookmarkStart w:id="27" w:name="_Toc8"/>
      <w:bookmarkEnd w:id="26"/>
      <w:r>
        <w:rPr>
          <w:rtl w:val="true"/>
        </w:rPr>
        <w:t>مدركُ القاعدة</w:t>
      </w:r>
      <w:bookmarkEnd w:id="27"/>
    </w:p>
    <w:p>
      <w:pPr>
        <w:pStyle w:val="Heading3"/>
        <w:numPr>
          <w:ilvl w:val="2"/>
          <w:numId w:val="1"/>
        </w:numPr>
        <w:rPr/>
      </w:pPr>
      <w:bookmarkStart w:id="28" w:name="__RefHeading___Toc11979040_1280447820"/>
      <w:bookmarkStart w:id="29" w:name="_Toc9"/>
      <w:bookmarkEnd w:id="28"/>
      <w:r>
        <w:rPr>
          <w:rtl w:val="true"/>
        </w:rPr>
        <w:t>أوَّلًا</w:t>
      </w:r>
      <w:r>
        <w:rPr>
          <w:rtl w:val="true"/>
        </w:rPr>
        <w:t xml:space="preserve">: </w:t>
      </w:r>
      <w:r>
        <w:rPr>
          <w:rtl w:val="true"/>
        </w:rPr>
        <w:t>بناء العقلاء</w:t>
      </w:r>
      <w:bookmarkEnd w:id="29"/>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التَّكوين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الضَّروريَّات، فهي من الواضحات الَّتي لاتحتاج إلى إقامة بيِّنةٍ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أنكر القاعدة، فحكىٰ المحقِّق ثاني النَّراقيَّين قدس سرهما</w:t>
      </w:r>
      <w:r>
        <w:rPr>
          <w:rStyle w:val="FootnoteAnchor"/>
          <w:rtl w:val="true"/>
        </w:rPr>
        <w:footnoteReference w:id="9"/>
      </w:r>
      <w:r>
        <w:rPr>
          <w:rFonts w:ascii="Amiri" w:hAnsi="Amiri" w:eastAsia="Amiri" w:cs="Amiri"/>
          <w:color w:val="111111"/>
          <w:sz w:val="28"/>
          <w:sz w:val="28"/>
          <w:szCs w:val="28"/>
          <w:rtl w:val="true"/>
          <w:lang w:bidi="ar-SA"/>
        </w:rPr>
        <w:t xml:space="preserve">عن جمعٍ من المتأخِّرين أنَّها أصلٌ غير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كيحيىٰ بن سعيدٍ قدس سره</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صرَّح المحقِّق الخوانساريُّ في شرح الدُّروس بأنَّه كلامٌ خالٍ عن التَّحصيل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فنقول لزيادة الإيضاح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بحسب التَّكوين، فالقول بالتَّداخل يلزم توارُد علَّتَين</w:t>
      </w:r>
      <w:r>
        <w:rPr>
          <w:rStyle w:val="FootnoteAnchor"/>
          <w:rtl w:val="true"/>
        </w:rPr>
        <w:footnoteReference w:id="12"/>
      </w:r>
      <w:r>
        <w:rPr>
          <w:rFonts w:ascii="Amiri" w:hAnsi="Amiri" w:eastAsia="Amiri" w:cs="Amiri"/>
          <w:color w:val="111111"/>
          <w:sz w:val="28"/>
          <w:sz w:val="28"/>
          <w:szCs w:val="28"/>
          <w:rtl w:val="true"/>
          <w:lang w:bidi="ar-SA"/>
        </w:rPr>
        <w:t xml:space="preserve">مستقلَّتَين علىٰ معلولٍ واحدٍ، والتَّوارُدُ هذا 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في محلِّه من علم المعقول والحكمة </w:t>
      </w:r>
    </w:p>
    <w:p>
      <w:pPr>
        <w:pStyle w:val="BookText"/>
        <w:rPr/>
      </w:pPr>
      <w:r>
        <w:rPr>
          <w:rFonts w:ascii="Amiri" w:hAnsi="Amiri" w:eastAsia="Amiri" w:cs="Amiri"/>
          <w:color w:val="111111"/>
          <w:sz w:val="28"/>
          <w:sz w:val="28"/>
          <w:szCs w:val="28"/>
          <w:rtl w:val="true"/>
          <w:lang w:bidi="ar-SA"/>
        </w:rPr>
        <w:t>الأعلىٰ‌</w:t>
      </w:r>
      <w:r>
        <w:rPr>
          <w:rStyle w:val="FootnoteAnchor"/>
          <w:rtl w:val="true"/>
        </w:rPr>
        <w:footnoteReference w:id="13"/>
      </w:r>
      <w:r>
        <w:rPr>
          <w:rFonts w:ascii="Amiri" w:hAnsi="Amiri" w:eastAsia="Amiri" w:cs="Amiri"/>
          <w:color w:val="111111"/>
          <w:sz w:val="28"/>
          <w:sz w:val="28"/>
          <w:szCs w:val="28"/>
          <w:rtl w:val="true"/>
          <w:lang w:bidi="ar-SA"/>
        </w:rPr>
        <w:t>ونقول باختصار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هذا الحكيمُ الفقيهُ أوَّل النَّراقيَّين قدس سرهما بقوله الفصيح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فى الأسباب الواقعيَّة عدم التَّداخل وتعدُّد المسبَّبات بتعدُّدها، إذ السَّبب الواقعيُّ علَّةٌ للوجود الخارجيِّ‌، وتوارد العلل الخارجيَّة على معلولٍ واحدٍ خارجيٍّ محالٌ‌، لعدم المناسبة؛ فكلٌّ منها يستدعي معولًا بانفراده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بحسب التَّشريع، فظهورُ كلِّ شرطٍ يطلب مشروطًا، فإذن القول بالتَّداخل يحتاج إلى دليلٍ قويٍّ‌،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يطلب مشروطًا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هيهنا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وعالَم الإعتبار لايأتي فيه ما يأتي ويجري في عالَم التَّكوين، وجيمعَ ما اصطَلَحُوا عليه في الفقه وأصوله من الأسماء الحِكْمِيَّة كالمهيَّة والعلَّة والمعلول ونحو ذلك أسماءٌ لاواقع لها في الخارج، وقياس التَّكوين بالتَّشريع قياسٌ مع الفارق، وقياس السَّراب إلى الماء</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الكلام تامٌّ عرفًا في إبائه عن التَّخصيص وتقبُّلِه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إفطَرتَ عمدًا فصُمْ ستِّين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أحدَثتَ نفسَك بالحدث الأصغر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فالعرف يحكم بأنَّ كلَّ شرطٍ يفتضي جزاءً خاصًّا بحياله؛ والقول </w:t>
      </w:r>
    </w:p>
    <w:p>
      <w:pPr>
        <w:pStyle w:val="BookText"/>
        <w:rPr/>
      </w:pPr>
      <w:r>
        <w:rPr>
          <w:rFonts w:ascii="Amiri" w:hAnsi="Amiri" w:eastAsia="Amiri" w:cs="Amiri"/>
          <w:color w:val="111111"/>
          <w:sz w:val="28"/>
          <w:sz w:val="28"/>
          <w:szCs w:val="28"/>
          <w:rtl w:val="true"/>
          <w:lang w:bidi="ar-SA"/>
        </w:rPr>
        <w:t>بتداخل المسبَّبات هيهنا لاوجه 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الإتيان بواحدٍ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ليتداخل السَّبَبان علىٰ مسبَّبٍ واحدٍ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رفع اليد عن أحد الحُكمين بخصوصه، يرىٰ العرف حينئذٍ نحوَ تهافتٍ في كلامه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تداخل الأسباب والمسبَّبات في عالَمَي التَّكوين والتَّشريع أمرٌ واضحٌ‌، بل أوضح من أن يخفىٰ علىٰ أحدٍ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 فى المقام خارجٌ عن موضوع الكتاب؛ فانظر الى ما ذكرناه في علم الأصول؛ وإلى ما ذكره أعاظم الفنِّ‌، كالسَّيِّد الفقيه الكبير العلَّامة الفاني الأصفهاني قدس سره</w:t>
      </w:r>
      <w:r>
        <w:rPr>
          <w:rStyle w:val="FootnoteAnchor"/>
          <w:rtl w:val="true"/>
        </w:rPr>
        <w:footnoteReference w:id="18"/>
      </w:r>
      <w:r>
        <w:rPr>
          <w:rFonts w:ascii="Amiri" w:hAnsi="Amiri" w:eastAsia="Amiri" w:cs="Amiri"/>
          <w:color w:val="111111"/>
          <w:sz w:val="28"/>
          <w:sz w:val="28"/>
          <w:szCs w:val="28"/>
          <w:rtl w:val="true"/>
          <w:lang w:bidi="ar-SA"/>
        </w:rPr>
        <w:t>، والسَّيِّد العلَّامة القمِّي</w:t>
      </w:r>
      <w:r>
        <w:rPr>
          <w:rStyle w:val="FootnoteAnchor"/>
          <w:rtl w:val="true"/>
        </w:rPr>
        <w:footnoteReference w:id="19"/>
      </w:r>
      <w:r>
        <w:rPr>
          <w:rFonts w:ascii="Amiri" w:hAnsi="Amiri" w:eastAsia="Amiri" w:cs="Amiri"/>
          <w:color w:val="111111"/>
          <w:sz w:val="28"/>
          <w:sz w:val="28"/>
          <w:szCs w:val="28"/>
          <w:rtl w:val="true"/>
          <w:lang w:bidi="ar-SA"/>
        </w:rPr>
        <w:t>، والشَّيخ العلَّامة السُّبحاني</w:t>
      </w:r>
      <w:r>
        <w:rPr>
          <w:rStyle w:val="FootnoteAnchor"/>
          <w:rtl w:val="true"/>
        </w:rPr>
        <w:footnoteReference w:id="20"/>
      </w:r>
      <w:r>
        <w:rPr>
          <w:rFonts w:ascii="Amiri" w:hAnsi="Amiri" w:eastAsia="Amiri" w:cs="Amiri"/>
          <w:color w:val="111111"/>
          <w:sz w:val="28"/>
          <w:sz w:val="28"/>
          <w:szCs w:val="28"/>
          <w:rtl w:val="true"/>
          <w:lang w:bidi="ar-SA"/>
        </w:rPr>
        <w:t>، والشَّيخ العلَّامة الكبير الكرباسي قدس سره</w:t>
      </w:r>
      <w:r>
        <w:rPr>
          <w:rStyle w:val="FootnoteAnchor"/>
          <w:rtl w:val="true"/>
        </w:rPr>
        <w:footnoteReference w:id="21"/>
      </w:r>
      <w:r>
        <w:rPr>
          <w:rFonts w:ascii="Amiri" w:hAnsi="Amiri" w:eastAsia="Amiri" w:cs="Amiri"/>
          <w:color w:val="111111"/>
          <w:sz w:val="28"/>
          <w:sz w:val="28"/>
          <w:szCs w:val="28"/>
          <w:rtl w:val="true"/>
          <w:lang w:bidi="ar-SA"/>
        </w:rPr>
        <w:t>، والفقيه الأصولي الكبير الميرزا النَّائيني قدس سره</w:t>
      </w:r>
      <w:r>
        <w:rPr>
          <w:rStyle w:val="FootnoteAnchor"/>
          <w:rtl w:val="true"/>
        </w:rPr>
        <w:footnoteReference w:id="22"/>
      </w:r>
      <w:r>
        <w:rPr>
          <w:rFonts w:ascii="Amiri" w:hAnsi="Amiri" w:eastAsia="Amiri" w:cs="Amiri"/>
          <w:color w:val="111111"/>
          <w:sz w:val="28"/>
          <w:sz w:val="28"/>
          <w:szCs w:val="28"/>
          <w:rtl w:val="true"/>
          <w:lang w:bidi="ar-SA"/>
        </w:rPr>
        <w:t>، وفي تقريرات المحقِّق النَّجم آبادي قدس سره</w:t>
      </w:r>
      <w:r>
        <w:rPr>
          <w:rStyle w:val="FootnoteAnchor"/>
          <w:rtl w:val="true"/>
        </w:rPr>
        <w:footnoteReference w:id="23"/>
      </w:r>
      <w:r>
        <w:rPr>
          <w:rFonts w:ascii="Amiri" w:hAnsi="Amiri" w:eastAsia="Amiri" w:cs="Amiri"/>
          <w:color w:val="111111"/>
          <w:sz w:val="28"/>
          <w:sz w:val="28"/>
          <w:szCs w:val="28"/>
          <w:rtl w:val="true"/>
          <w:lang w:bidi="ar-SA"/>
        </w:rPr>
        <w:t>أيضًا، والعلَّامة الكبير الشَّيخ حسين الحلِّي قدس سره</w:t>
      </w:r>
      <w:r>
        <w:rPr>
          <w:rStyle w:val="FootnoteAnchor"/>
          <w:rtl w:val="true"/>
        </w:rPr>
        <w:footnoteReference w:id="24"/>
      </w:r>
      <w:r>
        <w:rPr>
          <w:rFonts w:ascii="IRNazanin" w:hAnsi="IRNazanin" w:eastAsia="IRNazanin"/>
          <w:color w:val="111111"/>
          <w:sz w:val="28"/>
          <w:sz w:val="28"/>
          <w:szCs w:val="28"/>
          <w:rtl w:val="true"/>
          <w:lang w:bidi="fa-IR"/>
        </w:rPr>
        <w:t xml:space="preserve">، </w:t>
      </w:r>
      <w:bookmarkStart w:id="30" w:name="pg20339_220307"/>
    </w:p>
    <w:p>
      <w:pPr>
        <w:pStyle w:val="BookText"/>
        <w:rPr/>
      </w:pPr>
      <w:bookmarkEnd w:id="30"/>
      <w:r>
        <w:rPr>
          <w:rFonts w:ascii="Amiri" w:hAnsi="Amiri" w:eastAsia="Amiri" w:cs="Amiri"/>
          <w:color w:val="111111"/>
          <w:sz w:val="28"/>
          <w:sz w:val="28"/>
          <w:szCs w:val="28"/>
          <w:rtl w:val="true"/>
          <w:lang w:bidi="ar-SA"/>
        </w:rPr>
        <w:t>والعلَّامة الفقيه الشَّهيد الصَّدر قدس سره</w:t>
      </w:r>
      <w:r>
        <w:rPr>
          <w:rStyle w:val="FootnoteAnchor"/>
          <w:rtl w:val="true"/>
        </w:rPr>
        <w:footnoteReference w:id="25"/>
      </w:r>
      <w:r>
        <w:rPr>
          <w:rFonts w:ascii="Amiri" w:hAnsi="Amiri" w:eastAsia="Amiri" w:cs="Amiri"/>
          <w:color w:val="111111"/>
          <w:sz w:val="28"/>
          <w:sz w:val="28"/>
          <w:szCs w:val="28"/>
          <w:rtl w:val="true"/>
          <w:lang w:bidi="ar-SA"/>
        </w:rPr>
        <w:t>، وغيرهم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البجنورديَّ قدس سره بحث عن صورة الشَّكِّ في حجيَّة القاعدة وعدم حجِّيَّتها</w:t>
      </w:r>
      <w:r>
        <w:rPr>
          <w:rStyle w:val="FootnoteAnchor"/>
          <w:rtl w:val="true"/>
        </w:rPr>
        <w:footnoteReference w:id="26"/>
      </w:r>
      <w:r>
        <w:rPr>
          <w:rFonts w:ascii="Amiri" w:hAnsi="Amiri" w:eastAsia="Amiri" w:cs="Amiri"/>
          <w:color w:val="111111"/>
          <w:sz w:val="28"/>
          <w:sz w:val="28"/>
          <w:szCs w:val="28"/>
          <w:rtl w:val="true"/>
          <w:lang w:bidi="ar-SA"/>
        </w:rPr>
        <w:t>، فراجع إليه إن شئتَ‌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979042_1280447820"/>
      <w:bookmarkStart w:id="32" w:name="_Toc10"/>
      <w:bookmarkEnd w:id="31"/>
      <w:r>
        <w:rPr>
          <w:rtl w:val="true"/>
        </w:rPr>
        <w:t>تنبيهٌ‌</w:t>
      </w:r>
      <w:r>
        <w:rPr>
          <w:rtl w:val="true"/>
        </w:rPr>
        <w:t>:</w:t>
      </w:r>
      <w:bookmarkEnd w:id="32"/>
    </w:p>
    <w:p>
      <w:pPr>
        <w:pStyle w:val="BookText"/>
        <w:rPr/>
      </w:pPr>
      <w:r>
        <w:rPr>
          <w:rFonts w:ascii="Amiri" w:hAnsi="Amiri" w:eastAsia="Amiri" w:cs="Amiri"/>
          <w:color w:val="111111"/>
          <w:sz w:val="28"/>
          <w:sz w:val="28"/>
          <w:szCs w:val="28"/>
          <w:rtl w:val="true"/>
          <w:lang w:bidi="ar-SA"/>
        </w:rPr>
        <w:t>قد ذُكِر في الفقه موارد كثيرةٍ يُقال فيها بوقوع التَّداخُل بين الأسباب والمسبَّبات وتخصيص القاعدة فيها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أجد في هذا العلم إلى الآنَ موردًا ينطبِقُ عليه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يقال إنَّ الحدَثَ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يتداخلان في المسبَّب، فبالغُسل يرتفع ما يترتَّب عليهما معًا؛</w:t>
      </w:r>
    </w:p>
    <w:p>
      <w:pPr>
        <w:pStyle w:val="BookText"/>
        <w:rPr/>
      </w:pPr>
      <w:r>
        <w:rPr>
          <w:rFonts w:ascii="Amiri" w:hAnsi="Amiri" w:eastAsia="Amiri" w:cs="Amiri"/>
          <w:color w:val="111111"/>
          <w:sz w:val="28"/>
          <w:sz w:val="28"/>
          <w:szCs w:val="28"/>
          <w:rtl w:val="true"/>
          <w:lang w:bidi="ar-SA"/>
        </w:rPr>
        <w:t>ولكنَّه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إذا وُجِد فلامعنىٰ لأنْ يُوجَد بعده ما يُوجِب الغسلَ أو الوضوء لمرَّةٍ ثانيَةٍ‌</w:t>
      </w:r>
      <w:r>
        <w:rPr>
          <w:rStyle w:val="FootnoteAnchor"/>
          <w:rtl w:val="true"/>
        </w:rPr>
        <w:footnoteReference w:id="28"/>
      </w:r>
      <w:r>
        <w:rPr>
          <w:rFonts w:ascii="Amiri" w:hAnsi="Amiri" w:eastAsia="Amiri" w:cs="Amiri"/>
          <w:color w:val="111111"/>
          <w:sz w:val="28"/>
          <w:sz w:val="28"/>
          <w:szCs w:val="28"/>
          <w:rtl w:val="true"/>
          <w:lang w:bidi="ar-SA"/>
        </w:rPr>
        <w:t xml:space="preserve">، فليس المثال من باب وجود سبَبَين مستقِلَّين؛ بل السَّبَبان سببٌ واحدٌ يُوجِب مسبَّبًا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الوضوء، وإمَّا الغسل؛ وقد أوضح ذلك كلَّه ثاني </w:t>
      </w:r>
      <w:bookmarkStart w:id="33" w:name="pg20339_220308"/>
    </w:p>
    <w:p>
      <w:pPr>
        <w:pStyle w:val="BookText"/>
        <w:rPr/>
      </w:pPr>
      <w:bookmarkEnd w:id="33"/>
      <w:r>
        <w:rPr>
          <w:rFonts w:ascii="Amiri" w:hAnsi="Amiri" w:eastAsia="Amiri" w:cs="Amiri"/>
          <w:color w:val="111111"/>
          <w:sz w:val="28"/>
          <w:sz w:val="28"/>
          <w:szCs w:val="28"/>
          <w:rtl w:val="true"/>
          <w:lang w:bidi="ar-SA"/>
        </w:rPr>
        <w:t>الشَّهيدين قدس سرهما بكلامٍ جامعٍ‌</w:t>
      </w:r>
      <w:r>
        <w:rPr>
          <w:rStyle w:val="FootnoteAnchor"/>
          <w:rtl w:val="true"/>
        </w:rPr>
        <w:footnoteReference w:id="29"/>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في الصَّلوة ونحوها هو الطَّهارة، وهي تحصل بوضوءٍ واحدٍ في موضِعِه، أو بغسلٍ واحدٍ كذلك؛ فإذن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يرجع إلى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الوضوء والغسل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فلاتداخل إذن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أفطر أوَّلًا فأبطل صومَه، ثمَّ أفطر ثانيًا، فهذا الثَّاني لايُؤثِّر في بطلان الصَّوم حتَّىٰ يُوجِب كفَّارةً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ذكرُوا للمقام أمثلةً أُخرىٰ‌؛</w:t>
      </w:r>
    </w:p>
    <w:p>
      <w:pPr>
        <w:pStyle w:val="BookText"/>
        <w:rPr/>
      </w:pPr>
      <w:r>
        <w:rPr>
          <w:rFonts w:ascii="Amiri" w:hAnsi="Amiri" w:eastAsia="Amiri" w:cs="Amiri"/>
          <w:color w:val="111111"/>
          <w:sz w:val="28"/>
          <w:sz w:val="28"/>
          <w:szCs w:val="28"/>
          <w:rtl w:val="true"/>
          <w:lang w:bidi="ar-SA"/>
        </w:rPr>
        <w:t>وهي كلُّها من بابٍ واحدٍ، وهو عدمُ وقوع التَّداخل فيها أصلًا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فبما أشرنا إليه في الجواب عن المثال الأوَّل يمكن لك أن تُجيبَ عن غيره من الأمثلة؛ فلانطيل الكلام بذكر الجواب عن كلِّ واحدٍ منها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979044_1280447820"/>
      <w:bookmarkStart w:id="35" w:name="_Toc11"/>
      <w:bookmarkEnd w:id="34"/>
      <w:r>
        <w:rPr>
          <w:rtl w:val="true"/>
        </w:rPr>
        <w:t>أمثلةٌ لاستعمال القاعدة في الفقه</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الشَّرائع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أسبابٌ مختلفةٌ توجِب الوضوءَ كفىٰ وضوءٌ واحدٌ بنيَّة التَّقرُّب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شرَّاح العبارة، كالشَّهيد الثَّاني قدس سرهما</w:t>
      </w:r>
      <w:r>
        <w:rPr>
          <w:rStyle w:val="FootnoteAnchor"/>
          <w:rtl w:val="true"/>
        </w:rPr>
        <w:footnoteReference w:id="31"/>
      </w:r>
      <w:r>
        <w:rPr>
          <w:rFonts w:ascii="Amiri" w:hAnsi="Amiri" w:eastAsia="Amiri" w:cs="Amiri"/>
          <w:color w:val="111111"/>
          <w:sz w:val="28"/>
          <w:sz w:val="28"/>
          <w:szCs w:val="28"/>
          <w:rtl w:val="true"/>
          <w:lang w:bidi="ar-SA"/>
        </w:rPr>
        <w:t>، والفقيه الموسويِّ العامِليِّ قدس سره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حكاه الفيضُ قدس سره</w:t>
      </w:r>
      <w:r>
        <w:rPr>
          <w:rStyle w:val="FootnoteAnchor"/>
          <w:rtl w:val="true"/>
        </w:rPr>
        <w:footnoteReference w:id="33"/>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تحريره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لواجتمعَتْ أغسالٌ واجبةٌ كفىٰ الواحد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وفي منتهاه</w:t>
      </w:r>
      <w:r>
        <w:rPr>
          <w:rStyle w:val="FootnoteAnchor"/>
          <w:rtl w:val="true"/>
        </w:rPr>
        <w:footnoteReference w:id="36"/>
      </w:r>
      <w:r>
        <w:rPr>
          <w:rFonts w:ascii="Amiri" w:hAnsi="Amiri" w:eastAsia="Amiri" w:cs="Amiri"/>
          <w:color w:val="111111"/>
          <w:sz w:val="28"/>
          <w:sz w:val="28"/>
          <w:szCs w:val="28"/>
          <w:rtl w:val="true"/>
          <w:lang w:bidi="ar-SA"/>
        </w:rPr>
        <w:t>وانظر إلى شرَّاح عبائره، كالعامليِّ قدس سره</w:t>
      </w:r>
      <w:r>
        <w:rPr>
          <w:rStyle w:val="FootnoteAnchor"/>
          <w:rtl w:val="true"/>
        </w:rPr>
        <w:footnoteReference w:id="37"/>
      </w:r>
      <w:r>
        <w:rPr>
          <w:rFonts w:ascii="Amiri" w:hAnsi="Amiri" w:eastAsia="Amiri" w:cs="Amiri"/>
          <w:color w:val="111111"/>
          <w:sz w:val="28"/>
          <w:sz w:val="28"/>
          <w:szCs w:val="28"/>
          <w:rtl w:val="true"/>
          <w:lang w:bidi="ar-SA"/>
        </w:rPr>
        <w:t>، وكاشف الغطاء الكبير قدس سره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هناك أسبابٌ عديدةٌ للغسل يكفي تيمُّمٌ واحدٌ عن الجميع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كلٌّ من السَّيِّد الحكيم قدس سره</w:t>
      </w:r>
      <w:r>
        <w:rPr>
          <w:rStyle w:val="FootnoteAnchor"/>
          <w:rtl w:val="true"/>
        </w:rPr>
        <w:footnoteReference w:id="40"/>
      </w:r>
      <w:r>
        <w:rPr>
          <w:rFonts w:ascii="Amiri" w:hAnsi="Amiri" w:eastAsia="Amiri" w:cs="Amiri"/>
          <w:color w:val="111111"/>
          <w:sz w:val="28"/>
          <w:sz w:val="28"/>
          <w:szCs w:val="28"/>
          <w:rtl w:val="true"/>
          <w:lang w:bidi="ar-SA"/>
        </w:rPr>
        <w:t>، والفقيه الآمليِّ قدس سره</w:t>
      </w:r>
      <w:r>
        <w:rPr>
          <w:rStyle w:val="FootnoteAnchor"/>
          <w:rtl w:val="true"/>
        </w:rPr>
        <w:footnoteReference w:id="41"/>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42"/>
      </w:r>
      <w:r>
        <w:rPr>
          <w:rFonts w:ascii="Amiri" w:hAnsi="Amiri" w:eastAsia="Amiri" w:cs="Amiri"/>
          <w:color w:val="111111"/>
          <w:sz w:val="28"/>
          <w:sz w:val="28"/>
          <w:szCs w:val="28"/>
          <w:rtl w:val="true"/>
          <w:lang w:bidi="ar-SA"/>
        </w:rPr>
        <w:t>، وغيرهم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الفقيه الصَّافي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العُقبىٰ‌،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بشأن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ولاتفغل عن المبنىٰ المختار الَّذي فصَّلنا الكلامَ حولَه في المتن؛ فهذه الموارد كلُّها وأمثالها تشير عندنا إلى سببٍ واحدٍ هو الأصل في المقام، والَّذي يليه لاسببيَّة له أصلًا؛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إذن وضوءٌ وغسلٌ وتيمُّمٌ واحدٌ عن جميع أسبابها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339_220312"/>
      <w:bookmarkStart w:id="37" w:name="pg20339_220312"/>
      <w:bookmarkEnd w:id="37"/>
    </w:p>
    <w:p>
      <w:pPr>
        <w:pStyle w:val="Heading2"/>
        <w:numPr>
          <w:ilvl w:val="1"/>
          <w:numId w:val="1"/>
        </w:numPr>
        <w:rPr/>
      </w:pPr>
      <w:bookmarkStart w:id="38" w:name="pg20339_220312"/>
      <w:bookmarkStart w:id="39" w:name="__RefHeading___Toc11979046_1280447820"/>
      <w:bookmarkStart w:id="40" w:name="_Toc12"/>
      <w:bookmarkEnd w:id="38"/>
      <w:bookmarkEnd w:id="39"/>
      <w:r>
        <w:rPr>
          <w:rtl w:val="true"/>
        </w:rPr>
        <w:t>[</w:t>
      </w:r>
      <w:r>
        <w:rPr/>
        <w:t>45</w:t>
      </w:r>
      <w:r>
        <w:rPr>
          <w:rtl w:val="true"/>
        </w:rPr>
        <w:t xml:space="preserve">:] </w:t>
      </w:r>
      <w:r>
        <w:rPr>
          <w:rtl w:val="true"/>
        </w:rPr>
        <w:t>قاعدة كثير الشَّكِّ‌</w:t>
      </w:r>
      <w:bookmarkEnd w:id="40"/>
    </w:p>
    <w:p>
      <w:pPr>
        <w:pStyle w:val="Heading3"/>
        <w:numPr>
          <w:ilvl w:val="2"/>
          <w:numId w:val="1"/>
        </w:numPr>
        <w:rPr/>
      </w:pPr>
      <w:bookmarkStart w:id="41" w:name="__RefHeading___Toc11979048_1280447820"/>
      <w:bookmarkStart w:id="42" w:name="_Toc13"/>
      <w:bookmarkEnd w:id="41"/>
      <w:r>
        <w:rPr>
          <w:rtl w:val="true"/>
        </w:rPr>
        <w:t>عناوين أُخرىٰ للقاعدة</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لاشكَّ لكثير الشَّكِّ‌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لاحكم للشَّكِّ مع الكثرة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حكم للسَّهو مع الكثرة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لاسهو علىٰ من كثُرَ سهوُه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3" w:name="pg20339_220313"/>
    </w:p>
    <w:p>
      <w:pPr>
        <w:pStyle w:val="BookText"/>
        <w:rPr/>
      </w:pPr>
      <w:bookmarkEnd w:id="43"/>
      <w:r>
        <w:rPr>
          <w:rFonts w:ascii="Amiri" w:hAnsi="Amiri" w:eastAsia="Amiri" w:cs="Amiri"/>
          <w:color w:val="111111"/>
          <w:sz w:val="28"/>
          <w:sz w:val="28"/>
          <w:szCs w:val="28"/>
          <w:rtl w:val="true"/>
          <w:lang w:bidi="ar-SA"/>
        </w:rPr>
        <w:t>لاسهو علىٰ من كثُرَ سهوُه وتواتر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1979050_1280447820"/>
      <w:bookmarkStart w:id="45" w:name="_Toc14"/>
      <w:bookmarkEnd w:id="44"/>
      <w:r>
        <w:rPr>
          <w:rtl w:val="true"/>
        </w:rPr>
        <w:t>توضيح مفاد القاعدة</w:t>
      </w:r>
      <w:bookmarkEnd w:id="45"/>
    </w:p>
    <w:p>
      <w:pPr>
        <w:pStyle w:val="BookText"/>
        <w:rPr/>
      </w:pPr>
      <w:r>
        <w:rPr>
          <w:rFonts w:ascii="Amiri" w:hAnsi="Amiri" w:eastAsia="Amiri" w:cs="Amiri"/>
          <w:color w:val="111111"/>
          <w:sz w:val="28"/>
          <w:sz w:val="28"/>
          <w:szCs w:val="28"/>
          <w:rtl w:val="true"/>
          <w:lang w:bidi="ar-SA"/>
        </w:rPr>
        <w:t>توضيح مفاد القاعدة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أجمع الأصحابُ علىٰ أنَّ مَن كثُرَ شكُّه في صلوته فلا اعتبار بشكِّه هذا، وعليه أن لايلتفت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كما عن الأعلام بأجمعهم، كالمحقِّق قدس سره</w:t>
      </w:r>
      <w:r>
        <w:rPr>
          <w:rStyle w:val="FootnoteAnchor"/>
          <w:rtl w:val="true"/>
        </w:rPr>
        <w:footnoteReference w:id="49"/>
      </w:r>
      <w:r>
        <w:rPr>
          <w:rFonts w:ascii="Amiri" w:hAnsi="Amiri" w:eastAsia="Amiri" w:cs="Amiri"/>
          <w:color w:val="111111"/>
          <w:sz w:val="28"/>
          <w:sz w:val="28"/>
          <w:szCs w:val="28"/>
          <w:rtl w:val="true"/>
          <w:lang w:bidi="ar-SA"/>
        </w:rPr>
        <w:t>، والعلَّامة قدس سره</w:t>
      </w:r>
      <w:r>
        <w:rPr>
          <w:rStyle w:val="FootnoteAnchor"/>
          <w:rtl w:val="true"/>
        </w:rPr>
        <w:footnoteReference w:id="50"/>
      </w:r>
      <w:r>
        <w:rPr>
          <w:rFonts w:ascii="Amiri" w:hAnsi="Amiri" w:eastAsia="Amiri" w:cs="Amiri"/>
          <w:color w:val="111111"/>
          <w:sz w:val="28"/>
          <w:sz w:val="28"/>
          <w:szCs w:val="28"/>
          <w:rtl w:val="true"/>
          <w:lang w:bidi="ar-SA"/>
        </w:rPr>
        <w:t>، وفي منتهاه</w:t>
      </w:r>
      <w:r>
        <w:rPr>
          <w:rStyle w:val="FootnoteAnchor"/>
          <w:rtl w:val="true"/>
        </w:rPr>
        <w:footnoteReference w:id="51"/>
      </w:r>
      <w:r>
        <w:rPr>
          <w:rFonts w:ascii="Amiri" w:hAnsi="Amiri" w:eastAsia="Amiri" w:cs="Amiri"/>
          <w:color w:val="111111"/>
          <w:sz w:val="28"/>
          <w:sz w:val="28"/>
          <w:szCs w:val="28"/>
          <w:rtl w:val="true"/>
          <w:lang w:bidi="ar-SA"/>
        </w:rPr>
        <w:t>، وأوَّل الشَّهيدين قدس سرهما</w:t>
      </w:r>
      <w:r>
        <w:rPr>
          <w:rStyle w:val="FootnoteAnchor"/>
          <w:rtl w:val="true"/>
        </w:rPr>
        <w:footnoteReference w:id="52"/>
      </w:r>
      <w:r>
        <w:rPr>
          <w:rFonts w:ascii="Amiri" w:hAnsi="Amiri" w:eastAsia="Amiri" w:cs="Amiri"/>
          <w:color w:val="111111"/>
          <w:sz w:val="28"/>
          <w:sz w:val="28"/>
          <w:szCs w:val="28"/>
          <w:rtl w:val="true"/>
          <w:lang w:bidi="ar-SA"/>
        </w:rPr>
        <w:t>، وابن أبي طيٍّ قدس سره</w:t>
      </w:r>
      <w:r>
        <w:rPr>
          <w:rStyle w:val="FootnoteAnchor"/>
          <w:rtl w:val="true"/>
        </w:rPr>
        <w:footnoteReference w:id="53"/>
      </w:r>
      <w:r>
        <w:rPr>
          <w:rFonts w:ascii="Amiri" w:hAnsi="Amiri" w:eastAsia="Amiri" w:cs="Amiri"/>
          <w:color w:val="111111"/>
          <w:sz w:val="28"/>
          <w:sz w:val="28"/>
          <w:szCs w:val="28"/>
          <w:rtl w:val="true"/>
          <w:lang w:bidi="ar-SA"/>
        </w:rPr>
        <w:t>، والصَّيمريِّ قدس سره</w:t>
      </w:r>
      <w:r>
        <w:rPr>
          <w:rStyle w:val="FootnoteAnchor"/>
          <w:rtl w:val="true"/>
        </w:rPr>
        <w:footnoteReference w:id="54"/>
      </w:r>
      <w:r>
        <w:rPr>
          <w:rFonts w:ascii="Amiri" w:hAnsi="Amiri" w:eastAsia="Amiri" w:cs="Amiri"/>
          <w:color w:val="111111"/>
          <w:sz w:val="28"/>
          <w:sz w:val="28"/>
          <w:szCs w:val="28"/>
          <w:rtl w:val="true"/>
          <w:lang w:bidi="ar-SA"/>
        </w:rPr>
        <w:t>، والفيض قدس سره</w:t>
      </w:r>
      <w:r>
        <w:rPr>
          <w:rStyle w:val="FootnoteAnchor"/>
          <w:rtl w:val="true"/>
        </w:rPr>
        <w:footnoteReference w:id="55"/>
      </w:r>
      <w:r>
        <w:rPr>
          <w:rFonts w:ascii="Amiri" w:hAnsi="Amiri" w:eastAsia="Amiri" w:cs="Amiri"/>
          <w:color w:val="111111"/>
          <w:sz w:val="28"/>
          <w:sz w:val="28"/>
          <w:szCs w:val="28"/>
          <w:rtl w:val="true"/>
          <w:lang w:bidi="ar-SA"/>
        </w:rPr>
        <w:t>، وفي مفاتيحه</w:t>
      </w:r>
      <w:r>
        <w:rPr>
          <w:rStyle w:val="FootnoteAnchor"/>
          <w:rtl w:val="true"/>
        </w:rPr>
        <w:footnoteReference w:id="56"/>
      </w:r>
      <w:r>
        <w:rPr>
          <w:rFonts w:ascii="IRNazanin" w:hAnsi="IRNazanin" w:eastAsia="IRNazanin"/>
          <w:color w:val="111111"/>
          <w:sz w:val="28"/>
          <w:sz w:val="28"/>
          <w:szCs w:val="28"/>
          <w:rtl w:val="true"/>
          <w:lang w:bidi="fa-IR"/>
        </w:rPr>
        <w:t>، وصاحب الحدائق قدس سره</w:t>
      </w:r>
      <w:r>
        <w:rPr>
          <w:rStyle w:val="FootnoteAnchor"/>
          <w:rtl w:val="true"/>
        </w:rPr>
        <w:footnoteReference w:id="57"/>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حسن بن الشَّيخ جعفر الكبير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 الشَّكِّ لايلتفِتُ إلى </w:t>
      </w:r>
      <w:bookmarkStart w:id="46" w:name="pg20339_220314"/>
    </w:p>
    <w:p>
      <w:pPr>
        <w:pStyle w:val="BookText"/>
        <w:rPr/>
      </w:pPr>
      <w:bookmarkEnd w:id="46"/>
      <w:r>
        <w:rPr>
          <w:rFonts w:ascii="Amiri" w:hAnsi="Amiri" w:eastAsia="Amiri" w:cs="Amiri"/>
          <w:color w:val="111111"/>
          <w:sz w:val="28"/>
          <w:sz w:val="28"/>
          <w:szCs w:val="28"/>
          <w:rtl w:val="true"/>
          <w:lang w:bidi="ar-SA"/>
        </w:rPr>
        <w:t>شكِّه إذا صدَق عليه في العرف ذلك، لفتوىٰ الأصحاب</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وكلامه هذا يشير إلى نقل الإجماع، أو الشُّهرة البالغة بينهم؛</w:t>
      </w:r>
    </w:p>
    <w:p>
      <w:pPr>
        <w:pStyle w:val="BookText"/>
        <w:rPr/>
      </w:pPr>
      <w:r>
        <w:rPr>
          <w:rFonts w:ascii="Amiri" w:hAnsi="Amiri" w:eastAsia="Amiri" w:cs="Amiri"/>
          <w:color w:val="111111"/>
          <w:sz w:val="28"/>
          <w:sz w:val="28"/>
          <w:szCs w:val="28"/>
          <w:rtl w:val="true"/>
          <w:lang w:bidi="ar-SA"/>
        </w:rPr>
        <w:t>وقدادَّعىٰ الإجماعَ صريحًا في ذلك الوحيدُ الفريد قدس سره</w:t>
      </w:r>
      <w:r>
        <w:rPr>
          <w:rStyle w:val="FootnoteAnchor"/>
          <w:rtl w:val="true"/>
        </w:rPr>
        <w:footnoteReference w:id="59"/>
      </w:r>
      <w:r>
        <w:rPr>
          <w:rFonts w:ascii="Amiri" w:hAnsi="Amiri" w:eastAsia="Amiri" w:cs="Amiri"/>
          <w:color w:val="111111"/>
          <w:sz w:val="28"/>
          <w:sz w:val="28"/>
          <w:szCs w:val="28"/>
          <w:rtl w:val="true"/>
          <w:lang w:bidi="ar-SA"/>
        </w:rPr>
        <w:t>، وصاحب الرِّياض قدس سره</w:t>
      </w:r>
      <w:r>
        <w:rPr>
          <w:rStyle w:val="FootnoteAnchor"/>
          <w:rtl w:val="true"/>
        </w:rPr>
        <w:footnoteReference w:id="60"/>
      </w:r>
      <w:r>
        <w:rPr>
          <w:rFonts w:ascii="Amiri" w:hAnsi="Amiri" w:eastAsia="Amiri" w:cs="Amiri"/>
          <w:color w:val="111111"/>
          <w:sz w:val="28"/>
          <w:sz w:val="28"/>
          <w:szCs w:val="28"/>
          <w:rtl w:val="true"/>
          <w:lang w:bidi="ar-SA"/>
        </w:rPr>
        <w:t>، وابن زهرة قدس سره</w:t>
      </w:r>
      <w:r>
        <w:rPr>
          <w:rStyle w:val="FootnoteAnchor"/>
          <w:rtl w:val="true"/>
        </w:rPr>
        <w:footnoteReference w:id="61"/>
      </w:r>
      <w:r>
        <w:rPr>
          <w:rFonts w:ascii="Amiri" w:hAnsi="Amiri" w:eastAsia="Amiri" w:cs="Amiri"/>
          <w:color w:val="111111"/>
          <w:sz w:val="28"/>
          <w:sz w:val="28"/>
          <w:szCs w:val="28"/>
          <w:rtl w:val="true"/>
          <w:lang w:bidi="ar-SA"/>
        </w:rPr>
        <w:t>، والمحقِّق القمِّي قدس سره</w:t>
      </w:r>
      <w:r>
        <w:rPr>
          <w:rStyle w:val="FootnoteAnchor"/>
          <w:rtl w:val="true"/>
        </w:rPr>
        <w:footnoteReference w:id="62"/>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ونقل السَّيِّد الأستاذ الفقيه البروجرديُّ قدس سره عن السَّيِّد بحرالعلوم قدس سره أنَّه من المسلَّمات، بل الضَّروريَّات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1979052_1280447820"/>
      <w:bookmarkStart w:id="48" w:name="_Toc15"/>
      <w:bookmarkEnd w:id="47"/>
      <w:r>
        <w:rPr>
          <w:rtl w:val="true"/>
        </w:rPr>
        <w:t>مدركُ القاعدة</w:t>
      </w:r>
      <w:bookmarkEnd w:id="48"/>
    </w:p>
    <w:p>
      <w:pPr>
        <w:pStyle w:val="Heading4"/>
        <w:numPr>
          <w:ilvl w:val="3"/>
          <w:numId w:val="1"/>
        </w:numPr>
        <w:rPr/>
      </w:pPr>
      <w:bookmarkStart w:id="49" w:name="__RefHeading___Toc11979054_1280447820"/>
      <w:bookmarkStart w:id="50" w:name="_Toc16"/>
      <w:bookmarkEnd w:id="49"/>
      <w:r>
        <w:rPr>
          <w:rtl w:val="true"/>
        </w:rPr>
        <w:t>أوَّلًا</w:t>
      </w:r>
      <w:r>
        <w:rPr>
          <w:rtl w:val="true"/>
        </w:rPr>
        <w:t xml:space="preserve">: </w:t>
      </w:r>
      <w:r>
        <w:rPr>
          <w:rtl w:val="true"/>
        </w:rPr>
        <w:t>السُّنَّة</w:t>
      </w:r>
      <w:bookmarkEnd w:id="50"/>
    </w:p>
    <w:p>
      <w:pPr>
        <w:pStyle w:val="BookText"/>
        <w:rPr/>
      </w:pPr>
      <w:r>
        <w:rPr>
          <w:rFonts w:ascii="Amiri" w:hAnsi="Amiri" w:eastAsia="Amiri" w:cs="Amiri"/>
          <w:color w:val="111111"/>
          <w:sz w:val="28"/>
          <w:sz w:val="28"/>
          <w:szCs w:val="28"/>
          <w:rtl w:val="true"/>
          <w:lang w:bidi="ar-SA"/>
        </w:rPr>
        <w:t>قد وردتْ هيهنا رواياتٌ كثيرةٌ ذكرَها صاحبُ الوسائل قدس سره في الباب السَّادس عشر من أبواب الخَلَل في الصَّلوة</w:t>
      </w:r>
      <w:r>
        <w:rPr>
          <w:rStyle w:val="FootnoteAnchor"/>
          <w:rtl w:val="true"/>
        </w:rPr>
        <w:footnoteReference w:id="65"/>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66"/>
      </w:r>
      <w:r>
        <w:rPr>
          <w:rFonts w:ascii="Amiri" w:hAnsi="Amiri" w:eastAsia="Amiri" w:cs="Amiri"/>
          <w:color w:val="111111"/>
          <w:sz w:val="28"/>
          <w:sz w:val="28"/>
          <w:szCs w:val="28"/>
          <w:rtl w:val="true"/>
          <w:lang w:bidi="ar-SA"/>
        </w:rPr>
        <w:t>، ورواه أيضًا الكلينيُّ قدس سره</w:t>
      </w:r>
      <w:r>
        <w:rPr>
          <w:rStyle w:val="FootnoteAnchor"/>
          <w:rtl w:val="true"/>
        </w:rPr>
        <w:footnoteReference w:id="67"/>
      </w:r>
      <w:r>
        <w:rPr>
          <w:rFonts w:ascii="Amiri" w:hAnsi="Amiri" w:eastAsia="Amiri" w:cs="Amiri"/>
          <w:color w:val="111111"/>
          <w:sz w:val="28"/>
          <w:sz w:val="28"/>
          <w:szCs w:val="28"/>
          <w:rtl w:val="true"/>
          <w:lang w:bidi="ar-SA"/>
        </w:rPr>
        <w:t>، والصَّدوق قدس سره</w:t>
      </w:r>
      <w:r>
        <w:rPr>
          <w:rStyle w:val="FootnoteAnchor"/>
          <w:rtl w:val="true"/>
        </w:rPr>
        <w:footnoteReference w:id="68"/>
      </w:r>
      <w:r>
        <w:rPr>
          <w:rFonts w:ascii="Amiri" w:hAnsi="Amiri" w:eastAsia="Amiri" w:cs="Amiri"/>
          <w:color w:val="111111"/>
          <w:sz w:val="28"/>
          <w:sz w:val="28"/>
          <w:szCs w:val="28"/>
          <w:rtl w:val="true"/>
          <w:lang w:bidi="ar-SA"/>
        </w:rPr>
        <w:t>، والشَّيخ قدس سره</w:t>
      </w:r>
      <w:r>
        <w:rPr>
          <w:rStyle w:val="FootnoteAnchor"/>
          <w:rtl w:val="true"/>
        </w:rPr>
        <w:footnoteReference w:id="69"/>
      </w:r>
      <w:r>
        <w:rPr>
          <w:rFonts w:ascii="IRNazanin" w:hAnsi="IRNazanin" w:eastAsia="IRNazanin"/>
          <w:color w:val="111111"/>
          <w:sz w:val="28"/>
          <w:sz w:val="28"/>
          <w:szCs w:val="28"/>
          <w:rtl w:val="true"/>
          <w:lang w:bidi="fa-IR"/>
        </w:rPr>
        <w:t xml:space="preserve">، </w:t>
      </w:r>
      <w:bookmarkStart w:id="51" w:name="pg20339_220315"/>
    </w:p>
    <w:p>
      <w:pPr>
        <w:pStyle w:val="BookText"/>
        <w:rPr/>
      </w:pPr>
      <w:bookmarkEnd w:id="51"/>
      <w:r>
        <w:rPr>
          <w:rFonts w:ascii="Amiri" w:hAnsi="Amiri" w:eastAsia="Amiri" w:cs="Amiri"/>
          <w:color w:val="111111"/>
          <w:sz w:val="28"/>
          <w:sz w:val="28"/>
          <w:szCs w:val="28"/>
          <w:rtl w:val="true"/>
          <w:lang w:bidi="ar-SA"/>
        </w:rPr>
        <w:t>وغيرهم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صلواتك، فإنَّه يُوشِك أن يَدَعَك إنَّما هو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 كما صحَّحه ثاني الشَّهيدين قدس سرهما</w:t>
      </w:r>
      <w:r>
        <w:rPr>
          <w:rStyle w:val="FootnoteAnchor"/>
          <w:rtl w:val="true"/>
        </w:rPr>
        <w:footnoteReference w:id="70"/>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71"/>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72"/>
      </w:r>
      <w:r>
        <w:rPr>
          <w:rFonts w:ascii="Amiri" w:hAnsi="Amiri" w:eastAsia="Amiri" w:cs="Amiri"/>
          <w:color w:val="111111"/>
          <w:sz w:val="28"/>
          <w:sz w:val="28"/>
          <w:szCs w:val="28"/>
          <w:rtl w:val="true"/>
          <w:lang w:bidi="ar-SA"/>
        </w:rPr>
        <w:t>، كغيرهم الكثيرين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979056_1280447820"/>
      <w:bookmarkStart w:id="53" w:name="_Toc17"/>
      <w:bookmarkEnd w:id="52"/>
      <w:r>
        <w:rPr>
          <w:rtl w:val="true"/>
        </w:rPr>
        <w:t>ثانيًا</w:t>
      </w:r>
      <w:r>
        <w:rPr>
          <w:rtl w:val="true"/>
        </w:rPr>
        <w:t xml:space="preserve">: </w:t>
      </w:r>
      <w:r>
        <w:rPr>
          <w:rtl w:val="true"/>
        </w:rPr>
        <w:t>الإجماع</w:t>
      </w:r>
      <w:bookmarkEnd w:id="53"/>
    </w:p>
    <w:p>
      <w:pPr>
        <w:pStyle w:val="BookText"/>
        <w:rPr/>
      </w:pPr>
      <w:r>
        <w:rPr>
          <w:rFonts w:ascii="Amiri" w:hAnsi="Amiri" w:eastAsia="Amiri" w:cs="Amiri"/>
          <w:color w:val="111111"/>
          <w:sz w:val="28"/>
          <w:sz w:val="28"/>
          <w:szCs w:val="28"/>
          <w:rtl w:val="true"/>
          <w:lang w:bidi="ar-SA"/>
        </w:rPr>
        <w:t>وقد اُستُدلَّ بالإجماع أيضًا في المقام</w:t>
      </w:r>
      <w:r>
        <w:rPr>
          <w:rStyle w:val="FootnoteAnchor"/>
          <w:rtl w:val="true"/>
        </w:rPr>
        <w:footnoteReference w:id="73"/>
      </w:r>
      <w:r>
        <w:rPr>
          <w:rFonts w:ascii="Amiri" w:hAnsi="Amiri" w:eastAsia="Amiri" w:cs="Amiri"/>
          <w:color w:val="111111"/>
          <w:sz w:val="28"/>
          <w:sz w:val="28"/>
          <w:szCs w:val="28"/>
          <w:rtl w:val="true"/>
          <w:lang w:bidi="ar-SA"/>
        </w:rPr>
        <w:t>، لكن لاعبرة به بعد وفور الأحاديث في الباب، فهو مقطوع المدركيَّة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979058_1280447820"/>
      <w:bookmarkStart w:id="55" w:name="_Toc18"/>
      <w:bookmarkEnd w:id="54"/>
      <w:r>
        <w:rPr>
          <w:rtl w:val="true"/>
        </w:rPr>
        <w:t>تنبيهاتٌ‌</w:t>
      </w:r>
      <w:r>
        <w:rPr>
          <w:rtl w:val="true"/>
        </w:rPr>
        <w:t>:</w:t>
      </w:r>
      <w:bookmarkEnd w:id="55"/>
    </w:p>
    <w:p>
      <w:pPr>
        <w:pStyle w:val="Heading4"/>
        <w:numPr>
          <w:ilvl w:val="3"/>
          <w:numId w:val="1"/>
        </w:numPr>
        <w:rPr/>
      </w:pPr>
      <w:bookmarkStart w:id="56" w:name="__RefHeading___Toc11979060_1280447820"/>
      <w:bookmarkStart w:id="57" w:name="_Toc19"/>
      <w:bookmarkEnd w:id="56"/>
      <w:r>
        <w:rPr>
          <w:rtl w:val="true"/>
        </w:rPr>
        <w:t>التَّنبيه الأوَّل</w:t>
      </w:r>
      <w:r>
        <w:rPr>
          <w:rtl w:val="true"/>
        </w:rPr>
        <w:t>:</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الحكم المستفاد من هذه القاعدة ليس حكمًا تعبُّديًّا صرفًا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58" w:name="pg20339_220316"/>
    </w:p>
    <w:p>
      <w:pPr>
        <w:pStyle w:val="BookText"/>
        <w:rPr/>
      </w:pPr>
      <w:bookmarkEnd w:id="58"/>
      <w:r>
        <w:rPr>
          <w:rFonts w:ascii="Amiri" w:hAnsi="Amiri" w:eastAsia="Amiri" w:cs="Amiri"/>
          <w:color w:val="111111"/>
          <w:sz w:val="28"/>
          <w:sz w:val="28"/>
          <w:szCs w:val="28"/>
          <w:rtl w:val="true"/>
          <w:lang w:bidi="ar-SA"/>
        </w:rPr>
        <w:t>يظهر من كلمات الأصحاب</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أمرٌ عقليٌّ‌، لأنَّ من كَثُر عليه الشَّكُّ فالكثرة هذه تدلُّ علىٰ كونه مريضًا مبتلىً بمرض الوسواس، فيصير ذلك خُلقًا ثانويًّا وعادةً له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وحيث إنَّ الاِعتناء بالشَّكِّ يوجب إزدياده حتَّى يصل به حدَّ الجنون، فالعقل يحكم بعدم الاِعتناء به والمضيِ عليه حتَّى ينجو من هذا المرض، لأنَّه لاسبيل إلى النَّجاة من الوسواس إلَّابتركه بعدم الاِعتناء به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أشرنا إليه آنفًا من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واضحةٌ إلى هذا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979062_1280447820"/>
      <w:bookmarkStart w:id="60" w:name="_Toc20"/>
      <w:bookmarkEnd w:id="59"/>
      <w:r>
        <w:rPr>
          <w:rtl w:val="true"/>
        </w:rPr>
        <w:t>التَّنبيه الثَّاني</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ذكرنا ظهَر أنَّ القاعدةَ لاتختصُّ بالصَّلوة فقط</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من كلمات بعضٍ من الأصحاب؛ وانظر إلى حواشي السَّيِّد المحقِّق الخوئي قدس سره علىٰ صراط النِّجاة</w:t>
      </w:r>
      <w:r>
        <w:rPr>
          <w:rStyle w:val="FootnoteAnchor"/>
          <w:rtl w:val="true"/>
        </w:rPr>
        <w:footnoteReference w:id="79"/>
      </w:r>
      <w:r>
        <w:rPr>
          <w:rFonts w:ascii="Amiri" w:hAnsi="Amiri" w:eastAsia="Amiri" w:cs="Amiri"/>
          <w:color w:val="111111"/>
          <w:sz w:val="28"/>
          <w:sz w:val="28"/>
          <w:szCs w:val="28"/>
          <w:rtl w:val="true"/>
          <w:lang w:bidi="ar-SA"/>
        </w:rPr>
        <w:t xml:space="preserve">، فإنَّه قدس سره قيَّد أثر كثرة الشَّكِّ في غير ركعات الصَّلاة ببلوغها حدَّ الوسواس؛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لااعتبار بها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تجري في مقدَّمات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والغسل، كما أشار إليه البحرانيُّ قدس سره</w:t>
      </w:r>
      <w:r>
        <w:rPr>
          <w:rStyle w:val="FootnoteAnchor"/>
          <w:rtl w:val="true"/>
        </w:rPr>
        <w:footnoteReference w:id="80"/>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81"/>
      </w:r>
      <w:r>
        <w:rPr>
          <w:rFonts w:ascii="Amiri" w:hAnsi="Amiri" w:eastAsia="Amiri" w:cs="Amiri"/>
          <w:color w:val="111111"/>
          <w:sz w:val="28"/>
          <w:sz w:val="28"/>
          <w:szCs w:val="28"/>
          <w:rtl w:val="true"/>
          <w:lang w:bidi="ar-SA"/>
        </w:rPr>
        <w:t>، والسَّيِّد المحقِّق الخوئي قدس سره</w:t>
      </w:r>
      <w:r>
        <w:rPr>
          <w:rStyle w:val="FootnoteAnchor"/>
          <w:rtl w:val="true"/>
        </w:rPr>
        <w:footnoteReference w:id="82"/>
      </w:r>
      <w:r>
        <w:rPr>
          <w:rFonts w:ascii="Amiri" w:hAnsi="Amiri" w:eastAsia="Amiri" w:cs="Amiri"/>
          <w:color w:val="111111"/>
          <w:sz w:val="28"/>
          <w:sz w:val="28"/>
          <w:szCs w:val="28"/>
          <w:rtl w:val="true"/>
          <w:lang w:bidi="ar-SA"/>
        </w:rPr>
        <w:t>بل نسب القولَ باتِّحاد حكم الوضوء والصَّلاة في الشَّكِّ الفقيهُ الشَّيخُ عبَّاس آل كاشف الغطاء قدس سره إلى الأكثر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خلافًا لبعضهم</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غيرها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والحجِّ‌، كما نصَّ عليه الشَّيخ حسن بن جعفر كاشف الغطاء قدس سره</w:t>
      </w:r>
      <w:r>
        <w:rPr>
          <w:rStyle w:val="FootnoteAnchor"/>
          <w:rtl w:val="true"/>
        </w:rPr>
        <w:footnoteReference w:id="85"/>
      </w:r>
      <w:r>
        <w:rPr>
          <w:rFonts w:ascii="Amiri" w:hAnsi="Amiri" w:eastAsia="Amiri" w:cs="Amiri"/>
          <w:color w:val="111111"/>
          <w:sz w:val="28"/>
          <w:sz w:val="28"/>
          <w:szCs w:val="28"/>
          <w:rtl w:val="true"/>
          <w:lang w:bidi="ar-SA"/>
        </w:rPr>
        <w:t>، والفقيه الكبير الشَّيخ حسين الحلِّي قدس سره</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تجري في جميع الأفعال، عباديَّةً كانت أو غير عباديَّةٍ‌،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أو من حقوق النَّاس، وفاقًا لبعض الأعلام</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الفقهيَّة،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هذا ما رواه الكلينيُّ قدس سره</w:t>
      </w:r>
      <w:r>
        <w:rPr>
          <w:rStyle w:val="FootnoteAnchor"/>
          <w:rtl w:val="true"/>
        </w:rPr>
        <w:footnoteReference w:id="88"/>
      </w:r>
      <w:r>
        <w:rPr>
          <w:rFonts w:ascii="Amiri" w:hAnsi="Amiri" w:eastAsia="Amiri" w:cs="Amiri"/>
          <w:color w:val="111111"/>
          <w:sz w:val="28"/>
          <w:sz w:val="28"/>
          <w:szCs w:val="28"/>
          <w:rtl w:val="true"/>
          <w:lang w:bidi="ar-SA"/>
        </w:rPr>
        <w:t>، والفيض قدس سره</w:t>
      </w:r>
      <w:r>
        <w:rPr>
          <w:rStyle w:val="FootnoteAnchor"/>
          <w:rtl w:val="true"/>
        </w:rPr>
        <w:footnoteReference w:id="89"/>
      </w:r>
      <w:r>
        <w:rPr>
          <w:rFonts w:ascii="Amiri" w:hAnsi="Amiri" w:eastAsia="Amiri" w:cs="Amiri"/>
          <w:color w:val="111111"/>
          <w:sz w:val="28"/>
          <w:sz w:val="28"/>
          <w:szCs w:val="28"/>
          <w:rtl w:val="true"/>
          <w:lang w:bidi="ar-SA"/>
        </w:rPr>
        <w:t>، والحرُّ قدس سره</w:t>
      </w:r>
      <w:r>
        <w:rPr>
          <w:rStyle w:val="FootnoteAnchor"/>
          <w:rtl w:val="true"/>
        </w:rPr>
        <w:footnoteReference w:id="90"/>
      </w:r>
      <w:r>
        <w:rPr>
          <w:rFonts w:ascii="Amiri" w:hAnsi="Amiri" w:eastAsia="Amiri" w:cs="Amiri"/>
          <w:color w:val="111111"/>
          <w:sz w:val="28"/>
          <w:sz w:val="28"/>
          <w:szCs w:val="28"/>
          <w:rtl w:val="true"/>
          <w:lang w:bidi="ar-SA"/>
        </w:rPr>
        <w:t xml:space="preserve">، وغيرهم </w:t>
      </w:r>
      <w:bookmarkStart w:id="61" w:name="pg20339_220318"/>
    </w:p>
    <w:p>
      <w:pPr>
        <w:pStyle w:val="BookText"/>
        <w:rPr/>
      </w:pPr>
      <w:bookmarkEnd w:id="61"/>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مبتلىً بالوضوء والصَّلوة، وقلتُ هو رجلٌ عاقلٌ‌،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له وهو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 كما صحَّحه ثاني النَّراقيَّين قدس سره</w:t>
      </w:r>
      <w:r>
        <w:rPr>
          <w:rStyle w:val="FootnoteAnchor"/>
          <w:rtl w:val="true"/>
        </w:rPr>
        <w:footnoteReference w:id="91"/>
      </w:r>
      <w:r>
        <w:rPr>
          <w:rFonts w:ascii="Amiri" w:hAnsi="Amiri" w:eastAsia="Amiri" w:cs="Amiri"/>
          <w:color w:val="111111"/>
          <w:sz w:val="28"/>
          <w:sz w:val="28"/>
          <w:szCs w:val="28"/>
          <w:rtl w:val="true"/>
          <w:lang w:bidi="ar-SA"/>
        </w:rPr>
        <w:t>، والمدقِّق الأصفهاني قدس سره</w:t>
      </w:r>
      <w:r>
        <w:rPr>
          <w:rStyle w:val="FootnoteAnchor"/>
          <w:rtl w:val="true"/>
        </w:rPr>
        <w:footnoteReference w:id="92"/>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93"/>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1979064_1280447820"/>
      <w:bookmarkStart w:id="63" w:name="_Toc21"/>
      <w:bookmarkEnd w:id="62"/>
      <w:r>
        <w:rPr>
          <w:rtl w:val="true"/>
        </w:rPr>
        <w:t>التَّنبيه الثَّالث</w:t>
      </w:r>
      <w:r>
        <w:rPr>
          <w:rtl w:val="true"/>
        </w:rPr>
        <w:t>:</w:t>
      </w:r>
      <w:bookmarkEnd w:id="63"/>
    </w:p>
    <w:p>
      <w:pPr>
        <w:pStyle w:val="BookText"/>
        <w:rPr/>
      </w:pPr>
      <w:r>
        <w:rPr>
          <w:rFonts w:ascii="Amiri" w:hAnsi="Amiri" w:eastAsia="Amiri" w:cs="Amiri"/>
          <w:color w:val="111111"/>
          <w:sz w:val="28"/>
          <w:sz w:val="28"/>
          <w:szCs w:val="28"/>
          <w:rtl w:val="true"/>
          <w:lang w:bidi="ar-SA"/>
        </w:rPr>
        <w:t>هل يجب علىٰ كثير الشَّكِّ البناءُ علىٰ وجود المشكوك فيه ثمَّ المضي عليه كأنَّه فعَلَه‌؟، أم هو مخيَّرٌ بين البِناء علىٰ الأقلِّ وبين البناء علىٰ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شكَّ في أنَّه سجَدَ؟ أم لا؟ قبل أن يتشهَّد، فعليه أن يبني علىٰ فِعلِ السُّجود كمَن تجاوَز عن موضع السُّجود؟، أم هو مخيَّرٌ بين البِناء علىٰ الأقلِّ فيسجد حينئذٍ، أو البناء علىٰ الأكثر فلايسجد، بل يمضي في صلوته فيتشهَّد؟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صاحبُ الجواهر قدس سره</w:t>
      </w:r>
      <w:r>
        <w:rPr>
          <w:rStyle w:val="FootnoteAnchor"/>
          <w:rtl w:val="true"/>
        </w:rPr>
        <w:footnoteReference w:id="95"/>
      </w:r>
      <w:r>
        <w:rPr>
          <w:rFonts w:ascii="Amiri" w:hAnsi="Amiri" w:eastAsia="Amiri" w:cs="Amiri"/>
          <w:color w:val="111111"/>
          <w:sz w:val="28"/>
          <w:sz w:val="28"/>
          <w:szCs w:val="28"/>
          <w:rtl w:val="true"/>
          <w:lang w:bidi="ar-SA"/>
        </w:rPr>
        <w:t>عن الفقهاء الكِبار الشَّهيد الأوَّل قدس سره</w:t>
      </w:r>
      <w:r>
        <w:rPr>
          <w:rStyle w:val="FootnoteAnchor"/>
          <w:rtl w:val="true"/>
        </w:rPr>
        <w:footnoteReference w:id="96"/>
      </w:r>
      <w:r>
        <w:rPr>
          <w:rFonts w:ascii="Amiri" w:hAnsi="Amiri" w:eastAsia="Amiri" w:cs="Amiri"/>
          <w:color w:val="111111"/>
          <w:sz w:val="28"/>
          <w:sz w:val="28"/>
          <w:szCs w:val="28"/>
          <w:rtl w:val="true"/>
          <w:lang w:bidi="ar-SA"/>
        </w:rPr>
        <w:t xml:space="preserve">والمحقِّق </w:t>
      </w:r>
    </w:p>
    <w:p>
      <w:pPr>
        <w:pStyle w:val="BookText"/>
        <w:rPr/>
      </w:pPr>
      <w:r>
        <w:rPr>
          <w:rFonts w:ascii="Amiri" w:hAnsi="Amiri" w:eastAsia="Amiri" w:cs="Amiri"/>
          <w:color w:val="111111"/>
          <w:sz w:val="28"/>
          <w:sz w:val="28"/>
          <w:szCs w:val="28"/>
          <w:rtl w:val="true"/>
          <w:lang w:bidi="ar-SA"/>
        </w:rPr>
        <w:t>الثَّاني قدس سره</w:t>
      </w:r>
      <w:r>
        <w:rPr>
          <w:rStyle w:val="FootnoteAnchor"/>
          <w:rtl w:val="true"/>
        </w:rPr>
        <w:footnoteReference w:id="97"/>
      </w:r>
      <w:r>
        <w:rPr>
          <w:rFonts w:ascii="Amiri" w:hAnsi="Amiri" w:eastAsia="Amiri" w:cs="Amiri"/>
          <w:color w:val="111111"/>
          <w:sz w:val="28"/>
          <w:sz w:val="28"/>
          <w:szCs w:val="28"/>
          <w:rtl w:val="true"/>
          <w:lang w:bidi="ar-SA"/>
        </w:rPr>
        <w:t>والمحقِّق المقدَّس الأردبيليِّ قدس سره القولَ بالرُّخصة والتَّخيير؛ والظَّاهر أنَّه في هذه النِّسبة تابَعَ العلَّامة المجلسيِّ قدس سره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ولاأدري هل هذا النَّقل صحيحٌ أم لا؟؛ ضرورةَ دلالةِ الرِّوايات الصَّريحة في أنَّ البِناء علىٰ الأقلِّ والإتيان بالمشكوك فيه هو من عمل الشَّيطان، فكيف يمكن الذِّهاب إلى فردَي التَّخيير والقول بكون الشَّاكِّ مخيَّرًا بينهما؟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الكلام هذا لاوجه له قطعًا؛ ولذلك فإنَّ الأصحاب حكموا ببطلان الصَّلاة لوأتىٰ الشَّاكُّ بعد الحكم بكثرة الشَّكِّ بما شكَّ فيه؛ كما عن ابن فهدٍ قدس سره</w:t>
      </w:r>
      <w:r>
        <w:rPr>
          <w:rStyle w:val="FootnoteAnchor"/>
          <w:rtl w:val="true"/>
        </w:rPr>
        <w:footnoteReference w:id="99"/>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100"/>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01"/>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02"/>
      </w:r>
      <w:r>
        <w:rPr>
          <w:rFonts w:ascii="Amiri" w:hAnsi="Amiri" w:eastAsia="Amiri" w:cs="Amiri"/>
          <w:color w:val="111111"/>
          <w:sz w:val="28"/>
          <w:sz w:val="28"/>
          <w:szCs w:val="28"/>
          <w:rtl w:val="true"/>
          <w:lang w:bidi="ar-SA"/>
        </w:rPr>
        <w:t>، والشَّهيد قدس سره</w:t>
      </w:r>
      <w:r>
        <w:rPr>
          <w:rStyle w:val="FootnoteAnchor"/>
          <w:rtl w:val="true"/>
        </w:rPr>
        <w:footnoteReference w:id="103"/>
      </w:r>
      <w:r>
        <w:rPr>
          <w:rFonts w:ascii="Amiri" w:hAnsi="Amiri" w:eastAsia="Amiri" w:cs="Amiri"/>
          <w:color w:val="111111"/>
          <w:sz w:val="28"/>
          <w:sz w:val="28"/>
          <w:szCs w:val="28"/>
          <w:rtl w:val="true"/>
          <w:lang w:bidi="ar-SA"/>
        </w:rPr>
        <w:t>، وصاحب الرِّياض قدس سره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المحقِّق المقدَّس</w:t>
      </w:r>
      <w:r>
        <w:rPr>
          <w:rStyle w:val="FootnoteAnchor"/>
          <w:rtl w:val="true"/>
        </w:rPr>
        <w:footnoteReference w:id="105"/>
      </w:r>
      <w:r>
        <w:rPr>
          <w:rFonts w:ascii="Amiri" w:hAnsi="Amiri" w:eastAsia="Amiri" w:cs="Amiri"/>
          <w:color w:val="111111"/>
          <w:sz w:val="28"/>
          <w:sz w:val="28"/>
          <w:szCs w:val="28"/>
          <w:rtl w:val="true"/>
          <w:lang w:bidi="ar-SA"/>
        </w:rPr>
        <w:t xml:space="preserve">في المقام بصحيحة زرارة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الكلينيُّ قدس سره</w:t>
      </w:r>
      <w:r>
        <w:rPr>
          <w:rStyle w:val="FootnoteAnchor"/>
          <w:rtl w:val="true"/>
        </w:rPr>
        <w:footnoteReference w:id="106"/>
      </w:r>
      <w:r>
        <w:rPr>
          <w:rFonts w:ascii="Amiri" w:hAnsi="Amiri" w:eastAsia="Amiri" w:cs="Amiri"/>
          <w:color w:val="111111"/>
          <w:sz w:val="28"/>
          <w:sz w:val="28"/>
          <w:szCs w:val="28"/>
          <w:rtl w:val="true"/>
          <w:lang w:bidi="ar-SA"/>
        </w:rPr>
        <w:t>، والشَّيخ قدس سره</w:t>
      </w:r>
      <w:r>
        <w:rPr>
          <w:rStyle w:val="FootnoteAnchor"/>
          <w:rtl w:val="true"/>
        </w:rPr>
        <w:footnoteReference w:id="107"/>
      </w:r>
      <w:r>
        <w:rPr>
          <w:rFonts w:ascii="Amiri" w:hAnsi="Amiri" w:eastAsia="Amiri" w:cs="Amiri"/>
          <w:color w:val="111111"/>
          <w:sz w:val="28"/>
          <w:sz w:val="28"/>
          <w:szCs w:val="28"/>
          <w:rtl w:val="true"/>
          <w:lang w:bidi="ar-SA"/>
        </w:rPr>
        <w:t>، والفيض قدس سره</w:t>
      </w:r>
      <w:r>
        <w:rPr>
          <w:rStyle w:val="FootnoteAnchor"/>
          <w:rtl w:val="true"/>
        </w:rPr>
        <w:footnoteReference w:id="108"/>
      </w:r>
      <w:r>
        <w:rPr>
          <w:rFonts w:ascii="Amiri" w:hAnsi="Amiri" w:eastAsia="Amiri" w:cs="Amiri"/>
          <w:color w:val="111111"/>
          <w:sz w:val="28"/>
          <w:sz w:val="28"/>
          <w:szCs w:val="28"/>
          <w:rtl w:val="true"/>
          <w:lang w:bidi="ar-SA"/>
        </w:rPr>
        <w:t>، والحرُّ قدس سره</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صلوته حتَّى لايدري كم صلَّىٰ ولا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لاتُعَوِّدُوا الخبيث من أنفسِكم نقضَ الصَّلوة فتُطمِعُوه، فإنَّ الشَّيطان خبيثٌ معتادٌ لما عُوِّدَ، فليَمْضِ أحدُكم في الوهم، ولايكثِرَنَّ نقضَ الصَّلوة فإنَّه إذا فعَلَ ذلك مرَّاتٍ لم يعُد إليه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صحَّحه المقدَّس قدس سره نفسه، والوحيد الفريد قدس سره</w:t>
      </w:r>
      <w:r>
        <w:rPr>
          <w:rStyle w:val="FootnoteAnchor"/>
          <w:rtl w:val="true"/>
        </w:rPr>
        <w:footnoteReference w:id="110"/>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111"/>
      </w:r>
      <w:r>
        <w:rPr>
          <w:rFonts w:ascii="Amiri" w:hAnsi="Amiri" w:eastAsia="Amiri" w:cs="Amiri"/>
          <w:color w:val="111111"/>
          <w:sz w:val="28"/>
          <w:sz w:val="28"/>
          <w:szCs w:val="28"/>
          <w:rtl w:val="true"/>
          <w:lang w:bidi="ar-SA"/>
        </w:rPr>
        <w:t>، والفقيه المحقِّق الخوئي قدس سره</w:t>
      </w:r>
      <w:r>
        <w:rPr>
          <w:rStyle w:val="FootnoteAnchor"/>
          <w:rtl w:val="true"/>
        </w:rPr>
        <w:footnoteReference w:id="11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الرِّواية يدلُّ علىٰ أنَّه يجوز له أن يعتني بشكِّه، وذيلَه يدلُّ علىٰ جواز عدم الاِعتناء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تضلُّعه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صدرَ الحديث في السُّؤال عن الشَّكِّ في عدد الرَّكعات، ولامساسَ له بما نحن فيه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4" w:name="pg20339_220321"/>
    </w:p>
    <w:p>
      <w:pPr>
        <w:pStyle w:val="BookText"/>
        <w:rPr/>
      </w:pPr>
      <w:bookmarkEnd w:id="64"/>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في بيان حكم كثيرِ الشَّكِّ ووجوب عدم الاِعتناء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لا إشكال فيها ولاكلام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الشَّكِّ يجب عليه أن لايعتني بشكِّه ماضيًا في صلواته مصحِّحًا إيَّاها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في المضي علىٰ الصَّلوة والبِناء علىٰ صحَّتها مختلفةٌ‌</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قد يقتضي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أنَّه ركع‌؟، أم لا؟؛ أو سجَد؟، أم لا؟؛ فهو كمَن تجاوز عن المحلِّ لا ركوع ولاسجود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يقتضي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أنَّه ركع ركوعًا زائدًا؟، أم لا؟؛ وكما إذا شكَّ بين الأربع والخمس، فيبني علىٰ أنَّه لم يركع زائدًا ولم يأت بالخامسة</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يقتضي البِناء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بين الثَّلاث والأربع، فشكُّه ليس بشيءٍ أصلًا، فهو مخيَّرٌ بين البِناء علىٰ الأقلِّ أو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الذَّاهبين إلى التَّخيير هو هذا القسم الثَّالث</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979066_1280447820"/>
      <w:bookmarkStart w:id="66" w:name="_Toc22"/>
      <w:bookmarkEnd w:id="65"/>
      <w:r>
        <w:rPr>
          <w:rtl w:val="true"/>
        </w:rPr>
        <w:t>التَّنبيه الرَّابع</w:t>
      </w:r>
      <w:r>
        <w:rPr>
          <w:rtl w:val="true"/>
        </w:rPr>
        <w:t>:</w:t>
      </w:r>
      <w:bookmarkEnd w:id="66"/>
    </w:p>
    <w:p>
      <w:pPr>
        <w:pStyle w:val="BookText"/>
        <w:rPr/>
      </w:pPr>
      <w:r>
        <w:rPr>
          <w:rFonts w:ascii="Amiri" w:hAnsi="Amiri" w:eastAsia="Amiri" w:cs="Amiri"/>
          <w:color w:val="111111"/>
          <w:sz w:val="28"/>
          <w:sz w:val="28"/>
          <w:szCs w:val="28"/>
          <w:rtl w:val="true"/>
          <w:lang w:bidi="ar-SA"/>
        </w:rPr>
        <w:t>قد أشرنا إلى أنَّه إذا صارتْ كثرةُ الشَّكِّ خُلقًا ثانويًّا للنَّفس وصفةً لها، يجب علىٰ المُتَصِّف بها أن لايعتني بها، لأنَّها من الشَّيطان، وليس لها دواءٌ إلَّاهذا؛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عرَضَتْ له شكوكٌ متعدِّدةٌ لمصيبةٍ عرضتْ عليه، أو للمشاغل الكثيرة الَّتي ابتلىٰ بها، ونحو ذلك، كالحرِّ والبردِ، والخوف والفَرَح </w:t>
      </w:r>
      <w:bookmarkStart w:id="67" w:name="pg20339_220322"/>
    </w:p>
    <w:p>
      <w:pPr>
        <w:pStyle w:val="BookText"/>
        <w:rPr/>
      </w:pPr>
      <w:bookmarkEnd w:id="67"/>
      <w:r>
        <w:rPr>
          <w:rFonts w:ascii="Amiri" w:hAnsi="Amiri" w:eastAsia="Amiri" w:cs="Amiri"/>
          <w:color w:val="111111"/>
          <w:sz w:val="28"/>
          <w:sz w:val="28"/>
          <w:szCs w:val="28"/>
          <w:rtl w:val="true"/>
          <w:lang w:bidi="ar-SA"/>
        </w:rPr>
        <w:t xml:space="preserve">الشَّديدين، بحيث يُخرِجان المرءَ عن حاله العادِّية، كما في جميع الموارد الَّتي يخرج بها الإنسان عن سيرته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كلُّه من موارد الحكم، حيث لايُطلَق علىٰ هذا كثيرُ الشَّكِّ‌</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فإذن ليس له أن لايعتني بشكِّه ولوكان كثيرًا؛ لأنَّ المعيارَ في عدم الاِعتناء بالشَّكِّ هو عروض الوسواس، وليس هذا وسواسيًّا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يُفهَم جليًّا عن بعض ما رُوِي في المقام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979068_1280447820"/>
      <w:bookmarkStart w:id="69" w:name="_Toc23"/>
      <w:bookmarkEnd w:id="68"/>
      <w:r>
        <w:rPr>
          <w:rtl w:val="true"/>
        </w:rPr>
        <w:t>التَّنبيه الخامس</w:t>
      </w:r>
      <w:r>
        <w:rPr>
          <w:rtl w:val="true"/>
        </w:rPr>
        <w:t>:</w:t>
      </w:r>
      <w:bookmarkEnd w:id="69"/>
    </w:p>
    <w:p>
      <w:pPr>
        <w:pStyle w:val="BookText"/>
        <w:rPr/>
      </w:pPr>
      <w:r>
        <w:rPr>
          <w:rFonts w:ascii="Amiri" w:hAnsi="Amiri" w:eastAsia="Amiri" w:cs="Amiri"/>
          <w:color w:val="111111"/>
          <w:sz w:val="28"/>
          <w:sz w:val="28"/>
          <w:szCs w:val="28"/>
          <w:rtl w:val="true"/>
          <w:lang w:bidi="ar-SA"/>
        </w:rPr>
        <w:t>مَن عرض عليه الوسواس فعليه أن لايعتني به في جميع ما 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كذلك في جميع أفعاله وما يصدر عنه يوميًّا، فعليه عدمُ الاِعتناء به في جميعها؛</w:t>
      </w:r>
    </w:p>
    <w:p>
      <w:pPr>
        <w:pStyle w:val="BookText"/>
        <w:rPr/>
      </w:pPr>
      <w:r>
        <w:rPr>
          <w:rFonts w:ascii="Amiri" w:hAnsi="Amiri" w:eastAsia="Amiri" w:cs="Amiri"/>
          <w:color w:val="111111"/>
          <w:sz w:val="28"/>
          <w:sz w:val="28"/>
          <w:szCs w:val="28"/>
          <w:rtl w:val="true"/>
          <w:lang w:bidi="ar-SA"/>
        </w:rPr>
        <w:t>ومن لاوسواس له إلَّافي صلوته فعليه عدمُ الاِعتناء به فيها فقط؛</w:t>
      </w:r>
    </w:p>
    <w:p>
      <w:pPr>
        <w:pStyle w:val="BookText"/>
        <w:rPr/>
      </w:pPr>
      <w:r>
        <w:rPr>
          <w:rFonts w:ascii="Amiri" w:hAnsi="Amiri" w:eastAsia="Amiri" w:cs="Amiri"/>
          <w:color w:val="111111"/>
          <w:sz w:val="28"/>
          <w:sz w:val="28"/>
          <w:szCs w:val="28"/>
          <w:rtl w:val="true"/>
          <w:lang w:bidi="ar-SA"/>
        </w:rPr>
        <w:t xml:space="preserve">ومن يعرض عليه الوسواس في الرَّكعتين الأخيرتَين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جميعها، أو في سجدتها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أعماله الواجبة في الحجِّ فقط، فلابد له من عدم الاِعتناء به في هذا الموضع فقط، لا في جميع أعماله العباديَّة وغيرها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المعيار هيهنا عروضُ كثرة الشَّكِّ‌، فلوعرضَتْ فمحلُّها هو محلُّ عدم الاِعتناء، لاغيره؛ كما عن المحقِّق القمِّي قدس سره</w:t>
      </w:r>
      <w:r>
        <w:rPr>
          <w:rStyle w:val="FootnoteAnchor"/>
          <w:rtl w:val="true"/>
        </w:rPr>
        <w:footnoteReference w:id="118"/>
      </w:r>
      <w:r>
        <w:rPr>
          <w:rFonts w:ascii="Amiri" w:hAnsi="Amiri" w:eastAsia="Amiri" w:cs="Amiri"/>
          <w:color w:val="111111"/>
          <w:sz w:val="28"/>
          <w:sz w:val="28"/>
          <w:szCs w:val="28"/>
          <w:rtl w:val="true"/>
          <w:lang w:bidi="ar-SA"/>
        </w:rPr>
        <w:t>، وفي غنائمه</w:t>
      </w:r>
      <w:r>
        <w:rPr>
          <w:rStyle w:val="FootnoteAnchor"/>
          <w:rtl w:val="true"/>
        </w:rPr>
        <w:footnoteReference w:id="119"/>
      </w:r>
      <w:r>
        <w:rPr>
          <w:rFonts w:ascii="Amiri" w:hAnsi="Amiri" w:eastAsia="Amiri" w:cs="Amiri"/>
          <w:color w:val="111111"/>
          <w:sz w:val="28"/>
          <w:sz w:val="28"/>
          <w:szCs w:val="28"/>
          <w:rtl w:val="true"/>
          <w:lang w:bidi="ar-SA"/>
        </w:rPr>
        <w:t xml:space="preserve">أيضًا، والمحقق الحائريِّ‌ </w:t>
      </w:r>
      <w:bookmarkStart w:id="70" w:name="pg20339_220323"/>
    </w:p>
    <w:p>
      <w:pPr>
        <w:pStyle w:val="BookText"/>
        <w:rPr/>
      </w:pPr>
      <w:bookmarkEnd w:id="70"/>
      <w:r>
        <w:rPr>
          <w:rFonts w:ascii="Amiri" w:hAnsi="Amiri" w:eastAsia="Amiri" w:cs="Amiri"/>
          <w:color w:val="111111"/>
          <w:sz w:val="28"/>
          <w:sz w:val="28"/>
          <w:szCs w:val="28"/>
          <w:rtl w:val="true"/>
          <w:lang w:bidi="ar-SA"/>
        </w:rPr>
        <w:t>المؤسِّس قدس سره</w:t>
      </w:r>
      <w:r>
        <w:rPr>
          <w:rStyle w:val="FootnoteAnchor"/>
          <w:rtl w:val="true"/>
        </w:rPr>
        <w:footnoteReference w:id="120"/>
      </w:r>
      <w:r>
        <w:rPr>
          <w:rFonts w:ascii="Amiri" w:hAnsi="Amiri" w:eastAsia="Amiri" w:cs="Amiri"/>
          <w:color w:val="111111"/>
          <w:sz w:val="28"/>
          <w:sz w:val="28"/>
          <w:szCs w:val="28"/>
          <w:rtl w:val="true"/>
          <w:lang w:bidi="ar-SA"/>
        </w:rPr>
        <w:t>، والفقيه هادي آل كاشف الغطاء قدس سره</w:t>
      </w:r>
      <w:r>
        <w:rPr>
          <w:rStyle w:val="FootnoteAnchor"/>
          <w:rtl w:val="true"/>
        </w:rPr>
        <w:footnoteReference w:id="121"/>
      </w:r>
      <w:r>
        <w:rPr>
          <w:rFonts w:ascii="Amiri" w:hAnsi="Amiri" w:eastAsia="Amiri" w:cs="Amiri"/>
          <w:color w:val="111111"/>
          <w:sz w:val="28"/>
          <w:sz w:val="28"/>
          <w:szCs w:val="28"/>
          <w:rtl w:val="true"/>
          <w:lang w:bidi="ar-SA"/>
        </w:rPr>
        <w:t>، وغيره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كثرةُ شكِّه في فعلٍ خاصٍّ يختصُّ الحكم به فلوشكَّ اتِّفاقًا في غير ذلك الفعل يعمل عمل الشَّاكِّ‌</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وانظر إلى شُرَّاح العبارة، كالسَّيِّد الحكيم قدس سره</w:t>
      </w:r>
      <w:r>
        <w:rPr>
          <w:rStyle w:val="FootnoteAnchor"/>
          <w:rtl w:val="true"/>
        </w:rPr>
        <w:footnoteReference w:id="124"/>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25"/>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ماذكره 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لبعضهم القليلين، كالشَّيخ احمد بن صالح القطيفيِّ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 w:name="__RefHeading___Toc11979070_1280447820"/>
      <w:bookmarkStart w:id="72" w:name="_Toc24"/>
      <w:bookmarkEnd w:id="71"/>
      <w:r>
        <w:rPr>
          <w:rtl w:val="true"/>
        </w:rPr>
        <w:t>التَّنبيه السَّادس</w:t>
      </w:r>
      <w:r>
        <w:rPr>
          <w:rtl w:val="true"/>
        </w:rPr>
        <w:t>:</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يُطلَق علىٰ النَّفس فيعرضها، وقد يصير من الخُلق، وأمارتُه أن يشكَّ في شيءٍ واحدٍ أو في أشياءَ مرَّاتٍ عدَّة؛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لوشكَّ في صلوةٍ واحدةٍ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إدريسٍ قدس سره</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128"/>
      </w:r>
      <w:r>
        <w:rPr>
          <w:rFonts w:ascii="Amiri" w:hAnsi="Amiri" w:eastAsia="Amiri" w:cs="Amiri"/>
          <w:color w:val="111111"/>
          <w:sz w:val="28"/>
          <w:sz w:val="28"/>
          <w:szCs w:val="28"/>
          <w:rtl w:val="true"/>
          <w:lang w:bidi="ar-SA"/>
        </w:rPr>
        <w:t xml:space="preserve">مرَّةً واحدةٍ في ثلاث صلواتٍ متتابعةٍ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w:t>
      </w:r>
      <w:r>
        <w:rPr>
          <w:rStyle w:val="FootnoteAnchor"/>
          <w:rtl w:val="true"/>
        </w:rPr>
        <w:footnoteReference w:id="129"/>
      </w:r>
      <w:r>
        <w:rPr>
          <w:rFonts w:ascii="Amiri" w:hAnsi="Amiri" w:eastAsia="Amiri" w:cs="Amiri"/>
          <w:color w:val="111111"/>
          <w:sz w:val="28"/>
          <w:sz w:val="28"/>
          <w:szCs w:val="28"/>
          <w:rtl w:val="true"/>
          <w:lang w:bidi="ar-SA"/>
        </w:rPr>
        <w:t>، وابن حمزة قدس سره</w:t>
      </w:r>
      <w:r>
        <w:rPr>
          <w:rStyle w:val="FootnoteAnchor"/>
          <w:rtl w:val="true"/>
        </w:rPr>
        <w:footnoteReference w:id="130"/>
      </w:r>
      <w:r>
        <w:rPr>
          <w:rFonts w:ascii="Amiri" w:hAnsi="Amiri" w:eastAsia="Amiri" w:cs="Amiri"/>
          <w:color w:val="111111"/>
          <w:sz w:val="28"/>
          <w:sz w:val="28"/>
          <w:szCs w:val="28"/>
          <w:rtl w:val="true"/>
          <w:lang w:bidi="ar-SA"/>
        </w:rPr>
        <w:t>، والشَّهيد قدس سره</w:t>
      </w:r>
      <w:r>
        <w:rPr>
          <w:rStyle w:val="FootnoteAnchor"/>
          <w:rtl w:val="true"/>
        </w:rPr>
        <w:footnoteReference w:id="131"/>
      </w:r>
      <w:r>
        <w:rPr>
          <w:rFonts w:ascii="Amiri" w:hAnsi="Amiri" w:eastAsia="Amiri" w:cs="Amiri"/>
          <w:color w:val="111111"/>
          <w:sz w:val="28"/>
          <w:sz w:val="28"/>
          <w:szCs w:val="28"/>
          <w:rtl w:val="true"/>
          <w:lang w:bidi="ar-SA"/>
        </w:rPr>
        <w:t>، وثانيهما قدس سره</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متَّصفٌ بهذا الوصف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لواتَّفق له الشَّكُّ في صلوةٍ من دون كونه متَّصِفًا به، فليس عليه العملُ بالحكم المذكور لكثير الشَّكِّ‌؛ بل يجب عليه ترتيبُ آثار الشَّكِّ علىٰ شكِّه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الصَّدوق قدس سره</w:t>
      </w:r>
      <w:r>
        <w:rPr>
          <w:rStyle w:val="FootnoteAnchor"/>
          <w:rtl w:val="true"/>
        </w:rPr>
        <w:footnoteReference w:id="134"/>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 الحديث، فلاإشكال فيه، كما وقد صحَّحه صاحب المدارك قدس سره</w:t>
      </w:r>
      <w:r>
        <w:rPr>
          <w:rStyle w:val="FootnoteAnchor"/>
          <w:rtl w:val="true"/>
        </w:rPr>
        <w:footnoteReference w:id="135"/>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136"/>
      </w:r>
      <w:r>
        <w:rPr>
          <w:rFonts w:ascii="Amiri" w:hAnsi="Amiri" w:eastAsia="Amiri" w:cs="Amiri"/>
          <w:color w:val="111111"/>
          <w:sz w:val="28"/>
          <w:sz w:val="28"/>
          <w:szCs w:val="28"/>
          <w:rtl w:val="true"/>
          <w:lang w:bidi="ar-SA"/>
        </w:rPr>
        <w:t>، والفيض قدس سره</w:t>
      </w:r>
      <w:r>
        <w:rPr>
          <w:rStyle w:val="FootnoteAnchor"/>
          <w:rtl w:val="true"/>
        </w:rPr>
        <w:footnoteReference w:id="137"/>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138"/>
      </w:r>
      <w:r>
        <w:rPr>
          <w:rFonts w:ascii="Amiri" w:hAnsi="Amiri" w:eastAsia="Amiri" w:cs="Amiri"/>
          <w:color w:val="111111"/>
          <w:sz w:val="28"/>
          <w:sz w:val="28"/>
          <w:szCs w:val="28"/>
          <w:rtl w:val="true"/>
          <w:lang w:bidi="ar-SA"/>
        </w:rPr>
        <w:t>، والبحرانيُّ قدس سره</w:t>
      </w:r>
      <w:r>
        <w:rPr>
          <w:rStyle w:val="FootnoteAnchor"/>
          <w:rtl w:val="true"/>
        </w:rPr>
        <w:footnoteReference w:id="1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دلالتُه، فواضحةٌ بالنَّظر إلى كون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رويناها كذلك، تبعًا لأعلام المحدِّثين، كابن أبي جمهورٍ قدس سره</w:t>
      </w:r>
      <w:r>
        <w:rPr>
          <w:rStyle w:val="FootnoteAnchor"/>
          <w:rtl w:val="true"/>
        </w:rPr>
        <w:footnoteReference w:id="140"/>
      </w:r>
      <w:r>
        <w:rPr>
          <w:rFonts w:ascii="Amiri" w:hAnsi="Amiri" w:eastAsia="Amiri" w:cs="Amiri"/>
          <w:color w:val="111111"/>
          <w:sz w:val="28"/>
          <w:sz w:val="28"/>
          <w:szCs w:val="28"/>
          <w:rtl w:val="true"/>
          <w:lang w:bidi="ar-SA"/>
        </w:rPr>
        <w:t>، وأوَّل المجلسيَّين قدس سرهما في روضته</w:t>
      </w:r>
      <w:r>
        <w:rPr>
          <w:rStyle w:val="FootnoteAnchor"/>
          <w:rtl w:val="true"/>
        </w:rPr>
        <w:footnoteReference w:id="141"/>
      </w:r>
      <w:r>
        <w:rPr>
          <w:rFonts w:ascii="IRNazanin" w:hAnsi="IRNazanin" w:eastAsia="IRNazanin"/>
          <w:color w:val="111111"/>
          <w:sz w:val="28"/>
          <w:sz w:val="28"/>
          <w:szCs w:val="28"/>
          <w:rtl w:val="true"/>
          <w:lang w:bidi="fa-IR"/>
        </w:rPr>
        <w:t>، ولوامعه</w:t>
      </w:r>
      <w:r>
        <w:rPr>
          <w:rStyle w:val="FootnoteAnchor"/>
          <w:rtl w:val="true"/>
        </w:rPr>
        <w:footnoteReference w:id="142"/>
      </w:r>
      <w:r>
        <w:rPr>
          <w:rFonts w:ascii="Amiri" w:hAnsi="Amiri" w:eastAsia="Amiri" w:cs="Amiri"/>
          <w:color w:val="111111"/>
          <w:sz w:val="28"/>
          <w:sz w:val="28"/>
          <w:szCs w:val="28"/>
          <w:rtl w:val="true"/>
          <w:lang w:bidi="ar-SA"/>
        </w:rPr>
        <w:t>أيضًا، والفيض قدس سره</w:t>
      </w:r>
      <w:r>
        <w:rPr>
          <w:rStyle w:val="FootnoteAnchor"/>
          <w:rtl w:val="true"/>
        </w:rPr>
        <w:footnoteReference w:id="143"/>
      </w:r>
      <w:r>
        <w:rPr>
          <w:rFonts w:ascii="Amiri" w:hAnsi="Amiri" w:eastAsia="Amiri" w:cs="Amiri"/>
          <w:color w:val="111111"/>
          <w:sz w:val="28"/>
          <w:sz w:val="28"/>
          <w:szCs w:val="28"/>
          <w:rtl w:val="true"/>
          <w:lang w:bidi="ar-SA"/>
        </w:rPr>
        <w:t>، والحُرِّ قدس سره في هدايته</w:t>
      </w:r>
      <w:r>
        <w:rPr>
          <w:rStyle w:val="FootnoteAnchor"/>
          <w:rtl w:val="true"/>
        </w:rPr>
        <w:footnoteReference w:id="144"/>
      </w:r>
      <w:r>
        <w:rPr>
          <w:rFonts w:ascii="IRNazanin" w:hAnsi="IRNazanin" w:eastAsia="IRNazanin"/>
          <w:color w:val="111111"/>
          <w:sz w:val="28"/>
          <w:sz w:val="28"/>
          <w:szCs w:val="28"/>
          <w:rtl w:val="true"/>
          <w:lang w:bidi="fa-IR"/>
        </w:rPr>
        <w:t>، ووسائله</w:t>
      </w:r>
      <w:r>
        <w:rPr>
          <w:rStyle w:val="FootnoteAnchor"/>
          <w:rtl w:val="true"/>
        </w:rPr>
        <w:footnoteReference w:id="145"/>
      </w:r>
      <w:r>
        <w:rPr>
          <w:rFonts w:ascii="Amiri" w:hAnsi="Amiri" w:eastAsia="Amiri" w:cs="Amiri"/>
          <w:color w:val="111111"/>
          <w:sz w:val="28"/>
          <w:sz w:val="28"/>
          <w:szCs w:val="28"/>
          <w:rtl w:val="true"/>
          <w:lang w:bidi="ar-SA"/>
        </w:rPr>
        <w:t>، والمجلسيِّ قدس سره</w:t>
      </w:r>
      <w:r>
        <w:rPr>
          <w:rStyle w:val="FootnoteAnchor"/>
          <w:rtl w:val="true"/>
        </w:rPr>
        <w:footnoteReference w:id="146"/>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وأعلام الفقهاء أيضًا، كالعلَّامة الحلِّي قدس سره</w:t>
      </w:r>
      <w:r>
        <w:rPr>
          <w:rStyle w:val="FootnoteAnchor"/>
          <w:rtl w:val="true"/>
        </w:rPr>
        <w:footnoteReference w:id="147"/>
      </w:r>
      <w:r>
        <w:rPr>
          <w:rFonts w:ascii="Amiri" w:hAnsi="Amiri" w:eastAsia="Amiri" w:cs="Amiri"/>
          <w:color w:val="111111"/>
          <w:sz w:val="28"/>
          <w:sz w:val="28"/>
          <w:szCs w:val="28"/>
          <w:rtl w:val="true"/>
          <w:lang w:bidi="ar-SA"/>
        </w:rPr>
        <w:t>، والشَّهيد الأوَّل قدس سره</w:t>
      </w:r>
      <w:r>
        <w:rPr>
          <w:rStyle w:val="FootnoteAnchor"/>
          <w:rtl w:val="true"/>
        </w:rPr>
        <w:footnoteReference w:id="148"/>
      </w:r>
      <w:r>
        <w:rPr>
          <w:rFonts w:ascii="Amiri" w:hAnsi="Amiri" w:eastAsia="Amiri" w:cs="Amiri"/>
          <w:color w:val="111111"/>
          <w:sz w:val="28"/>
          <w:sz w:val="28"/>
          <w:szCs w:val="28"/>
          <w:rtl w:val="true"/>
          <w:lang w:bidi="ar-SA"/>
        </w:rPr>
        <w:t>، وثانيهما قدس سره</w:t>
      </w:r>
      <w:r>
        <w:rPr>
          <w:rStyle w:val="FootnoteAnchor"/>
          <w:rtl w:val="true"/>
        </w:rPr>
        <w:footnoteReference w:id="149"/>
      </w:r>
      <w:r>
        <w:rPr>
          <w:rFonts w:ascii="IRNazanin" w:hAnsi="IRNazanin" w:eastAsia="IRNazanin"/>
          <w:color w:val="111111"/>
          <w:sz w:val="28"/>
          <w:sz w:val="28"/>
          <w:szCs w:val="28"/>
          <w:rtl w:val="true"/>
          <w:lang w:bidi="fa-IR"/>
        </w:rPr>
        <w:t>، وابن فهدٍ قدس سره</w:t>
      </w:r>
      <w:r>
        <w:rPr>
          <w:rStyle w:val="FootnoteAnchor"/>
          <w:rtl w:val="true"/>
        </w:rPr>
        <w:footnoteReference w:id="150"/>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51"/>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فلادلالة فيه إذن علىٰ المطلوب</w:t>
      </w:r>
      <w:r>
        <w:rPr>
          <w:rStyle w:val="FootnoteAnchor"/>
          <w:rtl w:val="true"/>
        </w:rPr>
        <w:footnoteReference w:id="152"/>
      </w:r>
      <w:r>
        <w:rPr>
          <w:rFonts w:ascii="Amiri" w:hAnsi="Amiri" w:eastAsia="Amiri" w:cs="Amiri"/>
          <w:color w:val="111111"/>
          <w:sz w:val="28"/>
          <w:sz w:val="28"/>
          <w:szCs w:val="28"/>
          <w:rtl w:val="true"/>
          <w:lang w:bidi="ar-SA"/>
        </w:rPr>
        <w:t xml:space="preserve">لكن من الواضح كونُها بالألف؛ </w:t>
      </w:r>
      <w:bookmarkStart w:id="73" w:name="pg20339_220326"/>
    </w:p>
    <w:p>
      <w:pPr>
        <w:pStyle w:val="BookText"/>
        <w:rPr/>
      </w:pPr>
      <w:bookmarkEnd w:id="73"/>
      <w:r>
        <w:rPr>
          <w:rFonts w:ascii="Amiri" w:hAnsi="Amiri" w:eastAsia="Amiri" w:cs="Amiri"/>
          <w:color w:val="111111"/>
          <w:sz w:val="28"/>
          <w:sz w:val="28"/>
          <w:szCs w:val="28"/>
          <w:rtl w:val="true"/>
          <w:lang w:bidi="ar-SA"/>
        </w:rPr>
        <w:t>فالُمحتَملات الَّتي ذكرها المحقِّق البجنورديُّ قدس سره بعد التَّرديد في وجه قراءة اللَّفظة، لاوجه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لا خصوصيَّة له، بل هو من باب الأمارة علىٰ عروض الوسواس فقط</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1979072_1280447820"/>
      <w:bookmarkStart w:id="75" w:name="_Toc25"/>
      <w:bookmarkEnd w:id="74"/>
      <w:r>
        <w:rPr>
          <w:rtl w:val="true"/>
        </w:rPr>
        <w:t>التَّنبيه السَّابع</w:t>
      </w:r>
      <w:r>
        <w:rPr>
          <w:rtl w:val="true"/>
        </w:rPr>
        <w:t>:</w:t>
      </w:r>
      <w:bookmarkEnd w:id="75"/>
    </w:p>
    <w:p>
      <w:pPr>
        <w:pStyle w:val="BookText"/>
        <w:rPr/>
      </w:pPr>
      <w:r>
        <w:rPr>
          <w:rFonts w:ascii="Amiri" w:hAnsi="Amiri" w:eastAsia="Amiri" w:cs="Amiri"/>
          <w:color w:val="111111"/>
          <w:sz w:val="28"/>
          <w:sz w:val="28"/>
          <w:szCs w:val="28"/>
          <w:rtl w:val="true"/>
          <w:lang w:bidi="ar-SA"/>
        </w:rPr>
        <w:t>التَّنبيه السَّابع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كثير الظَّنِّ نفسُ حكم كثير الشَّكِّ‌، كما نصَّ عليه المحقِّق النَّراقي قدس سره</w:t>
      </w:r>
      <w:r>
        <w:rPr>
          <w:rStyle w:val="FootnoteAnchor"/>
          <w:rtl w:val="true"/>
        </w:rPr>
        <w:footnoteReference w:id="155"/>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56"/>
      </w:r>
      <w:r>
        <w:rPr>
          <w:rFonts w:ascii="Amiri" w:hAnsi="Amiri" w:eastAsia="Amiri" w:cs="Amiri"/>
          <w:color w:val="111111"/>
          <w:sz w:val="28"/>
          <w:sz w:val="28"/>
          <w:szCs w:val="28"/>
          <w:rtl w:val="true"/>
          <w:lang w:bidi="ar-SA"/>
        </w:rPr>
        <w:t>، وسيِّدنا الأستاذ البروجرديِّ قدس سره</w:t>
      </w:r>
      <w:r>
        <w:rPr>
          <w:rStyle w:val="FootnoteAnchor"/>
          <w:rtl w:val="true"/>
        </w:rPr>
        <w:footnoteReference w:id="157"/>
      </w:r>
      <w:r>
        <w:rPr>
          <w:rFonts w:ascii="Amiri" w:hAnsi="Amiri" w:eastAsia="Amiri" w:cs="Amiri"/>
          <w:color w:val="111111"/>
          <w:sz w:val="28"/>
          <w:sz w:val="28"/>
          <w:szCs w:val="28"/>
          <w:rtl w:val="true"/>
          <w:lang w:bidi="ar-SA"/>
        </w:rPr>
        <w:t xml:space="preserve">، بل كثير القطع ككثير الشَّكِّ بلاإشكالٍ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النَّائيني قدس سره</w:t>
      </w:r>
      <w:r>
        <w:rPr>
          <w:rStyle w:val="FootnoteAnchor"/>
          <w:rtl w:val="true"/>
        </w:rPr>
        <w:footnoteReference w:id="158"/>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شكَّه ليس بشيءٍ بل هو محض وهمٍ وخَيالٍ من الشَّيطان الَّذي تسلَّط عليه، فكذلك كثيرَي الظَّنِّ والقطع بلاتفاوتٍ‌؛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فكثير القطع أيضًا قد تسلَّط عليه الشَّيطان بهذا القطع الَّذي لا واقع له غير الوهم والخَيال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76" w:name="pg20339_220327"/>
    </w:p>
    <w:p>
      <w:pPr>
        <w:pStyle w:val="BookText"/>
        <w:rPr/>
      </w:pPr>
      <w:bookmarkEnd w:id="76"/>
      <w:r>
        <w:rPr>
          <w:rFonts w:ascii="Amiri" w:hAnsi="Amiri" w:eastAsia="Amiri" w:cs="Amiri"/>
          <w:color w:val="111111"/>
          <w:sz w:val="28"/>
          <w:sz w:val="28"/>
          <w:szCs w:val="28"/>
          <w:rtl w:val="true"/>
          <w:lang w:bidi="ar-SA"/>
        </w:rPr>
        <w:t>فما يُتَراءىٰ من كلمات بعض الأعلام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قطعَ القطَّاع حجَّةٌ‌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ونُسِب إلى المشهور أيضًا القول بحجِّيَّته؛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الثَّالثة في أسلوبها الثَّاني،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من عجائب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حجِّيَّة القطع تابعةٌ لكون القطع قطعًا، لا لصورته الوهميَّة الَّتي لاواقع لها، فهو مريضٌ ككثير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قطع له واقعًا حتَّى يكون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جدًّا، بل أوضحُ من أن يخفىٰ علىٰ الأصحاب وإن خفي علىٰ كثيرٍ منهم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979074_1280447820"/>
      <w:bookmarkStart w:id="78" w:name="_Toc26"/>
      <w:bookmarkEnd w:id="77"/>
      <w:r>
        <w:rPr>
          <w:rtl w:val="true"/>
        </w:rPr>
        <w:t>التَّنبيه الثَّامن</w:t>
      </w:r>
      <w:r>
        <w:rPr>
          <w:rtl w:val="true"/>
        </w:rPr>
        <w:t>:</w:t>
      </w:r>
      <w:bookmarkEnd w:id="78"/>
    </w:p>
    <w:p>
      <w:pPr>
        <w:pStyle w:val="BookText"/>
        <w:rPr/>
      </w:pPr>
      <w:r>
        <w:rPr>
          <w:rFonts w:ascii="Amiri" w:hAnsi="Amiri" w:eastAsia="Amiri" w:cs="Amiri"/>
          <w:color w:val="111111"/>
          <w:sz w:val="28"/>
          <w:sz w:val="28"/>
          <w:szCs w:val="28"/>
          <w:rtl w:val="true"/>
          <w:lang w:bidi="ar-SA"/>
        </w:rPr>
        <w:t>هل كثير الشَّكِّ لايَعتني بشكِّه فيما إذا أحرز الموجود ثمَّ شكَّ فيه‌؟ أم لايعتني به حتَّى إذا شكَّ في أصل وجوده‌؟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شكَّ في أصل الطَّهارة بعد العلم بوجود النَّجاسة، أو شكَّ في الوضوء أو الغسل بعد العلم بالحَدَث، أو شكَّ في إقامة الصَّلوة بعد العلم بعدم 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لايعتني بشكِّه‌؟، أم لايعتني به ولوكان شكُّه في الطَّهارة من دون علمٍ بثبوت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الأوَّل، وأنَّ حكمَ كثير الشَّكِّ يثبت فقط فيما إذا أحرَز أصل الوجود؛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المختارُ هو عدم الفرق بين المورِدَين، فلايعتني به في كِلَيهما؛ فهو كمَن </w:t>
      </w:r>
      <w:bookmarkStart w:id="79" w:name="pg20339_220328"/>
    </w:p>
    <w:p>
      <w:pPr>
        <w:pStyle w:val="BookText"/>
        <w:rPr/>
      </w:pPr>
      <w:bookmarkEnd w:id="79"/>
      <w:r>
        <w:rPr>
          <w:rFonts w:ascii="Amiri" w:hAnsi="Amiri" w:eastAsia="Amiri" w:cs="Amiri"/>
          <w:color w:val="111111"/>
          <w:sz w:val="28"/>
          <w:sz w:val="28"/>
          <w:szCs w:val="28"/>
          <w:rtl w:val="true"/>
          <w:lang w:bidi="ar-SA"/>
        </w:rPr>
        <w:t xml:space="preserve">شكَّ في أصل الإتيان بالصَّلوة بعد خروج الوقت، فكما يجوز له أن يبني علىٰ الإتيان بصلوته هذه، فكذلك المُتَّصِف بالوسواس له أن لايعتني بشكِّه في الوقت، من غير فرقٍ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صاحب العروة قدس سره</w:t>
      </w:r>
      <w:r>
        <w:rPr>
          <w:rStyle w:val="FootnoteAnchor"/>
          <w:rtl w:val="true"/>
        </w:rPr>
        <w:footnoteReference w:id="163"/>
      </w:r>
      <w:r>
        <w:rPr>
          <w:rFonts w:ascii="Amiri" w:hAnsi="Amiri" w:eastAsia="Amiri" w:cs="Amiri"/>
          <w:color w:val="111111"/>
          <w:sz w:val="28"/>
          <w:sz w:val="28"/>
          <w:szCs w:val="28"/>
          <w:rtl w:val="true"/>
          <w:lang w:bidi="ar-SA"/>
        </w:rPr>
        <w:t>وانظر إلى ما ذكره في المقام شُرَّاح عبارته، كالسَّيِّد الحكيم قدس سره</w:t>
      </w:r>
      <w:r>
        <w:rPr>
          <w:rStyle w:val="FootnoteAnchor"/>
          <w:rtl w:val="true"/>
        </w:rPr>
        <w:footnoteReference w:id="164"/>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65"/>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66"/>
      </w:r>
      <w:r>
        <w:rPr>
          <w:rFonts w:ascii="Amiri" w:hAnsi="Amiri" w:eastAsia="Amiri" w:cs="Amiri"/>
          <w:color w:val="111111"/>
          <w:sz w:val="28"/>
          <w:sz w:val="28"/>
          <w:szCs w:val="28"/>
          <w:rtl w:val="true"/>
          <w:lang w:bidi="ar-SA"/>
        </w:rPr>
        <w:t>، والشَّيخ الإشتهارديِّ قدس سره</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فإطلاق الرِّوايات أوَّلًا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والعلَّة المذكورة فيها</w:t>
      </w:r>
      <w:r>
        <w:rPr>
          <w:rStyle w:val="FootnoteAnchor"/>
          <w:rtl w:val="true"/>
        </w:rPr>
        <w:footnoteReference w:id="169"/>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وما قرَّرناه من الدَّليل العقليِّ ثالثًا، يأتي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الفرق وثبوت التَّفاوت بينهما؛</w:t>
      </w:r>
    </w:p>
    <w:p>
      <w:pPr>
        <w:pStyle w:val="BookText"/>
        <w:rPr/>
      </w:pPr>
      <w:r>
        <w:rPr>
          <w:rFonts w:ascii="Amiri" w:hAnsi="Amiri" w:eastAsia="Amiri" w:cs="Amiri"/>
          <w:color w:val="111111"/>
          <w:sz w:val="28"/>
          <w:sz w:val="28"/>
          <w:szCs w:val="28"/>
          <w:rtl w:val="true"/>
          <w:lang w:bidi="ar-SA"/>
        </w:rPr>
        <w:t>اِدِّعاءٌ بلا دليلٍ‌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979076_1280447820"/>
      <w:bookmarkStart w:id="81" w:name="_Toc27"/>
      <w:bookmarkEnd w:id="80"/>
      <w:r>
        <w:rPr>
          <w:rtl w:val="true"/>
        </w:rPr>
        <w:t>التَّنبيه التَّاسع</w:t>
      </w:r>
      <w:r>
        <w:rPr>
          <w:rtl w:val="true"/>
        </w:rPr>
        <w:t>:</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عدَّةُ رواياتٍ في أنَّ كثير الشَّكِّ يصلِّي اختصارًا حتَّى لايعرضُه الشَّكُّ‌؛ </w:t>
      </w:r>
    </w:p>
    <w:p>
      <w:pPr>
        <w:pStyle w:val="BookText"/>
        <w:rPr/>
      </w:pPr>
      <w:r>
        <w:rPr>
          <w:rFonts w:ascii="Amiri" w:hAnsi="Amiri" w:eastAsia="Amiri" w:cs="Amiri"/>
          <w:color w:val="111111"/>
          <w:sz w:val="28"/>
          <w:sz w:val="28"/>
          <w:szCs w:val="28"/>
          <w:rtl w:val="true"/>
          <w:lang w:bidi="ar-SA"/>
        </w:rPr>
        <w:t>كخبر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السَّهو،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ادرُج صلاتك ادراجًا،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الإدراج‌؟،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الرُّكوع والسُّجود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70"/>
      </w:r>
      <w:r>
        <w:rPr>
          <w:rFonts w:ascii="Amiri" w:hAnsi="Amiri" w:eastAsia="Amiri" w:cs="Amiri"/>
          <w:color w:val="111111"/>
          <w:sz w:val="28"/>
          <w:sz w:val="28"/>
          <w:szCs w:val="28"/>
          <w:rtl w:val="true"/>
          <w:lang w:bidi="ar-SA"/>
        </w:rPr>
        <w:t>، والشَّيخ قدس سره</w:t>
      </w:r>
      <w:r>
        <w:rPr>
          <w:rStyle w:val="FootnoteAnchor"/>
          <w:rtl w:val="true"/>
        </w:rPr>
        <w:footnoteReference w:id="171"/>
      </w:r>
      <w:r>
        <w:rPr>
          <w:rFonts w:ascii="Amiri" w:hAnsi="Amiri" w:eastAsia="Amiri" w:cs="Amiri"/>
          <w:color w:val="111111"/>
          <w:sz w:val="28"/>
          <w:sz w:val="28"/>
          <w:szCs w:val="28"/>
          <w:rtl w:val="true"/>
          <w:lang w:bidi="ar-SA"/>
        </w:rPr>
        <w:t>، والفيض قدس سره</w:t>
      </w:r>
      <w:r>
        <w:rPr>
          <w:rStyle w:val="FootnoteAnchor"/>
          <w:rtl w:val="true"/>
        </w:rPr>
        <w:footnoteReference w:id="172"/>
      </w:r>
      <w:r>
        <w:rPr>
          <w:rFonts w:ascii="Amiri" w:hAnsi="Amiri" w:eastAsia="Amiri" w:cs="Amiri"/>
          <w:color w:val="111111"/>
          <w:sz w:val="28"/>
          <w:sz w:val="28"/>
          <w:szCs w:val="28"/>
          <w:rtl w:val="true"/>
          <w:lang w:bidi="ar-SA"/>
        </w:rPr>
        <w:t>، والحرُّ قدس سره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ولابأس بسنده، ولذلك جعلَه أوَّل المجلسيَّين قدس سرهما</w:t>
      </w:r>
      <w:r>
        <w:rPr>
          <w:rStyle w:val="FootnoteAnchor"/>
          <w:rtl w:val="true"/>
        </w:rPr>
        <w:footnoteReference w:id="174"/>
      </w:r>
      <w:r>
        <w:rPr>
          <w:rFonts w:ascii="Amiri" w:hAnsi="Amiri" w:eastAsia="Amiri" w:cs="Amiri"/>
          <w:color w:val="111111"/>
          <w:sz w:val="28"/>
          <w:sz w:val="28"/>
          <w:szCs w:val="28"/>
          <w:rtl w:val="true"/>
          <w:lang w:bidi="ar-SA"/>
        </w:rPr>
        <w:t>والوحيد الفريد قدس سره</w:t>
      </w:r>
      <w:r>
        <w:rPr>
          <w:rStyle w:val="FootnoteAnchor"/>
          <w:rtl w:val="true"/>
        </w:rPr>
        <w:footnoteReference w:id="175"/>
      </w:r>
      <w:r>
        <w:rPr>
          <w:rFonts w:ascii="Amiri" w:hAnsi="Amiri" w:eastAsia="Amiri" w:cs="Amiri"/>
          <w:color w:val="111111"/>
          <w:sz w:val="28"/>
          <w:sz w:val="28"/>
          <w:szCs w:val="28"/>
          <w:rtl w:val="true"/>
          <w:lang w:bidi="ar-SA"/>
        </w:rPr>
        <w:t>من الموثَّق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وردَتْ رواياتٌ في أنَّه يحفظ عددَ الرَّكعات وغيرها من أجزاء الصَّلوة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عبداللَّه عليه السلام ع كثرة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 صلاتك بالحصىٰ‌،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176"/>
      </w:r>
      <w:r>
        <w:rPr>
          <w:rFonts w:ascii="Amiri" w:hAnsi="Amiri" w:eastAsia="Amiri" w:cs="Amiri"/>
          <w:color w:val="111111"/>
          <w:sz w:val="28"/>
          <w:sz w:val="28"/>
          <w:szCs w:val="28"/>
          <w:rtl w:val="true"/>
          <w:lang w:bidi="ar-SA"/>
        </w:rPr>
        <w:t>، والفيض قدس سره</w:t>
      </w:r>
      <w:r>
        <w:rPr>
          <w:rStyle w:val="FootnoteAnchor"/>
          <w:rtl w:val="true"/>
        </w:rPr>
        <w:footnoteReference w:id="177"/>
      </w:r>
      <w:r>
        <w:rPr>
          <w:rFonts w:ascii="Amiri" w:hAnsi="Amiri" w:eastAsia="Amiri" w:cs="Amiri"/>
          <w:color w:val="111111"/>
          <w:sz w:val="28"/>
          <w:sz w:val="28"/>
          <w:szCs w:val="28"/>
          <w:rtl w:val="true"/>
          <w:lang w:bidi="ar-SA"/>
        </w:rPr>
        <w:t>، والحرُّ قدس سره</w:t>
      </w:r>
      <w:r>
        <w:rPr>
          <w:rStyle w:val="FootnoteAnchor"/>
          <w:rtl w:val="true"/>
        </w:rPr>
        <w:footnoteReference w:id="1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صحَّحه أوَّل المجلسيَّين قدس سرهما</w:t>
      </w:r>
      <w:r>
        <w:rPr>
          <w:rStyle w:val="FootnoteAnchor"/>
          <w:rtl w:val="true"/>
        </w:rPr>
        <w:footnoteReference w:id="179"/>
      </w:r>
      <w:r>
        <w:rPr>
          <w:rFonts w:ascii="Amiri" w:hAnsi="Amiri" w:eastAsia="Amiri" w:cs="Amiri"/>
          <w:color w:val="111111"/>
          <w:sz w:val="28"/>
          <w:sz w:val="28"/>
          <w:szCs w:val="28"/>
          <w:rtl w:val="true"/>
          <w:lang w:bidi="ar-SA"/>
        </w:rPr>
        <w:t xml:space="preserve">وكيف كان فلاحرج بالسَّند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2" w:name="pg20339_220330"/>
    </w:p>
    <w:p>
      <w:pPr>
        <w:pStyle w:val="BookText"/>
        <w:rPr/>
      </w:pPr>
      <w:bookmarkEnd w:id="82"/>
      <w:r>
        <w:rPr>
          <w:rFonts w:ascii="Amiri" w:hAnsi="Amiri" w:eastAsia="Amiri" w:cs="Amiri"/>
          <w:color w:val="111111"/>
          <w:sz w:val="28"/>
          <w:sz w:val="28"/>
          <w:szCs w:val="28"/>
          <w:rtl w:val="true"/>
          <w:lang w:bidi="ar-SA"/>
        </w:rPr>
        <w:t xml:space="preserve">أو بأمينٍ يُعينُه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كزوجته، أو زوجها، أو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الاختصار في الصَّلوة أو الاِستعانة بالأمين لوأمكن له‌؟، أم لايجب عليه</w:t>
      </w:r>
      <w:r>
        <w:rPr>
          <w:rStyle w:val="FootnoteAnchor"/>
          <w:rtl w:val="true"/>
        </w:rPr>
        <w:footnoteReference w:id="1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هو عدم الوجوب، لحكومة الرِّوايات الَّتي تُعيِّن وظيفةَ كثير الشَّكِّ علىٰ هذه الطَّائفة من الرِّوايات، فهي تفسِّرها وتشير إلى محضِ الجواز؛ أمَّا الوجوب فلايُستفاد منها القول به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1979078_1280447820"/>
      <w:bookmarkStart w:id="84" w:name="_Toc28"/>
      <w:bookmarkEnd w:id="83"/>
      <w:r>
        <w:rPr>
          <w:rtl w:val="true"/>
        </w:rPr>
        <w:t>التَّنبيه العاشر</w:t>
      </w:r>
      <w:r>
        <w:rPr>
          <w:rtl w:val="true"/>
        </w:rPr>
        <w:t>:</w:t>
      </w:r>
      <w:bookmarkEnd w:id="84"/>
    </w:p>
    <w:p>
      <w:pPr>
        <w:pStyle w:val="BookText"/>
        <w:rPr/>
      </w:pPr>
      <w:r>
        <w:rPr>
          <w:rFonts w:ascii="Amiri" w:hAnsi="Amiri" w:eastAsia="Amiri" w:cs="Amiri"/>
          <w:color w:val="111111"/>
          <w:sz w:val="28"/>
          <w:sz w:val="28"/>
          <w:szCs w:val="28"/>
          <w:rtl w:val="true"/>
          <w:lang w:bidi="ar-SA"/>
        </w:rPr>
        <w:t>التَّنبيه العاشر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الرِّوايات الَّتي تُعيِّن وظيفةَ كثير الشَّكِّ علىٰ الرِّوايات الدَّالَّة علىٰ الواجبات والمندوبات وأجزائها وشرائطها وموانعها وغيرها ممَّا يلزم في الواجب؛ وكذلك علىٰ الرِّوايات الدَّالَّة علىٰ أحكام الشُّكوك والظُّنون وغيرهما، حيث إنَّها تُفسِّر هذه الرِّوايات أيضًا؛</w:t>
      </w:r>
    </w:p>
    <w:p>
      <w:pPr>
        <w:pStyle w:val="BookText"/>
        <w:rPr/>
      </w:pPr>
      <w:r>
        <w:rPr>
          <w:rFonts w:ascii="Amiri" w:hAnsi="Amiri" w:eastAsia="Amiri" w:cs="Amiri"/>
          <w:color w:val="111111"/>
          <w:sz w:val="28"/>
          <w:sz w:val="28"/>
          <w:szCs w:val="28"/>
          <w:rtl w:val="true"/>
          <w:lang w:bidi="ar-SA"/>
        </w:rPr>
        <w:t>فهذه محكومةٌ بها قطعًا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979080_1280447820"/>
      <w:bookmarkStart w:id="86" w:name="_Toc29"/>
      <w:bookmarkEnd w:id="85"/>
      <w:r>
        <w:rPr>
          <w:rtl w:val="true"/>
        </w:rPr>
        <w:t>أمثلةٌ لاستعمال القاعدة في الفقه</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سهوُه وتراتر لم يلتفت إليه، ويبني علىٰ ما شكَّ فيه بأنَّه واقعٌ‌</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قدس سره في 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عن الأصل المنتَقَل إليه إلى الأصل </w:t>
      </w:r>
    </w:p>
    <w:p>
      <w:pPr>
        <w:pStyle w:val="BookText"/>
        <w:rPr/>
      </w:pPr>
      <w:r>
        <w:rPr>
          <w:rFonts w:ascii="Amiri" w:hAnsi="Amiri" w:eastAsia="Amiri" w:cs="Amiri"/>
          <w:color w:val="111111"/>
          <w:sz w:val="28"/>
          <w:sz w:val="28"/>
          <w:szCs w:val="28"/>
          <w:rtl w:val="true"/>
          <w:lang w:bidi="ar-SA"/>
        </w:rPr>
        <w:t>المهجور هل هو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المنعُ‌، وله 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سهوُه، فحكمه عدم الالتفات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ابنُطيٍّ قدس سره في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الشَّكِّ في النِّيَّات كصوم رمضان لاتجب عليه النِّيَّة بعد خروج وقتها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87" w:name="pg20339_220332"/>
    </w:p>
    <w:p>
      <w:pPr>
        <w:pStyle w:val="Heading2"/>
        <w:numPr>
          <w:ilvl w:val="1"/>
          <w:numId w:val="1"/>
        </w:numPr>
        <w:rPr/>
      </w:pPr>
      <w:bookmarkStart w:id="88" w:name="__RefHeading___Toc11979082_1280447820"/>
      <w:bookmarkStart w:id="89" w:name="_Toc30"/>
      <w:bookmarkEnd w:id="87"/>
      <w:bookmarkEnd w:id="88"/>
      <w:r>
        <w:rPr>
          <w:rtl w:val="true"/>
        </w:rPr>
        <w:t>[</w:t>
      </w:r>
      <w:r>
        <w:rPr/>
        <w:t>46</w:t>
      </w:r>
      <w:r>
        <w:rPr>
          <w:rtl w:val="true"/>
        </w:rPr>
        <w:t xml:space="preserve">:] </w:t>
      </w:r>
      <w:r>
        <w:rPr>
          <w:rtl w:val="true"/>
        </w:rPr>
        <w:t>قاعدة كلِّ كافرٍ نجسٌ‌</w:t>
      </w:r>
      <w:bookmarkEnd w:id="89"/>
    </w:p>
    <w:p>
      <w:pPr>
        <w:pStyle w:val="Heading3"/>
        <w:numPr>
          <w:ilvl w:val="2"/>
          <w:numId w:val="1"/>
        </w:numPr>
        <w:rPr/>
      </w:pPr>
      <w:bookmarkStart w:id="90" w:name="__RefHeading___Toc11979084_1280447820"/>
      <w:bookmarkStart w:id="91" w:name="_Toc31"/>
      <w:bookmarkEnd w:id="90"/>
      <w:r>
        <w:rPr>
          <w:rtl w:val="true"/>
        </w:rPr>
        <w:t>عناوين أُخرىٰ للقاعدة</w:t>
      </w:r>
      <w:bookmarkEnd w:id="91"/>
    </w:p>
    <w:p>
      <w:pPr>
        <w:pStyle w:val="Heading3"/>
        <w:numPr>
          <w:ilvl w:val="2"/>
          <w:numId w:val="1"/>
        </w:numPr>
        <w:rPr/>
      </w:pPr>
      <w:bookmarkStart w:id="92" w:name="__RefHeading___Toc11979086_1280447820"/>
      <w:bookmarkStart w:id="93" w:name="_Toc32"/>
      <w:bookmarkEnd w:id="92"/>
      <w:r>
        <w:rPr>
          <w:rtl w:val="true"/>
        </w:rPr>
        <w:t>توضيح مفاد القاعدة</w:t>
      </w:r>
      <w:bookmarkEnd w:id="93"/>
    </w:p>
    <w:p>
      <w:pPr>
        <w:pStyle w:val="Heading4"/>
        <w:numPr>
          <w:ilvl w:val="3"/>
          <w:numId w:val="1"/>
        </w:numPr>
        <w:rPr/>
      </w:pPr>
      <w:bookmarkStart w:id="94" w:name="__RefHeading___Toc11979088_1280447820"/>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توضيح مفاد القاعدة يحتاج إلى بيان أمورٍ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979090_1280447820"/>
      <w:bookmarkStart w:id="97" w:name="_Toc34"/>
      <w:bookmarkEnd w:id="96"/>
      <w:r>
        <w:rPr>
          <w:rtl w:val="true"/>
        </w:rPr>
        <w:t>الأمر الأوَّل</w:t>
      </w:r>
      <w:r>
        <w:rPr>
          <w:rtl w:val="true"/>
        </w:rPr>
        <w:t>:</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الإنكارُ قلبًا ولسانًا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لمعناه اللُّغوي الَّذي هو السَّترُ؛ قال ابنُدريدٍ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التَّقطيَة علىٰ الشَّيء والسَّتر، فكأنَّ الكافر مغطىً علىٰ قلبه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ومثله ما عن ابنِفارسٍ قدس سره</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خصَّه الجوهريُّ قدس سره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p>
    <w:p>
      <w:pPr>
        <w:pStyle w:val="BookText"/>
        <w:rPr/>
      </w:pP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الخليل قدس سره تقسيمُ الكفر علىٰ أربعة أقسامٍ‌، ثمَّ قال في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الإنكار، وهو نحو القلب واللِّسان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ومثله ما عن الأزهريِّ قدس سره، نقلًا عن شمر</w:t>
      </w:r>
      <w:r>
        <w:rPr>
          <w:rStyle w:val="FootnoteAnchor"/>
          <w:rtl w:val="true"/>
        </w:rPr>
        <w:footnoteReference w:id="189"/>
      </w:r>
      <w:r>
        <w:rPr>
          <w:rFonts w:ascii="Amiri" w:hAnsi="Amiri" w:eastAsia="Amiri" w:cs="Amiri"/>
          <w:color w:val="111111"/>
          <w:sz w:val="28"/>
          <w:sz w:val="28"/>
          <w:szCs w:val="28"/>
          <w:rtl w:val="true"/>
          <w:lang w:bidi="ar-SA"/>
        </w:rPr>
        <w:t>وعن الصَّاحب إسماعيل قدس سره أيضًا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الرَّاغبُ قدس سره</w:t>
      </w:r>
      <w:r>
        <w:rPr>
          <w:rStyle w:val="FootnoteAnchor"/>
          <w:rtl w:val="true"/>
        </w:rPr>
        <w:footnoteReference w:id="191"/>
      </w:r>
      <w:r>
        <w:rPr>
          <w:rFonts w:ascii="Amiri" w:hAnsi="Amiri" w:eastAsia="Amiri" w:cs="Amiri"/>
          <w:color w:val="111111"/>
          <w:sz w:val="28"/>
          <w:sz w:val="28"/>
          <w:szCs w:val="28"/>
          <w:rtl w:val="true"/>
          <w:lang w:bidi="ar-SA"/>
        </w:rPr>
        <w:t>، وابنُسيدة قدس سره</w:t>
      </w:r>
      <w:r>
        <w:rPr>
          <w:rStyle w:val="FootnoteAnchor"/>
          <w:rtl w:val="true"/>
        </w:rPr>
        <w:footnoteReference w:id="192"/>
      </w:r>
      <w:r>
        <w:rPr>
          <w:rFonts w:ascii="Amiri" w:hAnsi="Amiri" w:eastAsia="Amiri" w:cs="Amiri"/>
          <w:color w:val="111111"/>
          <w:sz w:val="28"/>
          <w:sz w:val="28"/>
          <w:szCs w:val="28"/>
          <w:rtl w:val="true"/>
          <w:lang w:bidi="ar-SA"/>
        </w:rPr>
        <w:t>، والزَّمخشريُّ قدس سره</w:t>
      </w:r>
      <w:r>
        <w:rPr>
          <w:rStyle w:val="FootnoteAnchor"/>
          <w:rtl w:val="true"/>
        </w:rPr>
        <w:footnoteReference w:id="193"/>
      </w:r>
      <w:r>
        <w:rPr>
          <w:rFonts w:ascii="Amiri" w:hAnsi="Amiri" w:eastAsia="Amiri" w:cs="Amiri"/>
          <w:color w:val="111111"/>
          <w:sz w:val="28"/>
          <w:sz w:val="28"/>
          <w:szCs w:val="28"/>
          <w:rtl w:val="true"/>
          <w:lang w:bidi="ar-SA"/>
        </w:rPr>
        <w:t>، ونِشوان الحِميَري قدس سره</w:t>
      </w:r>
      <w:r>
        <w:rPr>
          <w:rStyle w:val="FootnoteAnchor"/>
          <w:rtl w:val="true"/>
        </w:rPr>
        <w:footnoteReference w:id="194"/>
      </w:r>
      <w:r>
        <w:rPr>
          <w:rFonts w:ascii="Amiri" w:hAnsi="Amiri" w:eastAsia="Amiri" w:cs="Amiri"/>
          <w:color w:val="111111"/>
          <w:sz w:val="28"/>
          <w:sz w:val="28"/>
          <w:szCs w:val="28"/>
          <w:rtl w:val="true"/>
          <w:lang w:bidi="ar-SA"/>
        </w:rPr>
        <w:t>، والمُطَرِّزي قدس سره</w:t>
      </w:r>
      <w:r>
        <w:rPr>
          <w:rStyle w:val="FootnoteAnchor"/>
          <w:rtl w:val="true"/>
        </w:rPr>
        <w:footnoteReference w:id="195"/>
      </w:r>
      <w:r>
        <w:rPr>
          <w:rFonts w:ascii="Amiri" w:hAnsi="Amiri" w:eastAsia="Amiri" w:cs="Amiri"/>
          <w:color w:val="111111"/>
          <w:sz w:val="28"/>
          <w:sz w:val="28"/>
          <w:szCs w:val="28"/>
          <w:rtl w:val="true"/>
          <w:lang w:bidi="ar-SA"/>
        </w:rPr>
        <w:t xml:space="preserve">وغيرهم، لترىٰ تطابق اللُّغَويِّين بأجمعهم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فالكافر من أنكر بقلبه ولسانِه وجودَ البارىء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أو اعتقد أنَّ له شريكًا في الذَّات، أو في وجوب العبادة، أو في التَّأثير اِستقلالًا؛ أو أنكر نبوَّة نبيِّنا الخاتم صلى الله عليه و آله؛ أو أنكر المعادَ من أصله، لا بما يرجع إليه من كيفيَّته؛ أو أنكر ضروريًّا من ضروريَّات الدِّين بحيث يرجع هذا الإنكار إلى إنكار أصل الدِّين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ولكثيرٍ من فقهائنا بيانُ ضوابط الكفر والإتِّصاف به، كالفاضل الآبي قدس سره</w:t>
      </w:r>
      <w:r>
        <w:rPr>
          <w:rStyle w:val="FootnoteAnchor"/>
          <w:rtl w:val="true"/>
        </w:rPr>
        <w:footnoteReference w:id="196"/>
      </w:r>
      <w:r>
        <w:rPr>
          <w:rFonts w:ascii="IRNazanin" w:hAnsi="IRNazanin" w:eastAsia="IRNazanin"/>
          <w:color w:val="111111"/>
          <w:sz w:val="28"/>
          <w:sz w:val="28"/>
          <w:szCs w:val="28"/>
          <w:rtl w:val="true"/>
          <w:lang w:bidi="fa-IR"/>
        </w:rPr>
        <w:t xml:space="preserve">، </w:t>
      </w:r>
      <w:bookmarkStart w:id="98" w:name="pg20339_220334"/>
    </w:p>
    <w:p>
      <w:pPr>
        <w:pStyle w:val="BookText"/>
        <w:rPr/>
      </w:pPr>
      <w:bookmarkEnd w:id="98"/>
      <w:r>
        <w:rPr>
          <w:rFonts w:ascii="Amiri" w:hAnsi="Amiri" w:eastAsia="Amiri" w:cs="Amiri"/>
          <w:color w:val="111111"/>
          <w:sz w:val="28"/>
          <w:sz w:val="28"/>
          <w:szCs w:val="28"/>
          <w:rtl w:val="true"/>
          <w:lang w:bidi="ar-SA"/>
        </w:rPr>
        <w:t>والزَّهدريِّ الحلِّي قدس سره</w:t>
      </w:r>
      <w:r>
        <w:rPr>
          <w:rStyle w:val="FootnoteAnchor"/>
          <w:rtl w:val="true"/>
        </w:rPr>
        <w:footnoteReference w:id="197"/>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198"/>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99"/>
      </w:r>
      <w:r>
        <w:rPr>
          <w:rFonts w:ascii="Amiri" w:hAnsi="Amiri" w:eastAsia="Amiri" w:cs="Amiri"/>
          <w:color w:val="111111"/>
          <w:sz w:val="28"/>
          <w:sz w:val="28"/>
          <w:szCs w:val="28"/>
          <w:rtl w:val="true"/>
          <w:lang w:bidi="ar-SA"/>
        </w:rPr>
        <w:t>، والفاضل المازندرانيِّ قدس سره</w:t>
      </w:r>
      <w:r>
        <w:rPr>
          <w:rStyle w:val="FootnoteAnchor"/>
          <w:rtl w:val="true"/>
        </w:rPr>
        <w:footnoteReference w:id="20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ذلك؛ وقد أشرنا فيما مضىٰ إليه أيضًا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979092_1280447820"/>
      <w:bookmarkStart w:id="100" w:name="_Toc35"/>
      <w:bookmarkEnd w:id="99"/>
      <w:r>
        <w:rPr>
          <w:rtl w:val="true"/>
        </w:rPr>
        <w:t>الأمر الثَّاني</w:t>
      </w:r>
      <w:r>
        <w:rPr>
          <w:rtl w:val="true"/>
        </w:rPr>
        <w:t>:</w:t>
      </w:r>
      <w:bookmarkEnd w:id="100"/>
    </w:p>
    <w:p>
      <w:pPr>
        <w:pStyle w:val="BookText"/>
        <w:rPr/>
      </w:pPr>
      <w:r>
        <w:rPr>
          <w:rFonts w:ascii="Amiri" w:hAnsi="Amiri" w:eastAsia="Amiri" w:cs="Amiri"/>
          <w:color w:val="111111"/>
          <w:sz w:val="28"/>
          <w:sz w:val="28"/>
          <w:szCs w:val="28"/>
          <w:rtl w:val="true"/>
          <w:lang w:bidi="ar-SA"/>
        </w:rPr>
        <w:t>المشهورُ بيننا نجاسةُ مطلق الكافر، خلافًا للعامَّة الذَّاهبين إلى طهارة مطلق الكافر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1979094_1280447820"/>
      <w:bookmarkStart w:id="102" w:name="_Toc36"/>
      <w:bookmarkEnd w:id="101"/>
      <w:r>
        <w:rPr>
          <w:rtl w:val="true"/>
        </w:rPr>
        <w:t>الأمر الثَّالث</w:t>
      </w:r>
      <w:r>
        <w:rPr>
          <w:rtl w:val="true"/>
        </w:rPr>
        <w:t>:</w:t>
      </w:r>
      <w:bookmarkEnd w:id="102"/>
    </w:p>
    <w:p>
      <w:pPr>
        <w:pStyle w:val="BookText"/>
        <w:rPr/>
      </w:pPr>
      <w:r>
        <w:rPr>
          <w:rFonts w:ascii="Amiri" w:hAnsi="Amiri" w:eastAsia="Amiri" w:cs="Amiri"/>
          <w:color w:val="111111"/>
          <w:sz w:val="28"/>
          <w:sz w:val="28"/>
          <w:szCs w:val="28"/>
          <w:rtl w:val="true"/>
          <w:lang w:bidi="ar-SA"/>
        </w:rPr>
        <w:t xml:space="preserve">فظهر إذًا المرادُ من القاعدة، حيث إنَّ المشهورَ بين الأصحاب نجاسةُ كلِّ من أنكَرَ أصلَ الشَّريعة المقدَّسة، أو ضروريًّا من ضروريَّاتها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كالتَّوحيد، والنُّبوَّة، والمعاد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979096_1280447820"/>
      <w:bookmarkStart w:id="104" w:name="_Toc37"/>
      <w:bookmarkEnd w:id="103"/>
      <w:r>
        <w:rPr>
          <w:rtl w:val="true"/>
        </w:rPr>
        <w:t>مدركُ القاعدة</w:t>
      </w:r>
      <w:bookmarkEnd w:id="104"/>
    </w:p>
    <w:p>
      <w:pPr>
        <w:pStyle w:val="Heading4"/>
        <w:numPr>
          <w:ilvl w:val="3"/>
          <w:numId w:val="1"/>
        </w:numPr>
        <w:rPr/>
      </w:pPr>
      <w:bookmarkStart w:id="105" w:name="__RefHeading___Toc11979098_1280447820"/>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استدلَّ الأصحابُ هيهنا بالأدلَّة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979100_1280447820"/>
      <w:bookmarkStart w:id="108" w:name="_Toc39"/>
      <w:bookmarkEnd w:id="107"/>
      <w:r>
        <w:rPr>
          <w:rtl w:val="true"/>
        </w:rPr>
        <w:t>أوَّلًا</w:t>
      </w:r>
      <w:r>
        <w:rPr>
          <w:rtl w:val="true"/>
        </w:rPr>
        <w:t xml:space="preserve">: </w:t>
      </w:r>
      <w:r>
        <w:rPr>
          <w:rtl w:val="true"/>
        </w:rPr>
        <w:t>الكتاب</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اَلْمُشْرِكُونَ نَجَسٌ فَلاٰ يَقْرَبُوا اَلْمَسْجِدَ </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بنجاسة المشرك يدلُّ بالأولويَّة علىٰ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كونهم مشركين مستدِلًّا بهذه الكريمة العلَّامةُ قدس سره</w:t>
      </w:r>
      <w:r>
        <w:rPr>
          <w:rStyle w:val="FootnoteAnchor"/>
          <w:rtl w:val="true"/>
        </w:rPr>
        <w:footnoteReference w:id="203"/>
      </w:r>
      <w:r>
        <w:rPr>
          <w:rFonts w:ascii="Amiri" w:hAnsi="Amiri" w:eastAsia="Amiri" w:cs="Amiri"/>
          <w:color w:val="111111"/>
          <w:sz w:val="28"/>
          <w:sz w:val="28"/>
          <w:szCs w:val="28"/>
          <w:rtl w:val="true"/>
          <w:lang w:bidi="ar-SA"/>
        </w:rPr>
        <w:t>، وولدُه الكبير قدس سره</w:t>
      </w:r>
      <w:r>
        <w:rPr>
          <w:rStyle w:val="FootnoteAnchor"/>
          <w:rtl w:val="true"/>
        </w:rPr>
        <w:footnoteReference w:id="204"/>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205"/>
      </w:r>
      <w:r>
        <w:rPr>
          <w:rFonts w:ascii="Amiri" w:hAnsi="Amiri" w:eastAsia="Amiri" w:cs="Amiri"/>
          <w:color w:val="111111"/>
          <w:sz w:val="28"/>
          <w:sz w:val="28"/>
          <w:szCs w:val="28"/>
          <w:rtl w:val="true"/>
          <w:lang w:bidi="ar-SA"/>
        </w:rPr>
        <w:t>، وابنُفهدٍ قدس سره</w:t>
      </w:r>
      <w:r>
        <w:rPr>
          <w:rStyle w:val="FootnoteAnchor"/>
          <w:rtl w:val="true"/>
        </w:rPr>
        <w:footnoteReference w:id="206"/>
      </w:r>
      <w:r>
        <w:rPr>
          <w:rFonts w:ascii="Amiri" w:hAnsi="Amiri" w:eastAsia="Amiri" w:cs="Amiri"/>
          <w:color w:val="111111"/>
          <w:sz w:val="28"/>
          <w:sz w:val="28"/>
          <w:szCs w:val="28"/>
          <w:rtl w:val="true"/>
          <w:lang w:bidi="ar-SA"/>
        </w:rPr>
        <w:t>، والصَّيمُريُّ قدس سره</w:t>
      </w:r>
      <w:r>
        <w:rPr>
          <w:rStyle w:val="FootnoteAnchor"/>
          <w:rtl w:val="true"/>
        </w:rPr>
        <w:footnoteReference w:id="20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ألحَقُوا بالمشرك والكافر الكتابيَّ أيضًا؛ كما عن الفاضل المقداد قدس سره حيث قال في البحث الرَّابع عن المباحث المُتَعَلَّقة بهذه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لافرق بينهم وبين باقي الكفَّار عندنا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ومثله ما عن الفاضل الجواد قدس سره</w:t>
      </w:r>
      <w:r>
        <w:rPr>
          <w:rStyle w:val="FootnoteAnchor"/>
          <w:rtl w:val="true"/>
        </w:rPr>
        <w:footnoteReference w:id="209"/>
      </w:r>
      <w:r>
        <w:rPr>
          <w:rFonts w:ascii="Amiri" w:hAnsi="Amiri" w:eastAsia="Amiri" w:cs="Amiri"/>
          <w:color w:val="111111"/>
          <w:sz w:val="28"/>
          <w:sz w:val="28"/>
          <w:szCs w:val="28"/>
          <w:rtl w:val="true"/>
          <w:lang w:bidi="ar-SA"/>
        </w:rPr>
        <w:t>، والرَّاوندي قدس سره</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الشَّيخ قدس سره</w:t>
      </w:r>
      <w:r>
        <w:rPr>
          <w:rStyle w:val="FootnoteAnchor"/>
          <w:rtl w:val="true"/>
        </w:rPr>
        <w:footnoteReference w:id="211"/>
      </w:r>
      <w:r>
        <w:rPr>
          <w:rFonts w:ascii="Amiri" w:hAnsi="Amiri" w:eastAsia="Amiri" w:cs="Amiri"/>
          <w:color w:val="111111"/>
          <w:sz w:val="28"/>
          <w:sz w:val="28"/>
          <w:szCs w:val="28"/>
          <w:rtl w:val="true"/>
          <w:lang w:bidi="ar-SA"/>
        </w:rPr>
        <w:t>، والفاضل الأردبيليُّ قدس سره</w:t>
      </w:r>
      <w:r>
        <w:rPr>
          <w:rStyle w:val="FootnoteAnchor"/>
          <w:rtl w:val="true"/>
        </w:rPr>
        <w:footnoteReference w:id="212"/>
      </w:r>
      <w:r>
        <w:rPr>
          <w:rFonts w:ascii="Amiri" w:hAnsi="Amiri" w:eastAsia="Amiri" w:cs="Amiri"/>
          <w:color w:val="111111"/>
          <w:sz w:val="28"/>
          <w:sz w:val="28"/>
          <w:szCs w:val="28"/>
          <w:rtl w:val="true"/>
          <w:lang w:bidi="ar-SA"/>
        </w:rPr>
        <w:t>، وابنُالعربي قدس سره</w:t>
      </w:r>
      <w:r>
        <w:rPr>
          <w:rStyle w:val="FootnoteAnchor"/>
          <w:rtl w:val="true"/>
        </w:rPr>
        <w:footnoteReference w:id="213"/>
      </w:r>
      <w:r>
        <w:rPr>
          <w:rFonts w:ascii="Amiri" w:hAnsi="Amiri" w:eastAsia="Amiri" w:cs="Amiri"/>
          <w:color w:val="111111"/>
          <w:sz w:val="28"/>
          <w:sz w:val="28"/>
          <w:szCs w:val="28"/>
          <w:rtl w:val="true"/>
          <w:lang w:bidi="ar-SA"/>
        </w:rPr>
        <w:t>، والجصَّاص قدس سره</w:t>
      </w:r>
      <w:r>
        <w:rPr>
          <w:rStyle w:val="FootnoteAnchor"/>
          <w:rtl w:val="true"/>
        </w:rPr>
        <w:footnoteReference w:id="214"/>
      </w:r>
      <w:r>
        <w:rPr>
          <w:rFonts w:ascii="Amiri" w:hAnsi="Amiri" w:eastAsia="Amiri" w:cs="Amiri"/>
          <w:color w:val="111111"/>
          <w:sz w:val="28"/>
          <w:sz w:val="28"/>
          <w:szCs w:val="28"/>
          <w:rtl w:val="true"/>
          <w:lang w:bidi="ar-SA"/>
        </w:rPr>
        <w:t>، والكياهراسي قدس سره</w:t>
      </w:r>
      <w:r>
        <w:rPr>
          <w:rStyle w:val="FootnoteAnchor"/>
          <w:rtl w:val="true"/>
        </w:rPr>
        <w:footnoteReference w:id="215"/>
      </w:r>
      <w:r>
        <w:rPr>
          <w:rFonts w:ascii="Amiri" w:hAnsi="Amiri" w:eastAsia="Amiri" w:cs="Amiri"/>
          <w:color w:val="111111"/>
          <w:sz w:val="28"/>
          <w:sz w:val="28"/>
          <w:szCs w:val="28"/>
          <w:rtl w:val="true"/>
          <w:lang w:bidi="ar-SA"/>
        </w:rPr>
        <w:t>، والقرطبيُّ قدس سره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المجوس، فلقولِهِم بمبدَئَين مستقلَّين اللَّذَين يُعَبَّر عنهما بيزدان وأهرَمَن، أو النُّور والظُّلمة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وأمَّا اليهود والنَّصارىٰ‌،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أجوبة مسائل ورسائل في مختلف فنون المعرفة،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وسنشير إلى إنعقاد الإجماع عليه؛ كما نصَّ عليه كثيرٌ من الفقهاء، منهم النَّراقي الثَّاني قدس سرهما</w:t>
      </w:r>
      <w:r>
        <w:rPr>
          <w:rStyle w:val="FootnoteAnchor"/>
          <w:rtl w:val="true"/>
        </w:rPr>
        <w:footnoteReference w:id="220"/>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221"/>
      </w:r>
      <w:r>
        <w:rPr>
          <w:rFonts w:ascii="Amiri" w:hAnsi="Amiri" w:eastAsia="Amiri" w:cs="Amiri"/>
          <w:color w:val="111111"/>
          <w:sz w:val="28"/>
          <w:sz w:val="28"/>
          <w:szCs w:val="28"/>
          <w:rtl w:val="true"/>
          <w:lang w:bidi="ar-SA"/>
        </w:rPr>
        <w:t>، والمحقِّق الآمليُّ قدس سره</w:t>
      </w:r>
      <w:r>
        <w:rPr>
          <w:rStyle w:val="FootnoteAnchor"/>
          <w:rtl w:val="true"/>
        </w:rPr>
        <w:footnoteReference w:id="222"/>
      </w:r>
      <w:r>
        <w:rPr>
          <w:rFonts w:ascii="Amiri" w:hAnsi="Amiri" w:eastAsia="Amiri" w:cs="Amiri"/>
          <w:color w:val="111111"/>
          <w:sz w:val="28"/>
          <w:sz w:val="28"/>
          <w:szCs w:val="28"/>
          <w:rtl w:val="true"/>
          <w:lang w:bidi="ar-SA"/>
        </w:rPr>
        <w:t>وادَّعىٰ المحقِّق القمِّي قدس سره انعقادَ الإجماع عليه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في قولهم خارجٌ عن نِطاق هذا الكتاب، لكونه مسألةً كلاميَّةً‌؛ لكن </w:t>
      </w:r>
    </w:p>
    <w:p>
      <w:pPr>
        <w:pStyle w:val="BookText"/>
        <w:rPr/>
      </w:pPr>
      <w:r>
        <w:rPr>
          <w:rFonts w:ascii="Amiri" w:hAnsi="Amiri" w:eastAsia="Amiri" w:cs="Amiri"/>
          <w:color w:val="111111"/>
          <w:sz w:val="28"/>
          <w:sz w:val="28"/>
          <w:szCs w:val="28"/>
          <w:rtl w:val="true"/>
          <w:lang w:bidi="ar-SA"/>
        </w:rPr>
        <w:t>من الفقهاء من نظر فيها وبحث عنها، كالفاضل المازندرانيِّ قدس سره</w:t>
      </w:r>
      <w:r>
        <w:rPr>
          <w:rStyle w:val="FootnoteAnchor"/>
          <w:rtl w:val="true"/>
        </w:rPr>
        <w:footnoteReference w:id="224"/>
      </w:r>
      <w:r>
        <w:rPr>
          <w:rFonts w:ascii="Amiri" w:hAnsi="Amiri" w:eastAsia="Amiri" w:cs="Amiri"/>
          <w:color w:val="111111"/>
          <w:sz w:val="28"/>
          <w:sz w:val="28"/>
          <w:szCs w:val="28"/>
          <w:rtl w:val="true"/>
          <w:lang w:bidi="ar-SA"/>
        </w:rPr>
        <w:t>، ورضي الدَّين الخوانساريِّ قدس سره</w:t>
      </w:r>
      <w:r>
        <w:rPr>
          <w:rStyle w:val="FootnoteAnchor"/>
          <w:rtl w:val="true"/>
        </w:rPr>
        <w:footnoteReference w:id="225"/>
      </w:r>
      <w:r>
        <w:rPr>
          <w:rFonts w:ascii="Amiri" w:hAnsi="Amiri" w:eastAsia="Amiri" w:cs="Amiri"/>
          <w:color w:val="111111"/>
          <w:sz w:val="28"/>
          <w:sz w:val="28"/>
          <w:szCs w:val="28"/>
          <w:rtl w:val="true"/>
          <w:lang w:bidi="ar-SA"/>
        </w:rPr>
        <w:t>، والمحقِّق البهبهانيِّ قدس سره</w:t>
      </w:r>
      <w:r>
        <w:rPr>
          <w:rStyle w:val="FootnoteAnchor"/>
          <w:rtl w:val="true"/>
        </w:rPr>
        <w:footnoteReference w:id="226"/>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22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قُبحِ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نسبةُ البُنُوَّة للعُزَير، ونسبةُ الأُبوَّة 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لا نسبة الألوهيَّة إلى عُزيرٍ؛ فلوتمسَّك الأصحاب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لكان أولىٰ‌، بل هو المُتَعيَّنُ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التَّنزيلَ العزيزَ قد فصَّلَ بين فِرَقِ المشركين وبين أهل الكتاب في آيٍ كثيرةٍ‌؛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ومثلُهُما ما يُوجَد في الكتاب العزيز في أكثر من أربعين موضعًا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فلاإشكال في أنَّ المشرك يُغايِرُ الكتابيَّ في إطلاق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الكتابيُّون أيضًا مشركون بحسب الواقع، كالفَسَقَة والفَجَرَة الَّذين سمَّاهم الكتابُ العزيز مشركين لعَمَلِهم، لا لاعتقادهم؛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بحسب الصُّغرىٰ‌؛</w:t>
      </w:r>
    </w:p>
    <w:p>
      <w:pPr>
        <w:pStyle w:val="BookText"/>
        <w:rPr/>
      </w:pPr>
      <w:r>
        <w:rPr>
          <w:rFonts w:ascii="Amiri" w:hAnsi="Amiri" w:eastAsia="Amiri" w:cs="Amiri"/>
          <w:color w:val="111111"/>
          <w:sz w:val="28"/>
          <w:sz w:val="28"/>
          <w:szCs w:val="28"/>
          <w:rtl w:val="true"/>
          <w:lang w:bidi="ar-SA"/>
        </w:rPr>
        <w:t>أمَّا بحسب الكبرىٰ‌</w:t>
      </w:r>
      <w:r>
        <w:rPr>
          <w:rStyle w:val="FootnoteAnchor"/>
          <w:rtl w:val="true"/>
        </w:rPr>
        <w:footnoteReference w:id="235"/>
      </w:r>
      <w:r>
        <w:rPr>
          <w:rFonts w:ascii="Amiri" w:hAnsi="Amiri" w:eastAsia="Amiri" w:cs="Amiri"/>
          <w:color w:val="111111"/>
          <w:sz w:val="28"/>
          <w:sz w:val="28"/>
          <w:szCs w:val="28"/>
          <w:rtl w:val="true"/>
          <w:lang w:bidi="ar-SA"/>
        </w:rPr>
        <w:t xml:space="preserve">، فليس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النِّجاسة المصطَلَح عليها في الفقه، بل هو القذارة والخباثة المعنويَّة الرَّوحانيَّة؛ كما أشار إليه الفقيه الخوانساريُّ قدس سره</w:t>
      </w:r>
      <w:r>
        <w:rPr>
          <w:rStyle w:val="FootnoteAnchor"/>
          <w:rtl w:val="true"/>
        </w:rPr>
        <w:footnoteReference w:id="236"/>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237"/>
      </w:r>
      <w:r>
        <w:rPr>
          <w:rFonts w:ascii="Amiri" w:hAnsi="Amiri" w:eastAsia="Amiri" w:cs="Amiri"/>
          <w:color w:val="111111"/>
          <w:sz w:val="28"/>
          <w:sz w:val="28"/>
          <w:szCs w:val="28"/>
          <w:rtl w:val="true"/>
          <w:lang w:bidi="ar-SA"/>
        </w:rPr>
        <w:t>، والشَّيخ الأراكيُّ قدس سره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معاصرينا أيضًا؛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المفسِّرين ابنُعاشور قدس سره</w:t>
      </w:r>
      <w:r>
        <w:rPr>
          <w:rStyle w:val="FootnoteAnchor"/>
          <w:rtl w:val="true"/>
        </w:rPr>
        <w:footnoteReference w:id="239"/>
      </w:r>
      <w:r>
        <w:rPr>
          <w:rFonts w:ascii="Amiri" w:hAnsi="Amiri" w:eastAsia="Amiri" w:cs="Amiri"/>
          <w:color w:val="111111"/>
          <w:sz w:val="28"/>
          <w:sz w:val="28"/>
          <w:szCs w:val="28"/>
          <w:rtl w:val="true"/>
          <w:lang w:bidi="ar-SA"/>
        </w:rPr>
        <w:t>، والمراغي قدس سره</w:t>
      </w:r>
      <w:r>
        <w:rPr>
          <w:rStyle w:val="FootnoteAnchor"/>
          <w:rtl w:val="true"/>
        </w:rPr>
        <w:footnoteReference w:id="240"/>
      </w:r>
      <w:bookmarkStart w:id="109" w:name="pg20339_220339"/>
    </w:p>
    <w:p>
      <w:pPr>
        <w:pStyle w:val="BookText"/>
        <w:rPr/>
      </w:pPr>
      <w:bookmarkEnd w:id="109"/>
      <w:r>
        <w:rPr>
          <w:rFonts w:ascii="Amiri" w:hAnsi="Amiri" w:eastAsia="Amiri" w:cs="Amiri"/>
          <w:color w:val="111111"/>
          <w:sz w:val="28"/>
          <w:sz w:val="28"/>
          <w:szCs w:val="28"/>
          <w:rtl w:val="true"/>
          <w:lang w:bidi="ar-SA"/>
        </w:rPr>
        <w:t>خلافًا للشَّيخ العراقيِّ النَّجفي قدس سره</w:t>
      </w:r>
      <w:r>
        <w:rPr>
          <w:rStyle w:val="FootnoteAnchor"/>
          <w:rtl w:val="true"/>
        </w:rPr>
        <w:footnoteReference w:id="241"/>
      </w:r>
      <w:r>
        <w:rPr>
          <w:rFonts w:ascii="Amiri" w:hAnsi="Amiri" w:eastAsia="Amiri" w:cs="Amiri"/>
          <w:color w:val="111111"/>
          <w:sz w:val="28"/>
          <w:sz w:val="28"/>
          <w:szCs w:val="28"/>
          <w:rtl w:val="true"/>
          <w:lang w:bidi="ar-SA"/>
        </w:rPr>
        <w:t>، والفقيه المدقِّقِ الحلِّي قدس سره</w:t>
      </w:r>
      <w:r>
        <w:rPr>
          <w:rStyle w:val="FootnoteAnchor"/>
          <w:rtl w:val="true"/>
        </w:rPr>
        <w:footnoteReference w:id="242"/>
      </w:r>
      <w:r>
        <w:rPr>
          <w:rFonts w:ascii="Amiri" w:hAnsi="Amiri" w:eastAsia="Amiri" w:cs="Amiri"/>
          <w:color w:val="111111"/>
          <w:sz w:val="28"/>
          <w:sz w:val="28"/>
          <w:szCs w:val="28"/>
          <w:rtl w:val="true"/>
          <w:lang w:bidi="ar-SA"/>
        </w:rPr>
        <w:t>، حيث نصَّا علىٰ خلاف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يُدرَكُ بالحاسَّة، وضربٌ يُدرَك بالبصيرة، والثَّاني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فالنِّجاسة في الآية معنويَّةٌ‌، لا جسميَّة؛ فهي تحكم بأنَّ المُشركَ نجسٌ قذرٌ رجسٌ بحسب روحه، لا جسمه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979102_1280447820"/>
      <w:bookmarkStart w:id="111" w:name="_Toc40"/>
      <w:bookmarkEnd w:id="110"/>
      <w:r>
        <w:rPr>
          <w:rtl w:val="true"/>
        </w:rPr>
        <w:t>ثانيًا</w:t>
      </w:r>
      <w:r>
        <w:rPr>
          <w:rtl w:val="true"/>
        </w:rPr>
        <w:t xml:space="preserve">: </w:t>
      </w:r>
      <w:r>
        <w:rPr>
          <w:rtl w:val="true"/>
        </w:rPr>
        <w:t>السُّنَّة</w:t>
      </w:r>
      <w:bookmarkEnd w:id="111"/>
    </w:p>
    <w:p>
      <w:pPr>
        <w:pStyle w:val="BookText"/>
        <w:rPr/>
      </w:pPr>
      <w:r>
        <w:rPr>
          <w:rFonts w:ascii="Amiri" w:hAnsi="Amiri" w:eastAsia="Amiri" w:cs="Amiri"/>
          <w:color w:val="111111"/>
          <w:sz w:val="28"/>
          <w:sz w:val="28"/>
          <w:szCs w:val="28"/>
          <w:rtl w:val="true"/>
          <w:lang w:bidi="ar-SA"/>
        </w:rPr>
        <w:t>ومن السُّنَّة المطهَّرة</w:t>
      </w:r>
      <w:r>
        <w:rPr>
          <w:rStyle w:val="FootnoteAnchor"/>
          <w:rtl w:val="true"/>
        </w:rPr>
        <w:footnoteReference w:id="245"/>
      </w:r>
      <w:r>
        <w:rPr>
          <w:rFonts w:ascii="Amiri" w:hAnsi="Amiri" w:eastAsia="Amiri" w:cs="Amiri"/>
          <w:color w:val="111111"/>
          <w:sz w:val="28"/>
          <w:sz w:val="28"/>
          <w:szCs w:val="28"/>
          <w:rtl w:val="true"/>
          <w:lang w:bidi="ar-SA"/>
        </w:rPr>
        <w:t>، فبرواياتٍ كثيرةٍ متواترةٍ لطفًا ومعنىً‌؛ منها ما رواه الشَّيخ الحرُّ في الباب الرَّابع عشر من أبواب النِّجاسات</w:t>
      </w:r>
      <w:r>
        <w:rPr>
          <w:rStyle w:val="FootnoteAnchor"/>
          <w:rtl w:val="true"/>
        </w:rPr>
        <w:footnoteReference w:id="246"/>
      </w:r>
      <w:r>
        <w:rPr>
          <w:rFonts w:ascii="Amiri" w:hAnsi="Amiri" w:eastAsia="Amiri" w:cs="Amiri"/>
          <w:color w:val="111111"/>
          <w:sz w:val="28"/>
          <w:sz w:val="28"/>
          <w:szCs w:val="28"/>
          <w:rtl w:val="true"/>
          <w:lang w:bidi="ar-SA"/>
        </w:rPr>
        <w:t>، وما رواه في الباب الرَّابع والخمسين من أبواب الأطعمة والأشربة</w:t>
      </w:r>
      <w:r>
        <w:rPr>
          <w:rStyle w:val="FootnoteAnchor"/>
          <w:rtl w:val="true"/>
        </w:rPr>
        <w:footnoteReference w:id="247"/>
      </w:r>
      <w:r>
        <w:rPr>
          <w:rFonts w:ascii="Amiri" w:hAnsi="Amiri" w:eastAsia="Amiri" w:cs="Amiri"/>
          <w:color w:val="111111"/>
          <w:sz w:val="28"/>
          <w:sz w:val="28"/>
          <w:szCs w:val="28"/>
          <w:rtl w:val="true"/>
          <w:lang w:bidi="ar-SA"/>
        </w:rPr>
        <w:t>من جامِعِه؛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أباجعفرٍ عليه السلام عن آنيَة أهل الذِّمَّة </w:t>
      </w:r>
    </w:p>
    <w:p>
      <w:pPr>
        <w:pStyle w:val="BookText"/>
        <w:rPr/>
      </w:pPr>
      <w:r>
        <w:rPr>
          <w:rFonts w:ascii="Amiri" w:hAnsi="Amiri" w:eastAsia="Amiri" w:cs="Amiri"/>
          <w:color w:val="111111"/>
          <w:sz w:val="28"/>
          <w:sz w:val="28"/>
          <w:szCs w:val="28"/>
          <w:rtl w:val="true"/>
          <w:lang w:bidi="ar-SA"/>
        </w:rPr>
        <w:t>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في آنِيَتِهم ولا من طعامهم الَّذي يَطْبُخُونَ‌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البرقيُّ قدس سره</w:t>
      </w:r>
      <w:r>
        <w:rPr>
          <w:rStyle w:val="FootnoteAnchor"/>
          <w:rtl w:val="true"/>
        </w:rPr>
        <w:footnoteReference w:id="248"/>
      </w:r>
      <w:r>
        <w:rPr>
          <w:rFonts w:ascii="Amiri" w:hAnsi="Amiri" w:eastAsia="Amiri" w:cs="Amiri"/>
          <w:color w:val="111111"/>
          <w:sz w:val="28"/>
          <w:sz w:val="28"/>
          <w:szCs w:val="28"/>
          <w:rtl w:val="true"/>
          <w:lang w:bidi="ar-SA"/>
        </w:rPr>
        <w:t>، والكلينيُّ قدس سره</w:t>
      </w:r>
      <w:r>
        <w:rPr>
          <w:rStyle w:val="FootnoteAnchor"/>
          <w:rtl w:val="true"/>
        </w:rPr>
        <w:footnoteReference w:id="249"/>
      </w:r>
      <w:r>
        <w:rPr>
          <w:rFonts w:ascii="Amiri" w:hAnsi="Amiri" w:eastAsia="Amiri" w:cs="Amiri"/>
          <w:color w:val="111111"/>
          <w:sz w:val="28"/>
          <w:sz w:val="28"/>
          <w:szCs w:val="28"/>
          <w:rtl w:val="true"/>
          <w:lang w:bidi="ar-SA"/>
        </w:rPr>
        <w:t>، والشَّيخ قدس سره</w:t>
      </w:r>
      <w:r>
        <w:rPr>
          <w:rStyle w:val="FootnoteAnchor"/>
          <w:rtl w:val="true"/>
        </w:rPr>
        <w:footnoteReference w:id="250"/>
      </w:r>
      <w:r>
        <w:rPr>
          <w:rFonts w:ascii="Amiri" w:hAnsi="Amiri" w:eastAsia="Amiri" w:cs="Amiri"/>
          <w:color w:val="111111"/>
          <w:sz w:val="28"/>
          <w:sz w:val="28"/>
          <w:szCs w:val="28"/>
          <w:rtl w:val="true"/>
          <w:lang w:bidi="ar-SA"/>
        </w:rPr>
        <w:t>، والفيض قدس سره</w:t>
      </w:r>
      <w:r>
        <w:rPr>
          <w:rStyle w:val="FootnoteAnchor"/>
          <w:rtl w:val="true"/>
        </w:rPr>
        <w:footnoteReference w:id="251"/>
      </w:r>
      <w:r>
        <w:rPr>
          <w:rFonts w:ascii="Amiri" w:hAnsi="Amiri" w:eastAsia="Amiri" w:cs="Amiri"/>
          <w:color w:val="111111"/>
          <w:sz w:val="28"/>
          <w:sz w:val="28"/>
          <w:szCs w:val="28"/>
          <w:rtl w:val="true"/>
          <w:lang w:bidi="ar-SA"/>
        </w:rPr>
        <w:t>، والحرُّ قدس سره</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رواه الصَّدوقُ قدس سره</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بسندٍ صحيحٍ‌، كما صحَّحه ثاني الشَّهيدَين قدس سرهما</w:t>
      </w:r>
      <w:r>
        <w:rPr>
          <w:rStyle w:val="FootnoteAnchor"/>
          <w:rtl w:val="true"/>
        </w:rPr>
        <w:footnoteReference w:id="254"/>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255"/>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256"/>
      </w:r>
      <w:r>
        <w:rPr>
          <w:rFonts w:ascii="Amiri" w:hAnsi="Amiri" w:eastAsia="Amiri" w:cs="Amiri"/>
          <w:color w:val="111111"/>
          <w:sz w:val="28"/>
          <w:sz w:val="28"/>
          <w:szCs w:val="28"/>
          <w:rtl w:val="true"/>
          <w:lang w:bidi="ar-SA"/>
        </w:rPr>
        <w:t>، والمحقِّق الهَمَدانيُّ قدس سره</w:t>
      </w:r>
      <w:r>
        <w:rPr>
          <w:rStyle w:val="FootnoteAnchor"/>
          <w:rtl w:val="true"/>
        </w:rPr>
        <w:footnoteReference w:id="25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خارجة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المجوسَ فآكُلُ من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البَرقيُّ قدس سره</w:t>
      </w:r>
      <w:r>
        <w:rPr>
          <w:rStyle w:val="FootnoteAnchor"/>
          <w:rtl w:val="true"/>
        </w:rPr>
        <w:footnoteReference w:id="258"/>
      </w:r>
      <w:r>
        <w:rPr>
          <w:rFonts w:ascii="Amiri" w:hAnsi="Amiri" w:eastAsia="Amiri" w:cs="Amiri"/>
          <w:color w:val="111111"/>
          <w:sz w:val="28"/>
          <w:sz w:val="28"/>
          <w:szCs w:val="28"/>
          <w:rtl w:val="true"/>
          <w:lang w:bidi="ar-SA"/>
        </w:rPr>
        <w:t>، والشَّيخ قدس سره</w:t>
      </w:r>
      <w:r>
        <w:rPr>
          <w:rStyle w:val="FootnoteAnchor"/>
          <w:rtl w:val="true"/>
        </w:rPr>
        <w:footnoteReference w:id="259"/>
      </w:r>
      <w:r>
        <w:rPr>
          <w:rFonts w:ascii="Amiri" w:hAnsi="Amiri" w:eastAsia="Amiri" w:cs="Amiri"/>
          <w:color w:val="111111"/>
          <w:sz w:val="28"/>
          <w:sz w:val="28"/>
          <w:szCs w:val="28"/>
          <w:rtl w:val="true"/>
          <w:lang w:bidi="ar-SA"/>
        </w:rPr>
        <w:t>، والفيض قدس سره</w:t>
      </w:r>
      <w:r>
        <w:rPr>
          <w:rStyle w:val="FootnoteAnchor"/>
          <w:rtl w:val="true"/>
        </w:rPr>
        <w:footnoteReference w:id="260"/>
      </w:r>
      <w:r>
        <w:rPr>
          <w:rFonts w:ascii="Amiri" w:hAnsi="Amiri" w:eastAsia="Amiri" w:cs="Amiri"/>
          <w:color w:val="111111"/>
          <w:sz w:val="28"/>
          <w:sz w:val="28"/>
          <w:szCs w:val="28"/>
          <w:rtl w:val="true"/>
          <w:lang w:bidi="ar-SA"/>
        </w:rPr>
        <w:t>، والحرُّ قدس سره</w:t>
      </w:r>
      <w:r>
        <w:rPr>
          <w:rStyle w:val="FootnoteAnchor"/>
          <w:rtl w:val="true"/>
        </w:rPr>
        <w:footnoteReference w:id="261"/>
      </w:r>
      <w:bookmarkStart w:id="112" w:name="pg20339_220341"/>
    </w:p>
    <w:p>
      <w:pPr>
        <w:pStyle w:val="BookText"/>
        <w:rPr/>
      </w:pPr>
      <w:bookmarkEnd w:id="112"/>
      <w:r>
        <w:rPr>
          <w:rFonts w:ascii="Amiri" w:hAnsi="Amiri" w:eastAsia="Amiri" w:cs="Amiri"/>
          <w:color w:val="111111"/>
          <w:sz w:val="28"/>
          <w:sz w:val="28"/>
          <w:szCs w:val="28"/>
          <w:rtl w:val="true"/>
          <w:lang w:bidi="ar-SA"/>
        </w:rPr>
        <w:t>والسَّند صحيحٌ‌، كما صحَّحه سيِّدُنا الأستاذ الإمام الخمينيُّ قدس سره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979104_1280447820"/>
      <w:bookmarkStart w:id="114" w:name="_Toc41"/>
      <w:bookmarkEnd w:id="113"/>
      <w:r>
        <w:rPr>
          <w:rtl w:val="true"/>
        </w:rPr>
        <w:t>النَّظرُ في الأدلَّة المعارِضة</w:t>
      </w:r>
      <w:bookmarkEnd w:id="114"/>
    </w:p>
    <w:p>
      <w:pPr>
        <w:pStyle w:val="Heading4"/>
        <w:numPr>
          <w:ilvl w:val="3"/>
          <w:numId w:val="1"/>
        </w:numPr>
        <w:rPr/>
      </w:pPr>
      <w:bookmarkStart w:id="115" w:name="__RefHeading___Toc11979106_1280447820"/>
      <w:bookmarkStart w:id="116" w:name="_Toc42"/>
      <w:bookmarkEnd w:id="115"/>
      <w:r>
        <w:rPr>
          <w:rtl w:val="true"/>
        </w:rPr>
        <w:t>لهذه الطَّائفة من الرِّوايات</w:t>
      </w:r>
      <w:bookmarkEnd w:id="116"/>
    </w:p>
    <w:p>
      <w:pPr>
        <w:pStyle w:val="BookText"/>
        <w:rPr/>
      </w:pPr>
      <w:r>
        <w:rPr>
          <w:rFonts w:ascii="Amiri" w:hAnsi="Amiri" w:eastAsia="Amiri" w:cs="Amiri"/>
          <w:color w:val="111111"/>
          <w:sz w:val="28"/>
          <w:sz w:val="28"/>
          <w:szCs w:val="28"/>
          <w:rtl w:val="true"/>
          <w:lang w:bidi="ar-SA"/>
        </w:rPr>
        <w:t>لكنَّها تُعارِضُها رواياتٌ كثيرةٌ دالَّةٌ علىٰ طهارتهم</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لاتتوضَّأ ولاتغتسلُ من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تغسِلُ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الشَّيخ قدس سره</w:t>
      </w:r>
      <w:r>
        <w:rPr>
          <w:rStyle w:val="FootnoteAnchor"/>
          <w:rtl w:val="true"/>
        </w:rPr>
        <w:footnoteReference w:id="264"/>
      </w:r>
      <w:r>
        <w:rPr>
          <w:rFonts w:ascii="Amiri" w:hAnsi="Amiri" w:eastAsia="Amiri" w:cs="Amiri"/>
          <w:color w:val="111111"/>
          <w:sz w:val="28"/>
          <w:sz w:val="28"/>
          <w:szCs w:val="28"/>
          <w:rtl w:val="true"/>
          <w:lang w:bidi="ar-SA"/>
        </w:rPr>
        <w:t>، والفيض قدس سره</w:t>
      </w:r>
      <w:r>
        <w:rPr>
          <w:rStyle w:val="FootnoteAnchor"/>
          <w:rtl w:val="true"/>
        </w:rPr>
        <w:footnoteReference w:id="265"/>
      </w:r>
      <w:r>
        <w:rPr>
          <w:rFonts w:ascii="Amiri" w:hAnsi="Amiri" w:eastAsia="Amiri" w:cs="Amiri"/>
          <w:color w:val="111111"/>
          <w:sz w:val="28"/>
          <w:sz w:val="28"/>
          <w:szCs w:val="28"/>
          <w:rtl w:val="true"/>
          <w:lang w:bidi="ar-SA"/>
        </w:rPr>
        <w:t>، والحرُّ قدس سره</w:t>
      </w:r>
      <w:r>
        <w:rPr>
          <w:rStyle w:val="FootnoteAnchor"/>
          <w:rtl w:val="true"/>
        </w:rPr>
        <w:footnoteReference w:id="266"/>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بسندٍ صحيحٍ‌، كما صحَّحها المحقِّق السَّبزواريُّ قدس سره</w:t>
      </w:r>
      <w:r>
        <w:rPr>
          <w:rStyle w:val="FootnoteAnchor"/>
          <w:rtl w:val="true"/>
        </w:rPr>
        <w:footnoteReference w:id="267"/>
      </w:r>
      <w:r>
        <w:rPr>
          <w:rFonts w:ascii="Amiri" w:hAnsi="Amiri" w:eastAsia="Amiri" w:cs="Amiri"/>
          <w:color w:val="111111"/>
          <w:sz w:val="28"/>
          <w:sz w:val="28"/>
          <w:szCs w:val="28"/>
          <w:rtl w:val="true"/>
          <w:lang w:bidi="ar-SA"/>
        </w:rPr>
        <w:t>، والفيض قدس سره</w:t>
      </w:r>
      <w:r>
        <w:rPr>
          <w:rStyle w:val="FootnoteAnchor"/>
          <w:rtl w:val="true"/>
        </w:rPr>
        <w:footnoteReference w:id="268"/>
      </w:r>
      <w:r>
        <w:rPr>
          <w:rFonts w:ascii="Amiri" w:hAnsi="Amiri" w:eastAsia="Amiri" w:cs="Amiri"/>
          <w:color w:val="111111"/>
          <w:sz w:val="28"/>
          <w:sz w:val="28"/>
          <w:szCs w:val="28"/>
          <w:rtl w:val="true"/>
          <w:lang w:bidi="ar-SA"/>
        </w:rPr>
        <w:t>، والوحيدالفريد قدس سره</w:t>
      </w:r>
      <w:r>
        <w:rPr>
          <w:rStyle w:val="FootnoteAnchor"/>
          <w:rtl w:val="true"/>
        </w:rPr>
        <w:footnoteReference w:id="269"/>
      </w:r>
      <w:r>
        <w:rPr>
          <w:rFonts w:ascii="Amiri" w:hAnsi="Amiri" w:eastAsia="Amiri" w:cs="Amiri"/>
          <w:color w:val="111111"/>
          <w:sz w:val="28"/>
          <w:sz w:val="28"/>
          <w:szCs w:val="28"/>
          <w:rtl w:val="true"/>
          <w:lang w:bidi="ar-SA"/>
        </w:rPr>
        <w:t>، والمحقِّق الهمدانيُّ قدس سره</w:t>
      </w:r>
      <w:r>
        <w:rPr>
          <w:rStyle w:val="FootnoteAnchor"/>
          <w:rtl w:val="true"/>
        </w:rPr>
        <w:footnoteReference w:id="270"/>
      </w:r>
      <w:r>
        <w:rPr>
          <w:rFonts w:ascii="Amiri" w:hAnsi="Amiri" w:eastAsia="Amiri" w:cs="Amiri"/>
          <w:color w:val="111111"/>
          <w:sz w:val="28"/>
          <w:sz w:val="28"/>
          <w:szCs w:val="28"/>
          <w:rtl w:val="true"/>
          <w:lang w:bidi="ar-SA"/>
        </w:rPr>
        <w:t>وغيرهم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قول العلَّامة المجلسيِّ قدس سره حيث إنَّه بعد أن صحَّحها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ولاموقع لها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وثَّقها المحقِّق السَّبزواري قدس سره</w:t>
      </w:r>
      <w:r>
        <w:rPr>
          <w:rStyle w:val="FootnoteAnchor"/>
          <w:rtl w:val="true"/>
        </w:rPr>
        <w:footnoteReference w:id="271"/>
      </w:r>
      <w:r>
        <w:rPr>
          <w:rFonts w:ascii="Amiri" w:hAnsi="Amiri" w:eastAsia="Amiri" w:cs="Amiri"/>
          <w:color w:val="111111"/>
          <w:sz w:val="28"/>
          <w:sz w:val="28"/>
          <w:szCs w:val="28"/>
          <w:rtl w:val="true"/>
          <w:lang w:bidi="ar-SA"/>
        </w:rPr>
        <w:t>، والفيض قدس سره</w:t>
      </w:r>
      <w:r>
        <w:rPr>
          <w:rStyle w:val="FootnoteAnchor"/>
          <w:rtl w:val="true"/>
        </w:rPr>
        <w:footnoteReference w:id="272"/>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273"/>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يتوضَّأ من كوزِ أو إناءِ غيره إذا شرِبَ 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الشَّيخ قدس سره في تهذيبه</w:t>
      </w:r>
      <w:r>
        <w:rPr>
          <w:rStyle w:val="FootnoteAnchor"/>
          <w:rtl w:val="true"/>
        </w:rPr>
        <w:footnoteReference w:id="275"/>
      </w:r>
      <w:r>
        <w:rPr>
          <w:rFonts w:ascii="IRNazanin" w:hAnsi="IRNazanin" w:eastAsia="IRNazanin"/>
          <w:color w:val="111111"/>
          <w:sz w:val="28"/>
          <w:sz w:val="28"/>
          <w:szCs w:val="28"/>
          <w:rtl w:val="true"/>
          <w:lang w:bidi="fa-IR"/>
        </w:rPr>
        <w:t>، واِستبصاره</w:t>
      </w:r>
      <w:r>
        <w:rPr>
          <w:rStyle w:val="FootnoteAnchor"/>
          <w:rtl w:val="true"/>
        </w:rPr>
        <w:footnoteReference w:id="276"/>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277"/>
      </w:r>
      <w:r>
        <w:rPr>
          <w:rFonts w:ascii="Amiri" w:hAnsi="Amiri" w:eastAsia="Amiri" w:cs="Amiri"/>
          <w:color w:val="111111"/>
          <w:sz w:val="28"/>
          <w:sz w:val="28"/>
          <w:szCs w:val="28"/>
          <w:rtl w:val="true"/>
          <w:lang w:bidi="ar-SA"/>
        </w:rPr>
        <w:t>، والحرُّ قدس سره</w:t>
      </w:r>
      <w:r>
        <w:rPr>
          <w:rStyle w:val="FootnoteAnchor"/>
          <w:rtl w:val="true"/>
        </w:rPr>
        <w:footnoteReference w:id="278"/>
      </w:r>
      <w:r>
        <w:rPr>
          <w:rFonts w:ascii="Amiri" w:hAnsi="Amiri" w:eastAsia="Amiri" w:cs="Amiri"/>
          <w:color w:val="111111"/>
          <w:sz w:val="28"/>
          <w:sz w:val="28"/>
          <w:szCs w:val="28"/>
          <w:rtl w:val="true"/>
          <w:lang w:bidi="ar-SA"/>
        </w:rPr>
        <w:t>، والفيض قدس سره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بين هاتين الطَّائفتين من الرِّوايات يقتضي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حمل الظَّاهر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الرِّوايات النَّاهيَة علىٰ النَّهي التَّنزيهيِّ‌، سيَّما أنَّ اليهود والنَّصارىٰ كانوا يشربون الخمرَ ويأكلون لحمَ الخنزير من غير اجتنابٍ عن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هذا الجمعَ رواياتٌ كثيرةٌ دالَّةٌ بظاهرها علىٰ أنَّ النَّهي هيهنا ليس نهيًا تحريميًّا؛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الفيض قدس سره</w:t>
      </w:r>
      <w:r>
        <w:rPr>
          <w:rStyle w:val="FootnoteAnchor"/>
          <w:rtl w:val="true"/>
        </w:rPr>
        <w:footnoteReference w:id="280"/>
      </w:r>
      <w:r>
        <w:rPr>
          <w:rFonts w:ascii="Amiri" w:hAnsi="Amiri" w:eastAsia="Amiri" w:cs="Amiri"/>
          <w:color w:val="111111"/>
          <w:sz w:val="28"/>
          <w:sz w:val="28"/>
          <w:szCs w:val="28"/>
          <w:rtl w:val="true"/>
          <w:lang w:bidi="ar-SA"/>
        </w:rPr>
        <w:t xml:space="preserve">، والمحقِّق </w:t>
      </w:r>
    </w:p>
    <w:p>
      <w:pPr>
        <w:pStyle w:val="BookText"/>
        <w:rPr/>
      </w:pPr>
      <w:r>
        <w:rPr>
          <w:rFonts w:ascii="Amiri" w:hAnsi="Amiri" w:eastAsia="Amiri" w:cs="Amiri"/>
          <w:color w:val="111111"/>
          <w:sz w:val="28"/>
          <w:sz w:val="28"/>
          <w:szCs w:val="28"/>
          <w:rtl w:val="true"/>
          <w:lang w:bidi="ar-SA"/>
        </w:rPr>
        <w:t>السَّبزواريُّ قدس سره</w:t>
      </w:r>
      <w:r>
        <w:rPr>
          <w:rStyle w:val="FootnoteAnchor"/>
          <w:rtl w:val="true"/>
        </w:rPr>
        <w:footnoteReference w:id="281"/>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282"/>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ولاتترُكْه تقولُ إنَّه حرامٌ‌، ولكن تترُكُهُ تتنزَّه عنه، إنَّ في آنيَتِهم الخمرَ ولحمَ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البرقيُّ قدس سره</w:t>
      </w:r>
      <w:r>
        <w:rPr>
          <w:rStyle w:val="FootnoteAnchor"/>
          <w:rtl w:val="true"/>
        </w:rPr>
        <w:footnoteReference w:id="283"/>
      </w:r>
      <w:r>
        <w:rPr>
          <w:rFonts w:ascii="Amiri" w:hAnsi="Amiri" w:eastAsia="Amiri" w:cs="Amiri"/>
          <w:color w:val="111111"/>
          <w:sz w:val="28"/>
          <w:sz w:val="28"/>
          <w:szCs w:val="28"/>
          <w:rtl w:val="true"/>
          <w:lang w:bidi="ar-SA"/>
        </w:rPr>
        <w:t>، والكلينيُّ قدس سره</w:t>
      </w:r>
      <w:r>
        <w:rPr>
          <w:rStyle w:val="FootnoteAnchor"/>
          <w:rtl w:val="true"/>
        </w:rPr>
        <w:footnoteReference w:id="284"/>
      </w:r>
      <w:r>
        <w:rPr>
          <w:rFonts w:ascii="Amiri" w:hAnsi="Amiri" w:eastAsia="Amiri" w:cs="Amiri"/>
          <w:color w:val="111111"/>
          <w:sz w:val="28"/>
          <w:sz w:val="28"/>
          <w:szCs w:val="28"/>
          <w:rtl w:val="true"/>
          <w:lang w:bidi="ar-SA"/>
        </w:rPr>
        <w:t>، والشَّيخ قدس سره</w:t>
      </w:r>
      <w:r>
        <w:rPr>
          <w:rStyle w:val="FootnoteAnchor"/>
          <w:rtl w:val="true"/>
        </w:rPr>
        <w:footnoteReference w:id="285"/>
      </w:r>
      <w:r>
        <w:rPr>
          <w:rFonts w:ascii="Amiri" w:hAnsi="Amiri" w:eastAsia="Amiri" w:cs="Amiri"/>
          <w:color w:val="111111"/>
          <w:sz w:val="28"/>
          <w:sz w:val="28"/>
          <w:szCs w:val="28"/>
          <w:rtl w:val="true"/>
          <w:lang w:bidi="ar-SA"/>
        </w:rPr>
        <w:t>، والفيض قدس سره</w:t>
      </w:r>
      <w:r>
        <w:rPr>
          <w:rStyle w:val="FootnoteAnchor"/>
          <w:rtl w:val="true"/>
        </w:rPr>
        <w:footnoteReference w:id="286"/>
      </w:r>
      <w:r>
        <w:rPr>
          <w:rFonts w:ascii="Amiri" w:hAnsi="Amiri" w:eastAsia="Amiri" w:cs="Amiri"/>
          <w:color w:val="111111"/>
          <w:sz w:val="28"/>
          <w:sz w:val="28"/>
          <w:szCs w:val="28"/>
          <w:rtl w:val="true"/>
          <w:lang w:bidi="ar-SA"/>
        </w:rPr>
        <w:t>، والشَّيخ الحرُّ قدس سره</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هذا الجمع أيضًا سيرةُ المسلمين من زمن الرَّسول الكريم صلى الله عليه و آله والأئمَّة الطَّاهرين عليهم السلام في معاشراتهم ومؤاكلاتهم ومعامَلاتهم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الرِّوايات الدَّالَّة علىٰ طهارتهم علىٰ التَّقيَّة وإن كان ممكنًا، لكنَّ الحمل هذا لايجوز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إمكان الجمع الدِّلاليِّ‌؛</w:t>
      </w:r>
    </w:p>
    <w:p>
      <w:pPr>
        <w:pStyle w:val="BookText"/>
        <w:rPr/>
      </w:pPr>
      <w:r>
        <w:rPr>
          <w:rFonts w:ascii="Amiri" w:hAnsi="Amiri" w:eastAsia="Amiri" w:cs="Amiri"/>
          <w:color w:val="111111"/>
          <w:sz w:val="28"/>
          <w:sz w:val="28"/>
          <w:szCs w:val="28"/>
          <w:rtl w:val="true"/>
          <w:lang w:bidi="ar-SA"/>
        </w:rPr>
        <w:t>وبعد عدم ثبوت الشُّهرة في أحدٍ من الطَّرفين؛</w:t>
      </w:r>
    </w:p>
    <w:p>
      <w:pPr>
        <w:pStyle w:val="BookText"/>
        <w:rPr/>
      </w:pPr>
      <w:r>
        <w:rPr>
          <w:rFonts w:ascii="Amiri" w:hAnsi="Amiri" w:eastAsia="Amiri" w:cs="Amiri"/>
          <w:color w:val="111111"/>
          <w:sz w:val="28"/>
          <w:sz w:val="28"/>
          <w:szCs w:val="28"/>
          <w:rtl w:val="true"/>
          <w:lang w:bidi="ar-SA"/>
        </w:rPr>
        <w:t>وبعد عدم مخالفة أحد الطَّرفين للكتاب العزيز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فلاتصل النَّوبة إلى الحمل علىٰ التَّقيَّة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الَّذي يشكل الأمرَ جدًّا عدمُ اعتناء الأصحاب وعملِهِم علىٰ مقتضىٰ الرِّوايات الدَّالَّة علىٰ طهارة أهل الكتاب</w:t>
      </w:r>
      <w:r>
        <w:rPr>
          <w:rStyle w:val="FootnoteAnchor"/>
          <w:rtl w:val="true"/>
        </w:rPr>
        <w:footnoteReference w:id="288"/>
      </w:r>
      <w:r>
        <w:rPr>
          <w:rFonts w:ascii="Amiri" w:hAnsi="Amiri" w:eastAsia="Amiri" w:cs="Amiri"/>
          <w:color w:val="111111"/>
          <w:sz w:val="28"/>
          <w:sz w:val="28"/>
          <w:szCs w:val="28"/>
          <w:rtl w:val="true"/>
          <w:lang w:bidi="ar-SA"/>
        </w:rPr>
        <w:t>، بل ادَّعىٰ غيرُ واحدٍ الإجماعَ علىٰ نجاستهم؛ قال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حينئذٍ يُعتدُّ به بيننا في الحكم المزبور، بل لعلَّه من ضروريَّات مذهبنا، ولقد أجاد الأستاذُ الأكبرُ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شعار الشِّيعة يعرفه منهم علماء العامِّة وعوامُّهم ونساؤهم وصبيانُهم، بل وأهل الكتاب فضلًا عن الخاصَّة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أنَّه فرقٌ بين إعراض الأصحاب عن روايات الطَّهارة؛</w:t>
      </w:r>
    </w:p>
    <w:p>
      <w:pPr>
        <w:pStyle w:val="BookText"/>
        <w:rPr/>
      </w:pPr>
      <w:r>
        <w:rPr>
          <w:rFonts w:ascii="Amiri" w:hAnsi="Amiri" w:eastAsia="Amiri" w:cs="Amiri"/>
          <w:color w:val="111111"/>
          <w:sz w:val="28"/>
          <w:sz w:val="28"/>
          <w:szCs w:val="28"/>
          <w:rtl w:val="true"/>
          <w:lang w:bidi="ar-SA"/>
        </w:rPr>
        <w:t>وبين العمل بالرِّوايات الدَّالَّة علىٰ نجاستهم وطرحِهِم الطَّائفة الأولىٰ نظرًا إلى حملِها علىٰ التَّقيَّة مثلًا؛</w:t>
      </w:r>
    </w:p>
    <w:p>
      <w:pPr>
        <w:pStyle w:val="BookText"/>
        <w:rPr/>
      </w:pPr>
      <w:r>
        <w:rPr>
          <w:rFonts w:ascii="Amiri" w:hAnsi="Amiri" w:eastAsia="Amiri" w:cs="Amiri"/>
          <w:color w:val="111111"/>
          <w:sz w:val="28"/>
          <w:sz w:val="28"/>
          <w:szCs w:val="28"/>
          <w:rtl w:val="true"/>
          <w:lang w:bidi="ar-SA"/>
        </w:rPr>
        <w:t>والمقام من الثَّاني، فلا إعراضَ في البين حتَّى يُشينَ الطَّائفةَ الأولىٰ‌؛ فتفطَّنْ من هذا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w:t>
      </w:r>
      <w:r>
        <w:rPr>
          <w:rStyle w:val="FootnoteAnchor"/>
          <w:rtl w:val="true"/>
        </w:rPr>
        <w:footnoteReference w:id="290"/>
      </w:r>
      <w:r>
        <w:rPr>
          <w:rFonts w:ascii="Amiri" w:hAnsi="Amiri" w:eastAsia="Amiri" w:cs="Amiri"/>
          <w:color w:val="111111"/>
          <w:sz w:val="28"/>
          <w:sz w:val="28"/>
          <w:szCs w:val="28"/>
          <w:rtl w:val="true"/>
          <w:lang w:bidi="ar-SA"/>
        </w:rPr>
        <w:t xml:space="preserve">للقول بالطَّهارة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بحث عن مدىٰ دلالة الكريمة علىٰ‌ </w:t>
      </w:r>
    </w:p>
    <w:p>
      <w:pPr>
        <w:pStyle w:val="BookText"/>
        <w:rPr/>
      </w:pPr>
      <w:r>
        <w:rPr>
          <w:rFonts w:ascii="Amiri" w:hAnsi="Amiri" w:eastAsia="Amiri" w:cs="Amiri"/>
          <w:color w:val="111111"/>
          <w:sz w:val="28"/>
          <w:sz w:val="28"/>
          <w:szCs w:val="28"/>
          <w:rtl w:val="true"/>
          <w:lang w:bidi="ar-SA"/>
        </w:rPr>
        <w:t>المقصود مفسِّروا الفقهاء، كالشَّيخ قدس سره</w:t>
      </w:r>
      <w:r>
        <w:rPr>
          <w:rStyle w:val="FootnoteAnchor"/>
          <w:rtl w:val="true"/>
        </w:rPr>
        <w:footnoteReference w:id="292"/>
      </w:r>
      <w:r>
        <w:rPr>
          <w:rFonts w:ascii="Amiri" w:hAnsi="Amiri" w:eastAsia="Amiri" w:cs="Amiri"/>
          <w:color w:val="111111"/>
          <w:sz w:val="28"/>
          <w:sz w:val="28"/>
          <w:szCs w:val="28"/>
          <w:rtl w:val="true"/>
          <w:lang w:bidi="ar-SA"/>
        </w:rPr>
        <w:t>، والطَّبرسيِّ قدس سره</w:t>
      </w:r>
      <w:r>
        <w:rPr>
          <w:rStyle w:val="FootnoteAnchor"/>
          <w:rtl w:val="true"/>
        </w:rPr>
        <w:footnoteReference w:id="293"/>
      </w:r>
      <w:r>
        <w:rPr>
          <w:rFonts w:ascii="Amiri" w:hAnsi="Amiri" w:eastAsia="Amiri" w:cs="Amiri"/>
          <w:color w:val="111111"/>
          <w:sz w:val="28"/>
          <w:sz w:val="28"/>
          <w:szCs w:val="28"/>
          <w:rtl w:val="true"/>
          <w:lang w:bidi="ar-SA"/>
        </w:rPr>
        <w:t>، والرَّاونديِّ قدس سره</w:t>
      </w:r>
      <w:r>
        <w:rPr>
          <w:rStyle w:val="FootnoteAnchor"/>
          <w:rtl w:val="true"/>
        </w:rPr>
        <w:footnoteReference w:id="294"/>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295"/>
      </w:r>
      <w:r>
        <w:rPr>
          <w:rFonts w:ascii="Amiri" w:hAnsi="Amiri" w:eastAsia="Amiri" w:cs="Amiri"/>
          <w:color w:val="111111"/>
          <w:sz w:val="28"/>
          <w:sz w:val="28"/>
          <w:szCs w:val="28"/>
          <w:rtl w:val="true"/>
          <w:lang w:bidi="ar-SA"/>
        </w:rPr>
        <w:t>، والمقدَّس الأردبيليِّ قدس سره</w:t>
      </w:r>
      <w:r>
        <w:rPr>
          <w:rStyle w:val="FootnoteAnchor"/>
          <w:rtl w:val="true"/>
        </w:rPr>
        <w:footnoteReference w:id="296"/>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297"/>
      </w:r>
      <w:r>
        <w:rPr>
          <w:rFonts w:ascii="Amiri" w:hAnsi="Amiri" w:eastAsia="Amiri" w:cs="Amiri"/>
          <w:color w:val="111111"/>
          <w:sz w:val="28"/>
          <w:sz w:val="28"/>
          <w:szCs w:val="28"/>
          <w:rtl w:val="true"/>
          <w:lang w:bidi="ar-SA"/>
        </w:rPr>
        <w:t>وغيرهم؛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وقد أشار إلى الآية في البحث عن طهارة طعام أهل الكتاب وجواز أكله أو عدم جوازه وطهارته أو عدمها جمعٌ من فقهائنا، بين المُثبِت والمنكر، كشيخنا المفيد قدس سره</w:t>
      </w:r>
      <w:r>
        <w:rPr>
          <w:rStyle w:val="FootnoteAnchor"/>
          <w:rtl w:val="true"/>
        </w:rPr>
        <w:footnoteReference w:id="298"/>
      </w:r>
      <w:r>
        <w:rPr>
          <w:rFonts w:ascii="Amiri" w:hAnsi="Amiri" w:eastAsia="Amiri" w:cs="Amiri"/>
          <w:color w:val="111111"/>
          <w:sz w:val="28"/>
          <w:sz w:val="28"/>
          <w:szCs w:val="28"/>
          <w:rtl w:val="true"/>
          <w:lang w:bidi="ar-SA"/>
        </w:rPr>
        <w:t>، وسيِّدنا المرتضىٰ قدس سره</w:t>
      </w:r>
      <w:r>
        <w:rPr>
          <w:rStyle w:val="FootnoteAnchor"/>
          <w:rtl w:val="true"/>
        </w:rPr>
        <w:footnoteReference w:id="299"/>
      </w:r>
      <w:r>
        <w:rPr>
          <w:rFonts w:ascii="Amiri" w:hAnsi="Amiri" w:eastAsia="Amiri" w:cs="Amiri"/>
          <w:color w:val="111111"/>
          <w:sz w:val="28"/>
          <w:sz w:val="28"/>
          <w:szCs w:val="28"/>
          <w:rtl w:val="true"/>
          <w:lang w:bidi="ar-SA"/>
        </w:rPr>
        <w:t>، وابنِزهرة قدس سره</w:t>
      </w:r>
      <w:r>
        <w:rPr>
          <w:rStyle w:val="FootnoteAnchor"/>
          <w:rtl w:val="true"/>
        </w:rPr>
        <w:footnoteReference w:id="300"/>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301"/>
      </w:r>
      <w:r>
        <w:rPr>
          <w:rFonts w:ascii="Amiri" w:hAnsi="Amiri" w:eastAsia="Amiri" w:cs="Amiri"/>
          <w:color w:val="111111"/>
          <w:sz w:val="28"/>
          <w:sz w:val="28"/>
          <w:szCs w:val="28"/>
          <w:rtl w:val="true"/>
          <w:lang w:bidi="ar-SA"/>
        </w:rPr>
        <w:t>، والعلَّامة قدس سره في الأجوبة المُهنَّائيَّة</w:t>
      </w:r>
      <w:r>
        <w:rPr>
          <w:rStyle w:val="FootnoteAnchor"/>
          <w:rtl w:val="true"/>
        </w:rPr>
        <w:footnoteReference w:id="302"/>
      </w:r>
      <w:r>
        <w:rPr>
          <w:rFonts w:ascii="IRNazanin" w:hAnsi="IRNazanin" w:eastAsia="IRNazanin"/>
          <w:color w:val="111111"/>
          <w:sz w:val="28"/>
          <w:sz w:val="28"/>
          <w:szCs w:val="28"/>
          <w:rtl w:val="true"/>
          <w:lang w:bidi="fa-IR"/>
        </w:rPr>
        <w:t>، ومختلفه</w:t>
      </w:r>
      <w:r>
        <w:rPr>
          <w:rStyle w:val="FootnoteAnchor"/>
          <w:rtl w:val="true"/>
        </w:rPr>
        <w:footnoteReference w:id="303"/>
      </w:r>
      <w:r>
        <w:rPr>
          <w:rFonts w:ascii="IRNazanin" w:hAnsi="IRNazanin" w:eastAsia="IRNazanin"/>
          <w:color w:val="111111"/>
          <w:sz w:val="28"/>
          <w:sz w:val="28"/>
          <w:szCs w:val="28"/>
          <w:rtl w:val="true"/>
          <w:lang w:bidi="fa-IR"/>
        </w:rPr>
        <w:t>، ومنتهاه</w:t>
      </w:r>
      <w:r>
        <w:rPr>
          <w:rStyle w:val="FootnoteAnchor"/>
          <w:rtl w:val="true"/>
        </w:rPr>
        <w:footnoteReference w:id="304"/>
      </w:r>
      <w:r>
        <w:rPr>
          <w:rFonts w:ascii="Amiri" w:hAnsi="Amiri" w:eastAsia="Amiri" w:cs="Amiri"/>
          <w:color w:val="111111"/>
          <w:sz w:val="28"/>
          <w:sz w:val="28"/>
          <w:szCs w:val="28"/>
          <w:rtl w:val="true"/>
          <w:lang w:bidi="ar-SA"/>
        </w:rPr>
        <w:t>، وابنِفهدٍ قدس سره</w:t>
      </w:r>
      <w:r>
        <w:rPr>
          <w:rStyle w:val="FootnoteAnchor"/>
          <w:rtl w:val="true"/>
        </w:rPr>
        <w:footnoteReference w:id="305"/>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306"/>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307"/>
      </w:r>
      <w:r>
        <w:rPr>
          <w:rFonts w:ascii="Amiri" w:hAnsi="Amiri" w:eastAsia="Amiri" w:cs="Amiri"/>
          <w:color w:val="111111"/>
          <w:sz w:val="28"/>
          <w:sz w:val="28"/>
          <w:szCs w:val="28"/>
          <w:rtl w:val="true"/>
          <w:lang w:bidi="ar-SA"/>
        </w:rPr>
        <w:t xml:space="preserve">وغيرهم الكثيرين؛ والتَّفصيل في </w:t>
      </w:r>
    </w:p>
    <w:p>
      <w:pPr>
        <w:pStyle w:val="BookText"/>
        <w:rPr/>
      </w:pPr>
      <w:r>
        <w:rPr>
          <w:rFonts w:ascii="Amiri" w:hAnsi="Amiri" w:eastAsia="Amiri" w:cs="Amiri"/>
          <w:color w:val="111111"/>
          <w:sz w:val="28"/>
          <w:sz w:val="28"/>
          <w:szCs w:val="28"/>
          <w:rtl w:val="true"/>
          <w:lang w:bidi="ar-SA"/>
        </w:rPr>
        <w:t>أقوالهم خارجٌ عن موضوع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فلاإشكال في دلالة الكريمة علىٰ طهارة أهل الكتاب أوَّلًا؛</w:t>
      </w:r>
    </w:p>
    <w:p>
      <w:pPr>
        <w:pStyle w:val="BookText"/>
        <w:rPr/>
      </w:pPr>
      <w:r>
        <w:rPr>
          <w:rFonts w:ascii="Amiri" w:hAnsi="Amiri" w:eastAsia="Amiri" w:cs="Amiri"/>
          <w:color w:val="111111"/>
          <w:sz w:val="28"/>
          <w:sz w:val="28"/>
          <w:szCs w:val="28"/>
          <w:rtl w:val="true"/>
          <w:lang w:bidi="ar-SA"/>
        </w:rPr>
        <w:t>وعلىٰ جواز نكاح الكِتابيَّة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والتَّشكيكُ في دلالتها تشكيكٌ ظاهريٌّ لايُسغىٰ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الحبوبِ والفواكه حملٌ غير مستقيمٍ‌، بحيث يأباه اللُّغة واستعمالُ الكتاب الكريم؛ ضرورةَ أنَّ الطَّعام لغةً ما يُؤكَلُ‌،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والشَّعير ونحوهما من الحبوب مادام لم يُطبَخ لايُطلَقُ عليه الطَّعام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بعض الرِّوايات المُفسِّرة لها من حَملها علىٰ الحبوب والفواكه، فهو محمولٌ علىٰ النَّهي عن أكلِ ذبائحهم لعدم ذكر اسم اللَّه عليه، لا لنجاستهم؛ ويدلُّ عليه ما رواه كثيرٌ من أكابرنا</w:t>
      </w:r>
      <w:r>
        <w:rPr>
          <w:rStyle w:val="FootnoteAnchor"/>
          <w:rtl w:val="true"/>
        </w:rPr>
        <w:footnoteReference w:id="309"/>
      </w:r>
      <w:r>
        <w:rPr>
          <w:rFonts w:ascii="Amiri" w:hAnsi="Amiri" w:eastAsia="Amiri" w:cs="Amiri"/>
          <w:color w:val="111111"/>
          <w:sz w:val="28"/>
          <w:sz w:val="28"/>
          <w:szCs w:val="28"/>
          <w:rtl w:val="true"/>
          <w:lang w:bidi="ar-SA"/>
        </w:rPr>
        <w:t>عن عليِّ بن إبراهيم في تفسيره</w:t>
      </w:r>
      <w:r>
        <w:rPr>
          <w:rStyle w:val="FootnoteAnchor"/>
          <w:rtl w:val="true"/>
        </w:rPr>
        <w:footnoteReference w:id="310"/>
      </w:r>
      <w:r>
        <w:rPr>
          <w:rFonts w:ascii="Amiri" w:hAnsi="Amiri" w:eastAsia="Amiri" w:cs="Amiri"/>
          <w:color w:val="111111"/>
          <w:sz w:val="28"/>
          <w:sz w:val="28"/>
          <w:szCs w:val="28"/>
          <w:rtl w:val="true"/>
          <w:lang w:bidi="ar-SA"/>
        </w:rPr>
        <w:t xml:space="preserve">عن الصَّادق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 بطعامهم هيهنا الحبوبَ والفواكهَ‌، غير الذَّبائح الَّتي يذبحون، فإنَّهم لايذكرون اسمَ اللَّه عليها، أي علىٰ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استحلُّوا ذبائِحَكم فكيف تستحلُّون ذبائِحَهم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غيرُها، مثل ما رواه الشَّيخ الحرُّ قدس سره، كالرِّواية الأولىٰ من الباب </w:t>
      </w:r>
      <w:bookmarkStart w:id="117" w:name="pg20339_220347"/>
    </w:p>
    <w:p>
      <w:pPr>
        <w:pStyle w:val="BookText"/>
        <w:rPr/>
      </w:pPr>
      <w:bookmarkEnd w:id="117"/>
      <w:r>
        <w:rPr>
          <w:rFonts w:ascii="Amiri" w:hAnsi="Amiri" w:eastAsia="Amiri" w:cs="Amiri"/>
          <w:color w:val="111111"/>
          <w:sz w:val="28"/>
          <w:sz w:val="28"/>
          <w:szCs w:val="28"/>
          <w:rtl w:val="true"/>
          <w:lang w:bidi="ar-SA"/>
        </w:rPr>
        <w:t>السَّادس والعشرين من تلك الأبواب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الآية هو يوم نزول الكريمة، فتدُلُّ علىٰ ثبوت حدودٍ بين المسملين وأهل الكتاب في معاشراتهم آنذاك، ثمَّ قد رفعَ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الحدودَ فأثبت جواز المعاشرة والمؤاكلة معهم ونكاحهم؛</w:t>
      </w:r>
    </w:p>
    <w:p>
      <w:pPr>
        <w:pStyle w:val="BookText"/>
        <w:rPr/>
      </w:pPr>
      <w:r>
        <w:rPr>
          <w:rFonts w:ascii="Amiri" w:hAnsi="Amiri" w:eastAsia="Amiri" w:cs="Amiri"/>
          <w:color w:val="111111"/>
          <w:sz w:val="28"/>
          <w:sz w:val="28"/>
          <w:szCs w:val="28"/>
          <w:rtl w:val="true"/>
          <w:lang w:bidi="ar-SA"/>
        </w:rPr>
        <w:t>ولعُمري أنَّ دلالة الآية علىٰ طهارة أهل الكتاب ظاهرةٌ جيِّدَةٌ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والتَّأويل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قرَّرنا يجوز لأحدٍ أن يذهب إلى مخالفة الطَّائفة الدَّالَّة علىٰ نجاسة أهل الكتاب للكتاب الكريم، فتُطرَحُ إذن؛ ولاتصل النَّوبةُ إلى طرح روايات الطَّهارة وحملها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بعد اللُّتَيَّا والُّتَي لايمكن القيام قِبَل الإجماع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الجُربزةَ في الفقه تنجرُّ إلى محذوراتٍ لاتخفىٰ علىٰ المُتدرِّب فيه؛</w:t>
      </w:r>
    </w:p>
    <w:p>
      <w:pPr>
        <w:pStyle w:val="BookText"/>
        <w:rPr/>
      </w:pPr>
      <w:r>
        <w:rPr>
          <w:rFonts w:ascii="Amiri" w:hAnsi="Amiri" w:eastAsia="Amiri" w:cs="Amiri"/>
          <w:color w:val="111111"/>
          <w:sz w:val="28"/>
          <w:sz w:val="28"/>
          <w:szCs w:val="28"/>
          <w:rtl w:val="true"/>
          <w:lang w:bidi="ar-SA"/>
        </w:rPr>
        <w:t>فلاسبيل لنا إلَّاأن نحمل الكريمةَ الشَّريفةَ علىٰ المُتشابَه معنىً‌، والقول بعدم العُثور علىٰ معناها بحسب الواقع والحقيقة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1979108_1280447820"/>
      <w:bookmarkStart w:id="119" w:name="_Toc43"/>
      <w:bookmarkEnd w:id="118"/>
      <w:r>
        <w:rPr>
          <w:rtl w:val="true"/>
        </w:rPr>
        <w:t>ثالثًا</w:t>
      </w:r>
      <w:r>
        <w:rPr>
          <w:rtl w:val="true"/>
        </w:rPr>
        <w:t xml:space="preserve">: </w:t>
      </w:r>
      <w:r>
        <w:rPr>
          <w:rtl w:val="true"/>
        </w:rPr>
        <w:t>الإجماع</w:t>
      </w:r>
      <w:bookmarkEnd w:id="1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هذا أشار إليه كثيرٌ منهم، كثاني الشَّهيدين قدس سرهما في روضه</w:t>
      </w:r>
      <w:r>
        <w:rPr>
          <w:rStyle w:val="FootnoteAnchor"/>
          <w:rtl w:val="true"/>
        </w:rPr>
        <w:footnoteReference w:id="312"/>
      </w:r>
      <w:r>
        <w:rPr>
          <w:rFonts w:ascii="Amiri" w:hAnsi="Amiri" w:eastAsia="Amiri" w:cs="Amiri"/>
          <w:color w:val="111111"/>
          <w:sz w:val="28"/>
          <w:sz w:val="28"/>
          <w:szCs w:val="28"/>
          <w:rtl w:val="true"/>
          <w:lang w:bidi="ar-SA"/>
        </w:rPr>
        <w:t>، ومسالكه</w:t>
      </w:r>
      <w:r>
        <w:rPr>
          <w:rStyle w:val="FootnoteAnchor"/>
          <w:rtl w:val="true"/>
        </w:rPr>
        <w:footnoteReference w:id="313"/>
      </w:r>
      <w:r>
        <w:rPr>
          <w:rFonts w:ascii="IRNazanin" w:hAnsi="IRNazanin" w:eastAsia="IRNazanin"/>
          <w:color w:val="111111"/>
          <w:sz w:val="28"/>
          <w:sz w:val="28"/>
          <w:szCs w:val="28"/>
          <w:rtl w:val="true"/>
          <w:lang w:bidi="fa-IR"/>
        </w:rPr>
        <w:t>، والمرتضىٰ قدس سره</w:t>
      </w:r>
      <w:r>
        <w:rPr>
          <w:rStyle w:val="FootnoteAnchor"/>
          <w:rtl w:val="true"/>
        </w:rPr>
        <w:footnoteReference w:id="314"/>
      </w:r>
      <w:r>
        <w:rPr>
          <w:rFonts w:ascii="Amiri" w:hAnsi="Amiri" w:eastAsia="Amiri" w:cs="Amiri"/>
          <w:color w:val="111111"/>
          <w:sz w:val="28"/>
          <w:sz w:val="28"/>
          <w:szCs w:val="28"/>
          <w:rtl w:val="true"/>
          <w:lang w:bidi="ar-SA"/>
        </w:rPr>
        <w:t>، وابنِادريس قدس سره</w:t>
      </w:r>
      <w:r>
        <w:rPr>
          <w:rStyle w:val="FootnoteAnchor"/>
          <w:rtl w:val="true"/>
        </w:rPr>
        <w:footnoteReference w:id="315"/>
      </w:r>
      <w:r>
        <w:rPr>
          <w:rFonts w:ascii="IRNazanin" w:hAnsi="IRNazanin" w:eastAsia="IRNazanin"/>
          <w:color w:val="111111"/>
          <w:sz w:val="28"/>
          <w:sz w:val="28"/>
          <w:szCs w:val="28"/>
          <w:rtl w:val="true"/>
          <w:lang w:bidi="fa-IR"/>
        </w:rPr>
        <w:t xml:space="preserve">، </w:t>
      </w:r>
      <w:bookmarkStart w:id="120" w:name="pg20339_220348"/>
    </w:p>
    <w:p>
      <w:pPr>
        <w:pStyle w:val="BookText"/>
        <w:rPr/>
      </w:pPr>
      <w:bookmarkEnd w:id="120"/>
      <w:r>
        <w:rPr>
          <w:rFonts w:ascii="Amiri" w:hAnsi="Amiri" w:eastAsia="Amiri" w:cs="Amiri"/>
          <w:color w:val="111111"/>
          <w:sz w:val="28"/>
          <w:sz w:val="28"/>
          <w:szCs w:val="28"/>
          <w:rtl w:val="true"/>
          <w:lang w:bidi="ar-SA"/>
        </w:rPr>
        <w:t>والفاضل الأردبيليِّ قدس سره</w:t>
      </w:r>
      <w:r>
        <w:rPr>
          <w:rStyle w:val="FootnoteAnchor"/>
          <w:rtl w:val="true"/>
        </w:rPr>
        <w:footnoteReference w:id="316"/>
      </w:r>
      <w:r>
        <w:rPr>
          <w:rFonts w:ascii="Amiri" w:hAnsi="Amiri" w:eastAsia="Amiri" w:cs="Amiri"/>
          <w:color w:val="111111"/>
          <w:sz w:val="28"/>
          <w:sz w:val="28"/>
          <w:szCs w:val="28"/>
          <w:rtl w:val="true"/>
          <w:lang w:bidi="ar-SA"/>
        </w:rPr>
        <w:t>، والعلَّامة قدس سره</w:t>
      </w:r>
      <w:r>
        <w:rPr>
          <w:rStyle w:val="FootnoteAnchor"/>
          <w:rtl w:val="true"/>
        </w:rPr>
        <w:footnoteReference w:id="317"/>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979110_1280447820"/>
      <w:bookmarkStart w:id="122" w:name="_Toc44"/>
      <w:bookmarkEnd w:id="121"/>
      <w:r>
        <w:rPr>
          <w:rtl w:val="true"/>
        </w:rPr>
        <w:t>تنبيهاتٌ‌</w:t>
      </w:r>
      <w:r>
        <w:rPr>
          <w:rtl w:val="true"/>
        </w:rPr>
        <w:t>:</w:t>
      </w:r>
      <w:bookmarkEnd w:id="122"/>
    </w:p>
    <w:p>
      <w:pPr>
        <w:pStyle w:val="Heading4"/>
        <w:numPr>
          <w:ilvl w:val="3"/>
          <w:numId w:val="1"/>
        </w:numPr>
        <w:rPr/>
      </w:pPr>
      <w:bookmarkStart w:id="123" w:name="__RefHeading___Toc11979112_1280447820"/>
      <w:bookmarkStart w:id="124" w:name="_Toc45"/>
      <w:bookmarkEnd w:id="123"/>
      <w:r>
        <w:rPr>
          <w:rtl w:val="true"/>
        </w:rPr>
        <w:t>التَّنبيه الأوَّل</w:t>
      </w:r>
      <w:r>
        <w:rPr>
          <w:rtl w:val="true"/>
        </w:rPr>
        <w:t>:</w:t>
      </w:r>
      <w:bookmarkEnd w:id="124"/>
    </w:p>
    <w:p>
      <w:pPr>
        <w:pStyle w:val="BookText"/>
        <w:rPr/>
      </w:pPr>
      <w:r>
        <w:rPr>
          <w:rFonts w:ascii="Amiri" w:hAnsi="Amiri" w:eastAsia="Amiri" w:cs="Amiri"/>
          <w:color w:val="111111"/>
          <w:sz w:val="28"/>
          <w:sz w:val="28"/>
          <w:szCs w:val="28"/>
          <w:rtl w:val="true"/>
          <w:lang w:bidi="ar-SA"/>
        </w:rPr>
        <w:t>المشهورُ</w:t>
      </w:r>
      <w:r>
        <w:rPr>
          <w:rStyle w:val="FootnoteAnchor"/>
          <w:rtl w:val="true"/>
        </w:rPr>
        <w:footnoteReference w:id="318"/>
      </w:r>
      <w:r>
        <w:rPr>
          <w:rFonts w:ascii="Amiri" w:hAnsi="Amiri" w:eastAsia="Amiri" w:cs="Amiri"/>
          <w:color w:val="111111"/>
          <w:sz w:val="28"/>
          <w:sz w:val="28"/>
          <w:szCs w:val="28"/>
          <w:rtl w:val="true"/>
          <w:lang w:bidi="ar-SA"/>
        </w:rPr>
        <w:t>عند الأصحاب أنَّ أولاد الكفَّار يلحقون بهم، فهم أيضًا نجسون كآبائهم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كما قال الفقيهُ الخراسانيُّ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نجاسة أولاد الكفَّار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وادَّعاه المحقِّق البحرانيُّ قدس سره</w:t>
      </w:r>
      <w:r>
        <w:rPr>
          <w:rStyle w:val="FootnoteAnchor"/>
          <w:rtl w:val="true"/>
        </w:rPr>
        <w:footnoteReference w:id="320"/>
      </w:r>
      <w:r>
        <w:rPr>
          <w:rFonts w:ascii="Amiri" w:hAnsi="Amiri" w:eastAsia="Amiri" w:cs="Amiri"/>
          <w:color w:val="111111"/>
          <w:sz w:val="28"/>
          <w:sz w:val="28"/>
          <w:szCs w:val="28"/>
          <w:rtl w:val="true"/>
          <w:lang w:bidi="ar-SA"/>
        </w:rPr>
        <w:t>، والشَّيخ جعفرٌ الكبيرُ قدس سره</w:t>
      </w:r>
      <w:r>
        <w:rPr>
          <w:rStyle w:val="FootnoteAnchor"/>
          <w:rtl w:val="true"/>
        </w:rPr>
        <w:footnoteReference w:id="321"/>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3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المستمرَّة الثَّابتة بين المسلمين علىٰ نجاستهم؛ كما استدلَّ الفقيهُ العراقيُّ قدس سره بالسِّيرة علىٰ إلحاق أولاد الكُفَّار بهم في عدم وجوب الصَّلاة عليهم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التَّبعيَّة في النِّجاسات والطَّهارات؛ كما ذكره البحرانيُّ قدس سره أيضًا</w:t>
      </w:r>
      <w:r>
        <w:rPr>
          <w:rStyle w:val="FootnoteAnchor"/>
          <w:rtl w:val="true"/>
        </w:rPr>
        <w:footnoteReference w:id="324"/>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325"/>
      </w:r>
      <w:r>
        <w:rPr>
          <w:rFonts w:ascii="Amiri" w:hAnsi="Amiri" w:eastAsia="Amiri" w:cs="Amiri"/>
          <w:color w:val="111111"/>
          <w:sz w:val="28"/>
          <w:sz w:val="28"/>
          <w:szCs w:val="28"/>
          <w:rtl w:val="true"/>
          <w:lang w:bidi="ar-SA"/>
        </w:rPr>
        <w:t>، والمحقِّق الحكيمُ قدس سره</w:t>
      </w:r>
      <w:r>
        <w:rPr>
          <w:rStyle w:val="FootnoteAnchor"/>
          <w:rtl w:val="true"/>
        </w:rPr>
        <w:footnoteReference w:id="326"/>
      </w:r>
      <w:r>
        <w:rPr>
          <w:rFonts w:ascii="Amiri" w:hAnsi="Amiri" w:eastAsia="Amiri" w:cs="Amiri"/>
          <w:color w:val="111111"/>
          <w:sz w:val="28"/>
          <w:sz w:val="28"/>
          <w:szCs w:val="28"/>
          <w:rtl w:val="true"/>
          <w:lang w:bidi="ar-SA"/>
        </w:rPr>
        <w:t>، والسَّيِّد شُبَّر الحسينيُّ قدس سره</w:t>
      </w:r>
      <w:r>
        <w:rPr>
          <w:rStyle w:val="FootnoteAnchor"/>
          <w:rtl w:val="true"/>
        </w:rPr>
        <w:footnoteReference w:id="327"/>
      </w:r>
      <w:r>
        <w:rPr>
          <w:rFonts w:ascii="Amiri" w:hAnsi="Amiri" w:eastAsia="Amiri" w:cs="Amiri"/>
          <w:color w:val="111111"/>
          <w:sz w:val="28"/>
          <w:sz w:val="28"/>
          <w:szCs w:val="28"/>
          <w:rtl w:val="true"/>
          <w:lang w:bidi="ar-SA"/>
        </w:rPr>
        <w:t>، والبيارجمنديُّ قدس سره</w:t>
      </w:r>
      <w:r>
        <w:rPr>
          <w:rStyle w:val="FootnoteAnchor"/>
          <w:rtl w:val="true"/>
        </w:rPr>
        <w:footnoteReference w:id="328"/>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الكفر في حقِّهم، لأنَّ الكفرَ والإسلام ليسا إلَّامن باب العدم والملكة، فإذا لم يكونوا مسلمينَ فهم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ليس إلَّاعدم الإسلام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كما ذكره المحقِّق الآمليُّ قدس سره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وأجودُ تقريراته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الكافر كان جزءً من أبيه وأمِّه قبل ولادته، فكان نجسًا، ثمَّ يُستَصحَبُ بعدَها؛ فهو بعد الولادة أيضًا نجسٌ‌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تدلُّ علىٰ نجاسة أولادهم؛ </w:t>
      </w:r>
      <w:bookmarkStart w:id="125" w:name="pg20339_220350"/>
    </w:p>
    <w:p>
      <w:pPr>
        <w:pStyle w:val="BookText"/>
        <w:rPr/>
      </w:pPr>
      <w:bookmarkEnd w:id="12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الفقيهُ النجفيُّ قدس سره</w:t>
      </w:r>
      <w:r>
        <w:rPr>
          <w:rStyle w:val="FootnoteAnchor"/>
          <w:rtl w:val="true"/>
        </w:rPr>
        <w:footnoteReference w:id="332"/>
      </w:r>
      <w:r>
        <w:rPr>
          <w:rFonts w:ascii="Amiri" w:hAnsi="Amiri" w:eastAsia="Amiri" w:cs="Amiri"/>
          <w:color w:val="111111"/>
          <w:sz w:val="28"/>
          <w:sz w:val="28"/>
          <w:szCs w:val="28"/>
          <w:rtl w:val="true"/>
          <w:lang w:bidi="ar-SA"/>
        </w:rPr>
        <w:t>، والبحرانيُّ قدس سره</w:t>
      </w:r>
      <w:r>
        <w:rPr>
          <w:rStyle w:val="FootnoteAnchor"/>
          <w:rtl w:val="true"/>
        </w:rPr>
        <w:footnoteReference w:id="333"/>
      </w:r>
      <w:r>
        <w:rPr>
          <w:rFonts w:ascii="Amiri" w:hAnsi="Amiri" w:eastAsia="Amiri" w:cs="Amiri"/>
          <w:color w:val="111111"/>
          <w:sz w:val="28"/>
          <w:sz w:val="28"/>
          <w:szCs w:val="28"/>
          <w:rtl w:val="true"/>
          <w:lang w:bidi="ar-SA"/>
        </w:rPr>
        <w:t>، وأوَّل المجلسيَّين</w:t>
      </w:r>
      <w:r>
        <w:rPr>
          <w:rStyle w:val="FootnoteAnchor"/>
          <w:rtl w:val="true"/>
        </w:rPr>
        <w:footnoteReference w:id="334"/>
      </w:r>
      <w:r>
        <w:rPr>
          <w:rFonts w:ascii="Amiri" w:hAnsi="Amiri" w:eastAsia="Amiri" w:cs="Amiri"/>
          <w:color w:val="111111"/>
          <w:sz w:val="28"/>
          <w:sz w:val="28"/>
          <w:szCs w:val="28"/>
          <w:rtl w:val="true"/>
          <w:lang w:bidi="ar-SA"/>
        </w:rPr>
        <w:t>، وثانيهما قدس سرهما</w:t>
      </w:r>
      <w:r>
        <w:rPr>
          <w:rStyle w:val="FootnoteAnchor"/>
          <w:rtl w:val="true"/>
        </w:rPr>
        <w:footnoteReference w:id="335"/>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أولاد المشركين يموتون قبل أن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واللَّهُ أعلم بما كانوا عاملين، يدخلون مداخِلَ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الصَّدوق قدس سره</w:t>
      </w:r>
      <w:r>
        <w:rPr>
          <w:rStyle w:val="FootnoteAnchor"/>
          <w:rtl w:val="true"/>
        </w:rPr>
        <w:footnoteReference w:id="336"/>
      </w:r>
      <w:r>
        <w:rPr>
          <w:rFonts w:ascii="Amiri" w:hAnsi="Amiri" w:eastAsia="Amiri" w:cs="Amiri"/>
          <w:color w:val="111111"/>
          <w:sz w:val="28"/>
          <w:sz w:val="28"/>
          <w:szCs w:val="28"/>
          <w:rtl w:val="true"/>
          <w:lang w:bidi="ar-SA"/>
        </w:rPr>
        <w:t>، والفيض قدس سره</w:t>
      </w:r>
      <w:r>
        <w:rPr>
          <w:rStyle w:val="FootnoteAnchor"/>
          <w:rtl w:val="true"/>
        </w:rPr>
        <w:footnoteReference w:id="337"/>
      </w:r>
      <w:r>
        <w:rPr>
          <w:rFonts w:ascii="Amiri" w:hAnsi="Amiri" w:eastAsia="Amiri" w:cs="Amiri"/>
          <w:color w:val="111111"/>
          <w:sz w:val="28"/>
          <w:sz w:val="28"/>
          <w:szCs w:val="28"/>
          <w:rtl w:val="true"/>
          <w:lang w:bidi="ar-SA"/>
        </w:rPr>
        <w:t>، والظَّاهر أنَّ الحديث لم يروه الشَّيخ الحرُّ قدس سره في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من أهل الحرب إذا أسلَمَ في دارالحرب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ولوُلْدِهِ الصِّغار وهم 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الوُلْدُ الكِبارُ فهُم فيءٌ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الشَّيخ قدس سره</w:t>
      </w:r>
      <w:r>
        <w:rPr>
          <w:rStyle w:val="FootnoteAnchor"/>
          <w:rtl w:val="true"/>
        </w:rPr>
        <w:footnoteReference w:id="338"/>
      </w:r>
      <w:r>
        <w:rPr>
          <w:rFonts w:ascii="Amiri" w:hAnsi="Amiri" w:eastAsia="Amiri" w:cs="Amiri"/>
          <w:color w:val="111111"/>
          <w:sz w:val="28"/>
          <w:sz w:val="28"/>
          <w:szCs w:val="28"/>
          <w:rtl w:val="true"/>
          <w:lang w:bidi="ar-SA"/>
        </w:rPr>
        <w:t>، والفيض قدس سره</w:t>
      </w:r>
      <w:r>
        <w:rPr>
          <w:rStyle w:val="FootnoteAnchor"/>
          <w:rtl w:val="true"/>
        </w:rPr>
        <w:footnoteReference w:id="339"/>
      </w:r>
      <w:r>
        <w:rPr>
          <w:rFonts w:ascii="Amiri" w:hAnsi="Amiri" w:eastAsia="Amiri" w:cs="Amiri"/>
          <w:color w:val="111111"/>
          <w:sz w:val="28"/>
          <w:sz w:val="28"/>
          <w:szCs w:val="28"/>
          <w:rtl w:val="true"/>
          <w:lang w:bidi="ar-SA"/>
        </w:rPr>
        <w:t>، والحرُّ قدس سره</w:t>
      </w:r>
      <w:r>
        <w:rPr>
          <w:rStyle w:val="FootnoteAnchor"/>
          <w:rtl w:val="true"/>
        </w:rPr>
        <w:footnoteReference w:id="34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كلُّها غير خاليَةٍ عن النَّظر، بل غير مستقيمةٍ‌؛ فإن ثبت الإجماعُ وتمَّ فهو، وإلَّا فالحكمُ بطهارتهم بقاعدتها لايخلو عن قوَّةٍ‌، بل تعيُّنٍ‌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11979114_1280447820"/>
      <w:bookmarkStart w:id="127" w:name="_Toc46"/>
      <w:bookmarkEnd w:id="126"/>
      <w:r>
        <w:rPr>
          <w:rtl w:val="true"/>
        </w:rPr>
        <w:t>التَّنبيه الثَّاني</w:t>
      </w:r>
      <w:r>
        <w:rPr>
          <w:rtl w:val="true"/>
        </w:rPr>
        <w:t>:</w:t>
      </w:r>
      <w:bookmarkEnd w:id="127"/>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341"/>
      </w:r>
      <w:r>
        <w:rPr>
          <w:rFonts w:ascii="Amiri" w:hAnsi="Amiri" w:eastAsia="Amiri" w:cs="Amiri"/>
          <w:color w:val="111111"/>
          <w:sz w:val="28"/>
          <w:sz w:val="28"/>
          <w:szCs w:val="28"/>
          <w:rtl w:val="true"/>
          <w:lang w:bidi="ar-SA"/>
        </w:rPr>
        <w:t>بين الأصحاب إنَّ من أنكر ضروريًّا من ضروريَّات الإسلام فهو كافرٌ، أو بحكم الكافر، سواءٌ أنكر ما يرجع إلى النُّبوَّة، أو لا، بل أنكر ما يرجع إلى بعض الضَّروريَّات الفقهيَّة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الصَّلاة فهو كافرٌ ولواعتقد بنبوَّة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التَّنصيص بنجاستها،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عند كثيرٍ من الفقهاء، كالفاضل الأصفهانيِّ قدس سره</w:t>
      </w:r>
      <w:r>
        <w:rPr>
          <w:rStyle w:val="FootnoteAnchor"/>
          <w:rtl w:val="true"/>
        </w:rPr>
        <w:footnoteReference w:id="342"/>
      </w:r>
      <w:r>
        <w:rPr>
          <w:rFonts w:ascii="Amiri" w:hAnsi="Amiri" w:eastAsia="Amiri" w:cs="Amiri"/>
          <w:color w:val="111111"/>
          <w:sz w:val="28"/>
          <w:sz w:val="28"/>
          <w:szCs w:val="28"/>
          <w:rtl w:val="true"/>
          <w:lang w:bidi="ar-SA"/>
        </w:rPr>
        <w:t>، والعلَّامة قدس سره في نهايته</w:t>
      </w:r>
      <w:r>
        <w:rPr>
          <w:rStyle w:val="FootnoteAnchor"/>
          <w:rtl w:val="true"/>
        </w:rPr>
        <w:footnoteReference w:id="343"/>
      </w:r>
      <w:r>
        <w:rPr>
          <w:rFonts w:ascii="Amiri" w:hAnsi="Amiri" w:eastAsia="Amiri" w:cs="Amiri"/>
          <w:color w:val="111111"/>
          <w:sz w:val="28"/>
          <w:sz w:val="28"/>
          <w:szCs w:val="28"/>
          <w:rtl w:val="true"/>
          <w:lang w:bidi="ar-SA"/>
        </w:rPr>
        <w:t>، وتذكرته</w:t>
      </w:r>
      <w:r>
        <w:rPr>
          <w:rStyle w:val="FootnoteAnchor"/>
          <w:rtl w:val="true"/>
        </w:rPr>
        <w:footnoteReference w:id="344"/>
      </w:r>
      <w:r>
        <w:rPr>
          <w:rFonts w:ascii="Amiri" w:hAnsi="Amiri" w:eastAsia="Amiri" w:cs="Amiri"/>
          <w:color w:val="111111"/>
          <w:sz w:val="28"/>
          <w:sz w:val="28"/>
          <w:szCs w:val="28"/>
          <w:rtl w:val="true"/>
          <w:lang w:bidi="ar-SA"/>
        </w:rPr>
        <w:t>، والشَّهيد قدس سره</w:t>
      </w:r>
      <w:r>
        <w:rPr>
          <w:rStyle w:val="FootnoteAnchor"/>
          <w:rtl w:val="true"/>
        </w:rPr>
        <w:footnoteReference w:id="345"/>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346"/>
      </w:r>
      <w:r>
        <w:rPr>
          <w:rFonts w:ascii="Amiri" w:hAnsi="Amiri" w:eastAsia="Amiri" w:cs="Amiri"/>
          <w:color w:val="111111"/>
          <w:sz w:val="28"/>
          <w:sz w:val="28"/>
          <w:szCs w:val="28"/>
          <w:rtl w:val="true"/>
          <w:lang w:bidi="ar-SA"/>
        </w:rPr>
        <w:t>، والشَّيخ جعفرٍ الكبير قدس سره</w:t>
      </w:r>
      <w:r>
        <w:rPr>
          <w:rStyle w:val="FootnoteAnchor"/>
          <w:rtl w:val="true"/>
        </w:rPr>
        <w:footnoteReference w:id="347"/>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348"/>
      </w:r>
      <w:r>
        <w:rPr>
          <w:rFonts w:ascii="Amiri" w:hAnsi="Amiri" w:eastAsia="Amiri" w:cs="Amiri"/>
          <w:color w:val="111111"/>
          <w:sz w:val="28"/>
          <w:sz w:val="28"/>
          <w:szCs w:val="28"/>
          <w:rtl w:val="true"/>
          <w:lang w:bidi="ar-SA"/>
        </w:rPr>
        <w:t>، والشَّيخ كاشف الغطاء قدس سره</w:t>
      </w:r>
      <w:r>
        <w:rPr>
          <w:rStyle w:val="FootnoteAnchor"/>
          <w:rtl w:val="true"/>
        </w:rPr>
        <w:footnoteReference w:id="349"/>
      </w:r>
      <w:r>
        <w:rPr>
          <w:rFonts w:ascii="Amiri" w:hAnsi="Amiri" w:eastAsia="Amiri" w:cs="Amiri"/>
          <w:color w:val="111111"/>
          <w:sz w:val="28"/>
          <w:sz w:val="28"/>
          <w:szCs w:val="28"/>
          <w:rtl w:val="true"/>
          <w:lang w:bidi="ar-SA"/>
        </w:rPr>
        <w:t>، والمحقِّق الآمليِّ قدس سره</w:t>
      </w:r>
      <w:r>
        <w:rPr>
          <w:rStyle w:val="FootnoteAnchor"/>
          <w:rtl w:val="true"/>
        </w:rPr>
        <w:footnoteReference w:id="350"/>
      </w:r>
      <w:r>
        <w:rPr>
          <w:rFonts w:ascii="Amiri" w:hAnsi="Amiri" w:eastAsia="Amiri" w:cs="Amiri"/>
          <w:color w:val="111111"/>
          <w:sz w:val="28"/>
          <w:sz w:val="28"/>
          <w:szCs w:val="28"/>
          <w:rtl w:val="true"/>
          <w:lang w:bidi="ar-SA"/>
        </w:rPr>
        <w:t>، والبيارجمنديِّ قدس سره</w:t>
      </w:r>
      <w:r>
        <w:rPr>
          <w:rStyle w:val="FootnoteAnchor"/>
          <w:rtl w:val="true"/>
        </w:rPr>
        <w:footnoteReference w:id="351"/>
      </w:r>
      <w:r>
        <w:rPr>
          <w:rFonts w:ascii="Amiri" w:hAnsi="Amiri" w:eastAsia="Amiri" w:cs="Amiri"/>
          <w:color w:val="111111"/>
          <w:sz w:val="28"/>
          <w:sz w:val="28"/>
          <w:szCs w:val="28"/>
          <w:rtl w:val="true"/>
          <w:lang w:bidi="ar-SA"/>
        </w:rPr>
        <w:t>، والسَّيِّد الفقيه السَّبزواريِّ قدس سره</w:t>
      </w:r>
      <w:r>
        <w:rPr>
          <w:rStyle w:val="FootnoteAnchor"/>
          <w:rtl w:val="true"/>
        </w:rPr>
        <w:footnoteReference w:id="35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هيهنا برواياتٍ‌؛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كبيرةً من الكبائر فزعم أنَّها حلالٌ أخرجَه ذلك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353"/>
      </w:r>
      <w:r>
        <w:rPr>
          <w:rFonts w:ascii="Amiri" w:hAnsi="Amiri" w:eastAsia="Amiri" w:cs="Amiri"/>
          <w:color w:val="111111"/>
          <w:sz w:val="28"/>
          <w:sz w:val="28"/>
          <w:szCs w:val="28"/>
          <w:rtl w:val="true"/>
          <w:lang w:bidi="ar-SA"/>
        </w:rPr>
        <w:t>، والفيض قدس سره</w:t>
      </w:r>
      <w:r>
        <w:rPr>
          <w:rStyle w:val="FootnoteAnchor"/>
          <w:rtl w:val="true"/>
        </w:rPr>
        <w:footnoteReference w:id="354"/>
      </w:r>
      <w:r>
        <w:rPr>
          <w:rFonts w:ascii="Amiri" w:hAnsi="Amiri" w:eastAsia="Amiri" w:cs="Amiri"/>
          <w:color w:val="111111"/>
          <w:sz w:val="28"/>
          <w:sz w:val="28"/>
          <w:szCs w:val="28"/>
          <w:rtl w:val="true"/>
          <w:lang w:bidi="ar-SA"/>
        </w:rPr>
        <w:t>، والحرُّ قدس سره</w:t>
      </w:r>
      <w:r>
        <w:rPr>
          <w:rStyle w:val="FootnoteAnchor"/>
          <w:rtl w:val="true"/>
        </w:rPr>
        <w:footnoteReference w:id="355"/>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والسَّند صحيحٌ‌، كما صحَّحه العلَّامة المجلسيُّ قدس سره</w:t>
      </w:r>
      <w:r>
        <w:rPr>
          <w:rStyle w:val="FootnoteAnchor"/>
          <w:rtl w:val="true"/>
        </w:rPr>
        <w:footnoteReference w:id="356"/>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357"/>
      </w:r>
      <w:r>
        <w:rPr>
          <w:rFonts w:ascii="Amiri" w:hAnsi="Amiri" w:eastAsia="Amiri" w:cs="Amiri"/>
          <w:color w:val="111111"/>
          <w:sz w:val="28"/>
          <w:sz w:val="28"/>
          <w:szCs w:val="28"/>
          <w:rtl w:val="true"/>
          <w:lang w:bidi="ar-SA"/>
        </w:rPr>
        <w:t>، والفقيه النَّراقيُّ قدس سره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الكناني عن أبي جعفرٍ عن أميرالمؤمنين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الكلينيُّ قدس سره</w:t>
      </w:r>
      <w:r>
        <w:rPr>
          <w:rStyle w:val="FootnoteAnchor"/>
          <w:rtl w:val="true"/>
        </w:rPr>
        <w:footnoteReference w:id="359"/>
      </w:r>
      <w:r>
        <w:rPr>
          <w:rFonts w:ascii="Amiri" w:hAnsi="Amiri" w:eastAsia="Amiri" w:cs="Amiri"/>
          <w:color w:val="111111"/>
          <w:sz w:val="28"/>
          <w:sz w:val="28"/>
          <w:szCs w:val="28"/>
          <w:rtl w:val="true"/>
          <w:lang w:bidi="ar-SA"/>
        </w:rPr>
        <w:t>، والفيض قدس سره</w:t>
      </w:r>
      <w:r>
        <w:rPr>
          <w:rStyle w:val="FootnoteAnchor"/>
          <w:rtl w:val="true"/>
        </w:rPr>
        <w:footnoteReference w:id="360"/>
      </w:r>
      <w:r>
        <w:rPr>
          <w:rFonts w:ascii="Amiri" w:hAnsi="Amiri" w:eastAsia="Amiri" w:cs="Amiri"/>
          <w:color w:val="111111"/>
          <w:sz w:val="28"/>
          <w:sz w:val="28"/>
          <w:szCs w:val="28"/>
          <w:rtl w:val="true"/>
          <w:lang w:bidi="ar-SA"/>
        </w:rPr>
        <w:t>، والحرُّ قدس سره</w:t>
      </w:r>
      <w:r>
        <w:rPr>
          <w:rStyle w:val="FootnoteAnchor"/>
          <w:rtl w:val="true"/>
        </w:rPr>
        <w:footnoteReference w:id="3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صحَّحه الشَّيخ الأعظم قدس سره</w:t>
      </w:r>
      <w:r>
        <w:rPr>
          <w:rStyle w:val="FootnoteAnchor"/>
          <w:rtl w:val="true"/>
        </w:rPr>
        <w:footnoteReference w:id="362"/>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363"/>
      </w:r>
      <w:r>
        <w:rPr>
          <w:rFonts w:ascii="IRNazanin" w:hAnsi="IRNazanin" w:eastAsia="IRNazanin"/>
          <w:color w:val="111111"/>
          <w:sz w:val="28"/>
          <w:sz w:val="28"/>
          <w:szCs w:val="28"/>
          <w:rtl w:val="true"/>
          <w:lang w:bidi="fa-IR"/>
        </w:rPr>
        <w:t>، وبحرالعلوم قدس سره</w:t>
      </w:r>
      <w:r>
        <w:rPr>
          <w:rStyle w:val="FootnoteAnchor"/>
          <w:rtl w:val="true"/>
        </w:rPr>
        <w:footnoteReference w:id="36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عبدالرَّحيم القصير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للحلال هذا حرامٌ وللحرام هذا حلالٌ ودان بذلك فعندها يكون خارجًا من الإسلام والإيمان وداخلًا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رواها الصَّدوق قدس سره</w:t>
      </w:r>
      <w:r>
        <w:rPr>
          <w:rStyle w:val="FootnoteAnchor"/>
          <w:rtl w:val="true"/>
        </w:rPr>
        <w:footnoteReference w:id="365"/>
      </w:r>
      <w:r>
        <w:rPr>
          <w:rFonts w:ascii="Amiri" w:hAnsi="Amiri" w:eastAsia="Amiri" w:cs="Amiri"/>
          <w:color w:val="111111"/>
          <w:sz w:val="28"/>
          <w:sz w:val="28"/>
          <w:szCs w:val="28"/>
          <w:rtl w:val="true"/>
          <w:lang w:bidi="ar-SA"/>
        </w:rPr>
        <w:t>، والكلينيُّ قدس سره</w:t>
      </w:r>
      <w:r>
        <w:rPr>
          <w:rStyle w:val="FootnoteAnchor"/>
          <w:rtl w:val="true"/>
        </w:rPr>
        <w:footnoteReference w:id="366"/>
      </w:r>
      <w:r>
        <w:rPr>
          <w:rFonts w:ascii="Amiri" w:hAnsi="Amiri" w:eastAsia="Amiri" w:cs="Amiri"/>
          <w:color w:val="111111"/>
          <w:sz w:val="28"/>
          <w:sz w:val="28"/>
          <w:szCs w:val="28"/>
          <w:rtl w:val="true"/>
          <w:lang w:bidi="ar-SA"/>
        </w:rPr>
        <w:t>، والفيض قدس سره</w:t>
      </w:r>
      <w:r>
        <w:rPr>
          <w:rStyle w:val="FootnoteAnchor"/>
          <w:rtl w:val="true"/>
        </w:rPr>
        <w:footnoteReference w:id="367"/>
      </w:r>
      <w:r>
        <w:rPr>
          <w:rFonts w:ascii="Amiri" w:hAnsi="Amiri" w:eastAsia="Amiri" w:cs="Amiri"/>
          <w:color w:val="111111"/>
          <w:sz w:val="28"/>
          <w:sz w:val="28"/>
          <w:szCs w:val="28"/>
          <w:rtl w:val="true"/>
          <w:lang w:bidi="ar-SA"/>
        </w:rPr>
        <w:t>، والحرُّ قدس سره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والسَّند وإن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مجهولًا، علىٰ ما ذكره العلَّامة المجلسيُّ قدس سره أيضًا</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لابأس بضعف السَّند، لاعتضاد المضمون بغيره من أحاديث الباب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الواضح أنَّ هذه الرِّوايات لاتُثبِتُ عليه أحكامَ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كفساد نكاحه بالمُسلمة، وكون دمِه هدَرًا، وانتقالِ ماله إلى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أجمعَتْ عليه الأصحابُ‌؛</w:t>
      </w:r>
    </w:p>
    <w:p>
      <w:pPr>
        <w:pStyle w:val="BookText"/>
        <w:rPr/>
      </w:pPr>
      <w:r>
        <w:rPr>
          <w:rFonts w:ascii="Amiri" w:hAnsi="Amiri" w:eastAsia="Amiri" w:cs="Amiri"/>
          <w:color w:val="111111"/>
          <w:sz w:val="28"/>
          <w:sz w:val="28"/>
          <w:szCs w:val="28"/>
          <w:rtl w:val="true"/>
          <w:lang w:bidi="ar-SA"/>
        </w:rPr>
        <w:t>فلامحالة لاتُثبِتُ النِّجاسةَ بطريقٍ 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إنكارُه إلى إنكار أصل النُّبوَّة، فلوذهب إلى نبوَّة النَّبيِّ الخاتم صلى الله عليه و آله لكن اشتَبَه عليه الأمرُ في بعض الأمور فحصلَتْ له شبهاتٌ لايُحكَم بكفره ولايُثبَت عليه الكفرُ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الظَّاهر عدمُ إمكان حمل هذه الرِّوايات علىٰ الكفر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أطلَقَه الذِّكرُ الحكيمُ في عدَّةٍ من آيِه،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w:t>
      </w:r>
      <w:bookmarkStart w:id="128" w:name="pg20339_220354"/>
    </w:p>
    <w:p>
      <w:pPr>
        <w:pStyle w:val="BookText"/>
        <w:rPr/>
      </w:pPr>
      <w:bookmarkEnd w:id="128"/>
      <w:r>
        <w:rPr>
          <w:rFonts w:ascii="Amiri" w:hAnsi="Amiri" w:eastAsia="Amiri" w:cs="Amiri"/>
          <w:color w:val="111111"/>
          <w:sz w:val="28"/>
          <w:sz w:val="28"/>
          <w:szCs w:val="28"/>
          <w:rtl w:val="true"/>
          <w:lang w:bidi="ar-SA"/>
        </w:rPr>
        <w:t>اَلزَّكٰاةَ وَ 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الحملُ هذا أوهنُ من حمل الرِّوايات علىٰ الكفر المُصطَلَح عليه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979116_1280447820"/>
      <w:bookmarkStart w:id="130" w:name="_Toc47"/>
      <w:bookmarkEnd w:id="129"/>
      <w:r>
        <w:rPr>
          <w:rtl w:val="true"/>
        </w:rPr>
        <w:t>التَّنبيه الثَّالث</w:t>
      </w:r>
      <w:r>
        <w:rPr>
          <w:rtl w:val="true"/>
        </w:rPr>
        <w:t>:</w:t>
      </w:r>
      <w:bookmarkEnd w:id="130"/>
    </w:p>
    <w:p>
      <w:pPr>
        <w:pStyle w:val="BookText"/>
        <w:rPr/>
      </w:pPr>
      <w:r>
        <w:rPr>
          <w:rFonts w:ascii="IRNazanin" w:hAnsi="IRNazanin" w:eastAsia="IRNazanin"/>
          <w:color w:val="111111"/>
          <w:sz w:val="28"/>
          <w:sz w:val="28"/>
          <w:szCs w:val="28"/>
          <w:rtl w:val="true"/>
          <w:lang w:bidi="fa-IR"/>
        </w:rPr>
        <w:t>قد اشتهر</w:t>
      </w:r>
      <w:r>
        <w:rPr>
          <w:rStyle w:val="FootnoteAnchor"/>
          <w:rtl w:val="true"/>
        </w:rPr>
        <w:footnoteReference w:id="371"/>
      </w:r>
      <w:r>
        <w:rPr>
          <w:rFonts w:ascii="Amiri" w:hAnsi="Amiri" w:eastAsia="Amiri" w:cs="Amiri"/>
          <w:color w:val="111111"/>
          <w:sz w:val="28"/>
          <w:sz w:val="28"/>
          <w:szCs w:val="28"/>
          <w:rtl w:val="true"/>
          <w:lang w:bidi="ar-SA"/>
        </w:rPr>
        <w:t xml:space="preserve">بين الأصحاب أيضًا نجاسةُ الغُلاة، والقائلين بالتَّجسيم، والمجبرة، والمُفوِّضَة، والقائلين بوحدة الوجود، ومنكري المعاد الجسماني، ونحو ذلك إذا التَزَموا بلوازم أقوالهم الرَّاجعة إلى إنكار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الرَّسول صلى الله عليه و آله أو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طوائف من هؤلاء كلٌّ من العلَّامة قدس سره في منتهاه</w:t>
      </w:r>
      <w:r>
        <w:rPr>
          <w:rStyle w:val="FootnoteAnchor"/>
          <w:rtl w:val="true"/>
        </w:rPr>
        <w:footnoteReference w:id="372"/>
      </w:r>
      <w:r>
        <w:rPr>
          <w:rFonts w:ascii="Amiri" w:hAnsi="Amiri" w:eastAsia="Amiri" w:cs="Amiri"/>
          <w:color w:val="111111"/>
          <w:sz w:val="28"/>
          <w:sz w:val="28"/>
          <w:szCs w:val="28"/>
          <w:rtl w:val="true"/>
          <w:lang w:bidi="ar-SA"/>
        </w:rPr>
        <w:t>، ونهايته</w:t>
      </w:r>
      <w:r>
        <w:rPr>
          <w:rStyle w:val="FootnoteAnchor"/>
          <w:rtl w:val="true"/>
        </w:rPr>
        <w:footnoteReference w:id="373"/>
      </w:r>
      <w:r>
        <w:rPr>
          <w:rFonts w:ascii="IRNazanin" w:hAnsi="IRNazanin" w:eastAsia="IRNazanin"/>
          <w:color w:val="111111"/>
          <w:sz w:val="28"/>
          <w:sz w:val="28"/>
          <w:szCs w:val="28"/>
          <w:rtl w:val="true"/>
          <w:lang w:bidi="fa-IR"/>
        </w:rPr>
        <w:t>، وولده قدس سره</w:t>
      </w:r>
      <w:r>
        <w:rPr>
          <w:rStyle w:val="FootnoteAnchor"/>
          <w:rtl w:val="true"/>
        </w:rPr>
        <w:footnoteReference w:id="374"/>
      </w:r>
      <w:r>
        <w:rPr>
          <w:rFonts w:ascii="Amiri" w:hAnsi="Amiri" w:eastAsia="Amiri" w:cs="Amiri"/>
          <w:color w:val="111111"/>
          <w:sz w:val="28"/>
          <w:sz w:val="28"/>
          <w:szCs w:val="28"/>
          <w:rtl w:val="true"/>
          <w:lang w:bidi="ar-SA"/>
        </w:rPr>
        <w:t>، والشَّهيد قدس سره</w:t>
      </w:r>
      <w:r>
        <w:rPr>
          <w:rStyle w:val="FootnoteAnchor"/>
          <w:rtl w:val="true"/>
        </w:rPr>
        <w:footnoteReference w:id="375"/>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376"/>
      </w:r>
      <w:r>
        <w:rPr>
          <w:rFonts w:ascii="Amiri" w:hAnsi="Amiri" w:eastAsia="Amiri" w:cs="Amiri"/>
          <w:color w:val="111111"/>
          <w:sz w:val="28"/>
          <w:sz w:val="28"/>
          <w:szCs w:val="28"/>
          <w:rtl w:val="true"/>
          <w:lang w:bidi="ar-SA"/>
        </w:rPr>
        <w:t>، والنَّجفي العراقي قدس سره</w:t>
      </w:r>
      <w:r>
        <w:rPr>
          <w:rStyle w:val="FootnoteAnchor"/>
          <w:rtl w:val="true"/>
        </w:rPr>
        <w:footnoteReference w:id="377"/>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قولٌ حقٌّ لامناص منه، لكنَّا لانعرف مَن اعتقد بهذه اللَّوازم، بل الجميع يرجع إلى مباحث علميَّةٍ تختصُّ بأهلها، وإن انجرَّتْ إلى بعض الجَزافات والأقوال الباطلة عند بعضٍ والحقائق والأقوال السَّديدة عند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bookmarkStart w:id="131" w:name="pg20339_220355"/>
    </w:p>
    <w:p>
      <w:pPr>
        <w:pStyle w:val="BookText"/>
        <w:rPr/>
      </w:pPr>
      <w:bookmarkEnd w:id="131"/>
      <w:r>
        <w:rPr>
          <w:rFonts w:ascii="Amiri" w:hAnsi="Amiri" w:eastAsia="Amiri" w:cs="Amiri"/>
          <w:color w:val="111111"/>
          <w:sz w:val="28"/>
          <w:sz w:val="28"/>
          <w:szCs w:val="28"/>
          <w:rtl w:val="true"/>
          <w:lang w:bidi="ar-SA"/>
        </w:rPr>
        <w:t>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الحكماء إلى أنَّ حقيقة الشَّيء بصورتِه لا بمادَّته، والصُّورة لاينعدم أصلًا وهي تُحشَرُ يوم القيامة؛ كما وأنَّه أبدَعَ الحركةَ الجوهريَّة لإثبات المعاد الجسمانيِّ‌؛</w:t>
      </w:r>
    </w:p>
    <w:p>
      <w:pPr>
        <w:pStyle w:val="BookText"/>
        <w:rPr/>
      </w:pPr>
      <w:r>
        <w:rPr>
          <w:rFonts w:ascii="Amiri" w:hAnsi="Amiri" w:eastAsia="Amiri" w:cs="Amiri"/>
          <w:color w:val="111111"/>
          <w:sz w:val="28"/>
          <w:sz w:val="28"/>
          <w:szCs w:val="28"/>
          <w:rtl w:val="true"/>
          <w:lang w:bidi="ar-SA"/>
        </w:rPr>
        <w:t>وهذا بحثٌ علميٌّ لايوجب الكفرَ والخروجَ عن ساحة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اعتقَدَ بثبوت شأنيَّة الرَّازقيَّة غير الاستقلاليَّة لأئمَّتنا المعصومين عليهم السلام، لايجوز أن يُرمىٰ بالغُلوِّ والكفر؛ وإلَّا فلابدَّ من القول بأنَّ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الكثيرة الواردة في تراثنا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الغُلوِّ،</w:t>
      </w:r>
    </w:p>
    <w:p>
      <w:pPr>
        <w:pStyle w:val="BookText"/>
        <w:rPr/>
      </w:pPr>
      <w:r>
        <w:rPr>
          <w:rFonts w:ascii="Amiri" w:hAnsi="Amiri" w:eastAsia="Amiri" w:cs="Amiri"/>
          <w:color w:val="111111"/>
          <w:sz w:val="28"/>
          <w:sz w:val="28"/>
          <w:szCs w:val="28"/>
          <w:rtl w:val="true"/>
          <w:lang w:bidi="ar-SA"/>
        </w:rPr>
        <w:t>وهذا ممَّا لايجوِّزه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علىٰ المتأمِّل في الكلمات أن يحملَها علىٰ ما هو الصَّحيح المراد منها، لا علىٰ الظَّاهر الصِّرف، ولاسيَّما لو لم يكن من أهل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أنَّ كثيرًا من أصحاب السَّادة المعصومين عليهم السلام يُرمون بالغلوِّ مع تنزُّهِهِم وبراءة ساحَتِهِم عن الغلوِّ وأشباهه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979118_1280447820"/>
      <w:bookmarkStart w:id="133" w:name="_Toc48"/>
      <w:bookmarkEnd w:id="132"/>
      <w:r>
        <w:rPr>
          <w:rtl w:val="true"/>
        </w:rPr>
        <w:t>التَّنبيه الرَّابع</w:t>
      </w:r>
      <w:r>
        <w:rPr>
          <w:rtl w:val="true"/>
        </w:rPr>
        <w:t>:</w:t>
      </w:r>
      <w:bookmarkEnd w:id="133"/>
    </w:p>
    <w:p>
      <w:pPr>
        <w:pStyle w:val="BookText"/>
        <w:rPr/>
      </w:pPr>
      <w:r>
        <w:rPr>
          <w:rFonts w:ascii="Amiri" w:hAnsi="Amiri" w:eastAsia="Amiri" w:cs="Amiri"/>
          <w:color w:val="111111"/>
          <w:sz w:val="28"/>
          <w:sz w:val="28"/>
          <w:szCs w:val="28"/>
          <w:rtl w:val="true"/>
          <w:lang w:bidi="ar-SA"/>
        </w:rPr>
        <w:t>أمَّا النَّاصبيُّ‌</w:t>
      </w:r>
      <w:r>
        <w:rPr>
          <w:rStyle w:val="FootnoteAnchor"/>
          <w:rtl w:val="true"/>
        </w:rPr>
        <w:footnoteReference w:id="379"/>
      </w:r>
      <w:r>
        <w:rPr>
          <w:rFonts w:ascii="Amiri" w:hAnsi="Amiri" w:eastAsia="Amiri" w:cs="Amiri"/>
          <w:color w:val="111111"/>
          <w:sz w:val="28"/>
          <w:sz w:val="28"/>
          <w:szCs w:val="28"/>
          <w:rtl w:val="true"/>
          <w:lang w:bidi="ar-SA"/>
        </w:rPr>
        <w:t>فله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من يُبغِضُ أهلَالبيت عليهم السلام ويستكنُّ في نفسه 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 أرذلُ منه وأشدُّ، لأنَّه هو الَّذي يُوجِبُ قتلَ ساداتنا المعصومين عليهم السلام وشيعتهم؛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فأجمعَت الأصحابُ علىٰ كفرهم ونجاستهم، وعدم جواز صلاة الميِّت عليهم؛ كما </w:t>
      </w:r>
    </w:p>
    <w:p>
      <w:pPr>
        <w:pStyle w:val="BookText"/>
        <w:rPr/>
      </w:pPr>
      <w:r>
        <w:rPr>
          <w:rFonts w:ascii="Amiri" w:hAnsi="Amiri" w:eastAsia="Amiri" w:cs="Amiri"/>
          <w:color w:val="111111"/>
          <w:sz w:val="28"/>
          <w:sz w:val="28"/>
          <w:szCs w:val="28"/>
          <w:rtl w:val="true"/>
          <w:lang w:bidi="ar-SA"/>
        </w:rPr>
        <w:t>عن الشَّهيد قدس سره</w:t>
      </w:r>
      <w:r>
        <w:rPr>
          <w:rStyle w:val="FootnoteAnchor"/>
          <w:rtl w:val="true"/>
        </w:rPr>
        <w:footnoteReference w:id="380"/>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381"/>
      </w:r>
      <w:r>
        <w:rPr>
          <w:rFonts w:ascii="Amiri" w:hAnsi="Amiri" w:eastAsia="Amiri" w:cs="Amiri"/>
          <w:color w:val="111111"/>
          <w:sz w:val="28"/>
          <w:sz w:val="28"/>
          <w:szCs w:val="28"/>
          <w:rtl w:val="true"/>
          <w:lang w:bidi="ar-SA"/>
        </w:rPr>
        <w:t>، وابنِفهدٍ قدس سره</w:t>
      </w:r>
      <w:r>
        <w:rPr>
          <w:rStyle w:val="FootnoteAnchor"/>
          <w:rtl w:val="true"/>
        </w:rPr>
        <w:footnoteReference w:id="382"/>
      </w:r>
      <w:r>
        <w:rPr>
          <w:rFonts w:ascii="Amiri" w:hAnsi="Amiri" w:eastAsia="Amiri" w:cs="Amiri"/>
          <w:color w:val="111111"/>
          <w:sz w:val="28"/>
          <w:sz w:val="28"/>
          <w:szCs w:val="28"/>
          <w:rtl w:val="true"/>
          <w:lang w:bidi="ar-SA"/>
        </w:rPr>
        <w:t>، والصَّيمريِّ قدس سره</w:t>
      </w:r>
      <w:r>
        <w:rPr>
          <w:rStyle w:val="FootnoteAnchor"/>
          <w:rtl w:val="true"/>
        </w:rPr>
        <w:footnoteReference w:id="383"/>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هذا الإجماع رواياتٌ كثيرةٌ‌؛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الفُضَيل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العارِفَة هل أُزوِّجُها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الشَّيخ قدس سره في اِستبصاره</w:t>
      </w:r>
      <w:r>
        <w:rPr>
          <w:rStyle w:val="FootnoteAnchor"/>
          <w:rtl w:val="true"/>
        </w:rPr>
        <w:footnoteReference w:id="385"/>
      </w:r>
      <w:r>
        <w:rPr>
          <w:rFonts w:ascii="Amiri" w:hAnsi="Amiri" w:eastAsia="Amiri" w:cs="Amiri"/>
          <w:color w:val="111111"/>
          <w:sz w:val="28"/>
          <w:sz w:val="28"/>
          <w:szCs w:val="28"/>
          <w:rtl w:val="true"/>
          <w:lang w:bidi="ar-SA"/>
        </w:rPr>
        <w:t>، وتهذيبه</w:t>
      </w:r>
      <w:r>
        <w:rPr>
          <w:rStyle w:val="FootnoteAnchor"/>
          <w:rtl w:val="true"/>
        </w:rPr>
        <w:footnoteReference w:id="386"/>
      </w:r>
      <w:r>
        <w:rPr>
          <w:rFonts w:ascii="Amiri" w:hAnsi="Amiri" w:eastAsia="Amiri" w:cs="Amiri"/>
          <w:color w:val="111111"/>
          <w:sz w:val="28"/>
          <w:sz w:val="28"/>
          <w:szCs w:val="28"/>
          <w:rtl w:val="true"/>
          <w:lang w:bidi="ar-SA"/>
        </w:rPr>
        <w:t>، والحرُّ قدس سره</w:t>
      </w:r>
      <w:r>
        <w:rPr>
          <w:rStyle w:val="FootnoteAnchor"/>
          <w:rtl w:val="true"/>
        </w:rPr>
        <w:footnoteReference w:id="38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يعفورٍ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يخلُق خلقًا أنجس من الكلب، وإنَّ النَّاصبَ لنا أهلَالبيت لأَنجَسُ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الصَّدوق قدس سره في عِلَله</w:t>
      </w:r>
      <w:r>
        <w:rPr>
          <w:rStyle w:val="FootnoteAnchor"/>
          <w:rtl w:val="true"/>
        </w:rPr>
        <w:footnoteReference w:id="388"/>
      </w:r>
      <w:r>
        <w:rPr>
          <w:rFonts w:ascii="Amiri" w:hAnsi="Amiri" w:eastAsia="Amiri" w:cs="Amiri"/>
          <w:color w:val="111111"/>
          <w:sz w:val="28"/>
          <w:sz w:val="28"/>
          <w:szCs w:val="28"/>
          <w:rtl w:val="true"/>
          <w:lang w:bidi="ar-SA"/>
        </w:rPr>
        <w:t>، والحرُّ</w:t>
      </w:r>
      <w:r>
        <w:rPr>
          <w:rStyle w:val="FootnoteAnchor"/>
          <w:rtl w:val="true"/>
        </w:rPr>
        <w:footnoteReference w:id="389"/>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390"/>
      </w:r>
      <w:r>
        <w:rPr>
          <w:rFonts w:ascii="Amiri" w:hAnsi="Amiri" w:eastAsia="Amiri" w:cs="Amiri"/>
          <w:color w:val="111111"/>
          <w:sz w:val="28"/>
          <w:sz w:val="28"/>
          <w:szCs w:val="28"/>
          <w:rtl w:val="true"/>
          <w:lang w:bidi="ar-SA"/>
        </w:rPr>
        <w:t xml:space="preserve">، وغيرهم؛ </w:t>
      </w:r>
    </w:p>
    <w:p>
      <w:pPr>
        <w:pStyle w:val="BookText"/>
        <w:rPr/>
      </w:pPr>
      <w:r>
        <w:rPr>
          <w:rFonts w:ascii="Amiri" w:hAnsi="Amiri" w:eastAsia="Amiri" w:cs="Amiri"/>
          <w:color w:val="111111"/>
          <w:sz w:val="28"/>
          <w:sz w:val="28"/>
          <w:szCs w:val="28"/>
          <w:rtl w:val="true"/>
          <w:lang w:bidi="ar-SA"/>
        </w:rPr>
        <w:t>وقد وثَّقها الفاضلُ الأصفهانيُّ قدس سره</w:t>
      </w:r>
      <w:r>
        <w:rPr>
          <w:rStyle w:val="FootnoteAnchor"/>
          <w:rtl w:val="true"/>
        </w:rPr>
        <w:footnoteReference w:id="391"/>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392"/>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39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رواياتٍ وردَتْ في جواز قتل السَّابِّ لهم عليهم السلام، بل في وجوبه</w:t>
      </w:r>
      <w:r>
        <w:rPr>
          <w:rStyle w:val="FootnoteAnchor"/>
          <w:rtl w:val="true"/>
        </w:rPr>
        <w:footnoteReference w:id="394"/>
      </w:r>
      <w:r>
        <w:rPr>
          <w:rFonts w:ascii="Amiri" w:hAnsi="Amiri" w:eastAsia="Amiri" w:cs="Amiri"/>
          <w:color w:val="111111"/>
          <w:sz w:val="28"/>
          <w:sz w:val="28"/>
          <w:szCs w:val="28"/>
          <w:rtl w:val="true"/>
          <w:lang w:bidi="ar-SA"/>
        </w:rPr>
        <w:t>وقد أفتىٰ بها الأصحابُ‌، كالعلَّامة قدس سره</w:t>
      </w:r>
      <w:r>
        <w:rPr>
          <w:rStyle w:val="FootnoteAnchor"/>
          <w:rtl w:val="true"/>
        </w:rPr>
        <w:footnoteReference w:id="395"/>
      </w:r>
      <w:r>
        <w:rPr>
          <w:rFonts w:ascii="Amiri" w:hAnsi="Amiri" w:eastAsia="Amiri" w:cs="Amiri"/>
          <w:color w:val="111111"/>
          <w:sz w:val="28"/>
          <w:sz w:val="28"/>
          <w:szCs w:val="28"/>
          <w:rtl w:val="true"/>
          <w:lang w:bidi="ar-SA"/>
        </w:rPr>
        <w:t>، والشَّهيد قدس سره</w:t>
      </w:r>
      <w:r>
        <w:rPr>
          <w:rStyle w:val="FootnoteAnchor"/>
          <w:rtl w:val="true"/>
        </w:rPr>
        <w:footnoteReference w:id="396"/>
      </w:r>
      <w:r>
        <w:rPr>
          <w:rFonts w:ascii="Amiri" w:hAnsi="Amiri" w:eastAsia="Amiri" w:cs="Amiri"/>
          <w:color w:val="111111"/>
          <w:sz w:val="28"/>
          <w:sz w:val="28"/>
          <w:szCs w:val="28"/>
          <w:rtl w:val="true"/>
          <w:lang w:bidi="ar-SA"/>
        </w:rPr>
        <w:t>، والأردبيليِّ قدس سره</w:t>
      </w:r>
      <w:r>
        <w:rPr>
          <w:rStyle w:val="FootnoteAnchor"/>
          <w:rtl w:val="true"/>
        </w:rPr>
        <w:footnoteReference w:id="397"/>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398"/>
      </w:r>
      <w:r>
        <w:rPr>
          <w:rFonts w:ascii="Amiri" w:hAnsi="Amiri" w:eastAsia="Amiri" w:cs="Amiri"/>
          <w:color w:val="111111"/>
          <w:sz w:val="28"/>
          <w:sz w:val="28"/>
          <w:szCs w:val="28"/>
          <w:rtl w:val="true"/>
          <w:lang w:bidi="ar-SA"/>
        </w:rPr>
        <w:t>وغيرهم من أكابر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بعمومهم، فلاريب في أنَّهم مسلمون قائلون بما نقول به من الشَّهادة بالتَّوحيد والرِّسالة والاعتقاد بالمعاد وغيرها، وقد تواترتْ الرِّوايات عنهم عليهم السلام علىٰ ثبوت الإسلام لهم وترتيب أحكامه عليهم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السَّائرة بين الإماميَّة المُمضاة من قِبَل المعصومين عليهم السلام؛ فلايجوز التَّشكيك في هذا أصلًا</w:t>
      </w:r>
      <w:r>
        <w:rPr>
          <w:rFonts w:eastAsia="Amiri" w:cs="Amiri" w:ascii="Amiri" w:hAnsi="Amiri"/>
          <w:color w:val="111111"/>
          <w:sz w:val="28"/>
          <w:szCs w:val="28"/>
          <w:rtl w:val="true"/>
          <w:lang w:bidi="ar-SA"/>
        </w:rPr>
        <w:t xml:space="preserve">. </w:t>
      </w:r>
      <w:bookmarkStart w:id="134" w:name="pg20339_220358"/>
    </w:p>
    <w:p>
      <w:pPr>
        <w:pStyle w:val="Heading4"/>
        <w:numPr>
          <w:ilvl w:val="3"/>
          <w:numId w:val="1"/>
        </w:numPr>
        <w:rPr/>
      </w:pPr>
      <w:bookmarkStart w:id="135" w:name="__RefHeading___Toc11979120_1280447820"/>
      <w:bookmarkStart w:id="136" w:name="_Toc49"/>
      <w:bookmarkEnd w:id="134"/>
      <w:bookmarkEnd w:id="135"/>
      <w:r>
        <w:rPr>
          <w:rtl w:val="true"/>
        </w:rPr>
        <w:t>أمثلةٌ لاستعمال القاعدة في الفقه</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 قدس سره في جواب من سَأَله عن غسل ثيابٍ صُنِع ببلاد الكفر ثمَّ بيع بأسواق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لواشترىٰ من مشركٍ أو أخذ منه لم يُحكَم بنجاسته أيضًا، بل لوعلم أنَّه عَمِله ولم يباشره برطوبةٍ لم يجب غسله أيضًا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اليزديُّ قدس سره في عروته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أواني المشركين وسائر الكفَّار محكومةٌ بالطَّهارة ما لم يُعلَم ملاقاتهم لها مع الرُّطوبة المُسرية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وانظر إلى ما ذكره شُرَّاح عبارته، كالسَّيِّد الحكيم قدس سره</w:t>
      </w:r>
      <w:r>
        <w:rPr>
          <w:rStyle w:val="FootnoteAnchor"/>
          <w:rtl w:val="true"/>
        </w:rPr>
        <w:footnoteReference w:id="401"/>
      </w:r>
      <w:r>
        <w:rPr>
          <w:rFonts w:ascii="Amiri" w:hAnsi="Amiri" w:eastAsia="Amiri" w:cs="Amiri"/>
          <w:color w:val="111111"/>
          <w:sz w:val="28"/>
          <w:sz w:val="28"/>
          <w:szCs w:val="28"/>
          <w:rtl w:val="true"/>
          <w:lang w:bidi="ar-SA"/>
        </w:rPr>
        <w:t>، والشَّيخ الآمليِّ قدس سره</w:t>
      </w:r>
      <w:r>
        <w:rPr>
          <w:rStyle w:val="FootnoteAnchor"/>
          <w:rtl w:val="true"/>
        </w:rPr>
        <w:footnoteReference w:id="402"/>
      </w:r>
      <w:r>
        <w:rPr>
          <w:rFonts w:ascii="Amiri" w:hAnsi="Amiri" w:eastAsia="Amiri" w:cs="Amiri"/>
          <w:color w:val="111111"/>
          <w:sz w:val="28"/>
          <w:sz w:val="28"/>
          <w:szCs w:val="28"/>
          <w:rtl w:val="true"/>
          <w:lang w:bidi="ar-SA"/>
        </w:rPr>
        <w:t>، والسَّيِّد شُبَّر الحسيني قدس سره</w:t>
      </w:r>
      <w:r>
        <w:rPr>
          <w:rStyle w:val="FootnoteAnchor"/>
          <w:rtl w:val="true"/>
        </w:rPr>
        <w:footnoteReference w:id="403"/>
      </w:r>
      <w:r>
        <w:rPr>
          <w:rFonts w:ascii="Amiri" w:hAnsi="Amiri" w:eastAsia="Amiri" w:cs="Amiri"/>
          <w:color w:val="111111"/>
          <w:sz w:val="28"/>
          <w:sz w:val="28"/>
          <w:szCs w:val="28"/>
          <w:rtl w:val="true"/>
          <w:lang w:bidi="ar-SA"/>
        </w:rPr>
        <w:t>، والبيارجمندي قدس سره</w:t>
      </w:r>
      <w:r>
        <w:rPr>
          <w:rStyle w:val="FootnoteAnchor"/>
          <w:rtl w:val="true"/>
        </w:rPr>
        <w:footnoteReference w:id="404"/>
      </w:r>
      <w:r>
        <w:rPr>
          <w:rFonts w:ascii="Amiri" w:hAnsi="Amiri" w:eastAsia="Amiri" w:cs="Amiri"/>
          <w:color w:val="111111"/>
          <w:sz w:val="28"/>
          <w:sz w:val="28"/>
          <w:szCs w:val="28"/>
          <w:rtl w:val="true"/>
          <w:lang w:bidi="ar-SA"/>
        </w:rPr>
        <w:t>، والشَّيخ الفقيه الحائريِّ قدس سره</w:t>
      </w:r>
      <w:r>
        <w:rPr>
          <w:rStyle w:val="FootnoteAnchor"/>
          <w:rtl w:val="true"/>
        </w:rPr>
        <w:footnoteReference w:id="405"/>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406"/>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407"/>
      </w:r>
      <w:r>
        <w:rPr>
          <w:rFonts w:ascii="Amiri" w:hAnsi="Amiri" w:eastAsia="Amiri" w:cs="Amiri"/>
          <w:color w:val="111111"/>
          <w:sz w:val="28"/>
          <w:sz w:val="28"/>
          <w:szCs w:val="28"/>
          <w:rtl w:val="true"/>
          <w:lang w:bidi="ar-SA"/>
        </w:rPr>
        <w:t>، وغيرهم</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ابنُفهدٍ الحلِّي قدس سره في مسألة مسِّ ميِّت الآدميِّ وعُظمه المجرَّد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ولومسَّ عُظمًا في فلاةٍ أو طريقٍ أو مقبرة الكفَّار اغتسل، لا إن كان في مقبرة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0339_220360"/>
    </w:p>
    <w:p>
      <w:pPr>
        <w:pStyle w:val="Heading2"/>
        <w:numPr>
          <w:ilvl w:val="1"/>
          <w:numId w:val="1"/>
        </w:numPr>
        <w:rPr/>
      </w:pPr>
      <w:bookmarkStart w:id="138" w:name="__RefHeading___Toc11979122_1280447820"/>
      <w:bookmarkStart w:id="139" w:name="_Toc50"/>
      <w:bookmarkEnd w:id="137"/>
      <w:bookmarkEnd w:id="138"/>
      <w:r>
        <w:rPr>
          <w:rtl w:val="true"/>
        </w:rPr>
        <w:t>[</w:t>
      </w:r>
      <w:r>
        <w:rPr/>
        <w:t>47</w:t>
      </w:r>
      <w:r>
        <w:rPr>
          <w:rtl w:val="true"/>
        </w:rPr>
        <w:t xml:space="preserve">:] </w:t>
      </w:r>
      <w:r>
        <w:rPr>
          <w:rtl w:val="true"/>
        </w:rPr>
        <w:t>قاعدة كلِّ ما تصحُّ إعارتُه تصحُّ إجارتُه</w:t>
      </w:r>
      <w:bookmarkEnd w:id="139"/>
    </w:p>
    <w:p>
      <w:pPr>
        <w:pStyle w:val="Heading3"/>
        <w:numPr>
          <w:ilvl w:val="2"/>
          <w:numId w:val="1"/>
        </w:numPr>
        <w:rPr/>
      </w:pPr>
      <w:bookmarkStart w:id="140" w:name="__RefHeading___Toc11979124_1280447820"/>
      <w:bookmarkStart w:id="141" w:name="_Toc51"/>
      <w:bookmarkEnd w:id="140"/>
      <w:r>
        <w:rPr>
          <w:rtl w:val="true"/>
        </w:rPr>
        <w:t>عناوين أُخرىٰ للقاعدة</w:t>
      </w:r>
      <w:bookmarkEnd w:id="141"/>
    </w:p>
    <w:p>
      <w:pPr>
        <w:pStyle w:val="BookText"/>
        <w:rPr/>
      </w:pPr>
      <w:r>
        <w:rPr>
          <w:rFonts w:ascii="Amiri" w:hAnsi="Amiri" w:eastAsia="Amiri" w:cs="Amiri"/>
          <w:color w:val="111111"/>
          <w:sz w:val="28"/>
          <w:sz w:val="28"/>
          <w:szCs w:val="28"/>
          <w:rtl w:val="true"/>
          <w:lang w:bidi="ar-SA"/>
        </w:rPr>
        <w:t>كلُّ ما صحَّ إعارتُه صحَّ إجارتُه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تصحُّ إعارتُه تصحُّ إجارتُه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142" w:name="pg20339_220361"/>
    </w:p>
    <w:p>
      <w:pPr>
        <w:pStyle w:val="BookText"/>
        <w:rPr/>
      </w:pPr>
      <w:bookmarkEnd w:id="142"/>
      <w:r>
        <w:rPr>
          <w:rFonts w:ascii="Amiri" w:hAnsi="Amiri" w:eastAsia="Amiri" w:cs="Amiri"/>
          <w:color w:val="111111"/>
          <w:sz w:val="28"/>
          <w:sz w:val="28"/>
          <w:szCs w:val="28"/>
          <w:rtl w:val="true"/>
          <w:lang w:bidi="ar-SA"/>
        </w:rPr>
        <w:t>كلُّ ما صحَّ إعارتُه صحَّ إجارتُه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يُستَباحُ بالعارية يُستَباحُ بعقد الإجارة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لاتصحُّ إجارتُه لاتصحُّ إعارتُه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يجوز إعارتُه يجوز إجارتُه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 إجارةُ كلِّ ما تصحُّ إعارتُه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1979126_1280447820"/>
      <w:bookmarkStart w:id="144" w:name="_Toc52"/>
      <w:bookmarkEnd w:id="143"/>
      <w:r>
        <w:rPr>
          <w:rtl w:val="true"/>
        </w:rPr>
        <w:t>توضيح مفاد القاعدة</w:t>
      </w:r>
      <w:bookmarkEnd w:id="1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لافرق بين العارية والإجارة من حيث إنَّهما تسليطُ غيره علىٰ العين لُيملِّك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التَّسليط في العارية يكون مجَّانًا وبلاعوضٍ‌، وفي الإجارة يكون علىٰ سبيل العِوَض؛ كما نصَّ عليه المحقِّق الأردبيليُّ قدس 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يصحُّ إعارتُه من الأعيان للإنتفاع بالمنفعة الَّتي لاتكون عينًا، يصحُّ إجارتُه أيضًا، لأنَّ الإجارة تمليك المنفعة بعِوَضٍ‌، والعاريةُ بدون العِوض، فلافرق بينهما</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 حكاه عنه البحرانيُّ قدس سره</w:t>
      </w:r>
      <w:r>
        <w:rPr>
          <w:rStyle w:val="FootnoteAnchor"/>
          <w:rtl w:val="true"/>
        </w:rPr>
        <w:footnoteReference w:id="417"/>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والمسألة وفروعاتها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النَّفي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عند كثيرٍ من الفقهاء، كالشَّيخ قدس سره</w:t>
      </w:r>
      <w:r>
        <w:rPr>
          <w:rStyle w:val="FootnoteAnchor"/>
          <w:rtl w:val="true"/>
        </w:rPr>
        <w:footnoteReference w:id="419"/>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420"/>
      </w:r>
      <w:r>
        <w:rPr>
          <w:rFonts w:ascii="Amiri" w:hAnsi="Amiri" w:eastAsia="Amiri" w:cs="Amiri"/>
          <w:color w:val="111111"/>
          <w:sz w:val="28"/>
          <w:sz w:val="28"/>
          <w:szCs w:val="28"/>
          <w:rtl w:val="true"/>
          <w:lang w:bidi="ar-SA"/>
        </w:rPr>
        <w:t>، والعلَّامة قدس سره</w:t>
      </w:r>
      <w:r>
        <w:rPr>
          <w:rStyle w:val="FootnoteAnchor"/>
          <w:rtl w:val="true"/>
        </w:rPr>
        <w:footnoteReference w:id="421"/>
      </w:r>
      <w:r>
        <w:rPr>
          <w:rFonts w:ascii="Amiri" w:hAnsi="Amiri" w:eastAsia="Amiri" w:cs="Amiri"/>
          <w:color w:val="111111"/>
          <w:sz w:val="28"/>
          <w:sz w:val="28"/>
          <w:szCs w:val="28"/>
          <w:rtl w:val="true"/>
          <w:lang w:bidi="ar-SA"/>
        </w:rPr>
        <w:t>، وفي تذكرته</w:t>
      </w:r>
      <w:r>
        <w:rPr>
          <w:rStyle w:val="FootnoteAnchor"/>
          <w:rtl w:val="true"/>
        </w:rPr>
        <w:footnoteReference w:id="422"/>
      </w:r>
      <w:r>
        <w:rPr>
          <w:rFonts w:ascii="Amiri" w:hAnsi="Amiri" w:eastAsia="Amiri" w:cs="Amiri"/>
          <w:color w:val="111111"/>
          <w:sz w:val="28"/>
          <w:sz w:val="28"/>
          <w:szCs w:val="28"/>
          <w:rtl w:val="true"/>
          <w:lang w:bidi="ar-SA"/>
        </w:rPr>
        <w:t>، ومختَلَفه</w:t>
      </w:r>
      <w:r>
        <w:rPr>
          <w:rStyle w:val="FootnoteAnchor"/>
          <w:rtl w:val="true"/>
        </w:rPr>
        <w:footnoteReference w:id="423"/>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424"/>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425"/>
      </w:r>
      <w:r>
        <w:rPr>
          <w:rFonts w:ascii="Amiri" w:hAnsi="Amiri" w:eastAsia="Amiri" w:cs="Amiri"/>
          <w:color w:val="111111"/>
          <w:sz w:val="28"/>
          <w:sz w:val="28"/>
          <w:szCs w:val="28"/>
          <w:rtl w:val="true"/>
          <w:lang w:bidi="ar-SA"/>
        </w:rPr>
        <w:t>، وابنِفهدٍ قدس سره</w:t>
      </w:r>
      <w:r>
        <w:rPr>
          <w:rStyle w:val="FootnoteAnchor"/>
          <w:rtl w:val="true"/>
        </w:rPr>
        <w:footnoteReference w:id="426"/>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427"/>
      </w:r>
      <w:r>
        <w:rPr>
          <w:rFonts w:ascii="Amiri" w:hAnsi="Amiri" w:eastAsia="Amiri" w:cs="Amiri"/>
          <w:color w:val="111111"/>
          <w:sz w:val="28"/>
          <w:sz w:val="28"/>
          <w:szCs w:val="28"/>
          <w:rtl w:val="true"/>
          <w:lang w:bidi="ar-SA"/>
        </w:rPr>
        <w:t>، وفي مسالكه</w:t>
      </w:r>
      <w:r>
        <w:rPr>
          <w:rStyle w:val="FootnoteAnchor"/>
          <w:rtl w:val="true"/>
        </w:rPr>
        <w:footnoteReference w:id="428"/>
      </w:r>
      <w:r>
        <w:rPr>
          <w:rFonts w:ascii="Amiri" w:hAnsi="Amiri" w:eastAsia="Amiri" w:cs="Amiri"/>
          <w:color w:val="111111"/>
          <w:sz w:val="28"/>
          <w:sz w:val="28"/>
          <w:szCs w:val="28"/>
          <w:rtl w:val="true"/>
          <w:lang w:bidi="ar-SA"/>
        </w:rPr>
        <w:t>، والسَّبزواريِّ قدس سره</w:t>
      </w:r>
      <w:r>
        <w:rPr>
          <w:rStyle w:val="FootnoteAnchor"/>
          <w:rtl w:val="true"/>
        </w:rPr>
        <w:footnoteReference w:id="429"/>
      </w:r>
      <w:r>
        <w:rPr>
          <w:rFonts w:ascii="Amiri" w:hAnsi="Amiri" w:eastAsia="Amiri" w:cs="Amiri"/>
          <w:color w:val="111111"/>
          <w:sz w:val="28"/>
          <w:sz w:val="28"/>
          <w:szCs w:val="28"/>
          <w:rtl w:val="true"/>
          <w:lang w:bidi="ar-SA"/>
        </w:rPr>
        <w:t>وغيرهم الكثيرين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والإعارة والإجارة مفهومان عرفيَّان شائعان بين النَّاس، وهما من لوازم معاشهم وحياتهم</w:t>
      </w:r>
      <w:r>
        <w:rPr>
          <w:rStyle w:val="FootnoteAnchor"/>
          <w:rtl w:val="true"/>
        </w:rPr>
        <w:footnoteReference w:id="430"/>
      </w:r>
      <w:r>
        <w:rPr>
          <w:rFonts w:ascii="Amiri" w:hAnsi="Amiri" w:eastAsia="Amiri" w:cs="Amiri"/>
          <w:color w:val="111111"/>
          <w:sz w:val="28"/>
          <w:sz w:val="28"/>
          <w:szCs w:val="28"/>
          <w:rtl w:val="true"/>
          <w:lang w:bidi="ar-SA"/>
        </w:rPr>
        <w:t>، فلاتحتاجان إلى زيادة توضيحٍ للتَّعريف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لابن حمزة قدس سره</w:t>
      </w:r>
      <w:r>
        <w:rPr>
          <w:rStyle w:val="FootnoteAnchor"/>
          <w:rtl w:val="true"/>
        </w:rPr>
        <w:footnoteReference w:id="431"/>
      </w:r>
      <w:r>
        <w:rPr>
          <w:rFonts w:ascii="Amiri" w:hAnsi="Amiri" w:eastAsia="Amiri" w:cs="Amiri"/>
          <w:color w:val="111111"/>
          <w:sz w:val="28"/>
          <w:sz w:val="28"/>
          <w:szCs w:val="28"/>
          <w:rtl w:val="true"/>
          <w:lang w:bidi="ar-SA"/>
        </w:rPr>
        <w:t>، والمحقِّق قدس سره</w:t>
      </w:r>
      <w:r>
        <w:rPr>
          <w:rStyle w:val="FootnoteAnchor"/>
          <w:rtl w:val="true"/>
        </w:rPr>
        <w:footnoteReference w:id="432"/>
      </w:r>
      <w:r>
        <w:rPr>
          <w:rFonts w:ascii="Amiri" w:hAnsi="Amiri" w:eastAsia="Amiri" w:cs="Amiri"/>
          <w:color w:val="111111"/>
          <w:sz w:val="28"/>
          <w:sz w:val="28"/>
          <w:szCs w:val="28"/>
          <w:rtl w:val="true"/>
          <w:lang w:bidi="ar-SA"/>
        </w:rPr>
        <w:t>، وابنِداود الحلِّي الرِّجاليِّ قدس سره</w:t>
      </w:r>
      <w:r>
        <w:rPr>
          <w:rStyle w:val="FootnoteAnchor"/>
          <w:rtl w:val="true"/>
        </w:rPr>
        <w:footnoteReference w:id="433"/>
      </w:r>
      <w:r>
        <w:rPr>
          <w:rFonts w:ascii="Amiri" w:hAnsi="Amiri" w:eastAsia="Amiri" w:cs="Amiri"/>
          <w:color w:val="111111"/>
          <w:sz w:val="28"/>
          <w:sz w:val="28"/>
          <w:szCs w:val="28"/>
          <w:rtl w:val="true"/>
          <w:lang w:bidi="ar-SA"/>
        </w:rPr>
        <w:t xml:space="preserve">، وثاني </w:t>
      </w:r>
    </w:p>
    <w:p>
      <w:pPr>
        <w:pStyle w:val="BookText"/>
        <w:rPr/>
      </w:pPr>
      <w:r>
        <w:rPr>
          <w:rFonts w:ascii="Amiri" w:hAnsi="Amiri" w:eastAsia="Amiri" w:cs="Amiri"/>
          <w:color w:val="111111"/>
          <w:sz w:val="28"/>
          <w:sz w:val="28"/>
          <w:szCs w:val="28"/>
          <w:rtl w:val="true"/>
          <w:lang w:bidi="ar-SA"/>
        </w:rPr>
        <w:t>المحقِّقَين قدس سرهما</w:t>
      </w:r>
      <w:r>
        <w:rPr>
          <w:rStyle w:val="FootnoteAnchor"/>
          <w:rtl w:val="true"/>
        </w:rPr>
        <w:footnoteReference w:id="434"/>
      </w:r>
      <w:r>
        <w:rPr>
          <w:rFonts w:ascii="Amiri" w:hAnsi="Amiri" w:eastAsia="Amiri" w:cs="Amiri"/>
          <w:color w:val="111111"/>
          <w:sz w:val="28"/>
          <w:sz w:val="28"/>
          <w:szCs w:val="28"/>
          <w:rtl w:val="true"/>
          <w:lang w:bidi="ar-SA"/>
        </w:rPr>
        <w:t>، وغيرهم في العارية؛ وكأقوالٍ للشَّيخ قدس سره</w:t>
      </w:r>
      <w:r>
        <w:rPr>
          <w:rStyle w:val="FootnoteAnchor"/>
          <w:rtl w:val="true"/>
        </w:rPr>
        <w:footnoteReference w:id="435"/>
      </w:r>
      <w:r>
        <w:rPr>
          <w:rFonts w:ascii="Amiri" w:hAnsi="Amiri" w:eastAsia="Amiri" w:cs="Amiri"/>
          <w:color w:val="111111"/>
          <w:sz w:val="28"/>
          <w:sz w:val="28"/>
          <w:szCs w:val="28"/>
          <w:rtl w:val="true"/>
          <w:lang w:bidi="ar-SA"/>
        </w:rPr>
        <w:t>، وابن حمزة قدس سره</w:t>
      </w:r>
      <w:r>
        <w:rPr>
          <w:rStyle w:val="FootnoteAnchor"/>
          <w:rtl w:val="true"/>
        </w:rPr>
        <w:footnoteReference w:id="436"/>
      </w:r>
      <w:r>
        <w:rPr>
          <w:rFonts w:ascii="Amiri" w:hAnsi="Amiri" w:eastAsia="Amiri" w:cs="Amiri"/>
          <w:color w:val="111111"/>
          <w:sz w:val="28"/>
          <w:sz w:val="28"/>
          <w:szCs w:val="28"/>
          <w:rtl w:val="true"/>
          <w:lang w:bidi="ar-SA"/>
        </w:rPr>
        <w:t>، والرَّاوندي قدس سره</w:t>
      </w:r>
      <w:r>
        <w:rPr>
          <w:rStyle w:val="FootnoteAnchor"/>
          <w:rtl w:val="true"/>
        </w:rPr>
        <w:footnoteReference w:id="437"/>
      </w:r>
      <w:r>
        <w:rPr>
          <w:rFonts w:ascii="Amiri" w:hAnsi="Amiri" w:eastAsia="Amiri" w:cs="Amiri"/>
          <w:color w:val="111111"/>
          <w:sz w:val="28"/>
          <w:sz w:val="28"/>
          <w:szCs w:val="28"/>
          <w:rtl w:val="true"/>
          <w:lang w:bidi="ar-SA"/>
        </w:rPr>
        <w:t>، وابنِإدريس قدس سره</w:t>
      </w:r>
      <w:r>
        <w:rPr>
          <w:rStyle w:val="FootnoteAnchor"/>
          <w:rtl w:val="true"/>
        </w:rPr>
        <w:footnoteReference w:id="438"/>
      </w:r>
      <w:r>
        <w:rPr>
          <w:rFonts w:ascii="Amiri" w:hAnsi="Amiri" w:eastAsia="Amiri" w:cs="Amiri"/>
          <w:color w:val="111111"/>
          <w:sz w:val="28"/>
          <w:sz w:val="28"/>
          <w:szCs w:val="28"/>
          <w:rtl w:val="true"/>
          <w:lang w:bidi="ar-SA"/>
        </w:rPr>
        <w:t>، وغيرهم في الاجارة؛</w:t>
      </w:r>
    </w:p>
    <w:p>
      <w:pPr>
        <w:pStyle w:val="BookText"/>
        <w:rPr/>
      </w:pPr>
      <w:r>
        <w:rPr>
          <w:rFonts w:ascii="Amiri" w:hAnsi="Amiri" w:eastAsia="Amiri" w:cs="Amiri"/>
          <w:color w:val="111111"/>
          <w:sz w:val="28"/>
          <w:sz w:val="28"/>
          <w:szCs w:val="28"/>
          <w:rtl w:val="true"/>
          <w:lang w:bidi="ar-SA"/>
        </w:rPr>
        <w:t xml:space="preserve">ولانطول الكلام بذكر الأقوال فيهما، وياتي الكلامُ عنهما في محلِّه من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العارية ترد في الأمور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كإعارة ثوبٍ في مدَّةٍ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والإجارة ترد في الأمور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كإجارة الدَّار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واضح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النَّاس في كثيرٍ من الأوقات يكترون الظُّروف لليلةٍ واحدةٍ‌، لعُرسهم أو ضيافتهم، أو يكترون لباسًا للحضور عند من له رتبةٌ ساميَةٌ في المجتمع؛ كما وأنَّهم يستعيرون سيَّارةً مجَّانًا من أقربائهم أو أصدقائهم لسفرٍ يطول مدَّة أسبوعٍ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منافع الأحرار لاتجوز الإعارة فيها، بل تجري فيها الإجارة فقط؛ بخلاف منافع العبيد حيث تجوز إعارتها وإجارتها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بسديدٍ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الدَّليل عليه، بل يجوز أن يُعار منفعةُ حرٍّ في مدَّةٍ معيَّنةٍ‌، كما يجوز إجارتها كذلك</w:t>
      </w:r>
      <w:r>
        <w:rPr>
          <w:rFonts w:eastAsia="Amiri" w:cs="Amiri" w:ascii="Amiri" w:hAnsi="Amiri"/>
          <w:color w:val="111111"/>
          <w:sz w:val="28"/>
          <w:szCs w:val="28"/>
          <w:rtl w:val="true"/>
          <w:lang w:bidi="ar-SA"/>
        </w:rPr>
        <w:t xml:space="preserve">. </w:t>
      </w:r>
      <w:bookmarkStart w:id="145" w:name="pg20339_220364"/>
    </w:p>
    <w:p>
      <w:pPr>
        <w:pStyle w:val="BookText"/>
        <w:rPr/>
      </w:pPr>
      <w:bookmarkEnd w:id="145"/>
      <w:r>
        <w:rPr>
          <w:rFonts w:ascii="Amiri" w:hAnsi="Amiri" w:eastAsia="Amiri" w:cs="Amiri"/>
          <w:color w:val="111111"/>
          <w:sz w:val="28"/>
          <w:sz w:val="28"/>
          <w:szCs w:val="28"/>
          <w:rtl w:val="true"/>
          <w:lang w:bidi="ar-SA"/>
        </w:rPr>
        <w:t>وكذلك غيرهما ممَّا قيل في الفرق بينهما، مثل ما ذكره صاحب الجواهر قدس سره</w:t>
      </w:r>
      <w:r>
        <w:rPr>
          <w:rStyle w:val="FootnoteAnchor"/>
          <w:rtl w:val="true"/>
        </w:rPr>
        <w:footnoteReference w:id="439"/>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إنَّه لافرق بين العارية والإجارة ماهيَّةً‌، والفرق في أخذِ العِوَض في الإجارة وعدم أخذه في العارية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979128_1280447820"/>
      <w:bookmarkStart w:id="147" w:name="_Toc53"/>
      <w:bookmarkEnd w:id="146"/>
      <w:r>
        <w:rPr>
          <w:rtl w:val="true"/>
        </w:rPr>
        <w:t>مدركُ القاعدة</w:t>
      </w:r>
      <w:bookmarkEnd w:id="147"/>
    </w:p>
    <w:p>
      <w:pPr>
        <w:pStyle w:val="BookText"/>
        <w:rPr/>
      </w:pPr>
      <w:r>
        <w:rPr>
          <w:rFonts w:ascii="Amiri" w:hAnsi="Amiri" w:eastAsia="Amiri" w:cs="Amiri"/>
          <w:color w:val="111111"/>
          <w:sz w:val="28"/>
          <w:sz w:val="28"/>
          <w:szCs w:val="28"/>
          <w:rtl w:val="true"/>
          <w:lang w:bidi="ar-SA"/>
        </w:rPr>
        <w:t>القاعدة بيِّنةٌ لاتحتاج إلى دليلٍ‌، بل هي من الواضحات الَّتي قياساتُها معها؛ فيكفي في التَّصديق بها تصوُّرها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كالمحقِّق البجنورديِّ قدس سره حيث تمسَّك بالإجماع أوَّلًا،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الإعارةَ والإجارةَ لاتختلفان في الحقيقة ثانيًا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إنَّ كثيرًا من الأعلام كصاحب الجواهر قدس سره اكتفىٰ فيها بالإجماعين المحصَّل والمنقول</w:t>
      </w:r>
      <w:r>
        <w:rPr>
          <w:rStyle w:val="FootnoteAnchor"/>
          <w:rtl w:val="true"/>
        </w:rPr>
        <w:footnoteReference w:id="442"/>
      </w:r>
      <w:r>
        <w:rPr>
          <w:rFonts w:ascii="Amiri" w:hAnsi="Amiri" w:eastAsia="Amiri" w:cs="Amiri"/>
          <w:color w:val="111111"/>
          <w:sz w:val="28"/>
          <w:sz w:val="28"/>
          <w:szCs w:val="28"/>
          <w:rtl w:val="true"/>
          <w:lang w:bidi="ar-SA"/>
        </w:rPr>
        <w:t>، من غير أن يكثر من ذكر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صاحب الرِّياض قدس سره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بلاخلافٍ في الظَّاهر</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وعن البحرانيِّ قدس سره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الكلِّيَّات المُتَّفَق عليها بينهم</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وعن صاحب المناهل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بإجماع العُلماء</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48" w:name="pg20339_220365"/>
    </w:p>
    <w:p>
      <w:pPr>
        <w:pStyle w:val="BookText"/>
        <w:rPr/>
      </w:pPr>
      <w:bookmarkEnd w:id="148"/>
      <w:r>
        <w:rPr>
          <w:rFonts w:ascii="Amiri" w:hAnsi="Amiri" w:eastAsia="Amiri" w:cs="Amiri"/>
          <w:color w:val="111111"/>
          <w:sz w:val="28"/>
          <w:sz w:val="28"/>
          <w:szCs w:val="28"/>
          <w:rtl w:val="true"/>
          <w:lang w:bidi="ar-SA"/>
        </w:rPr>
        <w:t>فلاخلاف في القاعدة، وإن وقع خلافٌ بينهم فيها ففي بعض مصاديقها، لا في أصلها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1979130_1280447820"/>
      <w:bookmarkStart w:id="150" w:name="_Toc54"/>
      <w:bookmarkEnd w:id="149"/>
      <w:r>
        <w:rPr>
          <w:rtl w:val="true"/>
        </w:rPr>
        <w:t>تنبيهٌ‌</w:t>
      </w:r>
      <w:r>
        <w:rPr>
          <w:rtl w:val="true"/>
        </w:rPr>
        <w:t>:</w:t>
      </w:r>
      <w:bookmarkEnd w:id="150"/>
    </w:p>
    <w:p>
      <w:pPr>
        <w:pStyle w:val="BookText"/>
        <w:rPr/>
      </w:pPr>
      <w:r>
        <w:rPr>
          <w:rFonts w:ascii="Amiri" w:hAnsi="Amiri" w:eastAsia="Amiri" w:cs="Amiri"/>
          <w:color w:val="111111"/>
          <w:sz w:val="28"/>
          <w:sz w:val="28"/>
          <w:szCs w:val="28"/>
          <w:rtl w:val="true"/>
          <w:lang w:bidi="ar-SA"/>
        </w:rPr>
        <w:t xml:space="preserve">ذهب بعضٌ من الأصحاب إلى أنَّ الشَّاة 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الشَّاة ذات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إعارتها، ولايجوز إجارتها؛ وانظر هيهنا إلى ما ذكره الشَّيخ قدس سره</w:t>
      </w:r>
      <w:r>
        <w:rPr>
          <w:rStyle w:val="FootnoteAnchor"/>
          <w:rtl w:val="true"/>
        </w:rPr>
        <w:footnoteReference w:id="446"/>
      </w:r>
      <w:r>
        <w:rPr>
          <w:rFonts w:ascii="Amiri" w:hAnsi="Amiri" w:eastAsia="Amiri" w:cs="Amiri"/>
          <w:color w:val="111111"/>
          <w:sz w:val="28"/>
          <w:sz w:val="28"/>
          <w:szCs w:val="28"/>
          <w:rtl w:val="true"/>
          <w:lang w:bidi="ar-SA"/>
        </w:rPr>
        <w:t>، والكَيدُرِيُّ قدس سره</w:t>
      </w:r>
      <w:r>
        <w:rPr>
          <w:rStyle w:val="FootnoteAnchor"/>
          <w:rtl w:val="true"/>
        </w:rPr>
        <w:footnoteReference w:id="447"/>
      </w:r>
      <w:r>
        <w:rPr>
          <w:rFonts w:ascii="Amiri" w:hAnsi="Amiri" w:eastAsia="Amiri" w:cs="Amiri"/>
          <w:color w:val="111111"/>
          <w:sz w:val="28"/>
          <w:sz w:val="28"/>
          <w:szCs w:val="28"/>
          <w:rtl w:val="true"/>
          <w:lang w:bidi="ar-SA"/>
        </w:rPr>
        <w:t>، وابنُسعيدٍ قدس سره</w:t>
      </w:r>
      <w:r>
        <w:rPr>
          <w:rStyle w:val="FootnoteAnchor"/>
          <w:rtl w:val="true"/>
        </w:rPr>
        <w:footnoteReference w:id="448"/>
      </w:r>
      <w:r>
        <w:rPr>
          <w:rFonts w:ascii="Amiri" w:hAnsi="Amiri" w:eastAsia="Amiri" w:cs="Amiri"/>
          <w:color w:val="111111"/>
          <w:sz w:val="28"/>
          <w:sz w:val="28"/>
          <w:szCs w:val="28"/>
          <w:rtl w:val="true"/>
          <w:lang w:bidi="ar-SA"/>
        </w:rPr>
        <w:t>، والعلَّامة قدس سره</w:t>
      </w:r>
      <w:r>
        <w:rPr>
          <w:rStyle w:val="FootnoteAnchor"/>
          <w:rtl w:val="true"/>
        </w:rPr>
        <w:footnoteReference w:id="449"/>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450"/>
      </w:r>
      <w:r>
        <w:rPr>
          <w:rFonts w:ascii="Amiri" w:hAnsi="Amiri" w:eastAsia="Amiri" w:cs="Amiri"/>
          <w:color w:val="111111"/>
          <w:sz w:val="28"/>
          <w:sz w:val="28"/>
          <w:szCs w:val="28"/>
          <w:rtl w:val="true"/>
          <w:lang w:bidi="ar-SA"/>
        </w:rPr>
        <w:t>، والأردبيليُّ قدس سره</w:t>
      </w:r>
      <w:r>
        <w:rPr>
          <w:rStyle w:val="FootnoteAnchor"/>
          <w:rtl w:val="true"/>
        </w:rPr>
        <w:footnoteReference w:id="451"/>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الجارية المُرضِعة قيل يجوز إرعارتها، ولايجوز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الفقيه العراقيِّ قدس سره هيهنا كلامٌ جديرٌ بالمراجعة</w:t>
      </w:r>
      <w:r>
        <w:rPr>
          <w:rStyle w:val="FootnoteAnchor"/>
          <w:rtl w:val="true"/>
        </w:rPr>
        <w:footnoteReference w:id="453"/>
      </w:r>
      <w:r>
        <w:rPr>
          <w:rFonts w:ascii="Amiri" w:hAnsi="Amiri" w:eastAsia="Amiri" w:cs="Amiri"/>
          <w:color w:val="111111"/>
          <w:sz w:val="28"/>
          <w:sz w:val="28"/>
          <w:szCs w:val="28"/>
          <w:rtl w:val="true"/>
          <w:lang w:bidi="ar-SA"/>
        </w:rPr>
        <w:t>، وللسَّيِّد الحكيم قدس سره</w:t>
      </w:r>
      <w:r>
        <w:rPr>
          <w:rStyle w:val="FootnoteAnchor"/>
          <w:rtl w:val="true"/>
        </w:rPr>
        <w:footnoteReference w:id="454"/>
      </w:r>
      <w:r>
        <w:rPr>
          <w:rFonts w:ascii="Amiri" w:hAnsi="Amiri" w:eastAsia="Amiri" w:cs="Amiri"/>
          <w:color w:val="111111"/>
          <w:sz w:val="28"/>
          <w:sz w:val="28"/>
          <w:szCs w:val="28"/>
          <w:rtl w:val="true"/>
          <w:lang w:bidi="ar-SA"/>
        </w:rPr>
        <w:t>، وللشَّيخ الشَّوشتريِّ قدس سره</w:t>
      </w:r>
      <w:r>
        <w:rPr>
          <w:rStyle w:val="FootnoteAnchor"/>
          <w:rtl w:val="true"/>
        </w:rPr>
        <w:footnoteReference w:id="4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البئر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إعارتها، ولايجوز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عن ذلك إلى ما ذكره الآشتيانيُّ قدس سره</w:t>
      </w:r>
      <w:r>
        <w:rPr>
          <w:rStyle w:val="FootnoteAnchor"/>
          <w:rtl w:val="true"/>
        </w:rPr>
        <w:footnoteReference w:id="456"/>
      </w:r>
      <w:r>
        <w:rPr>
          <w:rFonts w:ascii="IRNazanin" w:hAnsi="IRNazanin" w:eastAsia="IRNazanin"/>
          <w:color w:val="111111"/>
          <w:sz w:val="28"/>
          <w:sz w:val="28"/>
          <w:szCs w:val="28"/>
          <w:rtl w:val="true"/>
          <w:lang w:bidi="fa-IR"/>
        </w:rPr>
        <w:t>، وبحرُ العلوم قدس سره</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والبصريُّ قدس سره المعاصر؛</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البستان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إعارته، ولايجوز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المحقِّق القمِّي قدس سره الإجماع علىٰ حرمة إجارة البستان وفسادها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منهاج الصَّالحين،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الأمثلة كلَّها يجوز إجارتُها كما يجوز إعارتها، ويجوز إعارتها كما يجوز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لكلامهم وجهٌ يمكن السِّناد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أنَّ السَّيِّد صاحب العروة قدس سره قال بعدم جواز إجارة الشَّجرة للاِستفادة من ثمرتها، معلِّلًا بأنَّ الَّثمرة من الأعيان، لا من المنافع، ولابدَّ في الإجارة من تمليك المنفعة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الفقيه الحائريُّ قدس سره والسَّيِّد الخوئيُّ قدس سره والعلَّامة النَّائينيُّ قدس سره إلى خلافه؛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المحشّىٰ‌،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الَّثمرة من المنافع، إذ ليست ثمرةُ الشَّجرة إلَّاثمرته، ولاريب في أنَّ منفعةَ‌ </w:t>
      </w:r>
      <w:bookmarkStart w:id="151" w:name="pg20339_220367"/>
    </w:p>
    <w:p>
      <w:pPr>
        <w:pStyle w:val="BookText"/>
        <w:rPr/>
      </w:pPr>
      <w:bookmarkEnd w:id="151"/>
      <w:r>
        <w:rPr>
          <w:rFonts w:ascii="Amiri" w:hAnsi="Amiri" w:eastAsia="Amiri" w:cs="Amiri"/>
          <w:color w:val="111111"/>
          <w:sz w:val="28"/>
          <w:sz w:val="28"/>
          <w:szCs w:val="28"/>
          <w:rtl w:val="true"/>
          <w:lang w:bidi="ar-SA"/>
        </w:rPr>
        <w:t>كلِّ شيءٍ بحسبه</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مضافًا إلى أنَّه لوكان كذلك لم يجز إعارة الَّثمرة إذن، لأنَّه من تمليك المنافع أيضًا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كلَّه ليس من باب الإجارة ولا من باب العارية، بل من باب الإباحة بلاعوضٍ‌، أو مع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تغيير الاِسم لايُخرِجُ الشَّيء عن حقيقته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1979132_1280447820"/>
      <w:bookmarkStart w:id="153" w:name="_Toc55"/>
      <w:bookmarkEnd w:id="152"/>
      <w:r>
        <w:rPr>
          <w:rtl w:val="true"/>
        </w:rPr>
        <w:t>أمثلةٌ لاستعمال القاعدة في الفقه</w:t>
      </w:r>
      <w:r>
        <w:rPr>
          <w:rtl w:val="true"/>
        </w:rPr>
        <w:t>:</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قاعدةٌ كلِّيَّةٌ تُشير إلى حكمٍ عامٍّ في ما يجوز إجارته، وليس لها موردٌ جزئيٌّ في الفقه تنطبِقُ عليه؛ فليس لنا ذكرُ أمثلةٍ لها كما في غيرها من القواعد</w:t>
      </w:r>
      <w:r>
        <w:rPr>
          <w:rFonts w:eastAsia="Amiri" w:cs="Amiri" w:ascii="Amiri" w:hAnsi="Amiri"/>
          <w:color w:val="111111"/>
          <w:sz w:val="28"/>
          <w:szCs w:val="28"/>
          <w:rtl w:val="true"/>
          <w:lang w:bidi="ar-SA"/>
        </w:rPr>
        <w:t xml:space="preserve">. </w:t>
      </w:r>
      <w:bookmarkStart w:id="154" w:name="pg20339_220368"/>
    </w:p>
    <w:p>
      <w:pPr>
        <w:pStyle w:val="Heading2"/>
        <w:numPr>
          <w:ilvl w:val="1"/>
          <w:numId w:val="1"/>
        </w:numPr>
        <w:rPr/>
      </w:pPr>
      <w:bookmarkStart w:id="155" w:name="__RefHeading___Toc11979134_1280447820"/>
      <w:bookmarkStart w:id="156" w:name="_Toc56"/>
      <w:bookmarkEnd w:id="154"/>
      <w:bookmarkEnd w:id="155"/>
      <w:r>
        <w:rPr>
          <w:rtl w:val="true"/>
        </w:rPr>
        <w:t>[</w:t>
      </w:r>
      <w:r>
        <w:rPr/>
        <w:t>48</w:t>
      </w:r>
      <w:r>
        <w:rPr>
          <w:rtl w:val="true"/>
        </w:rPr>
        <w:t xml:space="preserve">:] </w:t>
      </w:r>
      <w:r>
        <w:rPr>
          <w:rtl w:val="true"/>
        </w:rPr>
        <w:t>قاعدة كلُّ مبيعٍ تلف في زمنِ الخيار فهو ممَّن لاخيار له</w:t>
      </w:r>
      <w:bookmarkEnd w:id="156"/>
    </w:p>
    <w:p>
      <w:pPr>
        <w:pStyle w:val="Heading3"/>
        <w:numPr>
          <w:ilvl w:val="2"/>
          <w:numId w:val="1"/>
        </w:numPr>
        <w:rPr/>
      </w:pPr>
      <w:bookmarkStart w:id="157" w:name="__RefHeading___Toc11979136_1280447820"/>
      <w:bookmarkStart w:id="158" w:name="_Toc57"/>
      <w:bookmarkEnd w:id="157"/>
      <w:r>
        <w:rPr>
          <w:rtl w:val="true"/>
        </w:rPr>
        <w:t>عناوين أُخرىٰ للقاعدة</w:t>
      </w:r>
      <w:bookmarkEnd w:id="158"/>
    </w:p>
    <w:p>
      <w:pPr>
        <w:pStyle w:val="BookText"/>
        <w:rPr/>
      </w:pPr>
      <w:r>
        <w:rPr>
          <w:rFonts w:ascii="Amiri" w:hAnsi="Amiri" w:eastAsia="Amiri" w:cs="Amiri"/>
          <w:color w:val="111111"/>
          <w:sz w:val="28"/>
          <w:sz w:val="28"/>
          <w:szCs w:val="28"/>
          <w:rtl w:val="true"/>
          <w:lang w:bidi="ar-SA"/>
        </w:rPr>
        <w:t>التَّلف مدَّة الخيار ممَّن لاخيار له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المحقِّق الشِّيرازي قدس سره،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 إن كان في مدَّة الخيار فهو ممَّن لاخيار 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 التَّلف في زمن الخيار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59" w:name="pg20339_220369"/>
    </w:p>
    <w:p>
      <w:pPr>
        <w:pStyle w:val="Heading3"/>
        <w:numPr>
          <w:ilvl w:val="2"/>
          <w:numId w:val="1"/>
        </w:numPr>
        <w:rPr/>
      </w:pPr>
      <w:bookmarkStart w:id="160" w:name="__RefHeading___Toc11979138_1280447820"/>
      <w:bookmarkStart w:id="161" w:name="_Toc58"/>
      <w:bookmarkEnd w:id="159"/>
      <w:bookmarkEnd w:id="160"/>
      <w:r>
        <w:rPr>
          <w:rtl w:val="true"/>
        </w:rPr>
        <w:t>توضيح مفاد القاعدة</w:t>
      </w:r>
      <w:bookmarkEnd w:id="161"/>
    </w:p>
    <w:p>
      <w:pPr>
        <w:pStyle w:val="BookText"/>
        <w:rPr/>
      </w:pP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لوتلف مبيعٌ بعد العقد في زمن ثبوت الخيار لأحد المتبايِعَين، فالتَّلف يرجع إلى مَن لا خيار له، فهو تالفٌ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مشهورةٌ بين الأصحاب حتَّى أنَّ صاحب مفتاح الكرامة قدس سره نقل عن الشَّهيدَين الأوَّل قدس سره</w:t>
      </w:r>
      <w:r>
        <w:rPr>
          <w:rStyle w:val="FootnoteAnchor"/>
          <w:rtl w:val="true"/>
        </w:rPr>
        <w:footnoteReference w:id="465"/>
      </w:r>
      <w:r>
        <w:rPr>
          <w:rFonts w:ascii="Amiri" w:hAnsi="Amiri" w:eastAsia="Amiri" w:cs="Amiri"/>
          <w:color w:val="111111"/>
          <w:sz w:val="28"/>
          <w:sz w:val="28"/>
          <w:szCs w:val="28"/>
          <w:rtl w:val="true"/>
          <w:lang w:bidi="ar-SA"/>
        </w:rPr>
        <w:t>والثَّاني قدس سره</w:t>
      </w:r>
      <w:r>
        <w:rPr>
          <w:rStyle w:val="FootnoteAnchor"/>
          <w:rtl w:val="true"/>
        </w:rPr>
        <w:footnoteReference w:id="466"/>
      </w:r>
      <w:r>
        <w:rPr>
          <w:rFonts w:ascii="Amiri" w:hAnsi="Amiri" w:eastAsia="Amiri" w:cs="Amiri"/>
          <w:color w:val="111111"/>
          <w:sz w:val="28"/>
          <w:sz w:val="28"/>
          <w:szCs w:val="28"/>
          <w:rtl w:val="true"/>
          <w:lang w:bidi="ar-SA"/>
        </w:rPr>
        <w:t>والمحقِّقَين الأوَّل قدس سره</w:t>
      </w:r>
      <w:r>
        <w:rPr>
          <w:rStyle w:val="FootnoteAnchor"/>
          <w:rtl w:val="true"/>
        </w:rPr>
        <w:footnoteReference w:id="467"/>
      </w:r>
      <w:r>
        <w:rPr>
          <w:rFonts w:ascii="Amiri" w:hAnsi="Amiri" w:eastAsia="Amiri" w:cs="Amiri"/>
          <w:color w:val="111111"/>
          <w:sz w:val="28"/>
          <w:sz w:val="28"/>
          <w:szCs w:val="28"/>
          <w:rtl w:val="true"/>
          <w:lang w:bidi="ar-SA"/>
        </w:rPr>
        <w:t>والثَّاني قدس سره</w:t>
      </w:r>
      <w:r>
        <w:rPr>
          <w:rStyle w:val="FootnoteAnchor"/>
          <w:rtl w:val="true"/>
        </w:rPr>
        <w:footnoteReference w:id="468"/>
      </w:r>
      <w:r>
        <w:rPr>
          <w:rFonts w:ascii="Amiri" w:hAnsi="Amiri" w:eastAsia="Amiri" w:cs="Amiri"/>
          <w:color w:val="111111"/>
          <w:sz w:val="28"/>
          <w:sz w:val="28"/>
          <w:szCs w:val="28"/>
          <w:rtl w:val="true"/>
          <w:lang w:bidi="ar-SA"/>
        </w:rPr>
        <w:t>أيضًا والعلَّامة قدس سره</w:t>
      </w:r>
      <w:r>
        <w:rPr>
          <w:rStyle w:val="FootnoteAnchor"/>
          <w:rtl w:val="true"/>
        </w:rPr>
        <w:footnoteReference w:id="469"/>
      </w:r>
      <w:r>
        <w:rPr>
          <w:rFonts w:ascii="Amiri" w:hAnsi="Amiri" w:eastAsia="Amiri" w:cs="Amiri"/>
          <w:color w:val="111111"/>
          <w:sz w:val="28"/>
          <w:sz w:val="28"/>
          <w:szCs w:val="28"/>
          <w:rtl w:val="true"/>
          <w:lang w:bidi="ar-SA"/>
        </w:rPr>
        <w:t>وصاحب المفاتيح قدس سره</w:t>
      </w:r>
      <w:r>
        <w:rPr>
          <w:rStyle w:val="FootnoteAnchor"/>
          <w:rtl w:val="true"/>
        </w:rPr>
        <w:footnoteReference w:id="470"/>
      </w:r>
      <w:r>
        <w:rPr>
          <w:rFonts w:ascii="Amiri" w:hAnsi="Amiri" w:eastAsia="Amiri" w:cs="Amiri"/>
          <w:color w:val="111111"/>
          <w:sz w:val="28"/>
          <w:sz w:val="28"/>
          <w:szCs w:val="28"/>
          <w:rtl w:val="true"/>
          <w:lang w:bidi="ar-SA"/>
        </w:rPr>
        <w:t>القولَ به؛ ثمَّ نقَل الإجماعَ علىٰ ذلك</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صاحب الرِّياض قدس سره بعد ذكر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أجدُه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وجعلها بعضُ أكابر العصر قدس سره من القواعد المسلَّمة</w:t>
      </w:r>
      <w:r>
        <w:rPr>
          <w:rStyle w:val="FootnoteAnchor"/>
          <w:rtl w:val="true"/>
        </w:rPr>
        <w:footnoteReference w:id="474"/>
      </w:r>
      <w:r>
        <w:rPr>
          <w:rFonts w:ascii="Amiri" w:hAnsi="Amiri" w:eastAsia="Amiri" w:cs="Amiri"/>
          <w:color w:val="111111"/>
          <w:sz w:val="28"/>
          <w:sz w:val="28"/>
          <w:szCs w:val="28"/>
          <w:rtl w:val="true"/>
          <w:lang w:bidi="ar-SA"/>
        </w:rPr>
        <w:t>، كما عن المحقِّق البجنورديِّ قدس سره</w:t>
      </w:r>
      <w:r>
        <w:rPr>
          <w:rStyle w:val="FootnoteAnchor"/>
          <w:rtl w:val="true"/>
        </w:rPr>
        <w:footnoteReference w:id="4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العلَّامة الشَّيخ مهدي آل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قاعدة كون التَّلف في </w:t>
      </w:r>
      <w:bookmarkStart w:id="162" w:name="pg20339_220370"/>
    </w:p>
    <w:p>
      <w:pPr>
        <w:pStyle w:val="BookText"/>
        <w:rPr/>
      </w:pPr>
      <w:bookmarkEnd w:id="162"/>
      <w:r>
        <w:rPr>
          <w:rFonts w:ascii="Amiri" w:hAnsi="Amiri" w:eastAsia="Amiri" w:cs="Amiri"/>
          <w:color w:val="111111"/>
          <w:sz w:val="28"/>
          <w:sz w:val="28"/>
          <w:szCs w:val="28"/>
          <w:rtl w:val="true"/>
          <w:lang w:bidi="ar-SA"/>
        </w:rPr>
        <w:t>زمن الخيار ممَّن لاخيار له إجماعيَّةٌ‌، وقد نفىٰ الخلاف فيها بعضُ المتأخِّرين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979140_1280447820"/>
      <w:bookmarkStart w:id="164" w:name="_Toc59"/>
      <w:bookmarkEnd w:id="163"/>
      <w:r>
        <w:rPr>
          <w:rtl w:val="true"/>
        </w:rPr>
        <w:t>مدركُ القاعدة</w:t>
      </w:r>
      <w:bookmarkEnd w:id="164"/>
    </w:p>
    <w:p>
      <w:pPr>
        <w:pStyle w:val="Heading4"/>
        <w:numPr>
          <w:ilvl w:val="3"/>
          <w:numId w:val="1"/>
        </w:numPr>
        <w:rPr/>
      </w:pPr>
      <w:bookmarkStart w:id="165" w:name="__RefHeading___Toc11979142_1280447820"/>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وقد استدلَّ المشهورُ علىٰ ذلك بأمورٍ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979144_1280447820"/>
      <w:bookmarkStart w:id="168" w:name="_Toc61"/>
      <w:bookmarkEnd w:id="167"/>
      <w:r>
        <w:rPr>
          <w:rtl w:val="true"/>
        </w:rPr>
        <w:t>أوَّلًا</w:t>
      </w:r>
      <w:r>
        <w:rPr>
          <w:rtl w:val="true"/>
        </w:rPr>
        <w:t xml:space="preserve">: </w:t>
      </w:r>
      <w:r>
        <w:rPr>
          <w:rtl w:val="true"/>
        </w:rPr>
        <w:t>روايات الباب</w:t>
      </w:r>
      <w:bookmarkEnd w:id="1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فمنها طائفةُ رواياتٍ رواها الشَّيخ الحرُّ قدس سره في الباب الخامس من أبواب الخيارات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كلَّها ضعافٌ سندًا، إلَّاالثَّانيَة منها، والَّتي رواها الصَّدوق قدس سره</w:t>
      </w:r>
      <w:r>
        <w:rPr>
          <w:rStyle w:val="FootnoteAnchor"/>
          <w:rtl w:val="true"/>
        </w:rPr>
        <w:footnoteReference w:id="479"/>
      </w:r>
      <w:r>
        <w:rPr>
          <w:rFonts w:ascii="Amiri" w:hAnsi="Amiri" w:eastAsia="Amiri" w:cs="Amiri"/>
          <w:color w:val="111111"/>
          <w:sz w:val="28"/>
          <w:sz w:val="28"/>
          <w:szCs w:val="28"/>
          <w:rtl w:val="true"/>
          <w:lang w:bidi="ar-SA"/>
        </w:rPr>
        <w:t>، والكُلينيُّ قدس سره</w:t>
      </w:r>
      <w:r>
        <w:rPr>
          <w:rStyle w:val="FootnoteAnchor"/>
          <w:rtl w:val="true"/>
        </w:rPr>
        <w:footnoteReference w:id="480"/>
      </w:r>
      <w:r>
        <w:rPr>
          <w:rFonts w:ascii="Amiri" w:hAnsi="Amiri" w:eastAsia="Amiri" w:cs="Amiri"/>
          <w:color w:val="111111"/>
          <w:sz w:val="28"/>
          <w:sz w:val="28"/>
          <w:szCs w:val="28"/>
          <w:rtl w:val="true"/>
          <w:lang w:bidi="ar-SA"/>
        </w:rPr>
        <w:t>، والشَّيخ قدس سره</w:t>
      </w:r>
      <w:r>
        <w:rPr>
          <w:rStyle w:val="FootnoteAnchor"/>
          <w:rtl w:val="true"/>
        </w:rPr>
        <w:footnoteReference w:id="481"/>
      </w:r>
      <w:r>
        <w:rPr>
          <w:rFonts w:ascii="Amiri" w:hAnsi="Amiri" w:eastAsia="Amiri" w:cs="Amiri"/>
          <w:color w:val="111111"/>
          <w:sz w:val="28"/>
          <w:sz w:val="28"/>
          <w:szCs w:val="28"/>
          <w:rtl w:val="true"/>
          <w:lang w:bidi="ar-SA"/>
        </w:rPr>
        <w:t>وقد صحَّحها المقدَّس الأردبيليُّ قدس سره</w:t>
      </w:r>
      <w:r>
        <w:rPr>
          <w:rStyle w:val="FootnoteAnchor"/>
          <w:rtl w:val="true"/>
        </w:rPr>
        <w:footnoteReference w:id="482"/>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483"/>
      </w:r>
      <w:r>
        <w:rPr>
          <w:rFonts w:ascii="Amiri" w:hAnsi="Amiri" w:eastAsia="Amiri" w:cs="Amiri"/>
          <w:color w:val="111111"/>
          <w:sz w:val="28"/>
          <w:sz w:val="28"/>
          <w:szCs w:val="28"/>
          <w:rtl w:val="true"/>
          <w:lang w:bidi="ar-SA"/>
        </w:rPr>
        <w:t>، وصاحب الرِّياض قدس سره</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المجلسيُّ قدس سره فقد حسَّنها مرَّةً‌</w:t>
      </w:r>
      <w:r>
        <w:rPr>
          <w:rStyle w:val="FootnoteAnchor"/>
          <w:rtl w:val="true"/>
        </w:rPr>
        <w:footnoteReference w:id="485"/>
      </w:r>
      <w:r>
        <w:rPr>
          <w:rFonts w:ascii="Amiri" w:hAnsi="Amiri" w:eastAsia="Amiri" w:cs="Amiri"/>
          <w:color w:val="111111"/>
          <w:sz w:val="28"/>
          <w:sz w:val="28"/>
          <w:szCs w:val="28"/>
          <w:rtl w:val="true"/>
          <w:lang w:bidi="ar-SA"/>
        </w:rPr>
        <w:t>، وصحَّحها أخرىٰ‌</w:t>
      </w:r>
      <w:r>
        <w:rPr>
          <w:rStyle w:val="FootnoteAnchor"/>
          <w:rtl w:val="true"/>
        </w:rPr>
        <w:footnoteReference w:id="486"/>
      </w:r>
      <w:r>
        <w:rPr>
          <w:rFonts w:ascii="Amiri" w:hAnsi="Amiri" w:eastAsia="Amiri" w:cs="Amiri"/>
          <w:color w:val="111111"/>
          <w:sz w:val="28"/>
          <w:sz w:val="28"/>
          <w:szCs w:val="28"/>
          <w:rtl w:val="true"/>
          <w:lang w:bidi="ar-SA"/>
        </w:rPr>
        <w:t>، مع اتِّحاد السَّند في الكتابين</w:t>
      </w:r>
      <w:r>
        <w:rPr>
          <w:rFonts w:eastAsia="Amiri" w:cs="Amiri" w:ascii="Amiri" w:hAnsi="Amiri"/>
          <w:color w:val="111111"/>
          <w:sz w:val="28"/>
          <w:szCs w:val="28"/>
          <w:rtl w:val="true"/>
          <w:lang w:bidi="ar-SA"/>
        </w:rPr>
        <w:t xml:space="preserve">. </w:t>
      </w:r>
      <w:bookmarkStart w:id="169" w:name="pg20339_220371"/>
    </w:p>
    <w:p>
      <w:pPr>
        <w:pStyle w:val="BookText"/>
        <w:rPr/>
      </w:pPr>
      <w:bookmarkEnd w:id="169"/>
      <w:r>
        <w:rPr>
          <w:rFonts w:ascii="Amiri" w:hAnsi="Amiri" w:eastAsia="Amiri" w:cs="Amiri"/>
          <w:color w:val="111111"/>
          <w:sz w:val="28"/>
          <w:sz w:val="28"/>
          <w:szCs w:val="28"/>
          <w:rtl w:val="true"/>
          <w:lang w:bidi="ar-SA"/>
        </w:rPr>
        <w:t>وفي نفس الرِّواية ما يدلُّ علىٰ أنَّ المَبيع كان أمانةً عند الَّذي انتَقَل إليه ولم ينعقد البيعُ بعدُ</w:t>
      </w:r>
      <w:r>
        <w:rPr>
          <w:rStyle w:val="FootnoteAnchor"/>
          <w:rtl w:val="true"/>
        </w:rPr>
        <w:footnoteReference w:id="487"/>
      </w:r>
      <w:r>
        <w:rPr>
          <w:rFonts w:ascii="Amiri" w:hAnsi="Amiri" w:eastAsia="Amiri" w:cs="Amiri"/>
          <w:color w:val="111111"/>
          <w:sz w:val="28"/>
          <w:sz w:val="28"/>
          <w:szCs w:val="28"/>
          <w:rtl w:val="true"/>
          <w:lang w:bidi="ar-SA"/>
        </w:rPr>
        <w:t>وهو مضمون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لاضِمان علىٰ البائع حتَّى ينقضي الشَّرط ويصير المبيعُ للمشتري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القاعدةُ لاتدلُّ عليه شيءٌ من الرِّوايات؛ خلافًا لبعضهم، كالمحقِّق البجنورديِّ قدس سره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1979146_1280447820"/>
      <w:bookmarkStart w:id="171" w:name="_Toc62"/>
      <w:bookmarkEnd w:id="170"/>
      <w:r>
        <w:rPr>
          <w:rtl w:val="true"/>
        </w:rPr>
        <w:t>ثانيًا</w:t>
      </w:r>
      <w:r>
        <w:rPr>
          <w:rtl w:val="true"/>
        </w:rPr>
        <w:t xml:space="preserve">: </w:t>
      </w:r>
      <w:r>
        <w:rPr>
          <w:rtl w:val="true"/>
        </w:rPr>
        <w:t>الإجماع</w:t>
      </w:r>
      <w:bookmarkEnd w:id="17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وهو مخدوشٌ كبرويًّا وصغرويًّا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الُمجمِعين استدلُّوا جميعًا برواياتٍ لايمكن الاِعتماد عليها؛</w:t>
      </w:r>
    </w:p>
    <w:p>
      <w:pPr>
        <w:pStyle w:val="BookText"/>
        <w:rPr/>
      </w:pPr>
      <w:r>
        <w:rPr>
          <w:rFonts w:ascii="Amiri" w:hAnsi="Amiri" w:eastAsia="Amiri" w:cs="Amiri"/>
          <w:color w:val="111111"/>
          <w:sz w:val="28"/>
          <w:sz w:val="28"/>
          <w:szCs w:val="28"/>
          <w:rtl w:val="true"/>
          <w:lang w:bidi="ar-SA"/>
        </w:rPr>
        <w:t>إمَّا من جهة ضعف السَّند؛</w:t>
      </w:r>
    </w:p>
    <w:p>
      <w:pPr>
        <w:pStyle w:val="BookText"/>
        <w:rPr/>
      </w:pPr>
      <w:r>
        <w:rPr>
          <w:rFonts w:ascii="Amiri" w:hAnsi="Amiri" w:eastAsia="Amiri" w:cs="Amiri"/>
          <w:color w:val="111111"/>
          <w:sz w:val="28"/>
          <w:sz w:val="28"/>
          <w:szCs w:val="28"/>
          <w:rtl w:val="true"/>
          <w:lang w:bidi="ar-SA"/>
        </w:rPr>
        <w:t>وإمَّا من جهة قصور الدِّلالة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ثبوت الإجماع هيهنا محلُّ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ثبوت الشُّهرة في المقام، ولكن ثبوتُ الإجماع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تعرُّض كثيرٍ من </w:t>
      </w:r>
      <w:bookmarkStart w:id="172" w:name="pg20339_220372"/>
    </w:p>
    <w:p>
      <w:pPr>
        <w:pStyle w:val="BookText"/>
        <w:rPr/>
      </w:pPr>
      <w:bookmarkEnd w:id="172"/>
      <w:r>
        <w:rPr>
          <w:rFonts w:ascii="Amiri" w:hAnsi="Amiri" w:eastAsia="Amiri" w:cs="Amiri"/>
          <w:color w:val="111111"/>
          <w:sz w:val="28"/>
          <w:sz w:val="28"/>
          <w:szCs w:val="28"/>
          <w:rtl w:val="true"/>
          <w:lang w:bidi="ar-SA"/>
        </w:rPr>
        <w:t xml:space="preserve">الأصحاب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979148_1280447820"/>
      <w:bookmarkStart w:id="174" w:name="_Toc63"/>
      <w:bookmarkEnd w:id="173"/>
      <w:r>
        <w:rPr>
          <w:rtl w:val="true"/>
        </w:rPr>
        <w:t>ثالثًا</w:t>
      </w:r>
      <w:r>
        <w:rPr>
          <w:rtl w:val="true"/>
        </w:rPr>
        <w:t xml:space="preserve">: </w:t>
      </w:r>
      <w:r>
        <w:rPr>
          <w:rtl w:val="true"/>
        </w:rPr>
        <w:t>الأدلَّة الاِصطياديَّة</w:t>
      </w:r>
      <w:bookmarkEnd w:id="174"/>
    </w:p>
    <w:p>
      <w:pPr>
        <w:pStyle w:val="BookText"/>
        <w:rPr/>
      </w:pPr>
      <w:r>
        <w:rPr>
          <w:rFonts w:ascii="Amiri" w:hAnsi="Amiri" w:eastAsia="Amiri" w:cs="Amiri"/>
          <w:color w:val="111111"/>
          <w:sz w:val="28"/>
          <w:sz w:val="28"/>
          <w:szCs w:val="28"/>
          <w:rtl w:val="true"/>
          <w:lang w:bidi="ar-SA"/>
        </w:rPr>
        <w:t>ومنها بعضُ ما استفادوه واصطادوه من قواعد فقهيَّةٍ أُخرىٰ‌؛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ما دام الخيارُ ثابتٌ فيها فهي متزلزلةٌ‌، فإذا تلف المبيع في زمن تزلزل البيع فَلِذِي الخيار الفسخُ‌؛</w:t>
      </w:r>
    </w:p>
    <w:p>
      <w:pPr>
        <w:pStyle w:val="BookText"/>
        <w:rPr/>
      </w:pPr>
      <w:r>
        <w:rPr>
          <w:rFonts w:ascii="Amiri" w:hAnsi="Amiri" w:eastAsia="Amiri" w:cs="Amiri"/>
          <w:color w:val="111111"/>
          <w:sz w:val="28"/>
          <w:sz w:val="28"/>
          <w:szCs w:val="28"/>
          <w:rtl w:val="true"/>
          <w:lang w:bidi="ar-SA"/>
        </w:rPr>
        <w:t>فإذن يثبت التَّالف في مال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في العقد المتزلزل بمنزلةِ الفسخ</w:t>
      </w:r>
      <w:r>
        <w:rPr>
          <w:rStyle w:val="FootnoteAnchor"/>
          <w:rtl w:val="true"/>
        </w:rPr>
        <w:footnoteReference w:id="491"/>
      </w:r>
      <w:r>
        <w:rPr>
          <w:rFonts w:ascii="Amiri" w:hAnsi="Amiri" w:eastAsia="Amiri" w:cs="Amiri"/>
          <w:color w:val="111111"/>
          <w:sz w:val="28"/>
          <w:sz w:val="28"/>
          <w:szCs w:val="28"/>
          <w:rtl w:val="true"/>
          <w:lang w:bidi="ar-SA"/>
        </w:rPr>
        <w:t>، فإذا فُسِخت المعاملةُ فالتَّالف يرجع إلى مَن لاخيار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محضُ ادِّعاءٍ لا دليل عليه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الدَّليل يدلُّ علىٰ أنَّ المالَ والمُثمَن في زمن ثبوت الخيار ينتقل إلى المشتري، والَّثمنَ إلى البائع، ويجوز لهما أن يتصرَّفا فيهما كما يشاءان؛</w:t>
      </w:r>
    </w:p>
    <w:p>
      <w:pPr>
        <w:pStyle w:val="BookText"/>
        <w:rPr/>
      </w:pPr>
      <w:r>
        <w:rPr>
          <w:rFonts w:ascii="Amiri" w:hAnsi="Amiri" w:eastAsia="Amiri" w:cs="Amiri"/>
          <w:color w:val="111111"/>
          <w:sz w:val="28"/>
          <w:sz w:val="28"/>
          <w:szCs w:val="28"/>
          <w:rtl w:val="true"/>
          <w:lang w:bidi="ar-SA"/>
        </w:rPr>
        <w:t>فإذن التَّلفُ من ملك المالك، لا مِن ملك مَن لاخيار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بثبوت التَّلف في ماله خلافُ المعامَلات العُرفيَّة، فيحتاج إلى دليلٍ محكمٍ يردَعُ عن المعاملات والمحاولات العُرفيَّة؛ وأمثال هذه الاِستحسانات العُرفيَّة ليس لها أن تردَعَ عن العرف وما يثبت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بانفساخ العقد آنًا مَّا قبل التَّلف؛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لايبعد الذِّهاب إليه ثبوتًا، أمَّا كونه دليلًا علىٰ مقام الإثبات فدونه خرطُ القتاد</w:t>
      </w:r>
      <w:r>
        <w:rPr>
          <w:rFonts w:eastAsia="Amiri" w:cs="Amiri" w:ascii="Amiri" w:hAnsi="Amiri"/>
          <w:color w:val="111111"/>
          <w:sz w:val="28"/>
          <w:szCs w:val="28"/>
          <w:rtl w:val="true"/>
          <w:lang w:bidi="ar-SA"/>
        </w:rPr>
        <w:t xml:space="preserve">!. </w:t>
      </w:r>
      <w:bookmarkStart w:id="175" w:name="pg20339_220373"/>
    </w:p>
    <w:p>
      <w:pPr>
        <w:pStyle w:val="BookText"/>
        <w:rPr/>
      </w:pPr>
      <w:bookmarkEnd w:id="175"/>
      <w:r>
        <w:rPr>
          <w:rFonts w:ascii="Amiri" w:hAnsi="Amiri" w:eastAsia="Amiri" w:cs="Amiri"/>
          <w:color w:val="111111"/>
          <w:sz w:val="28"/>
          <w:sz w:val="28"/>
          <w:szCs w:val="28"/>
          <w:rtl w:val="true"/>
          <w:lang w:bidi="ar-SA"/>
        </w:rPr>
        <w:t>فتلخَّص ممَّا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هذه القاعدة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إجماعٌ أو ثبتت شهرةٌ كاشفةٌ عن قول المعصوم عليه السلام في المقام، ولاأقلَّ من ثبوت نصٍّ معتبرٍ فيه كان عند المتقدِّمين من الأصحاب ولم يصل إلينا، فهو؛</w:t>
      </w:r>
    </w:p>
    <w:p>
      <w:pPr>
        <w:pStyle w:val="BookText"/>
        <w:rPr/>
      </w:pPr>
      <w:r>
        <w:rPr>
          <w:rFonts w:ascii="Amiri" w:hAnsi="Amiri" w:eastAsia="Amiri" w:cs="Amiri"/>
          <w:color w:val="111111"/>
          <w:sz w:val="28"/>
          <w:sz w:val="28"/>
          <w:szCs w:val="28"/>
          <w:rtl w:val="true"/>
          <w:lang w:bidi="ar-SA"/>
        </w:rPr>
        <w:t>لكن إثبات ذلك محلُّ تأمُّلٍ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دليل علىٰ القاعدة مطلقًا يُثبِتها ويدلُّ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نُكَتٌ نأتي بها في تنبيهاتٍ‌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979150_1280447820"/>
      <w:bookmarkStart w:id="177" w:name="_Toc64"/>
      <w:bookmarkEnd w:id="176"/>
      <w:r>
        <w:rPr>
          <w:rtl w:val="true"/>
        </w:rPr>
        <w:t>تنبيهاتٌ‌</w:t>
      </w:r>
      <w:r>
        <w:rPr>
          <w:rtl w:val="true"/>
        </w:rPr>
        <w:t>:</w:t>
      </w:r>
      <w:bookmarkEnd w:id="177"/>
    </w:p>
    <w:p>
      <w:pPr>
        <w:pStyle w:val="Heading4"/>
        <w:numPr>
          <w:ilvl w:val="3"/>
          <w:numId w:val="1"/>
        </w:numPr>
        <w:rPr/>
      </w:pPr>
      <w:bookmarkStart w:id="178" w:name="__RefHeading___Toc11979152_1280447820"/>
      <w:bookmarkStart w:id="179" w:name="_Toc65"/>
      <w:bookmarkEnd w:id="178"/>
      <w:r>
        <w:rPr>
          <w:rtl w:val="true"/>
        </w:rPr>
        <w:t>التَّنبيه الأوَّل</w:t>
      </w:r>
      <w:r>
        <w:rPr>
          <w:rtl w:val="true"/>
        </w:rPr>
        <w:t>:</w:t>
      </w:r>
      <w:bookmarkEnd w:id="179"/>
    </w:p>
    <w:p>
      <w:pPr>
        <w:pStyle w:val="BookText"/>
        <w:rPr/>
      </w:pPr>
      <w:r>
        <w:rPr>
          <w:rFonts w:ascii="Amiri" w:hAnsi="Amiri" w:eastAsia="Amiri" w:cs="Amiri"/>
          <w:color w:val="111111"/>
          <w:sz w:val="28"/>
          <w:sz w:val="28"/>
          <w:szCs w:val="28"/>
          <w:rtl w:val="true"/>
          <w:lang w:bidi="ar-SA"/>
        </w:rPr>
        <w:t>هل القاعدة تختصُّ بخِيارَي الحيوان والشَّرط؟، أو تعمُّ جميعَ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الأصحاب الشُّمولُ‌، خلافًا لشرذمةٍ منهم</w:t>
      </w:r>
      <w:r>
        <w:rPr>
          <w:rStyle w:val="FootnoteAnchor"/>
          <w:rtl w:val="true"/>
        </w:rPr>
        <w:footnoteReference w:id="492"/>
      </w:r>
      <w:r>
        <w:rPr>
          <w:rFonts w:ascii="Amiri" w:hAnsi="Amiri" w:eastAsia="Amiri" w:cs="Amiri"/>
          <w:color w:val="111111"/>
          <w:sz w:val="28"/>
          <w:sz w:val="28"/>
          <w:szCs w:val="28"/>
          <w:rtl w:val="true"/>
          <w:lang w:bidi="ar-SA"/>
        </w:rPr>
        <w:t>وهذا يظهر ممَّا عنونوا به القاعدةَ‌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في زمن الخيار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يُشيران إلى عموم القاعدة عندهم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عدَّةٍ من نصوصهم، كنصٍّ لابن سعيدٍ الحلِّي قدس سره</w:t>
      </w:r>
      <w:r>
        <w:rPr>
          <w:rStyle w:val="FootnoteAnchor"/>
          <w:rtl w:val="true"/>
        </w:rPr>
        <w:footnoteReference w:id="494"/>
      </w:r>
      <w:r>
        <w:rPr>
          <w:rFonts w:ascii="Amiri" w:hAnsi="Amiri" w:eastAsia="Amiri" w:cs="Amiri"/>
          <w:color w:val="111111"/>
          <w:sz w:val="28"/>
          <w:sz w:val="28"/>
          <w:szCs w:val="28"/>
          <w:rtl w:val="true"/>
          <w:lang w:bidi="ar-SA"/>
        </w:rPr>
        <w:t>، وقول صاحب الجواهر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تلف المبيع في زمان الخيار ممَّن لاخيار له بعد تنزيله علىٰ خيار </w:t>
      </w:r>
    </w:p>
    <w:p>
      <w:pPr>
        <w:pStyle w:val="BookText"/>
        <w:rPr/>
      </w:pPr>
      <w:r>
        <w:rPr>
          <w:rFonts w:ascii="Amiri" w:hAnsi="Amiri" w:eastAsia="Amiri" w:cs="Amiri"/>
          <w:color w:val="111111"/>
          <w:sz w:val="28"/>
          <w:sz w:val="28"/>
          <w:szCs w:val="28"/>
          <w:rtl w:val="true"/>
          <w:lang w:bidi="ar-SA"/>
        </w:rPr>
        <w:t>الشَّرط والحَيَوان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لايخالف المشهور، إذ ليس المراد من التَّنزيل هيهنا الاختصاص؛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الشَّيخ مهدي آل كاشف الغطاء النَّجفي قدس سره بعد ذكر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ناقش بعض المتأخِّرين في عموم هذه القاعدة وجعلها خاصَّةً بخيار الشَّرط والحيوان، دون غيرهما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وهذا الرَّأي قليل القائل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دليلُ القاعدة ومدركُها هو الشُّهرة، فلابأس بالقول بعمومها في جميع الخيارات؛</w:t>
      </w:r>
    </w:p>
    <w:p>
      <w:pPr>
        <w:pStyle w:val="BookText"/>
        <w:rPr/>
      </w:pPr>
      <w:r>
        <w:rPr>
          <w:rFonts w:ascii="Amiri" w:hAnsi="Amiri" w:eastAsia="Amiri" w:cs="Amiri"/>
          <w:color w:val="111111"/>
          <w:sz w:val="28"/>
          <w:sz w:val="28"/>
          <w:szCs w:val="28"/>
          <w:rtl w:val="true"/>
          <w:lang w:bidi="ar-SA"/>
        </w:rPr>
        <w:t xml:space="preserve">أمَّا لوكان المدرَكُ هو رواياتٌ تمسَّكوا بها، فالمذكور فيها هو خيارَي الحيوان والشَّرط؛ ومن الممكن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تنقيح المناط،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فيها لاخصوصيَّة له، فلنا أن نتعدِّي عنه إلى غيره من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تعبُّديَّةٌ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للمعامَلات العرفيَّة</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إذن من الاِكتفاء بما ورد في الرِّوايات فقط؛</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فلايمكن إذن الَّتمسُّك بتنقيح المناط للتَّعدِّي عن المورد إلى غيرها من الموارد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80" w:name="pg20339_220375"/>
    </w:p>
    <w:p>
      <w:pPr>
        <w:pStyle w:val="Heading4"/>
        <w:numPr>
          <w:ilvl w:val="3"/>
          <w:numId w:val="1"/>
        </w:numPr>
        <w:rPr/>
      </w:pPr>
      <w:bookmarkStart w:id="181" w:name="__RefHeading___Toc11979154_1280447820"/>
      <w:bookmarkStart w:id="182" w:name="_Toc66"/>
      <w:bookmarkEnd w:id="180"/>
      <w:bookmarkEnd w:id="181"/>
      <w:r>
        <w:rPr>
          <w:rtl w:val="true"/>
        </w:rPr>
        <w:t>التَّنبيه الثَّاني</w:t>
      </w:r>
      <w:r>
        <w:rPr>
          <w:rtl w:val="true"/>
        </w:rPr>
        <w:t>:</w:t>
      </w:r>
      <w:bookmarkEnd w:id="182"/>
    </w:p>
    <w:p>
      <w:pPr>
        <w:pStyle w:val="BookText"/>
        <w:rPr/>
      </w:pPr>
      <w:r>
        <w:rPr>
          <w:rFonts w:ascii="Amiri" w:hAnsi="Amiri" w:eastAsia="Amiri" w:cs="Amiri"/>
          <w:color w:val="111111"/>
          <w:sz w:val="28"/>
          <w:sz w:val="28"/>
          <w:szCs w:val="28"/>
          <w:rtl w:val="true"/>
          <w:lang w:bidi="ar-SA"/>
        </w:rPr>
        <w:t>هل القاعدةُ تختصُّ بالبائع‌؟ أو تشمل المشتري أيضًا؟؛ بحيث إنَّه إذا اشترط البائعُ شرطًا فكان البيعُ في زمن ثبوت الخيار له، فتلف المالُ فهو من مال المشتري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باختصاص القاعدة بالبائع نادرٌ بين الأصحاب، والأشهر هو القول بالتَّعميم؛ كما يُستفادُ ذلك من كلمات المحقِّق الثَّاني قدس سره</w:t>
      </w:r>
      <w:r>
        <w:rPr>
          <w:rStyle w:val="FootnoteAnchor"/>
          <w:rtl w:val="true"/>
        </w:rPr>
        <w:footnoteReference w:id="499"/>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500"/>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ولذلك قال الشَّيخ الأعظم قدس سره بعد نقل طائفةٍ من كلمات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هذه الكلمات عدمُ الفرق بين أقسام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ولابين الخيار المختصِّ بالبائع والمختصِّ بالمشتري</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المقام ما أشرنا إليه آنفًا من أنَّ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الاِختصاص، لكن علىٰ القول بعدم إمكان التَّنقيح فلاسبيل إلَّاإلى الإكتفاء بموردٍ ورد في روايات الباب؛ لكونها تعبُّديَّةً صرفةً‌؛ </w:t>
      </w:r>
      <w:bookmarkStart w:id="183" w:name="pg20339_220376"/>
    </w:p>
    <w:p>
      <w:pPr>
        <w:pStyle w:val="BookText"/>
        <w:rPr/>
      </w:pPr>
      <w:bookmarkEnd w:id="183"/>
      <w:r>
        <w:rPr>
          <w:rFonts w:ascii="Amiri" w:hAnsi="Amiri" w:eastAsia="Amiri" w:cs="Amiri"/>
          <w:color w:val="111111"/>
          <w:sz w:val="28"/>
          <w:sz w:val="28"/>
          <w:szCs w:val="28"/>
          <w:rtl w:val="true"/>
          <w:lang w:bidi="ar-SA"/>
        </w:rPr>
        <w:t>فلايمكن التَّعدِّي عن مورد الرِّوايات إلى غيرها من الموارد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979156_1280447820"/>
      <w:bookmarkStart w:id="185" w:name="_Toc67"/>
      <w:bookmarkEnd w:id="184"/>
      <w:r>
        <w:rPr>
          <w:rtl w:val="true"/>
        </w:rPr>
        <w:t>التَّنبيه الثَّالث</w:t>
      </w:r>
      <w:r>
        <w:rPr>
          <w:rtl w:val="true"/>
        </w:rPr>
        <w:t>:</w:t>
      </w:r>
      <w:bookmarkEnd w:id="185"/>
    </w:p>
    <w:p>
      <w:pPr>
        <w:pStyle w:val="BookText"/>
        <w:rPr/>
      </w:pPr>
      <w:r>
        <w:rPr>
          <w:rFonts w:ascii="Amiri" w:hAnsi="Amiri" w:eastAsia="Amiri" w:cs="Amiri"/>
          <w:color w:val="111111"/>
          <w:sz w:val="28"/>
          <w:sz w:val="28"/>
          <w:szCs w:val="28"/>
          <w:rtl w:val="true"/>
          <w:lang w:bidi="ar-SA"/>
        </w:rPr>
        <w:t>هل القاعدة تختصُّ بالموارد الشَّخصيَّة‌؟، دون الموارد الكلِّيَّة‌؟؛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اشترىٰ شيئًا بأوصافٍ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مِن الحنطة الموصوفة، أو حيَوانٍ بأوصافٍ مذكورةٍ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فتلف الكلِّيُّ من الحِنطة الموصوفة أو الحيوان الموصوف بالأوصاف المذكورة في يد البائع، فيجب عليه تحويلُ المصداق لوأمكن له، وإلَّا فيرجع المشتري بالمُثمَن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ظهَرَ أنَّ المعاملة أجنبيَّةٌ عن القاعدة ولايشمُّ منها كونها من مصاديق القاعدة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القول في المقام؛ وانظر عنه إلى ما ذكره ثاني الشَّهيدين قدس سرهما في روضته</w:t>
      </w:r>
      <w:r>
        <w:rPr>
          <w:rStyle w:val="FootnoteAnchor"/>
          <w:rtl w:val="true"/>
        </w:rPr>
        <w:footnoteReference w:id="503"/>
      </w:r>
      <w:r>
        <w:rPr>
          <w:rFonts w:ascii="Amiri" w:hAnsi="Amiri" w:eastAsia="Amiri" w:cs="Amiri"/>
          <w:color w:val="111111"/>
          <w:sz w:val="28"/>
          <w:sz w:val="28"/>
          <w:szCs w:val="28"/>
          <w:rtl w:val="true"/>
          <w:lang w:bidi="ar-SA"/>
        </w:rPr>
        <w:t>، ومسالكه</w:t>
      </w:r>
      <w:r>
        <w:rPr>
          <w:rStyle w:val="FootnoteAnchor"/>
          <w:rtl w:val="true"/>
        </w:rPr>
        <w:footnoteReference w:id="504"/>
      </w:r>
      <w:r>
        <w:rPr>
          <w:rFonts w:ascii="Amiri" w:hAnsi="Amiri" w:eastAsia="Amiri" w:cs="Amiri"/>
          <w:color w:val="111111"/>
          <w:sz w:val="28"/>
          <w:sz w:val="28"/>
          <w:szCs w:val="28"/>
          <w:rtl w:val="true"/>
          <w:lang w:bidi="ar-SA"/>
        </w:rPr>
        <w:t>، والطَّباطبائيُّ قدس سره</w:t>
      </w:r>
      <w:r>
        <w:rPr>
          <w:rStyle w:val="FootnoteAnchor"/>
          <w:rtl w:val="true"/>
        </w:rPr>
        <w:footnoteReference w:id="505"/>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50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1979158_1280447820"/>
      <w:bookmarkStart w:id="187" w:name="_Toc68"/>
      <w:bookmarkEnd w:id="186"/>
      <w:r>
        <w:rPr>
          <w:rtl w:val="true"/>
        </w:rPr>
        <w:t>التَّنبيه الرَّابع</w:t>
      </w:r>
      <w:r>
        <w:rPr>
          <w:rtl w:val="true"/>
        </w:rPr>
        <w:t>:</w:t>
      </w:r>
      <w:bookmarkEnd w:id="187"/>
    </w:p>
    <w:p>
      <w:pPr>
        <w:pStyle w:val="BookText"/>
        <w:rPr/>
      </w:pPr>
      <w:r>
        <w:rPr>
          <w:rFonts w:ascii="Amiri" w:hAnsi="Amiri" w:eastAsia="Amiri" w:cs="Amiri"/>
          <w:color w:val="111111"/>
          <w:sz w:val="28"/>
          <w:sz w:val="28"/>
          <w:szCs w:val="28"/>
          <w:rtl w:val="true"/>
          <w:lang w:bidi="ar-SA"/>
        </w:rPr>
        <w:t>هل الضَّامن يضمن بالمُسمّىٰ في هذه القاعدة‌؟ أو يضمن بالضَّمان الواقعيِّ‌</w:t>
      </w:r>
      <w:r>
        <w:rPr>
          <w:rStyle w:val="FootnoteAnchor"/>
          <w:rtl w:val="true"/>
        </w:rPr>
        <w:footnoteReference w:id="5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bookmarkStart w:id="188" w:name="pg20339_220377"/>
    </w:p>
    <w:p>
      <w:pPr>
        <w:pStyle w:val="BookText"/>
        <w:rPr/>
      </w:pPr>
      <w:bookmarkEnd w:id="188"/>
      <w:r>
        <w:rPr>
          <w:rFonts w:ascii="Amiri" w:hAnsi="Amiri" w:eastAsia="Amiri" w:cs="Amiri"/>
          <w:color w:val="111111"/>
          <w:sz w:val="28"/>
          <w:sz w:val="28"/>
          <w:szCs w:val="28"/>
          <w:rtl w:val="true"/>
          <w:lang w:bidi="ar-SA"/>
        </w:rPr>
        <w:t>والأقوىٰ كون الضَّمان هو الضَّمان الواقعيُّ‌؛ بمعنىٰ أنَّ العقلاء يرون في باب تلف الضَّمان أنَّ التَّلفَ صار في ذمَّة المُتلف، أمَّا إذا لم يقدر الضَّامن علىٰ أداء العين فصار غير مقدورٍ له فيرون انتقال الضَّمان إلى المِثل في المِثليَّات، وإلَّا فيرون انتقاله إلى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دعوىً صحيحةٌ بحسب العُرف لا 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القيمةَ ترجع إلى يوم الأداء، لا 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لايحتاج إلى مزيد بيانٍ‌</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979160_1280447820"/>
      <w:bookmarkStart w:id="190" w:name="_Toc69"/>
      <w:bookmarkEnd w:id="189"/>
      <w:r>
        <w:rPr>
          <w:rtl w:val="true"/>
        </w:rPr>
        <w:t>أمثلةٌ لاستعمال القاعدة في الفقه</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المحقِّق الأردبيليُّ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رواه الشَّيخ الحرُّ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قول السَّائل وجواب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فعلَّقَ عليه الوحيد الفريدُ البهبهانيُّ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الدِّلالة ظاهرٌ، سيَّما بملاحظة ما سيجيء من أنَّ التَّلف ممَّن لاخيار 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بعد قبضه وقبل انقضاء خيار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الفقيه الطَّباطبائيُّ قدس سره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البائع إذا لم يكن له خيارٌ، فإنَّ التَّلَف زمن الخيار ممَّن لا خيار له، بلاخلافٍ‌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الميرزا الرَّشتي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كون تلف المبيع علىٰ المشتري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تلفُه علىٰ المشتري بقاعدة أنَّ التَّلف في زمن الخيار ممَّن لا خيار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0339_220380"/>
      <w:bookmarkStart w:id="192" w:name="pg20339_220380"/>
      <w:bookmarkEnd w:id="192"/>
    </w:p>
    <w:p>
      <w:pPr>
        <w:pStyle w:val="Heading2"/>
        <w:numPr>
          <w:ilvl w:val="1"/>
          <w:numId w:val="1"/>
        </w:numPr>
        <w:rPr/>
      </w:pPr>
      <w:bookmarkStart w:id="193" w:name="pg20339_220380"/>
      <w:bookmarkStart w:id="194" w:name="__RefHeading___Toc11979162_1280447820"/>
      <w:bookmarkStart w:id="195" w:name="_Toc70"/>
      <w:bookmarkEnd w:id="193"/>
      <w:bookmarkEnd w:id="194"/>
      <w:r>
        <w:rPr>
          <w:rtl w:val="true"/>
        </w:rPr>
        <w:t>[</w:t>
      </w:r>
      <w:r>
        <w:rPr/>
        <w:t>49</w:t>
      </w:r>
      <w:r>
        <w:rPr>
          <w:rtl w:val="true"/>
        </w:rPr>
        <w:t xml:space="preserve">:] </w:t>
      </w:r>
      <w:r>
        <w:rPr>
          <w:rtl w:val="true"/>
        </w:rPr>
        <w:t>قاعدة كلُّ مدَّعٍ يُسمَعُ قولُه بلابيِّنةٍ فعليه الحلفُ‌</w:t>
      </w:r>
      <w:bookmarkEnd w:id="195"/>
    </w:p>
    <w:p>
      <w:pPr>
        <w:pStyle w:val="Heading3"/>
        <w:numPr>
          <w:ilvl w:val="2"/>
          <w:numId w:val="1"/>
        </w:numPr>
        <w:rPr/>
      </w:pPr>
      <w:bookmarkStart w:id="196" w:name="__RefHeading___Toc11979164_1280447820"/>
      <w:bookmarkStart w:id="197" w:name="_Toc71"/>
      <w:bookmarkEnd w:id="196"/>
      <w:r>
        <w:rPr>
          <w:rtl w:val="true"/>
        </w:rPr>
        <w:t>عناوين أُخرىٰ للقاعدة</w:t>
      </w:r>
      <w:bookmarkEnd w:id="197"/>
    </w:p>
    <w:p>
      <w:pPr>
        <w:pStyle w:val="BookText"/>
        <w:rPr/>
      </w:pPr>
      <w:r>
        <w:rPr>
          <w:rFonts w:ascii="Amiri" w:hAnsi="Amiri" w:eastAsia="Amiri" w:cs="Amiri"/>
          <w:color w:val="111111"/>
          <w:sz w:val="28"/>
          <w:sz w:val="28"/>
          <w:szCs w:val="28"/>
          <w:rtl w:val="true"/>
          <w:lang w:bidi="ar-SA"/>
        </w:rPr>
        <w:t>من لم تكن له بيِّنةٌ فيُردُّ عليه اليمين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اختلفا فالقول قولُ المنكِر مع يمينه وعدم البيِّنة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ادَّعىٰ علىٰ غيره سُمِعت دعواه وطُولِب باليمين مع عدم البيِّنة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يُقبَل قولُ المنكِر مع يمينه لامطلقًا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198" w:name="pg20339_220381"/>
    </w:p>
    <w:p>
      <w:pPr>
        <w:pStyle w:val="BookText"/>
        <w:rPr/>
      </w:pPr>
      <w:bookmarkEnd w:id="198"/>
      <w:r>
        <w:rPr>
          <w:rFonts w:ascii="Amiri" w:hAnsi="Amiri" w:eastAsia="Amiri" w:cs="Amiri"/>
          <w:color w:val="111111"/>
          <w:sz w:val="28"/>
          <w:sz w:val="28"/>
          <w:szCs w:val="28"/>
          <w:rtl w:val="true"/>
          <w:lang w:bidi="ar-SA"/>
        </w:rPr>
        <w:t>كلُّ من يُسمَع قوله فعليه اليمينُ‌، مدَّعيًا كان أو منكِرًا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لايُقبَل قولُ مدَّعٍ فيما يُقبَل إلَّاباليمين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مدعٍ يُسمَع قولُه فعليه الحَلفُ‌</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يُقدَّم قولُه عليه اليمين للآخر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1979166_1280447820"/>
      <w:bookmarkStart w:id="200" w:name="_Toc72"/>
      <w:bookmarkEnd w:id="199"/>
      <w:r>
        <w:rPr>
          <w:rtl w:val="true"/>
        </w:rPr>
        <w:t>توضيح مفاد القاعدة</w:t>
      </w:r>
      <w:bookmarkEnd w:id="2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القاعدة أنَّ كلَّ من يُعامَل مع قوله معاملة الحجَّة فلايُطلَب بها بعد القول، فعليه انضمامُه بالحلف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الودعيَّ يُسمَع قولُه ولاتُطلَب منه الحجَّة له لوتنازع مع المودِّع في تلف المال وإتلافه ولم يكن مع المودِّع بيِّنةٌ علىٰ الإتلاف، فإذن علىٰ الودعيِّ الحلفُ لفصل القضاء؛ كما عن المحقِّق المراغيِّ قدس سره</w:t>
      </w:r>
      <w:r>
        <w:rPr>
          <w:rStyle w:val="FootnoteAnchor"/>
          <w:rtl w:val="true"/>
        </w:rPr>
        <w:footnoteReference w:id="517"/>
      </w:r>
      <w:r>
        <w:rPr>
          <w:rFonts w:ascii="IRNazanin" w:hAnsi="IRNazanin" w:eastAsia="IRNazanin"/>
          <w:color w:val="111111"/>
          <w:sz w:val="28"/>
          <w:sz w:val="28"/>
          <w:szCs w:val="28"/>
          <w:rtl w:val="true"/>
          <w:lang w:bidi="fa-IR"/>
        </w:rPr>
        <w:t xml:space="preserve">، </w:t>
      </w:r>
      <w:bookmarkStart w:id="201" w:name="pg20339_220382"/>
    </w:p>
    <w:p>
      <w:pPr>
        <w:pStyle w:val="BookText"/>
        <w:rPr/>
      </w:pPr>
      <w:bookmarkEnd w:id="201"/>
      <w:r>
        <w:rPr>
          <w:rFonts w:ascii="Amiri" w:hAnsi="Amiri" w:eastAsia="Amiri" w:cs="Amiri"/>
          <w:color w:val="111111"/>
          <w:sz w:val="28"/>
          <w:sz w:val="28"/>
          <w:szCs w:val="28"/>
          <w:rtl w:val="true"/>
          <w:lang w:bidi="ar-SA"/>
        </w:rPr>
        <w:t>والبجنورديِّ قدس سره</w:t>
      </w:r>
      <w:r>
        <w:rPr>
          <w:rStyle w:val="FootnoteAnchor"/>
          <w:rtl w:val="true"/>
        </w:rPr>
        <w:footnoteReference w:id="518"/>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979168_1280447820"/>
      <w:bookmarkStart w:id="203" w:name="_Toc73"/>
      <w:bookmarkEnd w:id="202"/>
      <w:r>
        <w:rPr>
          <w:rtl w:val="true"/>
        </w:rPr>
        <w:t>مدركُ القاعدة</w:t>
      </w:r>
      <w:bookmarkEnd w:id="203"/>
    </w:p>
    <w:p>
      <w:pPr>
        <w:pStyle w:val="Heading4"/>
        <w:numPr>
          <w:ilvl w:val="3"/>
          <w:numId w:val="1"/>
        </w:numPr>
        <w:rPr/>
      </w:pPr>
      <w:bookmarkStart w:id="204" w:name="__RefHeading___Toc11979170_1280447820"/>
      <w:bookmarkStart w:id="205" w:name="_Toc7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قد استدلَّ الأصحاب لهذه القاعدة بأمورٍ</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979172_1280447820"/>
      <w:bookmarkStart w:id="207" w:name="_Toc75"/>
      <w:bookmarkEnd w:id="206"/>
      <w:r>
        <w:rPr>
          <w:rtl w:val="true"/>
        </w:rPr>
        <w:t>أوَّلًا</w:t>
      </w:r>
      <w:r>
        <w:rPr>
          <w:rtl w:val="true"/>
        </w:rPr>
        <w:t xml:space="preserve">: </w:t>
      </w:r>
      <w:r>
        <w:rPr>
          <w:rtl w:val="true"/>
        </w:rPr>
        <w:t>روايات الباب</w:t>
      </w:r>
      <w:bookmarkEnd w:id="207"/>
    </w:p>
    <w:p>
      <w:pPr>
        <w:pStyle w:val="BookText"/>
        <w:rPr/>
      </w:pPr>
      <w:r>
        <w:rPr>
          <w:rFonts w:ascii="Amiri" w:hAnsi="Amiri" w:eastAsia="Amiri" w:cs="Amiri"/>
          <w:color w:val="111111"/>
          <w:sz w:val="28"/>
          <w:sz w:val="28"/>
          <w:szCs w:val="28"/>
          <w:rtl w:val="true"/>
          <w:lang w:bidi="ar-SA"/>
        </w:rPr>
        <w:t>فمن الرِّوايات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519"/>
      </w:r>
      <w:r>
        <w:rPr>
          <w:rFonts w:ascii="Amiri" w:hAnsi="Amiri" w:eastAsia="Amiri" w:cs="Amiri"/>
          <w:color w:val="111111"/>
          <w:sz w:val="28"/>
          <w:sz w:val="28"/>
          <w:szCs w:val="28"/>
          <w:rtl w:val="true"/>
          <w:lang w:bidi="ar-SA"/>
        </w:rPr>
        <w:t>، والشَّيخ قدس سره</w:t>
      </w:r>
      <w:r>
        <w:rPr>
          <w:rStyle w:val="FootnoteAnchor"/>
          <w:rtl w:val="true"/>
        </w:rPr>
        <w:footnoteReference w:id="520"/>
      </w:r>
      <w:r>
        <w:rPr>
          <w:rFonts w:ascii="Amiri" w:hAnsi="Amiri" w:eastAsia="Amiri" w:cs="Amiri"/>
          <w:color w:val="111111"/>
          <w:sz w:val="28"/>
          <w:sz w:val="28"/>
          <w:szCs w:val="28"/>
          <w:rtl w:val="true"/>
          <w:lang w:bidi="ar-SA"/>
        </w:rPr>
        <w:t>، والفيض قدس سره</w:t>
      </w:r>
      <w:r>
        <w:rPr>
          <w:rStyle w:val="FootnoteAnchor"/>
          <w:rtl w:val="true"/>
        </w:rPr>
        <w:footnoteReference w:id="521"/>
      </w:r>
      <w:r>
        <w:rPr>
          <w:rFonts w:ascii="Amiri" w:hAnsi="Amiri" w:eastAsia="Amiri" w:cs="Amiri"/>
          <w:color w:val="111111"/>
          <w:sz w:val="28"/>
          <w:sz w:val="28"/>
          <w:szCs w:val="28"/>
          <w:rtl w:val="true"/>
          <w:lang w:bidi="ar-SA"/>
        </w:rPr>
        <w:t>، والحرُّ قدس سره</w:t>
      </w:r>
      <w:r>
        <w:rPr>
          <w:rStyle w:val="FootnoteAnchor"/>
          <w:rtl w:val="true"/>
        </w:rPr>
        <w:footnoteReference w:id="522"/>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بسندٍ صحيحٍ‌، كما صحَّحه صاحب الجواهر قدس سره</w:t>
      </w:r>
      <w:r>
        <w:rPr>
          <w:rStyle w:val="FootnoteAnchor"/>
          <w:rtl w:val="true"/>
        </w:rPr>
        <w:footnoteReference w:id="523"/>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524"/>
      </w:r>
      <w:r>
        <w:rPr>
          <w:rFonts w:ascii="Amiri" w:hAnsi="Amiri" w:eastAsia="Amiri" w:cs="Amiri"/>
          <w:color w:val="111111"/>
          <w:sz w:val="28"/>
          <w:sz w:val="28"/>
          <w:szCs w:val="28"/>
          <w:rtl w:val="true"/>
          <w:lang w:bidi="ar-SA"/>
        </w:rPr>
        <w:t>، والفقيه المحقِّق الخوئي قدس سره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الحصر</w:t>
      </w:r>
      <w:r>
        <w:rPr>
          <w:rStyle w:val="FootnoteAnchor"/>
          <w:rtl w:val="true"/>
        </w:rPr>
        <w:footnoteReference w:id="526"/>
      </w:r>
      <w:r>
        <w:rPr>
          <w:rFonts w:ascii="Amiri" w:hAnsi="Amiri" w:eastAsia="Amiri" w:cs="Amiri"/>
          <w:color w:val="111111"/>
          <w:sz w:val="28"/>
          <w:sz w:val="28"/>
          <w:szCs w:val="28"/>
          <w:rtl w:val="true"/>
          <w:lang w:bidi="ar-SA"/>
        </w:rPr>
        <w:t>يدلُّ علىٰ لزوم البيِّنة والأيمان في جميع الدَّعاوي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bookmarkStart w:id="208" w:name="pg20339_220383"/>
    </w:p>
    <w:p>
      <w:pPr>
        <w:pStyle w:val="BookText"/>
        <w:rPr/>
      </w:pPr>
      <w:bookmarkEnd w:id="20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يُنقَض هذا اللُّزوم بالإقرار أيضًا؛ فالحصر في الحديث إضافيٌّ تأكيديٌّ‌،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منه عليه السلام بصدد بيان لزوم البيِّنة والأيمان في الدَّعاوي، وهذا ممَّا لا خدشة فيه؛ لكنَّه لم يُبيِّن مورد البيِّنة ولا مورد الأيمان ولاالخصوصيَّات الأُخَر الَّتي نحتاج إليها في إقامتهما، ومنها ما يُبحَثُ عنه في هذه القاعدة؛</w:t>
      </w:r>
    </w:p>
    <w:p>
      <w:pPr>
        <w:pStyle w:val="BookText"/>
        <w:rPr/>
      </w:pPr>
      <w:r>
        <w:rPr>
          <w:rFonts w:ascii="Amiri" w:hAnsi="Amiri" w:eastAsia="Amiri" w:cs="Amiri"/>
          <w:color w:val="111111"/>
          <w:sz w:val="28"/>
          <w:sz w:val="28"/>
          <w:szCs w:val="28"/>
          <w:rtl w:val="true"/>
          <w:lang w:bidi="ar-SA"/>
        </w:rPr>
        <w:t>فليس هذا الحديث ناظرًا إلى القاعدة أصلًا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979174_1280447820"/>
      <w:bookmarkStart w:id="210" w:name="_Toc76"/>
      <w:bookmarkEnd w:id="209"/>
      <w:r>
        <w:rPr>
          <w:rtl w:val="true"/>
        </w:rPr>
        <w:t>ثانيًا</w:t>
      </w:r>
      <w:r>
        <w:rPr>
          <w:rtl w:val="true"/>
        </w:rPr>
        <w:t xml:space="preserve">: </w:t>
      </w:r>
      <w:r>
        <w:rPr>
          <w:rtl w:val="true"/>
        </w:rPr>
        <w:t>الأدلة الاِصطياديَّة</w:t>
      </w:r>
      <w:bookmarkEnd w:id="210"/>
    </w:p>
    <w:p>
      <w:pPr>
        <w:pStyle w:val="BookText"/>
        <w:rPr/>
      </w:pPr>
      <w:r>
        <w:rPr>
          <w:rFonts w:ascii="Amiri" w:hAnsi="Amiri" w:eastAsia="Amiri" w:cs="Amiri"/>
          <w:color w:val="111111"/>
          <w:sz w:val="28"/>
          <w:sz w:val="28"/>
          <w:szCs w:val="28"/>
          <w:rtl w:val="true"/>
          <w:lang w:bidi="ar-SA"/>
        </w:rPr>
        <w:t>واستدلُّوا أيضًا بأنَّ الحلف لإلغاء احتمال الخلاف</w:t>
      </w:r>
      <w:r>
        <w:rPr>
          <w:rStyle w:val="FootnoteAnchor"/>
          <w:rtl w:val="true"/>
        </w:rPr>
        <w:footnoteReference w:id="528"/>
      </w:r>
      <w:r>
        <w:rPr>
          <w:rFonts w:ascii="Amiri" w:hAnsi="Amiri" w:eastAsia="Amiri" w:cs="Amiri"/>
          <w:color w:val="111111"/>
          <w:sz w:val="28"/>
          <w:sz w:val="28"/>
          <w:szCs w:val="28"/>
          <w:rtl w:val="true"/>
          <w:lang w:bidi="ar-SA"/>
        </w:rPr>
        <w:t>، وهو يليق به؛ فلابدَّ من وجوده إذا لم تكن بيِّنةٌ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يكفي لإلغاء اِحتمال الخلاف، فلوكان مع المدَّعي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استنادَه إلى قاعدة اليد، وخبرِ الثِّقة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قوله، ولايُحتاجُ إلى شيءٍ أزيد من ذلك؛</w:t>
      </w:r>
    </w:p>
    <w:p>
      <w:pPr>
        <w:pStyle w:val="BookText"/>
        <w:rPr/>
      </w:pPr>
      <w:r>
        <w:rPr>
          <w:rFonts w:ascii="Amiri" w:hAnsi="Amiri" w:eastAsia="Amiri" w:cs="Amiri"/>
          <w:color w:val="111111"/>
          <w:sz w:val="28"/>
          <w:sz w:val="28"/>
          <w:szCs w:val="28"/>
          <w:rtl w:val="true"/>
          <w:lang w:bidi="ar-SA"/>
        </w:rPr>
        <w:t>فإذن لانحتاج مع هذا الدَّليل إلى اليمين أصلًا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979176_1280447820"/>
      <w:bookmarkStart w:id="212" w:name="_Toc77"/>
      <w:bookmarkEnd w:id="211"/>
      <w:r>
        <w:rPr>
          <w:rtl w:val="true"/>
        </w:rPr>
        <w:t>ثالثًا</w:t>
      </w:r>
      <w:r>
        <w:rPr>
          <w:rtl w:val="true"/>
        </w:rPr>
        <w:t xml:space="preserve">: </w:t>
      </w:r>
      <w:r>
        <w:rPr>
          <w:rtl w:val="true"/>
        </w:rPr>
        <w:t>الإجماع</w:t>
      </w:r>
      <w:bookmarkEnd w:id="212"/>
    </w:p>
    <w:p>
      <w:pPr>
        <w:pStyle w:val="BookText"/>
        <w:rPr/>
      </w:pPr>
      <w:r>
        <w:rPr>
          <w:rFonts w:ascii="Amiri" w:hAnsi="Amiri" w:eastAsia="Amiri" w:cs="Amiri"/>
          <w:color w:val="111111"/>
          <w:sz w:val="28"/>
          <w:sz w:val="28"/>
          <w:szCs w:val="28"/>
          <w:rtl w:val="true"/>
          <w:lang w:bidi="ar-SA"/>
        </w:rPr>
        <w:t>واستُدِلَّ بالإجماع أيضًا، كما عن المحقِّقَين البجنوردي</w:t>
      </w:r>
      <w:r>
        <w:rPr>
          <w:rStyle w:val="FootnoteAnchor"/>
          <w:rtl w:val="true"/>
        </w:rPr>
        <w:footnoteReference w:id="529"/>
      </w:r>
      <w:r>
        <w:rPr>
          <w:rFonts w:ascii="Amiri" w:hAnsi="Amiri" w:eastAsia="Amiri" w:cs="Amiri"/>
          <w:color w:val="111111"/>
          <w:sz w:val="28"/>
          <w:sz w:val="28"/>
          <w:szCs w:val="28"/>
          <w:rtl w:val="true"/>
          <w:lang w:bidi="ar-SA"/>
        </w:rPr>
        <w:t xml:space="preserve">والمراغيِّ قدس سرهما </w:t>
      </w:r>
      <w:r>
        <w:rPr>
          <w:rStyle w:val="FootnoteAnchor"/>
          <w:rtl w:val="true"/>
        </w:rPr>
        <w:footnoteReference w:id="53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الخلاف فيه</w:t>
      </w:r>
      <w:r>
        <w:rPr>
          <w:rFonts w:eastAsia="Amiri" w:cs="Amiri" w:ascii="Amiri" w:hAnsi="Amiri"/>
          <w:color w:val="111111"/>
          <w:sz w:val="28"/>
          <w:szCs w:val="28"/>
          <w:rtl w:val="true"/>
          <w:lang w:bidi="ar-SA"/>
        </w:rPr>
        <w:t xml:space="preserve">. </w:t>
      </w:r>
      <w:bookmarkStart w:id="213" w:name="pg20339_220384"/>
    </w:p>
    <w:p>
      <w:pPr>
        <w:pStyle w:val="BookText"/>
        <w:rPr/>
      </w:pPr>
      <w:bookmarkEnd w:id="213"/>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1979178_1280447820"/>
      <w:bookmarkStart w:id="215" w:name="_Toc78"/>
      <w:bookmarkEnd w:id="214"/>
      <w:r>
        <w:rPr>
          <w:rtl w:val="true"/>
        </w:rPr>
        <w:t>تنبيهاتٌ‌</w:t>
      </w:r>
      <w:r>
        <w:rPr>
          <w:rtl w:val="true"/>
        </w:rPr>
        <w:t>:</w:t>
      </w:r>
      <w:bookmarkEnd w:id="215"/>
    </w:p>
    <w:p>
      <w:pPr>
        <w:pStyle w:val="Heading4"/>
        <w:numPr>
          <w:ilvl w:val="3"/>
          <w:numId w:val="1"/>
        </w:numPr>
        <w:rPr/>
      </w:pPr>
      <w:bookmarkStart w:id="216" w:name="__RefHeading___Toc11979180_1280447820"/>
      <w:bookmarkStart w:id="217" w:name="_Toc79"/>
      <w:bookmarkEnd w:id="216"/>
      <w:r>
        <w:rPr>
          <w:rtl w:val="true"/>
        </w:rPr>
        <w:t>التَّنبيه الأوَّل</w:t>
      </w:r>
      <w:r>
        <w:rPr>
          <w:rtl w:val="true"/>
        </w:rPr>
        <w:t>:</w:t>
      </w:r>
      <w:bookmarkEnd w:id="217"/>
    </w:p>
    <w:p>
      <w:pPr>
        <w:pStyle w:val="BookText"/>
        <w:rPr/>
      </w:pPr>
      <w:r>
        <w:rPr>
          <w:rFonts w:ascii="Amiri" w:hAnsi="Amiri" w:eastAsia="Amiri" w:cs="Amiri"/>
          <w:color w:val="111111"/>
          <w:sz w:val="28"/>
          <w:sz w:val="28"/>
          <w:szCs w:val="28"/>
          <w:rtl w:val="true"/>
          <w:lang w:bidi="ar-SA"/>
        </w:rPr>
        <w:t>إنَّ القاعدة هذه تختصُّ بالنِّزاعات القَضائيَّة، لا العرفيَّة المتداوَلة منها؛ لأنَّ في العرفيَّة لايكون فصلُ القضاء بالحكم، بل بالبيِّنات والأيمان والإقرار، إذ المُدَّعي لو لم يقم بيِّنةً ومع ذلك سُمِع قولُه، فعليه الحلفُ لاثبات قوله في الدَّعاوي العادِيَّة؛</w:t>
      </w:r>
    </w:p>
    <w:p>
      <w:pPr>
        <w:pStyle w:val="BookText"/>
        <w:rPr/>
      </w:pPr>
      <w:r>
        <w:rPr>
          <w:rFonts w:ascii="Amiri" w:hAnsi="Amiri" w:eastAsia="Amiri" w:cs="Amiri"/>
          <w:color w:val="111111"/>
          <w:sz w:val="28"/>
          <w:sz w:val="28"/>
          <w:szCs w:val="28"/>
          <w:rtl w:val="true"/>
          <w:lang w:bidi="ar-SA"/>
        </w:rPr>
        <w:t xml:space="preserve">فالقاعدة تجري في التَّصالح، ورفع اليد عن النِّزاع، وعن حقِّ نفسه وإيكال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بل في العفو عمَّن ظلَمَه وذهب بحقِّه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المتخاصمان حسمَ مادَّة النِّزاع من البَين فعليهما الرُّجوع إلى محكمةٍ عدلٍ عليها قاضٍ منصوبٍ من قِبَل الوالي، فيحكم بينهما؛ وبعد الحكم ليس لمَن لايرتضي بالحكم أن يُراجِع إلى غيره من القُضاة والحُكَّام لطرح الدَّعوىٰ عندهم ثانيًا، لأنَّ طرحَ الدَّعوىٰ بعد الحكم ذنبٌ كبيرٌ، بل ذنبه كالشِّرك باللَّه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ورد في مقبولة عمر بن حنظلة</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532"/>
      </w:r>
      <w:r>
        <w:rPr>
          <w:rFonts w:ascii="Amiri" w:hAnsi="Amiri" w:eastAsia="Amiri" w:cs="Amiri"/>
          <w:color w:val="111111"/>
          <w:sz w:val="28"/>
          <w:sz w:val="28"/>
          <w:szCs w:val="28"/>
          <w:rtl w:val="true"/>
          <w:lang w:bidi="ar-SA"/>
        </w:rPr>
        <w:t>، والشَّيخ قدس سره</w:t>
      </w:r>
      <w:r>
        <w:rPr>
          <w:rStyle w:val="FootnoteAnchor"/>
          <w:rtl w:val="true"/>
        </w:rPr>
        <w:footnoteReference w:id="533"/>
      </w:r>
      <w:r>
        <w:rPr>
          <w:rFonts w:ascii="Amiri" w:hAnsi="Amiri" w:eastAsia="Amiri" w:cs="Amiri"/>
          <w:color w:val="111111"/>
          <w:sz w:val="28"/>
          <w:sz w:val="28"/>
          <w:szCs w:val="28"/>
          <w:rtl w:val="true"/>
          <w:lang w:bidi="ar-SA"/>
        </w:rPr>
        <w:t>، والطَّبرسيُّ قدس سره</w:t>
      </w:r>
      <w:r>
        <w:rPr>
          <w:rStyle w:val="FootnoteAnchor"/>
          <w:rtl w:val="true"/>
        </w:rPr>
        <w:footnoteReference w:id="534"/>
      </w:r>
      <w:r>
        <w:rPr>
          <w:rFonts w:ascii="Amiri" w:hAnsi="Amiri" w:eastAsia="Amiri" w:cs="Amiri"/>
          <w:color w:val="111111"/>
          <w:sz w:val="28"/>
          <w:sz w:val="28"/>
          <w:szCs w:val="28"/>
          <w:rtl w:val="true"/>
          <w:lang w:bidi="ar-SA"/>
        </w:rPr>
        <w:t>، والفيض قدس سره</w:t>
      </w:r>
      <w:r>
        <w:rPr>
          <w:rStyle w:val="FootnoteAnchor"/>
          <w:rtl w:val="true"/>
        </w:rPr>
        <w:footnoteReference w:id="53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218" w:name="pg20339_220385"/>
    </w:p>
    <w:p>
      <w:pPr>
        <w:pStyle w:val="BookText"/>
        <w:rPr/>
      </w:pPr>
      <w:bookmarkEnd w:id="218"/>
      <w:r>
        <w:rPr>
          <w:rFonts w:ascii="Amiri" w:hAnsi="Amiri" w:eastAsia="Amiri" w:cs="Amiri"/>
          <w:color w:val="111111"/>
          <w:sz w:val="28"/>
          <w:sz w:val="28"/>
          <w:szCs w:val="28"/>
          <w:rtl w:val="true"/>
          <w:lang w:bidi="ar-SA"/>
        </w:rPr>
        <w:t>فإذن القاعدةُ قاعدةٌ قضائيَّةٌ لاصلَة بينها وبين الدَّعاوي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فلوتمَّتْ هذه القاعدة وثبتَتْ‌، فعلىٰ القاضي أن يُحلِف المدَّعي الَّذي يُسمَع قولُه بلاإقامة بيِّنةٍ‌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979182_1280447820"/>
      <w:bookmarkStart w:id="220" w:name="_Toc80"/>
      <w:bookmarkEnd w:id="219"/>
      <w:r>
        <w:rPr>
          <w:rtl w:val="true"/>
        </w:rPr>
        <w:t>التَّنبيه الثَّاني</w:t>
      </w:r>
      <w:r>
        <w:rPr>
          <w:rtl w:val="true"/>
        </w:rPr>
        <w:t>:</w:t>
      </w:r>
      <w:bookmarkEnd w:id="220"/>
    </w:p>
    <w:p>
      <w:pPr>
        <w:pStyle w:val="BookText"/>
        <w:rPr/>
      </w:pPr>
      <w:r>
        <w:rPr>
          <w:rFonts w:ascii="Amiri" w:hAnsi="Amiri" w:eastAsia="Amiri" w:cs="Amiri"/>
          <w:color w:val="111111"/>
          <w:sz w:val="28"/>
          <w:sz w:val="28"/>
          <w:szCs w:val="28"/>
          <w:rtl w:val="true"/>
          <w:lang w:bidi="ar-SA"/>
        </w:rPr>
        <w:t>إنَّ الأصحاب تمثَّلوا لهذه القاعدة بأمثلةٍ كثيرةٍ‌، لكنَّا لم نجد في الفقه لها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الَّتي أوردها الأصحاب كلَّها لاتخلوا عن نظرٍ، فعلينا البحث عنها وعمَّا يرد عليها؛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من الأمثلة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اليد المالكيَّة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كاليد الأمانيَّة بلافرقٍ بينهما، فمن بيده مالُ الغير أمانةً أو عاريةً أو إجارةً أو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لوادَّعىٰ التَّلفَ فيُقبَل قولُه بلابيِّنةٍ لوحلف علىٰ التَّلَف؛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السَّيِّد المجاهد قدس سره بعد حكاية المبنىٰ‌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لاخلاف فيه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وعن العلَّامة قدس سره في تحريره</w:t>
      </w:r>
      <w:r>
        <w:rPr>
          <w:rStyle w:val="FootnoteAnchor"/>
          <w:rtl w:val="true"/>
        </w:rPr>
        <w:footnoteReference w:id="537"/>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538"/>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539"/>
      </w:r>
      <w:r>
        <w:rPr>
          <w:rFonts w:ascii="Amiri" w:hAnsi="Amiri" w:eastAsia="Amiri" w:cs="Amiri"/>
          <w:color w:val="111111"/>
          <w:sz w:val="28"/>
          <w:sz w:val="28"/>
          <w:szCs w:val="28"/>
          <w:rtl w:val="true"/>
          <w:lang w:bidi="ar-SA"/>
        </w:rPr>
        <w:t>، والمحقِّق الخراساني قدس سره</w:t>
      </w:r>
      <w:r>
        <w:rPr>
          <w:rStyle w:val="FootnoteAnchor"/>
          <w:rtl w:val="true"/>
        </w:rPr>
        <w:footnoteReference w:id="540"/>
      </w:r>
      <w:r>
        <w:rPr>
          <w:rFonts w:ascii="IRNazanin" w:hAnsi="IRNazanin" w:eastAsia="IRNazanin"/>
          <w:color w:val="111111"/>
          <w:sz w:val="28"/>
          <w:sz w:val="28"/>
          <w:szCs w:val="28"/>
          <w:rtl w:val="true"/>
          <w:lang w:bidi="fa-IR"/>
        </w:rPr>
        <w:t>، وصاحب الشَّرائع قدس سره</w:t>
      </w:r>
      <w:r>
        <w:rPr>
          <w:rStyle w:val="FootnoteAnchor"/>
          <w:rtl w:val="true"/>
        </w:rPr>
        <w:footnoteReference w:id="541"/>
      </w:r>
      <w:r>
        <w:rPr>
          <w:rFonts w:ascii="Amiri" w:hAnsi="Amiri" w:eastAsia="Amiri" w:cs="Amiri"/>
          <w:color w:val="111111"/>
          <w:sz w:val="28"/>
          <w:sz w:val="28"/>
          <w:szCs w:val="28"/>
          <w:rtl w:val="true"/>
          <w:lang w:bidi="ar-SA"/>
        </w:rPr>
        <w:t>، والبلاغي قدس سره</w:t>
      </w:r>
      <w:r>
        <w:rPr>
          <w:rStyle w:val="FootnoteAnchor"/>
          <w:rtl w:val="true"/>
        </w:rPr>
        <w:footnoteReference w:id="542"/>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المال لوادَّعىٰ الإتلاف أو التَّعدِّي أو ادَّعىٰ كذبَ الأمين في ادِّعائه، فهو المدَّعي إذن، والأمينُ منكِرٌ، فبعد أنْ لابيِّنة لصاحب المال فعلىٰ الأمين الحلفُ علىٰ إنكاره، لا علىٰ ادِّعائه؛</w:t>
      </w:r>
    </w:p>
    <w:p>
      <w:pPr>
        <w:pStyle w:val="BookText"/>
        <w:rPr/>
      </w:pPr>
      <w:r>
        <w:rPr>
          <w:rFonts w:ascii="Amiri" w:hAnsi="Amiri" w:eastAsia="Amiri" w:cs="Amiri"/>
          <w:color w:val="111111"/>
          <w:sz w:val="28"/>
          <w:sz w:val="28"/>
          <w:szCs w:val="28"/>
          <w:rtl w:val="true"/>
          <w:lang w:bidi="ar-SA"/>
        </w:rPr>
        <w:t>أمَّا لوأقرَّ صاحبُ المال بأنَّ الأمين الوَدَعيَّ لم يُتلِف المالَ ولاتعدّىٰ فيه عن شروط الأمانة ولاكذْبَ في قوله؛ فإذن لامناص من قبول قول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إرجاع المسألة إلى المحاكم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للأمين إلَّااليمين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لاأصل له أصلًا، ولواشتهر القول بين الأصحاب اشتهارًا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 الأمين حجَّةٌ ولادليل بعد الحجَّة حتَّى به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اليمين الاِستظهاريِّ منه لحسم مادَّة النِّزاع حسنٌ‌، لكن وجوبه عليه لاوجه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ملكيَّة الشَّيء مع عدم المُعارِض لهذا الاِدِّعاء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ادَّعىٰ في الطَّريق مثلًا أنَّ هذه الدَّراهم الَّتي هي عنده له، مع عدم تعارض ادِّعائه هذا بادِّعاء آخر يدَّعي أنَّ الدَّراهم له، لا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الدَّارهم له من غير حاجةٍ إلى البيِّنة؛ لكن لابدَّ له من أن يحلفَ علىٰ ملكيَّة الدَّراهم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كلمات الأصحاب إشاراتٌ إلى ذلك؛ فانظر إلى ما عن العلَّامة قدس سره</w:t>
      </w:r>
      <w:r>
        <w:rPr>
          <w:rStyle w:val="FootnoteAnchor"/>
          <w:rtl w:val="true"/>
        </w:rPr>
        <w:footnoteReference w:id="5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الخراسانيِّ قدس سره</w:t>
      </w:r>
      <w:r>
        <w:rPr>
          <w:rStyle w:val="FootnoteAnchor"/>
          <w:rtl w:val="true"/>
        </w:rPr>
        <w:footnoteReference w:id="545"/>
      </w:r>
      <w:r>
        <w:rPr>
          <w:rFonts w:ascii="Amiri" w:hAnsi="Amiri" w:eastAsia="Amiri" w:cs="Amiri"/>
          <w:color w:val="111111"/>
          <w:sz w:val="28"/>
          <w:sz w:val="28"/>
          <w:szCs w:val="28"/>
          <w:rtl w:val="true"/>
          <w:lang w:bidi="ar-SA"/>
        </w:rPr>
        <w:t>، والبحراني قدس سره</w:t>
      </w:r>
      <w:r>
        <w:rPr>
          <w:rStyle w:val="FootnoteAnchor"/>
          <w:rtl w:val="true"/>
        </w:rPr>
        <w:footnoteReference w:id="546"/>
      </w:r>
      <w:r>
        <w:rPr>
          <w:rFonts w:ascii="Amiri" w:hAnsi="Amiri" w:eastAsia="Amiri" w:cs="Amiri"/>
          <w:color w:val="111111"/>
          <w:sz w:val="28"/>
          <w:sz w:val="28"/>
          <w:szCs w:val="28"/>
          <w:rtl w:val="true"/>
          <w:lang w:bidi="ar-SA"/>
        </w:rPr>
        <w:t>، والمحقِّق النَّراقي قدس سره</w:t>
      </w:r>
      <w:r>
        <w:rPr>
          <w:rStyle w:val="FootnoteAnchor"/>
          <w:rtl w:val="true"/>
        </w:rPr>
        <w:footnoteReference w:id="547"/>
      </w:r>
      <w:r>
        <w:rPr>
          <w:rFonts w:ascii="Amiri" w:hAnsi="Amiri" w:eastAsia="Amiri" w:cs="Amiri"/>
          <w:color w:val="111111"/>
          <w:sz w:val="28"/>
          <w:sz w:val="28"/>
          <w:szCs w:val="28"/>
          <w:rtl w:val="true"/>
          <w:lang w:bidi="ar-SA"/>
        </w:rPr>
        <w:t>، والمحقِّق الرَّشتي قدس سره</w:t>
      </w:r>
      <w:r>
        <w:rPr>
          <w:rStyle w:val="FootnoteAnchor"/>
          <w:rtl w:val="true"/>
        </w:rPr>
        <w:footnoteReference w:id="548"/>
      </w:r>
      <w:r>
        <w:rPr>
          <w:rFonts w:ascii="IRNazanin" w:hAnsi="IRNazanin" w:eastAsia="IRNazanin"/>
          <w:color w:val="111111"/>
          <w:sz w:val="28"/>
          <w:sz w:val="28"/>
          <w:szCs w:val="28"/>
          <w:rtl w:val="true"/>
          <w:lang w:bidi="fa-IR"/>
        </w:rPr>
        <w:t>، وصاحب الشَّرائع قدس سره</w:t>
      </w:r>
      <w:r>
        <w:rPr>
          <w:rStyle w:val="FootnoteAnchor"/>
          <w:rtl w:val="true"/>
        </w:rPr>
        <w:footnoteReference w:id="549"/>
      </w:r>
      <w:r>
        <w:rPr>
          <w:rFonts w:ascii="Amiri" w:hAnsi="Amiri" w:eastAsia="Amiri" w:cs="Amiri"/>
          <w:color w:val="111111"/>
          <w:sz w:val="28"/>
          <w:sz w:val="28"/>
          <w:szCs w:val="28"/>
          <w:rtl w:val="true"/>
          <w:lang w:bidi="ar-SA"/>
        </w:rPr>
        <w:t>، والشَّهيد الأوَّل قدس سره</w:t>
      </w:r>
      <w:r>
        <w:rPr>
          <w:rStyle w:val="FootnoteAnchor"/>
          <w:rtl w:val="true"/>
        </w:rPr>
        <w:footnoteReference w:id="550"/>
      </w:r>
      <w:r>
        <w:rPr>
          <w:rFonts w:ascii="Amiri" w:hAnsi="Amiri" w:eastAsia="Amiri" w:cs="Amiri"/>
          <w:color w:val="111111"/>
          <w:sz w:val="28"/>
          <w:sz w:val="28"/>
          <w:szCs w:val="28"/>
          <w:rtl w:val="true"/>
          <w:lang w:bidi="ar-SA"/>
        </w:rPr>
        <w:t>، والقطَّان قدس سره</w:t>
      </w:r>
      <w:r>
        <w:rPr>
          <w:rStyle w:val="FootnoteAnchor"/>
          <w:rtl w:val="true"/>
        </w:rPr>
        <w:footnoteReference w:id="551"/>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552"/>
      </w:r>
      <w:r>
        <w:rPr>
          <w:rFonts w:ascii="Amiri" w:hAnsi="Amiri" w:eastAsia="Amiri" w:cs="Amiri"/>
          <w:color w:val="111111"/>
          <w:sz w:val="28"/>
          <w:sz w:val="28"/>
          <w:szCs w:val="28"/>
          <w:rtl w:val="true"/>
          <w:lang w:bidi="ar-SA"/>
        </w:rPr>
        <w:t>، والمحقِّق الهنديِّ الأصفهاني قدس سره</w:t>
      </w:r>
      <w:r>
        <w:rPr>
          <w:rStyle w:val="FootnoteAnchor"/>
          <w:rtl w:val="true"/>
        </w:rPr>
        <w:footnoteReference w:id="553"/>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554"/>
      </w:r>
      <w:r>
        <w:rPr>
          <w:rFonts w:ascii="IRNazanin" w:hAnsi="IRNazanin" w:eastAsia="IRNazanin"/>
          <w:color w:val="111111"/>
          <w:sz w:val="28"/>
          <w:sz w:val="28"/>
          <w:szCs w:val="28"/>
          <w:rtl w:val="true"/>
          <w:lang w:bidi="fa-IR"/>
        </w:rPr>
        <w:t>، وبحرالعلوم قدس سره</w:t>
      </w:r>
      <w:r>
        <w:rPr>
          <w:rStyle w:val="FootnoteAnchor"/>
          <w:rtl w:val="true"/>
        </w:rPr>
        <w:footnoteReference w:id="55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في ذلك روايةٌ أمَرَ الإمام عليه السلام فيها بقبول ادِّعائه، ولا ذكر للحلفِ فيها؛ 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ووسطهم كيسٌ فيه ألف درهمٍ‌، فسأل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556"/>
      </w:r>
      <w:r>
        <w:rPr>
          <w:rFonts w:ascii="Amiri" w:hAnsi="Amiri" w:eastAsia="Amiri" w:cs="Amiri"/>
          <w:color w:val="111111"/>
          <w:sz w:val="28"/>
          <w:sz w:val="28"/>
          <w:szCs w:val="28"/>
          <w:rtl w:val="true"/>
          <w:lang w:bidi="ar-SA"/>
        </w:rPr>
        <w:t>، والشَّيخ قدس سره</w:t>
      </w:r>
      <w:r>
        <w:rPr>
          <w:rStyle w:val="FootnoteAnchor"/>
          <w:rtl w:val="true"/>
        </w:rPr>
        <w:footnoteReference w:id="557"/>
      </w:r>
      <w:r>
        <w:rPr>
          <w:rFonts w:ascii="Amiri" w:hAnsi="Amiri" w:eastAsia="Amiri" w:cs="Amiri"/>
          <w:color w:val="111111"/>
          <w:sz w:val="28"/>
          <w:sz w:val="28"/>
          <w:szCs w:val="28"/>
          <w:rtl w:val="true"/>
          <w:lang w:bidi="ar-SA"/>
        </w:rPr>
        <w:t>، والحرُّ قدس سره</w:t>
      </w:r>
      <w:r>
        <w:rPr>
          <w:rStyle w:val="FootnoteAnchor"/>
          <w:rtl w:val="true"/>
        </w:rPr>
        <w:footnoteReference w:id="5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والفيض قدس سره</w:t>
      </w:r>
      <w:r>
        <w:rPr>
          <w:rStyle w:val="FootnoteAnchor"/>
          <w:rtl w:val="true"/>
        </w:rPr>
        <w:footnoteReference w:id="559"/>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بسندٍ صحيحٍ‌، كما ذكره المحقِّق العامليُّ قدس سره</w:t>
      </w:r>
      <w:r>
        <w:rPr>
          <w:rStyle w:val="FootnoteAnchor"/>
          <w:rtl w:val="true"/>
        </w:rPr>
        <w:footnoteReference w:id="560"/>
      </w:r>
      <w:r>
        <w:rPr>
          <w:rFonts w:ascii="IRNazanin" w:hAnsi="IRNazanin" w:eastAsia="IRNazanin"/>
          <w:color w:val="111111"/>
          <w:sz w:val="28"/>
          <w:sz w:val="28"/>
          <w:szCs w:val="28"/>
          <w:rtl w:val="true"/>
          <w:lang w:bidi="fa-IR"/>
        </w:rPr>
        <w:t>، وبحرالعلوم قدس سره</w:t>
      </w:r>
      <w:r>
        <w:rPr>
          <w:rStyle w:val="FootnoteAnchor"/>
          <w:rtl w:val="true"/>
        </w:rPr>
        <w:footnoteReference w:id="561"/>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56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لامُنكِر لما يدَّعيه، فالدَّعوىٰ سالبةٌ باِنتفاء الموضوع، فلاحاجة إلى الحلف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لوادَّعىٰ رجلٌ آخر أنَّ المال مالُه، فإذن الدَّعوىٰ له طرفان، فعلىٰ المدَّعي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 له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البيِّنة علىٰ ما يدَّعيه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ملك شيئًا ملك الإقرار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ادَّعىٰ بيعَ ملكه، أو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الإقرار لايحتاج إلى الحلف، بل يُقبَل قولُه بلايمينٍ‌؛ لأنَّه دعوىً بلانزاعٍ ومخاصمةٍ‌؛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لوكان هذا الدَّعوىٰ موردًا للنِّزاع، فعلىٰ الثَّاني إقامةُ البيِّنة فيه؛ وإلَّا فعلىٰ‌ </w:t>
      </w:r>
    </w:p>
    <w:p>
      <w:pPr>
        <w:pStyle w:val="BookText"/>
        <w:rPr/>
      </w:pPr>
      <w:r>
        <w:rPr>
          <w:rFonts w:ascii="Amiri" w:hAnsi="Amiri" w:eastAsia="Amiri" w:cs="Amiri"/>
          <w:color w:val="111111"/>
          <w:sz w:val="28"/>
          <w:sz w:val="28"/>
          <w:szCs w:val="28"/>
          <w:rtl w:val="true"/>
          <w:lang w:bidi="ar-SA"/>
        </w:rPr>
        <w:t>الأوَّل الحلفُ‌، لأنَّه المنكرُ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ادِّعاءٍ لايُعلمُ صحَّتُه أو عدم صحَّتِه إلَّامن قِبَل المدَّعي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كادِّعاء ذي اليد طهارةَ ما في يده، أو نجاسته؛ وكادِّعاء المرءة أنَّها حائضٌ‌، أو طاهرةٌ‌؛ أو ادِّعائها كونها حاملًا ونحو ذلك</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الإدِّعاء إن كان صرف الإخبار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كالطُّهر أو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المدَّعِي متَّهمًا فيه، فيُقبَل قوله رأسًا، لأنَّه إخبارٌ بلامدَّعِي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يُصَدَّقون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وانظر أيضًا إلى ما ذكره كاشف اللِّثام قدس سره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والمحقِّق العاملي قدس سره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المقام؛ ومثله ما عن غيرهم كالقطَّان قدس سره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وسنشير إلى ما يرجع إليها في هذه التَّعليقات؛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الحج للفقهاء والحُجَج،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كتاب القصاص للفقهاء والخواصِّ‌،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الكبيرة القديمة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الصُّورة خارجةٌ عن محلِّ القاعدة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هناك مدعٍ آخر يدَّعي خلافَ ما ادَّعاه الأوَّل</w:t>
      </w:r>
      <w:r>
        <w:rPr>
          <w:rStyle w:val="FootnoteAnchor"/>
          <w:rtl w:val="true"/>
        </w:rPr>
        <w:footnoteReference w:id="564"/>
      </w:r>
      <w:r>
        <w:rPr>
          <w:rFonts w:ascii="Amiri" w:hAnsi="Amiri" w:eastAsia="Amiri" w:cs="Amiri"/>
          <w:color w:val="111111"/>
          <w:sz w:val="28"/>
          <w:sz w:val="28"/>
          <w:szCs w:val="28"/>
          <w:rtl w:val="true"/>
          <w:lang w:bidi="ar-SA"/>
        </w:rPr>
        <w:t>، فعلي الثَّاني إقامةُ البيِّنة، فلو لم يقُمها فعلىٰ المُنكِر الحلفُ‌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المدَّعي إذا كان له شاهدٌ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يُقبَل قوله مع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 في حكم اللُّقطة</w:t>
      </w:r>
      <w:r>
        <w:rPr>
          <w:rStyle w:val="FootnoteAnchor"/>
          <w:rtl w:val="true"/>
        </w:rPr>
        <w:footnoteReference w:id="565"/>
      </w:r>
      <w:r>
        <w:rPr>
          <w:rFonts w:ascii="Amiri" w:hAnsi="Amiri" w:eastAsia="Amiri" w:cs="Amiri"/>
          <w:color w:val="111111"/>
          <w:sz w:val="28"/>
          <w:sz w:val="28"/>
          <w:szCs w:val="28"/>
          <w:rtl w:val="true"/>
          <w:lang w:bidi="ar-SA"/>
        </w:rPr>
        <w:t>، وغير هذا الحكم</w:t>
      </w:r>
      <w:r>
        <w:rPr>
          <w:rStyle w:val="FootnoteAnchor"/>
          <w:rtl w:val="true"/>
        </w:rPr>
        <w:footnoteReference w:id="566"/>
      </w:r>
      <w:r>
        <w:rPr>
          <w:rFonts w:ascii="Amiri" w:hAnsi="Amiri" w:eastAsia="Amiri" w:cs="Amiri"/>
          <w:color w:val="111111"/>
          <w:sz w:val="28"/>
          <w:sz w:val="28"/>
          <w:szCs w:val="28"/>
          <w:rtl w:val="true"/>
          <w:lang w:bidi="ar-SA"/>
        </w:rPr>
        <w:t>، وابنِالبرَّاج قدس سره</w:t>
      </w:r>
      <w:r>
        <w:rPr>
          <w:rStyle w:val="FootnoteAnchor"/>
          <w:rtl w:val="true"/>
        </w:rPr>
        <w:footnoteReference w:id="567"/>
      </w:r>
      <w:r>
        <w:rPr>
          <w:rFonts w:ascii="Amiri" w:hAnsi="Amiri" w:eastAsia="Amiri" w:cs="Amiri"/>
          <w:color w:val="111111"/>
          <w:sz w:val="28"/>
          <w:sz w:val="28"/>
          <w:szCs w:val="28"/>
          <w:rtl w:val="true"/>
          <w:lang w:bidi="ar-SA"/>
        </w:rPr>
        <w:t>، والرَّاوندي قدس سره</w:t>
      </w:r>
      <w:r>
        <w:rPr>
          <w:rStyle w:val="FootnoteAnchor"/>
          <w:rtl w:val="true"/>
        </w:rPr>
        <w:footnoteReference w:id="568"/>
      </w:r>
      <w:r>
        <w:rPr>
          <w:rFonts w:ascii="Amiri" w:hAnsi="Amiri" w:eastAsia="Amiri" w:cs="Amiri"/>
          <w:color w:val="111111"/>
          <w:sz w:val="28"/>
          <w:sz w:val="28"/>
          <w:szCs w:val="28"/>
          <w:rtl w:val="true"/>
          <w:lang w:bidi="ar-SA"/>
        </w:rPr>
        <w:t>، وابن إدريس قدس سره</w:t>
      </w:r>
      <w:r>
        <w:rPr>
          <w:rStyle w:val="FootnoteAnchor"/>
          <w:rtl w:val="true"/>
        </w:rPr>
        <w:footnoteReference w:id="569"/>
      </w:r>
      <w:r>
        <w:rPr>
          <w:rFonts w:ascii="Amiri" w:hAnsi="Amiri" w:eastAsia="Amiri" w:cs="Amiri"/>
          <w:color w:val="111111"/>
          <w:sz w:val="28"/>
          <w:sz w:val="28"/>
          <w:szCs w:val="28"/>
          <w:rtl w:val="true"/>
          <w:lang w:bidi="ar-SA"/>
        </w:rPr>
        <w:t>، والعلَّامة قدس سره</w:t>
      </w:r>
      <w:r>
        <w:rPr>
          <w:rStyle w:val="FootnoteAnchor"/>
          <w:rtl w:val="true"/>
        </w:rPr>
        <w:footnoteReference w:id="570"/>
      </w:r>
      <w:r>
        <w:rPr>
          <w:rFonts w:ascii="Amiri" w:hAnsi="Amiri" w:eastAsia="Amiri" w:cs="Amiri"/>
          <w:color w:val="111111"/>
          <w:sz w:val="28"/>
          <w:sz w:val="28"/>
          <w:szCs w:val="28"/>
          <w:rtl w:val="true"/>
          <w:lang w:bidi="ar-SA"/>
        </w:rPr>
        <w:t>، والسَّيِّد الأعرجي قدس سره</w:t>
      </w:r>
      <w:r>
        <w:rPr>
          <w:rStyle w:val="FootnoteAnchor"/>
          <w:rtl w:val="true"/>
        </w:rPr>
        <w:footnoteReference w:id="571"/>
      </w:r>
      <w:r>
        <w:rPr>
          <w:rFonts w:ascii="Amiri" w:hAnsi="Amiri" w:eastAsia="Amiri" w:cs="Amiri"/>
          <w:color w:val="111111"/>
          <w:sz w:val="28"/>
          <w:sz w:val="28"/>
          <w:szCs w:val="28"/>
          <w:rtl w:val="true"/>
          <w:lang w:bidi="ar-SA"/>
        </w:rPr>
        <w:t>، وثاني الشَّهيدين قدس سره</w:t>
      </w:r>
      <w:r>
        <w:rPr>
          <w:rStyle w:val="FootnoteAnchor"/>
          <w:rtl w:val="true"/>
        </w:rPr>
        <w:footnoteReference w:id="572"/>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573"/>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شاهدٌ أصلًا فبالأولويَّة القطعيَّة يحتاج إلى الحَلف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قياسٌ مع الفارق، لأنَّ المدَّعي الَّذي يُقبَل قوله مع الحلف هو </w:t>
      </w:r>
    </w:p>
    <w:p>
      <w:pPr>
        <w:pStyle w:val="BookText"/>
        <w:rPr/>
      </w:pPr>
      <w:r>
        <w:rPr>
          <w:rFonts w:ascii="Amiri" w:hAnsi="Amiri" w:eastAsia="Amiri" w:cs="Amiri"/>
          <w:color w:val="111111"/>
          <w:sz w:val="28"/>
          <w:sz w:val="28"/>
          <w:szCs w:val="28"/>
          <w:rtl w:val="true"/>
          <w:lang w:bidi="ar-SA"/>
        </w:rPr>
        <w:t xml:space="preserve">المدَّعي الَّذي يُخالِف قولُه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ما هو خلاف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يدَّعي دارًا سكن فيها غيرُه، فقوله يخالف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فهو راجعٌ إلى المدَّعي الَّذي يُسمَع قوله من غير حاجةٍ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حاجة إلى الحلف في المقام إلَّااستظهارًا؛ كمَن ادَّعىٰ مِلكيَّة الدَّار الَّتي هو ساكنٌ فيها</w:t>
      </w:r>
      <w:r>
        <w:rPr>
          <w:rStyle w:val="FootnoteAnchor"/>
          <w:rtl w:val="true"/>
        </w:rPr>
        <w:footnoteReference w:id="574"/>
      </w:r>
      <w:r>
        <w:rPr>
          <w:rFonts w:ascii="Amiri" w:hAnsi="Amiri" w:eastAsia="Amiri" w:cs="Amiri"/>
          <w:color w:val="111111"/>
          <w:sz w:val="28"/>
          <w:sz w:val="28"/>
          <w:szCs w:val="28"/>
          <w:rtl w:val="true"/>
          <w:lang w:bidi="ar-SA"/>
        </w:rPr>
        <w:t>، لا الدَّار الَّتي هي تحت يد آخرَ؛</w:t>
      </w:r>
    </w:p>
    <w:p>
      <w:pPr>
        <w:pStyle w:val="BookText"/>
        <w:rPr/>
      </w:pPr>
      <w:r>
        <w:rPr>
          <w:rFonts w:ascii="Amiri" w:hAnsi="Amiri" w:eastAsia="Amiri" w:cs="Amiri"/>
          <w:color w:val="111111"/>
          <w:sz w:val="28"/>
          <w:sz w:val="28"/>
          <w:szCs w:val="28"/>
          <w:rtl w:val="true"/>
          <w:lang w:bidi="ar-SA"/>
        </w:rPr>
        <w:t>فالحلفُ هناك لتتميم البيِّنة، بينما أنَّه فيما نحن فيه ليس إلَّاللاِستظهار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يجدر بنا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هناك لازمٌ وهيهنا غير لازمٍ‌؛ فلذلك ادَّعىٰ غير واحدٍ في المقام أنَّ هذا المدَّعي ليس في الحقيقة إلَّامنكِرًا، فحلفه لأجل إنكاره، لا لأجل ادِّعائه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في القضاء علىٰ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لمادَّة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يحلفا إذا لم تكن مع المدَّعي بيِّنةٌ ولم يكن قولُه خلافَ الأصل، فعلىٰ المنكِر الحلفُ اِثباتًا لإنكاره، وعلىٰ المدَّعي الحلفُ اِستظهارًا لمدَّعاه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بحسب الظَّاهر دليلًا، لكنَّه عين المدَّعىٰ وليس فيه شيءٌ أزيَدَ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فلوأنكَرنا الدَّعوىٰ وأنكرنا ثبوتَ الإجماع عليه، فعلىٰ القائل إثباتُ قولِه بدليلٍ آخر، أو بنقل إجماعٍ تامٍّ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ممَّا ذكروها في المقام، ولها أمثلةٌ كثيرةٌ لكنَّها كلَّها خارجةٌ عن المبحث، فلانطيل الكلامَ بذكرها أكثر من هذا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هذه القاعدة مخدوشةٌ كبرويًّا وصغرويًّا، ولايساعده شيءٌ من الدَّليل</w:t>
      </w:r>
      <w:r>
        <w:rPr>
          <w:rFonts w:eastAsia="Amiri" w:cs="Amiri" w:ascii="Amiri" w:hAnsi="Amiri"/>
          <w:color w:val="111111"/>
          <w:sz w:val="28"/>
          <w:szCs w:val="28"/>
          <w:rtl w:val="true"/>
          <w:lang w:bidi="ar-SA"/>
        </w:rPr>
        <w:t xml:space="preserve">. </w:t>
      </w:r>
      <w:bookmarkStart w:id="221" w:name="pg20339_220392"/>
    </w:p>
    <w:p>
      <w:pPr>
        <w:pStyle w:val="Heading3"/>
        <w:numPr>
          <w:ilvl w:val="2"/>
          <w:numId w:val="1"/>
        </w:numPr>
        <w:rPr/>
      </w:pPr>
      <w:bookmarkStart w:id="222" w:name="__RefHeading___Toc11979184_1280447820"/>
      <w:bookmarkStart w:id="223" w:name="_Toc81"/>
      <w:bookmarkEnd w:id="221"/>
      <w:bookmarkEnd w:id="222"/>
      <w:r>
        <w:rPr>
          <w:rtl w:val="true"/>
        </w:rPr>
        <w:t>أمثلةٌ لاستعمال القاعدة في الفقه</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التَّلف فالقول قوله مع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 إلى شرَّاح العبارة والمُتَعَرِّضين للمسألة، كأصحاب المسالك قدس سره</w:t>
      </w:r>
      <w:r>
        <w:rPr>
          <w:rStyle w:val="FootnoteAnchor"/>
          <w:rtl w:val="true"/>
        </w:rPr>
        <w:footnoteReference w:id="575"/>
      </w:r>
      <w:r>
        <w:rPr>
          <w:rFonts w:ascii="IRNazanin" w:hAnsi="IRNazanin" w:eastAsia="IRNazanin"/>
          <w:color w:val="111111"/>
          <w:sz w:val="28"/>
          <w:sz w:val="28"/>
          <w:szCs w:val="28"/>
          <w:rtl w:val="true"/>
          <w:lang w:bidi="fa-IR"/>
        </w:rPr>
        <w:t>، والجواهر قدس سره</w:t>
      </w:r>
      <w:r>
        <w:rPr>
          <w:rStyle w:val="FootnoteAnchor"/>
          <w:rtl w:val="true"/>
        </w:rPr>
        <w:footnoteReference w:id="576"/>
      </w:r>
      <w:r>
        <w:rPr>
          <w:rFonts w:ascii="Amiri" w:hAnsi="Amiri" w:eastAsia="Amiri" w:cs="Amiri"/>
          <w:color w:val="111111"/>
          <w:sz w:val="28"/>
          <w:sz w:val="28"/>
          <w:szCs w:val="28"/>
          <w:rtl w:val="true"/>
          <w:lang w:bidi="ar-SA"/>
        </w:rPr>
        <w:t>، والمهذِّب قدس سره</w:t>
      </w:r>
      <w:r>
        <w:rPr>
          <w:rStyle w:val="FootnoteAnchor"/>
          <w:rtl w:val="true"/>
        </w:rPr>
        <w:footnoteReference w:id="577"/>
      </w:r>
      <w:r>
        <w:rPr>
          <w:rFonts w:ascii="Amiri" w:hAnsi="Amiri" w:eastAsia="Amiri" w:cs="Amiri"/>
          <w:color w:val="111111"/>
          <w:sz w:val="28"/>
          <w:sz w:val="28"/>
          <w:szCs w:val="28"/>
          <w:rtl w:val="true"/>
          <w:lang w:bidi="ar-SA"/>
        </w:rPr>
        <w:t>، والبحراني آل عصفور قدس سره</w:t>
      </w:r>
      <w:r>
        <w:rPr>
          <w:rStyle w:val="FootnoteAnchor"/>
          <w:rtl w:val="true"/>
        </w:rPr>
        <w:footnoteReference w:id="578"/>
      </w:r>
      <w:r>
        <w:rPr>
          <w:rFonts w:ascii="Amiri" w:hAnsi="Amiri" w:eastAsia="Amiri" w:cs="Amiri"/>
          <w:color w:val="111111"/>
          <w:sz w:val="28"/>
          <w:sz w:val="28"/>
          <w:szCs w:val="28"/>
          <w:rtl w:val="true"/>
          <w:lang w:bidi="ar-SA"/>
        </w:rPr>
        <w:t>، والأردبيليِّ قدس سره</w:t>
      </w:r>
      <w:r>
        <w:rPr>
          <w:rStyle w:val="FootnoteAnchor"/>
          <w:rtl w:val="true"/>
        </w:rPr>
        <w:footnoteReference w:id="579"/>
      </w:r>
      <w:r>
        <w:rPr>
          <w:rFonts w:ascii="Amiri" w:hAnsi="Amiri" w:eastAsia="Amiri" w:cs="Amiri"/>
          <w:color w:val="111111"/>
          <w:sz w:val="28"/>
          <w:sz w:val="28"/>
          <w:szCs w:val="28"/>
          <w:rtl w:val="true"/>
          <w:lang w:bidi="ar-SA"/>
        </w:rPr>
        <w:t>، والخراسانيِّ قدس سره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 قدر مالِ الإجارة ولابيِّنة، فالقول قول المستأجر مع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 إلى قول ولده العظيم قدس سره في المقام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العاملُ التَّلفَ قُبِل قولُه مع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أيضًا إلى شرَّاح عبارته، كالسَّيِّد الحكيم قدس سره</w:t>
      </w:r>
      <w:r>
        <w:rPr>
          <w:rStyle w:val="FootnoteAnchor"/>
          <w:rtl w:val="true"/>
        </w:rPr>
        <w:footnoteReference w:id="5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والسَّيِّد الخوئي قدس سره</w:t>
      </w:r>
      <w:r>
        <w:rPr>
          <w:rStyle w:val="FootnoteAnchor"/>
          <w:rtl w:val="true"/>
        </w:rPr>
        <w:footnoteReference w:id="583"/>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ذكره الشَّيخ الإشتهارديُّ أيضًا؛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0339_220394"/>
    </w:p>
    <w:p>
      <w:pPr>
        <w:pStyle w:val="Heading2"/>
        <w:numPr>
          <w:ilvl w:val="1"/>
          <w:numId w:val="1"/>
        </w:numPr>
        <w:rPr/>
      </w:pPr>
      <w:bookmarkStart w:id="225" w:name="__RefHeading___Toc11979186_1280447820"/>
      <w:bookmarkStart w:id="226" w:name="_Toc82"/>
      <w:bookmarkEnd w:id="224"/>
      <w:bookmarkEnd w:id="225"/>
      <w:r>
        <w:rPr>
          <w:rtl w:val="true"/>
        </w:rPr>
        <w:t>[</w:t>
      </w:r>
      <w:r>
        <w:rPr/>
        <w:t>50</w:t>
      </w:r>
      <w:r>
        <w:rPr>
          <w:rtl w:val="true"/>
        </w:rPr>
        <w:t xml:space="preserve">:] </w:t>
      </w:r>
      <w:r>
        <w:rPr>
          <w:rtl w:val="true"/>
        </w:rPr>
        <w:t>قاعدة كلِّ مسكرٍ مائعٍ بالأصالة نجسٌ‌</w:t>
      </w:r>
      <w:bookmarkEnd w:id="226"/>
    </w:p>
    <w:p>
      <w:pPr>
        <w:pStyle w:val="Heading3"/>
        <w:numPr>
          <w:ilvl w:val="2"/>
          <w:numId w:val="1"/>
        </w:numPr>
        <w:rPr/>
      </w:pPr>
      <w:bookmarkStart w:id="227" w:name="__RefHeading___Toc11979188_1280447820"/>
      <w:bookmarkStart w:id="228" w:name="_Toc83"/>
      <w:bookmarkEnd w:id="227"/>
      <w:r>
        <w:rPr>
          <w:rtl w:val="true"/>
        </w:rPr>
        <w:t>عناوين أُخرىٰ للقاعدة</w:t>
      </w:r>
      <w:bookmarkEnd w:id="228"/>
    </w:p>
    <w:p>
      <w:pPr>
        <w:pStyle w:val="BookText"/>
        <w:rPr/>
      </w:pPr>
      <w:r>
        <w:rPr>
          <w:rFonts w:ascii="Amiri" w:hAnsi="Amiri" w:eastAsia="Amiri" w:cs="Amiri"/>
          <w:color w:val="111111"/>
          <w:sz w:val="28"/>
          <w:sz w:val="28"/>
          <w:szCs w:val="28"/>
          <w:rtl w:val="true"/>
          <w:lang w:bidi="ar-SA"/>
        </w:rPr>
        <w:t>لم نجد عنوانًا آخر للقاعدة، وسنشير إلى أنَّها فرعٌ فقهيٌّ بحَثَ عنه بعضُ الأصحاب لشدَّة اهتمامِهِم به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979190_1280447820"/>
      <w:bookmarkStart w:id="230" w:name="_Toc84"/>
      <w:bookmarkEnd w:id="229"/>
      <w:r>
        <w:rPr>
          <w:rtl w:val="true"/>
        </w:rPr>
        <w:t>توضيح مفاد القاعدة</w:t>
      </w:r>
      <w:bookmarkEnd w:id="2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السُّكر هو ذِهاب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اللُّغويِّين؛ قال ابنُفارِسٍ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والكاف والرَّاء أصلٌ واحدٌ يدلُّ علىٰ حيرةٍ‌، من ذلك السُّكْرُ من الشَّراب</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وعن ابن دُريدٍ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واشتقاقُه من سَكِرَتِ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سكنَتْ‌، كأنَّ الشَّراب سكر عقله،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سدَّ عليه طريقَه</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وعن الرَّاغب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 حالةٌ تعرض بين المرء وعقله، وأكثرُ ما يُستَعمَل ذلك في الشَّراب</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وعن ابنِسيدة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 نقيضُ السَّحو</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وقد أخَذَه عن الخليل قدس سره</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الجملة من المفاهيم الواضحة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اكتفىٰ ابنُدُريدٍ قدس سره بأن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كالصَّاحب إسماعيل قدس سره</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فلانحتاج إلى البحث عن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كُنه معناه فهو في غاية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حالةٌ تحصُلُ للنَّفس قوىً فتغلبُ علىٰ العقل فتَمنَعُه عن أن يحكُمَ علىٰ هذه القُوىٰ‌، بل القوىٰ تحكم علىٰ العقل وتُبطِلُه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المتناوَل المغيِّر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تغيبَ معه الحواسُّ الخمسُ‌؛</w:t>
      </w:r>
    </w:p>
    <w:p>
      <w:pPr>
        <w:pStyle w:val="BookText"/>
        <w:rPr/>
      </w:pP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المرقِدُ؛</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معه نشوةٌ وسرورٌ وقوَّةُ نفسٍ عند غالب المتناوِلين له؛</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المُسكِر؛ </w:t>
      </w:r>
      <w:bookmarkStart w:id="231" w:name="pg20339_220396"/>
    </w:p>
    <w:p>
      <w:pPr>
        <w:pStyle w:val="BookText"/>
        <w:rPr/>
      </w:pPr>
      <w:bookmarkEnd w:id="231"/>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 للعقل، كالبَنْج والشَّوكران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والجنون والخَيال والوهم بل النَّوم والمرض أيضًا من مراتب تغلُّب القوىٰ علىٰ العقل الدَّانيَة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1979192_1280447820"/>
      <w:bookmarkStart w:id="233" w:name="_Toc85"/>
      <w:bookmarkEnd w:id="232"/>
      <w:r>
        <w:rPr>
          <w:rtl w:val="true"/>
        </w:rPr>
        <w:t>مدركُ القاعدة</w:t>
      </w:r>
      <w:bookmarkEnd w:id="233"/>
    </w:p>
    <w:p>
      <w:pPr>
        <w:pStyle w:val="Heading4"/>
        <w:numPr>
          <w:ilvl w:val="3"/>
          <w:numId w:val="1"/>
        </w:numPr>
        <w:rPr/>
      </w:pPr>
      <w:bookmarkStart w:id="234" w:name="__RefHeading___Toc11979194_1280447820"/>
      <w:bookmarkStart w:id="235" w:name="_Toc86"/>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حرمة جميع المُسكرات ممَّا لاإشكال ولا كلام فيه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979196_1280447820"/>
      <w:bookmarkStart w:id="237" w:name="_Toc87"/>
      <w:bookmarkEnd w:id="236"/>
      <w:r>
        <w:rPr>
          <w:rtl w:val="true"/>
        </w:rPr>
        <w:t>أوَّلًا</w:t>
      </w:r>
      <w:r>
        <w:rPr>
          <w:rtl w:val="true"/>
        </w:rPr>
        <w:t xml:space="preserve">: </w:t>
      </w:r>
      <w:r>
        <w:rPr>
          <w:rtl w:val="true"/>
        </w:rPr>
        <w:t>الكتاب</w:t>
      </w:r>
      <w:bookmarkEnd w:id="237"/>
    </w:p>
    <w:p>
      <w:pPr>
        <w:pStyle w:val="BookText"/>
        <w:rPr/>
      </w:pPr>
      <w:r>
        <w:rPr>
          <w:rFonts w:ascii="Amiri" w:hAnsi="Amiri" w:eastAsia="Amiri" w:cs="Amiri"/>
          <w:color w:val="111111"/>
          <w:sz w:val="28"/>
          <w:sz w:val="28"/>
          <w:szCs w:val="28"/>
          <w:rtl w:val="true"/>
          <w:lang w:bidi="ar-SA"/>
        </w:rPr>
        <w:t xml:space="preserve">فمن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لواُنضُمَّ إليه تنزيلُ غير الخمر منزلةَ الخمر؛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إليه الشَّيخُ قدس سره، فإنَّه بعد أن بيَّنَ اشتقاقَ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الاشتقاق يجب أن يُسمَّىٰ النَّبيذُ وكلُّ مسكرٍ علىٰ اختلاف أنواعه خمرًا، لاشتراكها في المعنىٰ‌؛ وأن يُجرىٰ عليها أجمع جميع أحكامِ الخمر</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عنه إلى ما ذكره مُفسِّري كلام اللَّه، ولاسيَّما النَّاظرون منهم إلى أحكامه الفقهيَّة من الفريقين؛ كالطَّبرسيِّ قدس سره</w:t>
      </w:r>
      <w:r>
        <w:rPr>
          <w:rStyle w:val="FootnoteAnchor"/>
          <w:rtl w:val="true"/>
        </w:rPr>
        <w:footnoteReference w:id="595"/>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596"/>
      </w:r>
      <w:r>
        <w:rPr>
          <w:rFonts w:ascii="IRNazanin" w:hAnsi="IRNazanin" w:eastAsia="IRNazanin"/>
          <w:color w:val="111111"/>
          <w:sz w:val="28"/>
          <w:sz w:val="28"/>
          <w:szCs w:val="28"/>
          <w:rtl w:val="true"/>
          <w:lang w:bidi="fa-IR"/>
        </w:rPr>
        <w:t xml:space="preserve">، والفاضل الجواد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علىٰ‌ </w:t>
      </w:r>
      <w:bookmarkStart w:id="238" w:name="pg20339_220397"/>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كلُّ شرابٍ مسكرٍ، ولايختصُّ بعصير العِنب</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وجهين للاِستدلال به علىٰ نجاسة الخمر</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العربي قدس سره</w:t>
      </w:r>
      <w:r>
        <w:rPr>
          <w:rStyle w:val="FootnoteAnchor"/>
          <w:rtl w:val="true"/>
        </w:rPr>
        <w:footnoteReference w:id="599"/>
      </w:r>
      <w:r>
        <w:rPr>
          <w:rFonts w:ascii="Amiri" w:hAnsi="Amiri" w:eastAsia="Amiri" w:cs="Amiri"/>
          <w:color w:val="111111"/>
          <w:sz w:val="28"/>
          <w:sz w:val="28"/>
          <w:szCs w:val="28"/>
          <w:rtl w:val="true"/>
          <w:lang w:bidi="ar-SA"/>
        </w:rPr>
        <w:t>، والجصَّاص قدس سره</w:t>
      </w:r>
      <w:r>
        <w:rPr>
          <w:rStyle w:val="FootnoteAnchor"/>
          <w:rtl w:val="true"/>
        </w:rPr>
        <w:footnoteReference w:id="600"/>
      </w:r>
      <w:r>
        <w:rPr>
          <w:rFonts w:ascii="Amiri" w:hAnsi="Amiri" w:eastAsia="Amiri" w:cs="Amiri"/>
          <w:color w:val="111111"/>
          <w:sz w:val="28"/>
          <w:sz w:val="28"/>
          <w:szCs w:val="28"/>
          <w:rtl w:val="true"/>
          <w:lang w:bidi="ar-SA"/>
        </w:rPr>
        <w:t>، والكياهراسي قدس سره</w:t>
      </w:r>
      <w:r>
        <w:rPr>
          <w:rStyle w:val="FootnoteAnchor"/>
          <w:rtl w:val="true"/>
        </w:rPr>
        <w:footnoteReference w:id="601"/>
      </w:r>
      <w:r>
        <w:rPr>
          <w:rFonts w:ascii="Amiri" w:hAnsi="Amiri" w:eastAsia="Amiri" w:cs="Amiri"/>
          <w:color w:val="111111"/>
          <w:sz w:val="28"/>
          <w:sz w:val="28"/>
          <w:szCs w:val="28"/>
          <w:rtl w:val="true"/>
          <w:lang w:bidi="ar-SA"/>
        </w:rPr>
        <w:t>، والقرطبي قدس سره</w:t>
      </w:r>
      <w:r>
        <w:rPr>
          <w:rStyle w:val="FootnoteAnchor"/>
          <w:rtl w:val="true"/>
        </w:rPr>
        <w:footnoteReference w:id="60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979198_1280447820"/>
      <w:bookmarkStart w:id="240" w:name="_Toc88"/>
      <w:bookmarkEnd w:id="239"/>
      <w:r>
        <w:rPr>
          <w:rtl w:val="true"/>
        </w:rPr>
        <w:t>ثانيًا</w:t>
      </w:r>
      <w:r>
        <w:rPr>
          <w:rtl w:val="true"/>
        </w:rPr>
        <w:t xml:space="preserve">: </w:t>
      </w:r>
      <w:r>
        <w:rPr>
          <w:rtl w:val="true"/>
        </w:rPr>
        <w:t>الرِّوايات</w:t>
      </w:r>
      <w:bookmarkEnd w:id="240"/>
    </w:p>
    <w:p>
      <w:pPr>
        <w:pStyle w:val="BookText"/>
        <w:rPr/>
      </w:pPr>
      <w:r>
        <w:rPr>
          <w:rFonts w:ascii="Amiri" w:hAnsi="Amiri" w:eastAsia="Amiri" w:cs="Amiri"/>
          <w:color w:val="111111"/>
          <w:sz w:val="28"/>
          <w:sz w:val="28"/>
          <w:szCs w:val="28"/>
          <w:rtl w:val="true"/>
          <w:lang w:bidi="ar-SA"/>
        </w:rPr>
        <w:t>وكما ورد في كثيرٍ من روايات الباب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العلَّامةُ قدس سره</w:t>
      </w:r>
      <w:r>
        <w:rPr>
          <w:rStyle w:val="FootnoteAnchor"/>
          <w:rtl w:val="true"/>
        </w:rPr>
        <w:footnoteReference w:id="603"/>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604"/>
      </w:r>
      <w:r>
        <w:rPr>
          <w:rFonts w:ascii="Amiri" w:hAnsi="Amiri" w:eastAsia="Amiri" w:cs="Amiri"/>
          <w:color w:val="111111"/>
          <w:sz w:val="28"/>
          <w:sz w:val="28"/>
          <w:szCs w:val="28"/>
          <w:rtl w:val="true"/>
          <w:lang w:bidi="ar-SA"/>
        </w:rPr>
        <w:t>، وأوَّل المجلسيَّين قدس سرهما</w:t>
      </w:r>
      <w:r>
        <w:rPr>
          <w:rStyle w:val="FootnoteAnchor"/>
          <w:rtl w:val="true"/>
        </w:rPr>
        <w:footnoteReference w:id="605"/>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60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6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608"/>
      </w:r>
      <w:r>
        <w:rPr>
          <w:rFonts w:ascii="Amiri" w:hAnsi="Amiri" w:eastAsia="Amiri" w:cs="Amiri"/>
          <w:color w:val="111111"/>
          <w:sz w:val="28"/>
          <w:sz w:val="28"/>
          <w:szCs w:val="28"/>
          <w:rtl w:val="true"/>
          <w:lang w:bidi="ar-SA"/>
        </w:rPr>
        <w:t>، والفيضُ قدس سره</w:t>
      </w:r>
      <w:r>
        <w:rPr>
          <w:rStyle w:val="FootnoteAnchor"/>
          <w:rtl w:val="true"/>
        </w:rPr>
        <w:footnoteReference w:id="609"/>
      </w:r>
      <w:r>
        <w:rPr>
          <w:rFonts w:ascii="Amiri" w:hAnsi="Amiri" w:eastAsia="Amiri" w:cs="Amiri"/>
          <w:color w:val="111111"/>
          <w:sz w:val="28"/>
          <w:sz w:val="28"/>
          <w:szCs w:val="28"/>
          <w:rtl w:val="true"/>
          <w:lang w:bidi="ar-SA"/>
        </w:rPr>
        <w:t>، والحرُّ قدس سره</w:t>
      </w:r>
      <w:r>
        <w:rPr>
          <w:rStyle w:val="FootnoteAnchor"/>
          <w:rtl w:val="true"/>
        </w:rPr>
        <w:footnoteReference w:id="61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في نجاسة المُسكِر المائع بالأصالة، فالمشهورُ قديمًا وحديثًا علىٰ نجاسته، كما عليه المفيدُ قدس سره</w:t>
      </w:r>
      <w:r>
        <w:rPr>
          <w:rStyle w:val="FootnoteAnchor"/>
          <w:rtl w:val="true"/>
        </w:rPr>
        <w:footnoteReference w:id="611"/>
      </w:r>
      <w:r>
        <w:rPr>
          <w:rFonts w:ascii="Amiri" w:hAnsi="Amiri" w:eastAsia="Amiri" w:cs="Amiri"/>
          <w:color w:val="111111"/>
          <w:sz w:val="28"/>
          <w:sz w:val="28"/>
          <w:szCs w:val="28"/>
          <w:rtl w:val="true"/>
          <w:lang w:bidi="ar-SA"/>
        </w:rPr>
        <w:t>، وابنُحمزة قدس سره</w:t>
      </w:r>
      <w:r>
        <w:rPr>
          <w:rStyle w:val="FootnoteAnchor"/>
          <w:rtl w:val="true"/>
        </w:rPr>
        <w:footnoteReference w:id="612"/>
      </w:r>
      <w:r>
        <w:rPr>
          <w:rFonts w:ascii="Amiri" w:hAnsi="Amiri" w:eastAsia="Amiri" w:cs="Amiri"/>
          <w:color w:val="111111"/>
          <w:sz w:val="28"/>
          <w:sz w:val="28"/>
          <w:szCs w:val="28"/>
          <w:rtl w:val="true"/>
          <w:lang w:bidi="ar-SA"/>
        </w:rPr>
        <w:t>، والشَّيخ قدس سره</w:t>
      </w:r>
      <w:r>
        <w:rPr>
          <w:rStyle w:val="FootnoteAnchor"/>
          <w:rtl w:val="true"/>
        </w:rPr>
        <w:footnoteReference w:id="613"/>
      </w:r>
      <w:r>
        <w:rPr>
          <w:rFonts w:ascii="Amiri" w:hAnsi="Amiri" w:eastAsia="Amiri" w:cs="Amiri"/>
          <w:color w:val="111111"/>
          <w:sz w:val="28"/>
          <w:sz w:val="28"/>
          <w:szCs w:val="28"/>
          <w:rtl w:val="true"/>
          <w:lang w:bidi="ar-SA"/>
        </w:rPr>
        <w:t>، وفي مبسوطه</w:t>
      </w:r>
      <w:r>
        <w:rPr>
          <w:rStyle w:val="FootnoteAnchor"/>
          <w:rtl w:val="true"/>
        </w:rPr>
        <w:footnoteReference w:id="614"/>
      </w:r>
      <w:r>
        <w:rPr>
          <w:rFonts w:ascii="Amiri" w:hAnsi="Amiri" w:eastAsia="Amiri" w:cs="Amiri"/>
          <w:color w:val="111111"/>
          <w:sz w:val="28"/>
          <w:sz w:val="28"/>
          <w:szCs w:val="28"/>
          <w:rtl w:val="true"/>
          <w:lang w:bidi="ar-SA"/>
        </w:rPr>
        <w:t>، وابنُإدريس قدس سره</w:t>
      </w:r>
      <w:r>
        <w:rPr>
          <w:rStyle w:val="FootnoteAnchor"/>
          <w:rtl w:val="true"/>
        </w:rPr>
        <w:footnoteReference w:id="615"/>
      </w:r>
      <w:r>
        <w:rPr>
          <w:rFonts w:ascii="Amiri" w:hAnsi="Amiri" w:eastAsia="Amiri" w:cs="Amiri"/>
          <w:color w:val="111111"/>
          <w:sz w:val="28"/>
          <w:sz w:val="28"/>
          <w:szCs w:val="28"/>
          <w:rtl w:val="true"/>
          <w:lang w:bidi="ar-SA"/>
        </w:rPr>
        <w:t>، والمحقِّق قدس سره</w:t>
      </w:r>
      <w:r>
        <w:rPr>
          <w:rStyle w:val="FootnoteAnchor"/>
          <w:rtl w:val="true"/>
        </w:rPr>
        <w:footnoteReference w:id="616"/>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617"/>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618"/>
      </w:r>
      <w:r>
        <w:rPr>
          <w:rFonts w:ascii="Amiri" w:hAnsi="Amiri" w:eastAsia="Amiri" w:cs="Amiri"/>
          <w:color w:val="111111"/>
          <w:sz w:val="28"/>
          <w:sz w:val="28"/>
          <w:szCs w:val="28"/>
          <w:rtl w:val="true"/>
          <w:lang w:bidi="ar-SA"/>
        </w:rPr>
        <w:t>، والعلَّامة قدس سره</w:t>
      </w:r>
      <w:r>
        <w:rPr>
          <w:rStyle w:val="FootnoteAnchor"/>
          <w:rtl w:val="true"/>
        </w:rPr>
        <w:footnoteReference w:id="619"/>
      </w:r>
      <w:r>
        <w:rPr>
          <w:rFonts w:ascii="Amiri" w:hAnsi="Amiri" w:eastAsia="Amiri" w:cs="Amiri"/>
          <w:color w:val="111111"/>
          <w:sz w:val="28"/>
          <w:sz w:val="28"/>
          <w:szCs w:val="28"/>
          <w:rtl w:val="true"/>
          <w:lang w:bidi="ar-SA"/>
        </w:rPr>
        <w:t>، وفي تذكرته</w:t>
      </w:r>
      <w:r>
        <w:rPr>
          <w:rStyle w:val="FootnoteAnchor"/>
          <w:rtl w:val="true"/>
        </w:rPr>
        <w:footnoteReference w:id="620"/>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621"/>
      </w:r>
      <w:r>
        <w:rPr>
          <w:rFonts w:ascii="Amiri" w:hAnsi="Amiri" w:eastAsia="Amiri" w:cs="Amiri"/>
          <w:color w:val="111111"/>
          <w:sz w:val="28"/>
          <w:sz w:val="28"/>
          <w:szCs w:val="28"/>
          <w:rtl w:val="true"/>
          <w:lang w:bidi="ar-SA"/>
        </w:rPr>
        <w:t>، والصَّيمُريُّ قدس سره</w:t>
      </w:r>
      <w:r>
        <w:rPr>
          <w:rStyle w:val="FootnoteAnchor"/>
          <w:rtl w:val="true"/>
        </w:rPr>
        <w:footnoteReference w:id="622"/>
      </w:r>
      <w:r>
        <w:rPr>
          <w:rFonts w:ascii="Amiri" w:hAnsi="Amiri" w:eastAsia="Amiri" w:cs="Amiri"/>
          <w:color w:val="111111"/>
          <w:sz w:val="28"/>
          <w:sz w:val="28"/>
          <w:szCs w:val="28"/>
          <w:rtl w:val="true"/>
          <w:lang w:bidi="ar-SA"/>
        </w:rPr>
        <w:t>، وغيرهم؛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خالفَهُم من القدماء الصَّدوق قدس سره</w:t>
      </w:r>
      <w:r>
        <w:rPr>
          <w:rStyle w:val="FootnoteAnchor"/>
          <w:rtl w:val="true"/>
        </w:rPr>
        <w:footnoteReference w:id="623"/>
      </w:r>
      <w:r>
        <w:rPr>
          <w:rFonts w:ascii="Amiri" w:hAnsi="Amiri" w:eastAsia="Amiri" w:cs="Amiri"/>
          <w:color w:val="111111"/>
          <w:sz w:val="28"/>
          <w:sz w:val="28"/>
          <w:szCs w:val="28"/>
          <w:rtl w:val="true"/>
          <w:lang w:bidi="ar-SA"/>
        </w:rPr>
        <w:t>، وابنُ أبي عقيلٍ قدس سره</w:t>
      </w:r>
      <w:r>
        <w:rPr>
          <w:rStyle w:val="FootnoteAnchor"/>
          <w:rtl w:val="true"/>
        </w:rPr>
        <w:footnoteReference w:id="624"/>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المُتَأخِّرين المقدَّس المحقِّق الأردبيليُّ قدس سره</w:t>
      </w:r>
      <w:r>
        <w:rPr>
          <w:rStyle w:val="FootnoteAnchor"/>
          <w:rtl w:val="true"/>
        </w:rPr>
        <w:footnoteReference w:id="625"/>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626"/>
      </w:r>
      <w:r>
        <w:rPr>
          <w:rFonts w:ascii="Amiri" w:hAnsi="Amiri" w:eastAsia="Amiri" w:cs="Amiri"/>
          <w:color w:val="111111"/>
          <w:sz w:val="28"/>
          <w:sz w:val="28"/>
          <w:szCs w:val="28"/>
          <w:rtl w:val="true"/>
          <w:lang w:bidi="ar-SA"/>
        </w:rPr>
        <w:t>، وصاحب الذَّخيرة قدس سره</w:t>
      </w:r>
      <w:r>
        <w:rPr>
          <w:rStyle w:val="FootnoteAnchor"/>
          <w:rtl w:val="true"/>
        </w:rPr>
        <w:footnoteReference w:id="627"/>
      </w:r>
      <w:r>
        <w:rPr>
          <w:rFonts w:ascii="Amiri" w:hAnsi="Amiri" w:eastAsia="Amiri" w:cs="Amiri"/>
          <w:color w:val="111111"/>
          <w:sz w:val="28"/>
          <w:sz w:val="28"/>
          <w:szCs w:val="28"/>
          <w:rtl w:val="true"/>
          <w:lang w:bidi="ar-SA"/>
        </w:rPr>
        <w:t>، والفيض الكاشانيُّ قدس سره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الفقه علىٰ المذاهب الأربعة</w:t>
      </w:r>
      <w:r>
        <w:rPr>
          <w:rStyle w:val="FootnoteAnchor"/>
          <w:rtl w:val="true"/>
        </w:rPr>
        <w:footnoteReference w:id="629"/>
      </w:r>
      <w:r>
        <w:rPr>
          <w:rFonts w:ascii="Amiri" w:hAnsi="Amiri" w:eastAsia="Amiri" w:cs="Amiri"/>
          <w:color w:val="111111"/>
          <w:sz w:val="28"/>
          <w:sz w:val="28"/>
          <w:szCs w:val="28"/>
          <w:rtl w:val="true"/>
          <w:lang w:bidi="ar-SA"/>
        </w:rPr>
        <w:t>ثبوتَ الشُّهرة علىٰ المسألة بين العامَّة، ولم يُذكَر أحدٌ خالَفَها إلَّاربيعةُ الرَّأي؛ كما نسبه إليه النَّوَوِيُّ قدس سره</w:t>
      </w:r>
      <w:r>
        <w:rPr>
          <w:rStyle w:val="FootnoteAnchor"/>
          <w:rtl w:val="true"/>
        </w:rPr>
        <w:footnoteReference w:id="630"/>
      </w:r>
      <w:r>
        <w:rPr>
          <w:rFonts w:ascii="Amiri" w:hAnsi="Amiri" w:eastAsia="Amiri" w:cs="Amiri"/>
          <w:color w:val="111111"/>
          <w:sz w:val="28"/>
          <w:sz w:val="28"/>
          <w:szCs w:val="28"/>
          <w:rtl w:val="true"/>
          <w:lang w:bidi="ar-SA"/>
        </w:rPr>
        <w:t>، والشَّيخ جعفرٌ الكبيرُ قدس سره</w:t>
      </w:r>
      <w:r>
        <w:rPr>
          <w:rStyle w:val="FootnoteAnchor"/>
          <w:rtl w:val="true"/>
        </w:rPr>
        <w:footnoteReference w:id="631"/>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63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الأصحابُ برواياتٍ‌، حيث لا دليل علىٰ المسألة من الكتاب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ذكرها في الكتاب العزيز، حيث ورد فيه إنَّه رجسٌ‌، إلَّاأنَّ الرِّجس بقرينة المقام هو الحُرمة، لا النِّجاسة؛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طريقٍ للعقل إليها، حيث إنَّ من العقلاء في الجاهليَّة من حرَّم الخمرَ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حرمة الخمر من المستقلَّات العقليَّة</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ليس للعقل أنْ يحكُمَ بأنَّه من النَّجس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هي الرِّوايات؛ وهي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 شيخُنا البهائيُّ قدس سره</w:t>
      </w:r>
      <w:r>
        <w:rPr>
          <w:rStyle w:val="FootnoteAnchor"/>
          <w:rtl w:val="true"/>
        </w:rPr>
        <w:footnoteReference w:id="634"/>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635"/>
      </w:r>
      <w:r>
        <w:rPr>
          <w:rFonts w:ascii="Amiri" w:hAnsi="Amiri" w:eastAsia="Amiri" w:cs="Amiri"/>
          <w:color w:val="111111"/>
          <w:sz w:val="28"/>
          <w:sz w:val="28"/>
          <w:szCs w:val="28"/>
          <w:rtl w:val="true"/>
          <w:lang w:bidi="ar-SA"/>
        </w:rPr>
        <w:t xml:space="preserve">، ولا أقلَّ من كونها 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إن عرفتَ موضعَه، فإن لم تعرف موضعَه فاغسِله كلَّه، وإن صلَّيتَ فيه فأَعِدْ صلواتَك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636"/>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637"/>
      </w:r>
      <w:r>
        <w:rPr>
          <w:rFonts w:ascii="IRNazanin" w:hAnsi="IRNazanin" w:eastAsia="IRNazanin"/>
          <w:color w:val="111111"/>
          <w:sz w:val="28"/>
          <w:sz w:val="28"/>
          <w:szCs w:val="28"/>
          <w:rtl w:val="true"/>
          <w:lang w:bidi="fa-IR"/>
        </w:rPr>
        <w:t>، واِستبصاره</w:t>
      </w:r>
      <w:r>
        <w:rPr>
          <w:rStyle w:val="FootnoteAnchor"/>
          <w:rtl w:val="true"/>
        </w:rPr>
        <w:footnoteReference w:id="638"/>
      </w:r>
      <w:r>
        <w:rPr>
          <w:rFonts w:ascii="Amiri" w:hAnsi="Amiri" w:eastAsia="Amiri" w:cs="Amiri"/>
          <w:color w:val="111111"/>
          <w:sz w:val="28"/>
          <w:sz w:val="28"/>
          <w:szCs w:val="28"/>
          <w:rtl w:val="true"/>
          <w:lang w:bidi="ar-SA"/>
        </w:rPr>
        <w:t>، والفيض قدس سره</w:t>
      </w:r>
      <w:r>
        <w:rPr>
          <w:rStyle w:val="FootnoteAnchor"/>
          <w:rtl w:val="true"/>
        </w:rPr>
        <w:footnoteReference w:id="639"/>
      </w:r>
      <w:r>
        <w:rPr>
          <w:rFonts w:ascii="Amiri" w:hAnsi="Amiri" w:eastAsia="Amiri" w:cs="Amiri"/>
          <w:color w:val="111111"/>
          <w:sz w:val="28"/>
          <w:sz w:val="28"/>
          <w:szCs w:val="28"/>
          <w:rtl w:val="true"/>
          <w:lang w:bidi="ar-SA"/>
        </w:rPr>
        <w:t>، والحرُّ قدس سره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مرسلًا مجهولًا، كما في الملاذ</w:t>
      </w:r>
      <w:r>
        <w:rPr>
          <w:rStyle w:val="FootnoteAnchor"/>
          <w:rtl w:val="true"/>
        </w:rPr>
        <w:footnoteReference w:id="641"/>
      </w:r>
      <w:r>
        <w:rPr>
          <w:rFonts w:ascii="Amiri" w:hAnsi="Amiri" w:eastAsia="Amiri" w:cs="Amiri"/>
          <w:color w:val="111111"/>
          <w:sz w:val="28"/>
          <w:sz w:val="28"/>
          <w:szCs w:val="28"/>
          <w:rtl w:val="true"/>
          <w:lang w:bidi="ar-SA"/>
        </w:rPr>
        <w:t>والمرآة</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643"/>
      </w:r>
      <w:r>
        <w:rPr>
          <w:rFonts w:ascii="Amiri" w:hAnsi="Amiri" w:eastAsia="Amiri" w:cs="Amiri"/>
          <w:color w:val="111111"/>
          <w:sz w:val="28"/>
          <w:sz w:val="28"/>
          <w:szCs w:val="28"/>
          <w:rtl w:val="true"/>
          <w:lang w:bidi="ar-SA"/>
        </w:rPr>
        <w:t>، والشَّيخ قدس سره</w:t>
      </w:r>
      <w:r>
        <w:rPr>
          <w:rStyle w:val="FootnoteAnchor"/>
          <w:rtl w:val="true"/>
        </w:rPr>
        <w:footnoteReference w:id="644"/>
      </w:r>
      <w:r>
        <w:rPr>
          <w:rFonts w:ascii="Amiri" w:hAnsi="Amiri" w:eastAsia="Amiri" w:cs="Amiri"/>
          <w:color w:val="111111"/>
          <w:sz w:val="28"/>
          <w:sz w:val="28"/>
          <w:szCs w:val="28"/>
          <w:rtl w:val="true"/>
          <w:lang w:bidi="ar-SA"/>
        </w:rPr>
        <w:t>، والفيض قدس سره</w:t>
      </w:r>
      <w:r>
        <w:rPr>
          <w:rStyle w:val="FootnoteAnchor"/>
          <w:rtl w:val="true"/>
        </w:rPr>
        <w:footnoteReference w:id="645"/>
      </w:r>
      <w:r>
        <w:rPr>
          <w:rFonts w:ascii="Amiri" w:hAnsi="Amiri" w:eastAsia="Amiri" w:cs="Amiri"/>
          <w:color w:val="111111"/>
          <w:sz w:val="28"/>
          <w:sz w:val="28"/>
          <w:szCs w:val="28"/>
          <w:rtl w:val="true"/>
          <w:lang w:bidi="ar-SA"/>
        </w:rPr>
        <w:t>، والحرُّ قدس سره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القائلين بطَهارته تمسَّكوا برواياتٍ‌؛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موثَّقةً‌، كما وثَّقها المجلسيُّ قدس سره في ملاذه</w:t>
      </w:r>
      <w:r>
        <w:rPr>
          <w:rStyle w:val="FootnoteAnchor"/>
          <w:rtl w:val="true"/>
        </w:rPr>
        <w:footnoteReference w:id="647"/>
      </w:r>
      <w:r>
        <w:rPr>
          <w:rFonts w:ascii="Amiri" w:hAnsi="Amiri" w:eastAsia="Amiri" w:cs="Amiri"/>
          <w:color w:val="111111"/>
          <w:sz w:val="28"/>
          <w:sz w:val="28"/>
          <w:szCs w:val="28"/>
          <w:rtl w:val="true"/>
          <w:lang w:bidi="ar-SA"/>
        </w:rPr>
        <w:t>، كالسَّبزواريِّ قدس سره</w:t>
      </w:r>
      <w:r>
        <w:rPr>
          <w:rStyle w:val="FootnoteAnchor"/>
          <w:rtl w:val="true"/>
        </w:rPr>
        <w:footnoteReference w:id="648"/>
      </w:r>
      <w:r>
        <w:rPr>
          <w:rFonts w:ascii="IRNazanin" w:hAnsi="IRNazanin" w:eastAsia="IRNazanin"/>
          <w:color w:val="111111"/>
          <w:sz w:val="28"/>
          <w:sz w:val="28"/>
          <w:szCs w:val="28"/>
          <w:rtl w:val="true"/>
          <w:lang w:bidi="fa-IR"/>
        </w:rPr>
        <w:t>، وصاحب المعالم قدس سره</w:t>
      </w:r>
      <w:r>
        <w:rPr>
          <w:rStyle w:val="FootnoteAnchor"/>
          <w:rtl w:val="true"/>
        </w:rPr>
        <w:footnoteReference w:id="649"/>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أباعبداللَّه عليه السلام وأنا عنده عن المُسكِر والنَّبيذ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650"/>
      </w:r>
      <w:r>
        <w:rPr>
          <w:rFonts w:ascii="Amiri" w:hAnsi="Amiri" w:eastAsia="Amiri" w:cs="Amiri"/>
          <w:color w:val="111111"/>
          <w:sz w:val="28"/>
          <w:sz w:val="28"/>
          <w:szCs w:val="28"/>
          <w:rtl w:val="true"/>
          <w:lang w:bidi="ar-SA"/>
        </w:rPr>
        <w:t>، وفي تهذيبه</w:t>
      </w:r>
      <w:r>
        <w:rPr>
          <w:rStyle w:val="FootnoteAnchor"/>
          <w:rtl w:val="true"/>
        </w:rPr>
        <w:footnoteReference w:id="651"/>
      </w:r>
      <w:r>
        <w:rPr>
          <w:rFonts w:ascii="Amiri" w:hAnsi="Amiri" w:eastAsia="Amiri" w:cs="Amiri"/>
          <w:color w:val="111111"/>
          <w:sz w:val="28"/>
          <w:sz w:val="28"/>
          <w:szCs w:val="28"/>
          <w:rtl w:val="true"/>
          <w:lang w:bidi="ar-SA"/>
        </w:rPr>
        <w:t>، والفيضُ قدس سره</w:t>
      </w:r>
      <w:r>
        <w:rPr>
          <w:rStyle w:val="FootnoteAnchor"/>
          <w:rtl w:val="true"/>
        </w:rPr>
        <w:footnoteReference w:id="652"/>
      </w:r>
      <w:r>
        <w:rPr>
          <w:rFonts w:ascii="Amiri" w:hAnsi="Amiri" w:eastAsia="Amiri" w:cs="Amiri"/>
          <w:color w:val="111111"/>
          <w:sz w:val="28"/>
          <w:sz w:val="28"/>
          <w:szCs w:val="28"/>
          <w:rtl w:val="true"/>
          <w:lang w:bidi="ar-SA"/>
        </w:rPr>
        <w:t>، والحرُّ قدس سره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يشرب الخمرَ ثمَّ يمُجُّه من فِيه فيصيبُ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الشَّيخ قدس سره</w:t>
      </w:r>
      <w:r>
        <w:rPr>
          <w:rStyle w:val="FootnoteAnchor"/>
          <w:rtl w:val="true"/>
        </w:rPr>
        <w:footnoteReference w:id="654"/>
      </w:r>
      <w:r>
        <w:rPr>
          <w:rFonts w:ascii="Amiri" w:hAnsi="Amiri" w:eastAsia="Amiri" w:cs="Amiri"/>
          <w:color w:val="111111"/>
          <w:sz w:val="28"/>
          <w:sz w:val="28"/>
          <w:szCs w:val="28"/>
          <w:rtl w:val="true"/>
          <w:lang w:bidi="ar-SA"/>
        </w:rPr>
        <w:t>، وفي تهذيبه</w:t>
      </w:r>
      <w:r>
        <w:rPr>
          <w:rStyle w:val="FootnoteAnchor"/>
          <w:rtl w:val="true"/>
        </w:rPr>
        <w:footnoteReference w:id="655"/>
      </w:r>
      <w:r>
        <w:rPr>
          <w:rFonts w:ascii="Amiri" w:hAnsi="Amiri" w:eastAsia="Amiri" w:cs="Amiri"/>
          <w:color w:val="111111"/>
          <w:sz w:val="28"/>
          <w:sz w:val="28"/>
          <w:szCs w:val="28"/>
          <w:rtl w:val="true"/>
          <w:lang w:bidi="ar-SA"/>
        </w:rPr>
        <w:t>، والفيضُ قدس سره</w:t>
      </w:r>
      <w:r>
        <w:rPr>
          <w:rStyle w:val="FootnoteAnchor"/>
          <w:rtl w:val="true"/>
        </w:rPr>
        <w:footnoteReference w:id="656"/>
      </w:r>
      <w:r>
        <w:rPr>
          <w:rFonts w:ascii="Amiri" w:hAnsi="Amiri" w:eastAsia="Amiri" w:cs="Amiri"/>
          <w:color w:val="111111"/>
          <w:sz w:val="28"/>
          <w:sz w:val="28"/>
          <w:szCs w:val="28"/>
          <w:rtl w:val="true"/>
          <w:lang w:bidi="ar-SA"/>
        </w:rPr>
        <w:t>، والحرُّ قدس سره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والخبرُ وإن حكَمَ السَّيِّد الجزائريُّ قدس سره بضعفه</w:t>
      </w:r>
      <w:r>
        <w:rPr>
          <w:rStyle w:val="FootnoteAnchor"/>
          <w:rtl w:val="true"/>
        </w:rPr>
        <w:footnoteReference w:id="658"/>
      </w:r>
      <w:r>
        <w:rPr>
          <w:rFonts w:ascii="Amiri" w:hAnsi="Amiri" w:eastAsia="Amiri" w:cs="Amiri"/>
          <w:color w:val="111111"/>
          <w:sz w:val="28"/>
          <w:sz w:val="28"/>
          <w:szCs w:val="28"/>
          <w:rtl w:val="true"/>
          <w:lang w:bidi="ar-SA"/>
        </w:rPr>
        <w:t>، والعلَّامة المجلسيُّ قدس سره بكونه مجهولًا</w:t>
      </w:r>
      <w:r>
        <w:rPr>
          <w:rStyle w:val="FootnoteAnchor"/>
          <w:rtl w:val="true"/>
        </w:rPr>
        <w:footnoteReference w:id="659"/>
      </w:r>
      <w:r>
        <w:rPr>
          <w:rFonts w:ascii="Amiri" w:hAnsi="Amiri" w:eastAsia="Amiri" w:cs="Amiri"/>
          <w:color w:val="111111"/>
          <w:sz w:val="28"/>
          <w:sz w:val="28"/>
          <w:szCs w:val="28"/>
          <w:rtl w:val="true"/>
          <w:lang w:bidi="ar-SA"/>
        </w:rPr>
        <w:t>، لكنَّه لابأس به عندنا؛ كما حكمَ الشَّيخُ العراقيُّ النَّجفيُّ قدس سره</w:t>
      </w:r>
      <w:r>
        <w:rPr>
          <w:rStyle w:val="FootnoteAnchor"/>
          <w:rtl w:val="true"/>
        </w:rPr>
        <w:footnoteReference w:id="660"/>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661"/>
      </w:r>
      <w:r>
        <w:rPr>
          <w:rFonts w:ascii="Amiri" w:hAnsi="Amiri" w:eastAsia="Amiri" w:cs="Amiri"/>
          <w:color w:val="111111"/>
          <w:sz w:val="28"/>
          <w:sz w:val="28"/>
          <w:szCs w:val="28"/>
          <w:rtl w:val="true"/>
          <w:lang w:bidi="ar-SA"/>
        </w:rPr>
        <w:t>، وغيرهما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تمهيديَّة في الفقه الاِستدلالي،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هاتين الطَّائفَتَين من الرِّوايات الَّتي لاتعارُضَ بينهما عندنا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حمل الظَّاهر علىٰ النَّصِّ تقتضي حمل الرِّوايات الدَّالَّة علىٰ نجاسة الخمر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التَّطهير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رواياتٍ تدلُّ علىٰ هذا الوجه للجمع؛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السَّبزواريُّ قدس سره</w:t>
      </w:r>
      <w:r>
        <w:rPr>
          <w:rStyle w:val="FootnoteAnchor"/>
          <w:rtl w:val="true"/>
        </w:rPr>
        <w:footnoteReference w:id="664"/>
      </w:r>
      <w:r>
        <w:rPr>
          <w:rFonts w:ascii="Amiri" w:hAnsi="Amiri" w:eastAsia="Amiri" w:cs="Amiri"/>
          <w:color w:val="111111"/>
          <w:sz w:val="28"/>
          <w:sz w:val="28"/>
          <w:szCs w:val="28"/>
          <w:rtl w:val="true"/>
          <w:lang w:bidi="ar-SA"/>
        </w:rPr>
        <w:t>، والفيضُ قدس سره</w:t>
      </w:r>
      <w:r>
        <w:rPr>
          <w:rStyle w:val="FootnoteAnchor"/>
          <w:rtl w:val="true"/>
        </w:rPr>
        <w:footnoteReference w:id="665"/>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666"/>
      </w:r>
      <w:r>
        <w:rPr>
          <w:rFonts w:ascii="Amiri" w:hAnsi="Amiri" w:eastAsia="Amiri" w:cs="Amiri"/>
          <w:color w:val="111111"/>
          <w:sz w:val="28"/>
          <w:sz w:val="28"/>
          <w:szCs w:val="28"/>
          <w:rtl w:val="true"/>
          <w:lang w:bidi="ar-SA"/>
        </w:rPr>
        <w:t>، والبحرانيُّ قدس سره</w:t>
      </w:r>
      <w:r>
        <w:rPr>
          <w:rStyle w:val="FootnoteAnchor"/>
          <w:rtl w:val="true"/>
        </w:rPr>
        <w:footnoteReference w:id="66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 عن الخمر والنَّبيذ والمسكر يصيبُ ثوبي، أَغسِلُهُ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إلَّاأن تُقَذِّرَهُ‌ </w:t>
      </w:r>
    </w:p>
    <w:p>
      <w:pPr>
        <w:pStyle w:val="BookText"/>
        <w:rPr/>
      </w:pPr>
      <w:r>
        <w:rPr>
          <w:rFonts w:ascii="Amiri" w:hAnsi="Amiri" w:eastAsia="Amiri" w:cs="Amiri"/>
          <w:color w:val="111111"/>
          <w:sz w:val="28"/>
          <w:sz w:val="28"/>
          <w:szCs w:val="28"/>
          <w:rtl w:val="true"/>
          <w:lang w:bidi="ar-SA"/>
        </w:rPr>
        <w:t xml:space="preserve">فتَغْسِلَ منه موضعَ الأثر،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الحِميَريُّ قدس سره</w:t>
      </w:r>
      <w:r>
        <w:rPr>
          <w:rStyle w:val="FootnoteAnchor"/>
          <w:rtl w:val="true"/>
        </w:rPr>
        <w:footnoteReference w:id="668"/>
      </w:r>
      <w:r>
        <w:rPr>
          <w:rFonts w:ascii="Amiri" w:hAnsi="Amiri" w:eastAsia="Amiri" w:cs="Amiri"/>
          <w:color w:val="111111"/>
          <w:sz w:val="28"/>
          <w:sz w:val="28"/>
          <w:szCs w:val="28"/>
          <w:rtl w:val="true"/>
          <w:lang w:bidi="ar-SA"/>
        </w:rPr>
        <w:t>، والحرُّ قدس سره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والنَّصارىٰ والمجوس وندخُلُ عليهم وهم يأكلون ويشرَبُون، فيمُرُّ ساقيهم فيصُبُّ علىٰ ثيابي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إلَّاأنْ تشتهي أنْ تَغسِلَهُ لأثرِهِ‌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670"/>
      </w:r>
      <w:r>
        <w:rPr>
          <w:rFonts w:ascii="Amiri" w:hAnsi="Amiri" w:eastAsia="Amiri" w:cs="Amiri"/>
          <w:color w:val="111111"/>
          <w:sz w:val="28"/>
          <w:sz w:val="28"/>
          <w:szCs w:val="28"/>
          <w:rtl w:val="true"/>
          <w:lang w:bidi="ar-SA"/>
        </w:rPr>
        <w:t>، وفي تهذيبه</w:t>
      </w:r>
      <w:r>
        <w:rPr>
          <w:rStyle w:val="FootnoteAnchor"/>
          <w:rtl w:val="true"/>
        </w:rPr>
        <w:footnoteReference w:id="671"/>
      </w:r>
      <w:r>
        <w:rPr>
          <w:rFonts w:ascii="Amiri" w:hAnsi="Amiri" w:eastAsia="Amiri" w:cs="Amiri"/>
          <w:color w:val="111111"/>
          <w:sz w:val="28"/>
          <w:sz w:val="28"/>
          <w:szCs w:val="28"/>
          <w:rtl w:val="true"/>
          <w:lang w:bidi="ar-SA"/>
        </w:rPr>
        <w:t>، والفيض قدس سره</w:t>
      </w:r>
      <w:r>
        <w:rPr>
          <w:rStyle w:val="FootnoteAnchor"/>
          <w:rtl w:val="true"/>
        </w:rPr>
        <w:footnoteReference w:id="672"/>
      </w:r>
      <w:r>
        <w:rPr>
          <w:rFonts w:ascii="Amiri" w:hAnsi="Amiri" w:eastAsia="Amiri" w:cs="Amiri"/>
          <w:color w:val="111111"/>
          <w:sz w:val="28"/>
          <w:sz w:val="28"/>
          <w:szCs w:val="28"/>
          <w:rtl w:val="true"/>
          <w:lang w:bidi="ar-SA"/>
        </w:rPr>
        <w:t>وليس فيه غير صالح بن سيَّابَة، وهو كما قال الشَّيخ محمَّد بن الحسن العامليُّ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الحال لعدم ذكره في الرِّجال</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ولذلك لايُوصَف بالصِّحَّة علىٰ اصطلاح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جعَلَ المرءَ في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الرِّوايات كانت بمرئىً من الأصحاب ومنظرهم أوَّلًا؛</w:t>
      </w:r>
    </w:p>
    <w:p>
      <w:pPr>
        <w:pStyle w:val="BookText"/>
        <w:rPr/>
      </w:pPr>
      <w:r>
        <w:rPr>
          <w:rFonts w:ascii="Amiri" w:hAnsi="Amiri" w:eastAsia="Amiri" w:cs="Amiri"/>
          <w:color w:val="111111"/>
          <w:sz w:val="28"/>
          <w:sz w:val="28"/>
          <w:szCs w:val="28"/>
          <w:rtl w:val="true"/>
          <w:lang w:bidi="ar-SA"/>
        </w:rPr>
        <w:t>كما وأنَّهم كانوا يعلمون الجمعَ الدِّلاليَّ وحمل الظَّاهر علىٰ النَّصِّ ثانيًا؛</w:t>
      </w:r>
    </w:p>
    <w:p>
      <w:pPr>
        <w:pStyle w:val="BookText"/>
        <w:rPr/>
      </w:pPr>
      <w:r>
        <w:rPr>
          <w:rFonts w:ascii="Amiri" w:hAnsi="Amiri" w:eastAsia="Amiri" w:cs="Amiri"/>
          <w:color w:val="111111"/>
          <w:sz w:val="28"/>
          <w:sz w:val="28"/>
          <w:szCs w:val="28"/>
          <w:rtl w:val="true"/>
          <w:lang w:bidi="ar-SA"/>
        </w:rPr>
        <w:t>كما وأنَّهم كانوا يرون هذه الرِّوايات الدَّالَّة علىٰ الجمع ثالثًا؛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هذه كيف ذهبوا إلى نجاسة الخمر مع وضوح القول بعدم 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روايات الطَّهارة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الأردبيليُّ قدس سره</w:t>
      </w:r>
      <w:r>
        <w:rPr>
          <w:rStyle w:val="FootnoteAnchor"/>
          <w:rtl w:val="true"/>
        </w:rPr>
        <w:footnoteReference w:id="674"/>
      </w:r>
      <w:r>
        <w:rPr>
          <w:rFonts w:ascii="Amiri" w:hAnsi="Amiri" w:eastAsia="Amiri" w:cs="Amiri"/>
          <w:color w:val="111111"/>
          <w:sz w:val="28"/>
          <w:sz w:val="28"/>
          <w:szCs w:val="28"/>
          <w:rtl w:val="true"/>
          <w:lang w:bidi="ar-SA"/>
        </w:rPr>
        <w:t>، وشيخنا البهائي قدس سره</w:t>
      </w:r>
      <w:r>
        <w:rPr>
          <w:rStyle w:val="FootnoteAnchor"/>
          <w:rtl w:val="true"/>
        </w:rPr>
        <w:footnoteReference w:id="675"/>
      </w:r>
      <w:r>
        <w:rPr>
          <w:rFonts w:ascii="Amiri" w:hAnsi="Amiri" w:eastAsia="Amiri" w:cs="Amiri"/>
          <w:color w:val="111111"/>
          <w:sz w:val="28"/>
          <w:sz w:val="28"/>
          <w:szCs w:val="28"/>
          <w:rtl w:val="true"/>
          <w:lang w:bidi="ar-SA"/>
        </w:rPr>
        <w:t>، والسَّيِّد الحكيم العامليُّ قدس سره</w:t>
      </w:r>
      <w:r>
        <w:rPr>
          <w:rStyle w:val="FootnoteAnchor"/>
          <w:rtl w:val="true"/>
        </w:rPr>
        <w:footnoteReference w:id="676"/>
      </w:r>
      <w:r>
        <w:rPr>
          <w:rFonts w:ascii="Amiri" w:hAnsi="Amiri" w:eastAsia="Amiri" w:cs="Amiri"/>
          <w:color w:val="111111"/>
          <w:sz w:val="28"/>
          <w:sz w:val="28"/>
          <w:szCs w:val="28"/>
          <w:rtl w:val="true"/>
          <w:lang w:bidi="ar-SA"/>
        </w:rPr>
        <w:t>، والسَّبزواريُّ قدس سره</w:t>
      </w:r>
      <w:r>
        <w:rPr>
          <w:rStyle w:val="FootnoteAnchor"/>
          <w:rtl w:val="true"/>
        </w:rPr>
        <w:footnoteReference w:id="677"/>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678"/>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679"/>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لايجوز أن يُسمَع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العامَّة لا خلاف بينهم في نجاسته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بحمل روايات النِّجاسة علىٰ التَّقيَة، لأنَّ القول بالطَّهارة مختصٌّ بنا ولايوافقنا فيه أحدٌ من العامَّة غير 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الآخوند قدس سره</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الخلاف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أصحاب الأئمَّة، والإمام عليه السلام أمَرَهم بالعمل بما يدلُّ علىٰ نجاسته؛ 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عبداللَّه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عليه السلام وأبي عبداللَّه عليه السلام 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فيه، إنَّما حَرُمَ شُربُها؛ ورُوِي عن زرارةَ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يعني </w:t>
      </w:r>
    </w:p>
    <w:p>
      <w:pPr>
        <w:pStyle w:val="BookText"/>
        <w:rPr/>
      </w:pPr>
      <w:r>
        <w:rPr>
          <w:rFonts w:ascii="Amiri" w:hAnsi="Amiri" w:eastAsia="Amiri" w:cs="Amiri"/>
          <w:color w:val="111111"/>
          <w:sz w:val="28"/>
          <w:sz w:val="28"/>
          <w:szCs w:val="28"/>
          <w:rtl w:val="true"/>
          <w:lang w:bidi="ar-SA"/>
        </w:rPr>
        <w:t>المسكرَ فاغسِلْهُ إن عرفتَ موضعه وإن لم تعرف موضعه فاغسله كلَّه وإن صلَّيتَ فيه فأَعِدْ صلوتَك، فاعلِمْني ما آخُذُ به‌؟، فوقَّع عليه السلام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682"/>
      </w:r>
      <w:r>
        <w:rPr>
          <w:rFonts w:ascii="Amiri" w:hAnsi="Amiri" w:eastAsia="Amiri" w:cs="Amiri"/>
          <w:color w:val="111111"/>
          <w:sz w:val="28"/>
          <w:sz w:val="28"/>
          <w:szCs w:val="28"/>
          <w:rtl w:val="true"/>
          <w:lang w:bidi="ar-SA"/>
        </w:rPr>
        <w:t>، والشَّيخ قدس سره</w:t>
      </w:r>
      <w:r>
        <w:rPr>
          <w:rStyle w:val="FootnoteAnchor"/>
          <w:rtl w:val="true"/>
        </w:rPr>
        <w:footnoteReference w:id="683"/>
      </w:r>
      <w:r>
        <w:rPr>
          <w:rFonts w:ascii="Amiri" w:hAnsi="Amiri" w:eastAsia="Amiri" w:cs="Amiri"/>
          <w:color w:val="111111"/>
          <w:sz w:val="28"/>
          <w:sz w:val="28"/>
          <w:szCs w:val="28"/>
          <w:rtl w:val="true"/>
          <w:lang w:bidi="ar-SA"/>
        </w:rPr>
        <w:t>، وفي تهذيبه</w:t>
      </w:r>
      <w:r>
        <w:rPr>
          <w:rStyle w:val="FootnoteAnchor"/>
          <w:rtl w:val="true"/>
        </w:rPr>
        <w:footnoteReference w:id="684"/>
      </w:r>
      <w:r>
        <w:rPr>
          <w:rFonts w:ascii="Amiri" w:hAnsi="Amiri" w:eastAsia="Amiri" w:cs="Amiri"/>
          <w:color w:val="111111"/>
          <w:sz w:val="28"/>
          <w:sz w:val="28"/>
          <w:szCs w:val="28"/>
          <w:rtl w:val="true"/>
          <w:lang w:bidi="ar-SA"/>
        </w:rPr>
        <w:t>، والفيضُ قدس سره</w:t>
      </w:r>
      <w:r>
        <w:rPr>
          <w:rStyle w:val="FootnoteAnchor"/>
          <w:rtl w:val="true"/>
        </w:rPr>
        <w:footnoteReference w:id="685"/>
      </w:r>
      <w:r>
        <w:rPr>
          <w:rFonts w:ascii="Amiri" w:hAnsi="Amiri" w:eastAsia="Amiri" w:cs="Amiri"/>
          <w:color w:val="111111"/>
          <w:sz w:val="28"/>
          <w:sz w:val="28"/>
          <w:szCs w:val="28"/>
          <w:rtl w:val="true"/>
          <w:lang w:bidi="ar-SA"/>
        </w:rPr>
        <w:t>، والحرُّ قدس سره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تُحمَلُ علىٰ التَّقيَة، أو تُحمَل علىٰ الاِستحباب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اللُّتَيَّا واللُّتَي فرَفْع اليد عن الرِّوايات الدَّالَّة علىٰ نجاسة الخمر وحملها علىٰ الاِستحباب بعد عدم عمل الأصحاب بهذا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مشكلٌ جدًّا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ولاتغفَلْ عن احتمالٍ آخر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ذهبوا إلى هذا القول عملًا بالإحتياط، لا عملًا بما أدَّىٰ إليه رأيُهم الشَّريف؛ فلاتغفَلْ عن هذه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إلى هذا الإحتياط الأسترآباديُّ قدس سره</w:t>
      </w:r>
      <w:r>
        <w:rPr>
          <w:rStyle w:val="FootnoteAnchor"/>
          <w:rtl w:val="true"/>
        </w:rPr>
        <w:footnoteReference w:id="687"/>
      </w:r>
      <w:r>
        <w:rPr>
          <w:rFonts w:ascii="Amiri" w:hAnsi="Amiri" w:eastAsia="Amiri" w:cs="Amiri"/>
          <w:color w:val="111111"/>
          <w:sz w:val="28"/>
          <w:sz w:val="28"/>
          <w:szCs w:val="28"/>
          <w:rtl w:val="true"/>
          <w:lang w:bidi="ar-SA"/>
        </w:rPr>
        <w:t>، والسَّيِّد عبداللَّه الجزائريُّ قدس سره</w:t>
      </w:r>
      <w:r>
        <w:rPr>
          <w:rStyle w:val="FootnoteAnchor"/>
          <w:rtl w:val="true"/>
        </w:rPr>
        <w:footnoteReference w:id="688"/>
      </w:r>
      <w:r>
        <w:rPr>
          <w:rFonts w:ascii="IRNazanin" w:hAnsi="IRNazanin" w:eastAsia="IRNazanin"/>
          <w:color w:val="111111"/>
          <w:sz w:val="28"/>
          <w:sz w:val="28"/>
          <w:szCs w:val="28"/>
          <w:rtl w:val="true"/>
          <w:lang w:bidi="fa-IR"/>
        </w:rPr>
        <w:t xml:space="preserve">، </w:t>
      </w:r>
      <w:bookmarkStart w:id="241" w:name="pg20339_220406"/>
    </w:p>
    <w:p>
      <w:pPr>
        <w:pStyle w:val="BookText"/>
        <w:rPr/>
      </w:pPr>
      <w:bookmarkEnd w:id="241"/>
      <w:r>
        <w:rPr>
          <w:rFonts w:ascii="Amiri" w:hAnsi="Amiri" w:eastAsia="Amiri" w:cs="Amiri"/>
          <w:color w:val="111111"/>
          <w:sz w:val="28"/>
          <w:sz w:val="28"/>
          <w:szCs w:val="28"/>
          <w:rtl w:val="true"/>
          <w:lang w:bidi="ar-SA"/>
        </w:rPr>
        <w:t>والشَّيخ عبَّاس آل كاشف الغطاء قدس سره</w:t>
      </w:r>
      <w:r>
        <w:rPr>
          <w:rStyle w:val="FootnoteAnchor"/>
          <w:rtl w:val="true"/>
        </w:rPr>
        <w:footnoteReference w:id="689"/>
      </w:r>
      <w:r>
        <w:rPr>
          <w:rFonts w:ascii="Amiri" w:hAnsi="Amiri" w:eastAsia="Amiri" w:cs="Amiri"/>
          <w:color w:val="111111"/>
          <w:sz w:val="28"/>
          <w:sz w:val="28"/>
          <w:szCs w:val="28"/>
          <w:rtl w:val="true"/>
          <w:lang w:bidi="ar-SA"/>
        </w:rPr>
        <w:t>، وغيرهم</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ومسائل طبِّيَّة،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1979200_1280447820"/>
      <w:bookmarkStart w:id="243" w:name="_Toc89"/>
      <w:bookmarkEnd w:id="242"/>
      <w:r>
        <w:rPr>
          <w:rtl w:val="true"/>
        </w:rPr>
        <w:t>أمثلةٌ لاستعمال القاعدة في الفقه</w:t>
      </w:r>
      <w:r>
        <w:rPr>
          <w:rtl w:val="true"/>
        </w:rPr>
        <w:t>:</w:t>
      </w:r>
      <w:bookmarkEnd w:id="2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تشير إلى فرعٍ فقهيٍّ خاصٍّ‌، وجَعْلُ الفرع قاعدةً يُشير إلى اهتمام الفقهاء به، فلاتنطبق علىٰ موارد متعدَّدة لنأتي ببعضها كأمثلةٍ لاستعمالها في الفقه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20339_220408"/>
      <w:bookmarkStart w:id="245" w:name="pg20339_220408"/>
      <w:bookmarkEnd w:id="245"/>
    </w:p>
    <w:p>
      <w:pPr>
        <w:pStyle w:val="Heading2"/>
        <w:numPr>
          <w:ilvl w:val="1"/>
          <w:numId w:val="1"/>
        </w:numPr>
        <w:rPr/>
      </w:pPr>
      <w:bookmarkStart w:id="246" w:name="pg20339_220408"/>
      <w:bookmarkStart w:id="247" w:name="__RefHeading___Toc11979202_1280447820"/>
      <w:bookmarkStart w:id="248" w:name="_Toc90"/>
      <w:bookmarkEnd w:id="246"/>
      <w:bookmarkEnd w:id="247"/>
      <w:r>
        <w:rPr>
          <w:rtl w:val="true"/>
        </w:rPr>
        <w:t>[</w:t>
      </w:r>
      <w:r>
        <w:rPr/>
        <w:t>51</w:t>
      </w:r>
      <w:r>
        <w:rPr>
          <w:rtl w:val="true"/>
        </w:rPr>
        <w:t xml:space="preserve">:] </w:t>
      </w:r>
      <w:r>
        <w:rPr>
          <w:rtl w:val="true"/>
        </w:rPr>
        <w:t>قاعدة لاتُعاد</w:t>
      </w:r>
      <w:bookmarkEnd w:id="248"/>
    </w:p>
    <w:p>
      <w:pPr>
        <w:pStyle w:val="Heading3"/>
        <w:numPr>
          <w:ilvl w:val="2"/>
          <w:numId w:val="1"/>
        </w:numPr>
        <w:rPr/>
      </w:pPr>
      <w:bookmarkStart w:id="249" w:name="__RefHeading___Toc11979204_1280447820"/>
      <w:bookmarkStart w:id="250" w:name="_Toc91"/>
      <w:bookmarkEnd w:id="249"/>
      <w:r>
        <w:rPr>
          <w:rtl w:val="true"/>
        </w:rPr>
        <w:t>عناوين أُخرىٰ للقاعدة</w:t>
      </w:r>
      <w:bookmarkEnd w:id="250"/>
    </w:p>
    <w:p>
      <w:pPr>
        <w:pStyle w:val="BookText"/>
        <w:rPr/>
      </w:pPr>
      <w:r>
        <w:rPr>
          <w:rFonts w:ascii="Amiri" w:hAnsi="Amiri" w:eastAsia="Amiri" w:cs="Amiri"/>
          <w:color w:val="111111"/>
          <w:sz w:val="28"/>
          <w:sz w:val="28"/>
          <w:szCs w:val="28"/>
          <w:rtl w:val="true"/>
          <w:lang w:bidi="ar-SA"/>
        </w:rPr>
        <w:t xml:space="preserve">عنوان القاعدة مأخوذٌ من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العمدة في المقام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الأعلام بين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بهذا العنوان، لوروده في كلام المعصوم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979206_1280447820"/>
      <w:bookmarkStart w:id="252" w:name="_Toc92"/>
      <w:bookmarkEnd w:id="251"/>
      <w:r>
        <w:rPr>
          <w:rtl w:val="true"/>
        </w:rPr>
        <w:t>توضيح مفاد القاعدة</w:t>
      </w:r>
      <w:bookmarkEnd w:id="2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القاعدة من القواعد الَّتي تجري في بابٍ واحدٍ من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بحجِّيَّتها وثبوتها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أجراء الصَّلاة وشرائطها وموانعها كلِّها، تدخل في ساحة القواعد، لاشتمالها علىٰ ما يتمسَّكُ به الفقيهُ‌ </w:t>
      </w:r>
      <w:bookmarkStart w:id="253" w:name="pg20339_220409"/>
    </w:p>
    <w:p>
      <w:pPr>
        <w:pStyle w:val="BookText"/>
        <w:rPr/>
      </w:pPr>
      <w:bookmarkEnd w:id="253"/>
      <w:r>
        <w:rPr>
          <w:rFonts w:ascii="Amiri" w:hAnsi="Amiri" w:eastAsia="Amiri" w:cs="Amiri"/>
          <w:color w:val="111111"/>
          <w:sz w:val="28"/>
          <w:sz w:val="28"/>
          <w:szCs w:val="28"/>
          <w:rtl w:val="true"/>
          <w:lang w:bidi="ar-SA"/>
        </w:rPr>
        <w:t>في أكثر من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من القواعد الجامعة الجارية في جميع أبوابه، وإن كانتْ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ومفادها تدل علىٰ صحَّة الصَّلوة والحكم بها وعدم الحاجة إلى إعادتها إلَّافي خمسة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الحكم الأوَّليِّ في جميع المركَّبات الشَّرعيَّة الفَساد والبطلان عند الإخلال بشيءٍ من أجزاء المركَّب أو شرائطه، أو الإتيان بمانعٍ من موانع المهيَّة المركَّبة؛ لعدم تحقُّق المركَّب إذن؛ كما ذكره الأصوليُّون كالمحقِّق النَّائينيِّ قدس سره</w:t>
      </w:r>
      <w:r>
        <w:rPr>
          <w:rStyle w:val="FootnoteAnchor"/>
          <w:rtl w:val="true"/>
        </w:rPr>
        <w:footnoteReference w:id="692"/>
      </w:r>
      <w:r>
        <w:rPr>
          <w:rFonts w:ascii="Amiri" w:hAnsi="Amiri" w:eastAsia="Amiri" w:cs="Amiri"/>
          <w:color w:val="111111"/>
          <w:sz w:val="28"/>
          <w:sz w:val="28"/>
          <w:szCs w:val="28"/>
          <w:rtl w:val="true"/>
          <w:lang w:bidi="ar-SA"/>
        </w:rPr>
        <w:t>، وغيرِه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فالقاعدة تحكم علىٰ هذا الحكم الأوَّليِّ وتخصِّصُه في ناحيَة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بحجِّيَّتها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979208_1280447820"/>
      <w:bookmarkStart w:id="255" w:name="_Toc93"/>
      <w:bookmarkEnd w:id="254"/>
      <w:r>
        <w:rPr>
          <w:rtl w:val="true"/>
        </w:rPr>
        <w:t>مدركُ القاعدة</w:t>
      </w:r>
      <w:bookmarkEnd w:id="255"/>
    </w:p>
    <w:p>
      <w:pPr>
        <w:pStyle w:val="Heading3"/>
        <w:numPr>
          <w:ilvl w:val="2"/>
          <w:numId w:val="1"/>
        </w:numPr>
        <w:rPr/>
      </w:pPr>
      <w:bookmarkStart w:id="256" w:name="__RefHeading___Toc11979210_1280447820"/>
      <w:bookmarkStart w:id="257" w:name="_Toc94"/>
      <w:bookmarkEnd w:id="256"/>
      <w:r>
        <w:rPr>
          <w:rtl w:val="true"/>
        </w:rPr>
        <w:t>السُّنَّة</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صحيحة زرارة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الصَّلوة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الصَّدوق في الفقيه</w:t>
      </w:r>
      <w:r>
        <w:rPr>
          <w:rStyle w:val="FootnoteAnchor"/>
          <w:rtl w:val="true"/>
        </w:rPr>
        <w:footnoteReference w:id="694"/>
      </w:r>
      <w:r>
        <w:rPr>
          <w:rFonts w:ascii="Amiri" w:hAnsi="Amiri" w:eastAsia="Amiri" w:cs="Amiri"/>
          <w:color w:val="111111"/>
          <w:sz w:val="28"/>
          <w:sz w:val="28"/>
          <w:szCs w:val="28"/>
          <w:rtl w:val="true"/>
          <w:lang w:bidi="ar-SA"/>
        </w:rPr>
        <w:t>والهداية</w:t>
      </w:r>
      <w:r>
        <w:rPr>
          <w:rStyle w:val="FootnoteAnchor"/>
          <w:rtl w:val="true"/>
        </w:rPr>
        <w:footnoteReference w:id="695"/>
      </w:r>
      <w:r>
        <w:rPr>
          <w:rFonts w:ascii="Amiri" w:hAnsi="Amiri" w:eastAsia="Amiri" w:cs="Amiri"/>
          <w:color w:val="111111"/>
          <w:sz w:val="28"/>
          <w:sz w:val="28"/>
          <w:szCs w:val="28"/>
          <w:rtl w:val="true"/>
          <w:lang w:bidi="ar-SA"/>
        </w:rPr>
        <w:t>مرسلًا، والشَّيخ</w:t>
      </w:r>
      <w:r>
        <w:rPr>
          <w:rStyle w:val="FootnoteAnchor"/>
          <w:rtl w:val="true"/>
        </w:rPr>
        <w:footnoteReference w:id="696"/>
      </w:r>
      <w:r>
        <w:rPr>
          <w:rFonts w:ascii="Amiri" w:hAnsi="Amiri" w:eastAsia="Amiri" w:cs="Amiri"/>
          <w:color w:val="111111"/>
          <w:sz w:val="28"/>
          <w:sz w:val="28"/>
          <w:szCs w:val="28"/>
          <w:rtl w:val="true"/>
          <w:lang w:bidi="ar-SA"/>
        </w:rPr>
        <w:t>والشَّيخ الحرُّ</w:t>
      </w:r>
      <w:r>
        <w:rPr>
          <w:rStyle w:val="FootnoteAnchor"/>
          <w:rtl w:val="true"/>
        </w:rPr>
        <w:footnoteReference w:id="697"/>
      </w:r>
      <w:r>
        <w:rPr>
          <w:rFonts w:ascii="Amiri" w:hAnsi="Amiri" w:eastAsia="Amiri" w:cs="Amiri"/>
          <w:color w:val="111111"/>
          <w:sz w:val="28"/>
          <w:sz w:val="28"/>
          <w:szCs w:val="28"/>
          <w:rtl w:val="true"/>
          <w:lang w:bidi="ar-SA"/>
        </w:rPr>
        <w:t>والشَّيخ النُّوريُّ‌</w:t>
      </w:r>
      <w:r>
        <w:rPr>
          <w:rStyle w:val="FootnoteAnchor"/>
          <w:rtl w:val="true"/>
        </w:rPr>
        <w:footnoteReference w:id="698"/>
      </w:r>
      <w:r>
        <w:rPr>
          <w:rFonts w:ascii="Amiri" w:hAnsi="Amiri" w:eastAsia="Amiri" w:cs="Amiri"/>
          <w:color w:val="111111"/>
          <w:sz w:val="28"/>
          <w:sz w:val="28"/>
          <w:szCs w:val="28"/>
          <w:rtl w:val="true"/>
          <w:lang w:bidi="ar-SA"/>
        </w:rPr>
        <w:t xml:space="preserve">كلُّهم رووها </w:t>
      </w:r>
      <w:bookmarkStart w:id="258" w:name="pg20339_220410"/>
    </w:p>
    <w:p>
      <w:pPr>
        <w:pStyle w:val="BookText"/>
        <w:rPr/>
      </w:pPr>
      <w:bookmarkEnd w:id="258"/>
      <w:r>
        <w:rPr>
          <w:rFonts w:ascii="Amiri" w:hAnsi="Amiri" w:eastAsia="Amiri" w:cs="Amiri"/>
          <w:color w:val="111111"/>
          <w:sz w:val="28"/>
          <w:sz w:val="28"/>
          <w:szCs w:val="28"/>
          <w:rtl w:val="true"/>
          <w:lang w:bidi="ar-SA"/>
        </w:rPr>
        <w:t>مرسلًا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فصحيحٌ‌</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إليه في الخصال مُعَنعَنٌ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كثيرٍ منهم، منهم المحقِّق الحكيم العَلَويُّ العامِليُّ‌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والفاضل الأصفهانيُّ‌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والحسينيُّ العامِليُّ‌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والشَّيخ محمَّدحسن النَّجفيُّ‌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فلاإشكال في القاعدة من جهة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للنَّظر أنَّ عدم ذكر النِّيَّة وتكبيرة الإحرام فيها لعدم تحقُّق الصَّلوة بدونهما</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وعدم ذكر القيام المتَّصل بالرُّكوع لعدم تحقُّق الرُّكوع بدونه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979212_1280447820"/>
      <w:bookmarkStart w:id="260" w:name="_Toc95"/>
      <w:bookmarkEnd w:id="259"/>
      <w:r>
        <w:rPr>
          <w:rtl w:val="true"/>
        </w:rPr>
        <w:t>تنبيهاتٌ‌</w:t>
      </w:r>
      <w:r>
        <w:rPr>
          <w:rtl w:val="true"/>
        </w:rPr>
        <w:t>:</w:t>
      </w:r>
      <w:bookmarkEnd w:id="2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11979214_1280447820"/>
      <w:bookmarkStart w:id="262" w:name="_Toc96"/>
      <w:bookmarkEnd w:id="261"/>
      <w:r>
        <w:rPr>
          <w:rtl w:val="true"/>
        </w:rPr>
        <w:t>اشارة</w:t>
      </w:r>
      <w:bookmarkStart w:id="263" w:name="pg20339_220411"/>
      <w:bookmarkEnd w:id="262"/>
    </w:p>
    <w:p>
      <w:pPr>
        <w:pStyle w:val="Heading4"/>
        <w:numPr>
          <w:ilvl w:val="3"/>
          <w:numId w:val="1"/>
        </w:numPr>
        <w:rPr/>
      </w:pPr>
      <w:bookmarkStart w:id="264" w:name="__RefHeading___Toc11979216_1280447820"/>
      <w:bookmarkStart w:id="265" w:name="_Toc97"/>
      <w:bookmarkEnd w:id="263"/>
      <w:bookmarkEnd w:id="264"/>
      <w:r>
        <w:rPr>
          <w:rtl w:val="true"/>
        </w:rPr>
        <w:t>التَّنبيه الأوَّل</w:t>
      </w:r>
      <w:r>
        <w:rPr>
          <w:rtl w:val="true"/>
        </w:rPr>
        <w:t>:</w:t>
      </w:r>
      <w:bookmarkEnd w:id="265"/>
    </w:p>
    <w:p>
      <w:pPr>
        <w:pStyle w:val="BookText"/>
        <w:rPr/>
      </w:pPr>
      <w:r>
        <w:rPr>
          <w:rFonts w:ascii="Amiri" w:hAnsi="Amiri" w:eastAsia="Amiri" w:cs="Amiri"/>
          <w:color w:val="111111"/>
          <w:sz w:val="28"/>
          <w:sz w:val="28"/>
          <w:szCs w:val="28"/>
          <w:rtl w:val="true"/>
          <w:lang w:bidi="ar-SA"/>
        </w:rPr>
        <w:t>ذكرنا أنَّ مفاد الحديث يدلُّ علىٰ أنَّ الإخلال بالصَّلوة فيما عدا الخمسة لايوجب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الإخلال بما عدا الخمسة علىٰ طرقٍ وأنحاءَ‌، فيجب الإشارة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الإخلال نسيانًا؛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الحكم؛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الإخلال النَّاشىء عن الجهل؛ وهو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الموضوع؛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الإخلال مع العلم والعَمد بكون المأتيِّ به أو المتروك مُخلًّا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 يُتصوَّر فيها الإخلال</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979218_1280447820"/>
      <w:bookmarkStart w:id="267" w:name="_Toc98"/>
      <w:bookmarkEnd w:id="266"/>
      <w:r>
        <w:rPr>
          <w:rtl w:val="true"/>
        </w:rPr>
        <w:t>التَّنبيه الثَّاني</w:t>
      </w:r>
      <w:r>
        <w:rPr>
          <w:rtl w:val="true"/>
        </w:rPr>
        <w:t>:</w:t>
      </w:r>
      <w:bookmarkEnd w:id="267"/>
    </w:p>
    <w:p>
      <w:pPr>
        <w:pStyle w:val="BookText"/>
        <w:rPr/>
      </w:pPr>
      <w:r>
        <w:rPr>
          <w:rFonts w:ascii="Amiri" w:hAnsi="Amiri" w:eastAsia="Amiri" w:cs="Amiri"/>
          <w:color w:val="111111"/>
          <w:sz w:val="28"/>
          <w:sz w:val="28"/>
          <w:szCs w:val="28"/>
          <w:rtl w:val="true"/>
          <w:lang w:bidi="ar-SA"/>
        </w:rPr>
        <w:t xml:space="preserve">هل القاعدة تشمل غير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كالجَهلَين القصوريِّ والتَّقصيريِّ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شمولُها له؛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امرًا بجهالةٍ فلاشيءَ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الشَّيخ قدس سره</w:t>
      </w:r>
      <w:r>
        <w:rPr>
          <w:rStyle w:val="FootnoteAnchor"/>
          <w:rtl w:val="true"/>
        </w:rPr>
        <w:footnoteReference w:id="701"/>
      </w:r>
      <w:r>
        <w:rPr>
          <w:rFonts w:ascii="Amiri" w:hAnsi="Amiri" w:eastAsia="Amiri" w:cs="Amiri"/>
          <w:color w:val="111111"/>
          <w:sz w:val="28"/>
          <w:sz w:val="28"/>
          <w:szCs w:val="28"/>
          <w:rtl w:val="true"/>
          <w:lang w:bidi="ar-SA"/>
        </w:rPr>
        <w:t>، والشَّيخ الحرُّ قدس سره</w:t>
      </w:r>
      <w:r>
        <w:rPr>
          <w:rStyle w:val="FootnoteAnchor"/>
          <w:rtl w:val="true"/>
        </w:rPr>
        <w:footnoteReference w:id="702"/>
      </w:r>
      <w:r>
        <w:rPr>
          <w:rFonts w:ascii="Amiri" w:hAnsi="Amiri" w:eastAsia="Amiri" w:cs="Amiri"/>
          <w:color w:val="111111"/>
          <w:sz w:val="28"/>
          <w:sz w:val="28"/>
          <w:szCs w:val="28"/>
          <w:rtl w:val="true"/>
          <w:lang w:bidi="ar-SA"/>
        </w:rPr>
        <w:t>، والمازندرانيُّ قدس سره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المنقولُ من المحقِّق الميرزا الشِّيرازيِّ الثَّاني قدس سره أنَّه مال إلى أنَّ إطلاقَها يشمل </w:t>
      </w:r>
    </w:p>
    <w:p>
      <w:pPr>
        <w:pStyle w:val="BookText"/>
        <w:rPr/>
      </w:pPr>
      <w:r>
        <w:rPr>
          <w:rFonts w:ascii="Amiri" w:hAnsi="Amiri" w:eastAsia="Amiri" w:cs="Amiri"/>
          <w:color w:val="111111"/>
          <w:sz w:val="28"/>
          <w:sz w:val="28"/>
          <w:szCs w:val="28"/>
          <w:rtl w:val="true"/>
          <w:lang w:bidi="ar-SA"/>
        </w:rPr>
        <w:t>العمدَ أيضًا</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إلى قوله هذا سيِّدُنا الأستاذ المحقِّق البروجرديُّ قدس سره أيضًا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ولايبعد المسير إلى هذا القول، خلافًا لبعضهم</w:t>
      </w:r>
      <w:r>
        <w:rPr>
          <w:rStyle w:val="FootnoteAnchor"/>
          <w:rtl w:val="true"/>
        </w:rPr>
        <w:footnoteReference w:id="706"/>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العقليَّة القطعيَّة تمنع عنه، إذ تُقيِّد الإطلاقَ‌، فلاإطلاق حينئذٍ حتَّى يشمل العمد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شمولها لموارد الجهل، فلامانع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رُبَّما يقال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إدِّعاء الشُّمول ينافي أدلَّة الأجزاء والشَّرائط</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القاعدة حاكمةٌ عليها؛ بل الحقُّ أنَّ الشُّمول هو القدر المُتَيقَّن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يقال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أجمع الأصحاب علىٰ أنَّ الجاهل المُقصِّر كالعامد إلَّا في موضعين، فلو لم يشمل العامدَ لايشمل المقصِّرَ أيضًا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الوثقىٰ‌،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بيان الفقه،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فقه الصَّادق،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صاحب الجواهر 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في شرح المناسك،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ولنقد هذا القول في الشُّبهات الموضوعيَّة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bookmarkStart w:id="268" w:name="pg20339_220413"/>
    </w:p>
    <w:p>
      <w:pPr>
        <w:pStyle w:val="BookText"/>
        <w:rPr/>
      </w:pPr>
      <w:bookmarkEnd w:id="268"/>
      <w:r>
        <w:rPr>
          <w:rFonts w:ascii="Amiri" w:hAnsi="Amiri" w:eastAsia="Amiri" w:cs="Amiri"/>
          <w:color w:val="111111"/>
          <w:sz w:val="28"/>
          <w:sz w:val="28"/>
          <w:szCs w:val="28"/>
          <w:rtl w:val="true"/>
          <w:lang w:bidi="ar-SA"/>
        </w:rPr>
        <w:t>فكلامٌ غير سديدٍ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النَّظر في كلمات الفقهاء لايساعده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تتبَّعتُ في سالف الزَّمان جملةً من مصادرنا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والعروة، والمكاسب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ما يزيد علىٰ مأةَ موردٍ حكموا فيها بمعذوريَّة الجاهل المقصِّر؛ فليس الجاهل كالعامد عندهم؛ وذلك من أوَّل باب الطَّهارات إلى أُخريات باب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الجاهلُ المقصِّرُ علىٰ ما فاته من الأجزاء والشَّرائط لتقصيره في تحصيلهما، حيث قصَّر فيهما ففاتا عنه؛ لكن اِستواء الحكم بينه وبين العامد فليس ممَّا نرتضي به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979220_1280447820"/>
      <w:bookmarkStart w:id="270" w:name="_Toc99"/>
      <w:bookmarkEnd w:id="269"/>
      <w:r>
        <w:rPr>
          <w:rtl w:val="true"/>
        </w:rPr>
        <w:t>التَّنبيه الثَّالث</w:t>
      </w:r>
      <w:r>
        <w:rPr>
          <w:rtl w:val="true"/>
        </w:rPr>
        <w:t>:</w:t>
      </w:r>
      <w:bookmarkEnd w:id="270"/>
    </w:p>
    <w:p>
      <w:pPr>
        <w:pStyle w:val="BookText"/>
        <w:rPr/>
      </w:pPr>
      <w:r>
        <w:rPr>
          <w:rFonts w:ascii="Amiri" w:hAnsi="Amiri" w:eastAsia="Amiri" w:cs="Amiri"/>
          <w:color w:val="111111"/>
          <w:sz w:val="28"/>
          <w:sz w:val="28"/>
          <w:szCs w:val="28"/>
          <w:rtl w:val="true"/>
          <w:lang w:bidi="ar-SA"/>
        </w:rPr>
        <w:t>هل تشمل القاعدةُ الموانعَ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هو شمولُها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لجملةٍ من الأعلام، منهم سيِّدنا الأستاذ المحقِّق البروجرديُّ قدس سره</w:t>
      </w:r>
      <w:r>
        <w:rPr>
          <w:rStyle w:val="FootnoteAnchor"/>
          <w:rtl w:val="true"/>
        </w:rPr>
        <w:footnoteReference w:id="709"/>
      </w:r>
      <w:r>
        <w:rPr>
          <w:rFonts w:ascii="Amiri" w:hAnsi="Amiri" w:eastAsia="Amiri" w:cs="Amiri"/>
          <w:color w:val="111111"/>
          <w:sz w:val="28"/>
          <w:sz w:val="28"/>
          <w:szCs w:val="28"/>
          <w:rtl w:val="true"/>
          <w:lang w:bidi="ar-SA"/>
        </w:rPr>
        <w:t>ووفاقًا لجملةٍ أُخرىٰ منهم، منهم المحقِّق البجنورديُّ قدس سره</w:t>
      </w:r>
      <w:r>
        <w:rPr>
          <w:rStyle w:val="FootnoteAnchor"/>
          <w:rtl w:val="true"/>
        </w:rPr>
        <w:footnoteReference w:id="710"/>
      </w:r>
      <w:r>
        <w:rPr>
          <w:rFonts w:ascii="Amiri" w:hAnsi="Amiri" w:eastAsia="Amiri" w:cs="Amiri"/>
          <w:color w:val="111111"/>
          <w:sz w:val="28"/>
          <w:sz w:val="28"/>
          <w:szCs w:val="28"/>
          <w:rtl w:val="true"/>
          <w:lang w:bidi="ar-SA"/>
        </w:rPr>
        <w:t>، والمحقِّق الحائريُّ قدس سره</w:t>
      </w:r>
      <w:r>
        <w:rPr>
          <w:rStyle w:val="FootnoteAnchor"/>
          <w:rtl w:val="true"/>
        </w:rPr>
        <w:footnoteReference w:id="711"/>
      </w:r>
      <w:r>
        <w:rPr>
          <w:rFonts w:ascii="Amiri" w:hAnsi="Amiri" w:eastAsia="Amiri" w:cs="Amiri"/>
          <w:color w:val="111111"/>
          <w:sz w:val="28"/>
          <w:sz w:val="28"/>
          <w:szCs w:val="28"/>
          <w:rtl w:val="true"/>
          <w:lang w:bidi="ar-SA"/>
        </w:rPr>
        <w:t xml:space="preserve">ابنُ الشَّيخ المؤسِّس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من الرِّواية المُشار إليها أعلاه أنَّ ترك غير الأركان أو الإتيان بمانعٍ في الصَّلوة لايوجب إعادتها؛ فإذن اختصاصُ الرِّواية بالأجزاء والشَّرائط فقط لاوجه له أصلًا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979222_1280447820"/>
      <w:bookmarkStart w:id="272" w:name="_Toc100"/>
      <w:bookmarkEnd w:id="271"/>
      <w:r>
        <w:rPr>
          <w:rtl w:val="true"/>
        </w:rPr>
        <w:t>التَّنبيه الرَّابع</w:t>
      </w:r>
      <w:r>
        <w:rPr>
          <w:rtl w:val="true"/>
        </w:rPr>
        <w:t>:</w:t>
      </w:r>
      <w:bookmarkEnd w:id="2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أنَّها هل تشمل الزِّيادة الواقعة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شمولها 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للمحقِّق ثاني النَّراقِيَّين قدس سره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والعبارة بعينها أوردها في مستند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المستفاد من الرِّواية أنَّ كلَّ ما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فساد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نمنع اِدِّعاء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الكُلينيِّ قدس سره</w:t>
      </w:r>
      <w:r>
        <w:rPr>
          <w:rStyle w:val="FootnoteAnchor"/>
          <w:rtl w:val="true"/>
        </w:rPr>
        <w:footnoteReference w:id="713"/>
      </w:r>
      <w:r>
        <w:rPr>
          <w:rFonts w:ascii="Amiri" w:hAnsi="Amiri" w:eastAsia="Amiri" w:cs="Amiri"/>
          <w:color w:val="111111"/>
          <w:sz w:val="28"/>
          <w:sz w:val="28"/>
          <w:szCs w:val="28"/>
          <w:rtl w:val="true"/>
          <w:lang w:bidi="ar-SA"/>
        </w:rPr>
        <w:t>، والشَّيخ قدس سره</w:t>
      </w:r>
      <w:r>
        <w:rPr>
          <w:rStyle w:val="FootnoteAnchor"/>
          <w:rtl w:val="true"/>
        </w:rPr>
        <w:footnoteReference w:id="714"/>
      </w:r>
      <w:r>
        <w:rPr>
          <w:rFonts w:ascii="Amiri" w:hAnsi="Amiri" w:eastAsia="Amiri" w:cs="Amiri"/>
          <w:color w:val="111111"/>
          <w:sz w:val="28"/>
          <w:sz w:val="28"/>
          <w:szCs w:val="28"/>
          <w:rtl w:val="true"/>
          <w:lang w:bidi="ar-SA"/>
        </w:rPr>
        <w:t>، والشَّيخ الحرِّ</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فلايمكن الَّتمسُّك به، لإعراض الأصحاب عنه؛ ضرورةَ اِتِّفاق الأعلام علىٰ أنَّ من زاد في القِراءة أو التَّشهُّد سهوًا، بل جهلًا لاإعادة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سيِّدنا الأستاذ المحقِّق البروجرديَّ قدس سره كان يذهب إلى أنَّ المراد بالزِّيادة في الرِّواية هي الزِّيادة عمدًا علىٰ سبيل البدعة</w:t>
      </w:r>
      <w:r>
        <w:rPr>
          <w:rStyle w:val="FootnoteAnchor"/>
          <w:rtl w:val="true"/>
        </w:rPr>
        <w:footnoteReference w:id="716"/>
      </w:r>
      <w:r>
        <w:rPr>
          <w:rFonts w:ascii="Amiri" w:hAnsi="Amiri" w:eastAsia="Amiri" w:cs="Amiri"/>
          <w:color w:val="111111"/>
          <w:sz w:val="28"/>
          <w:sz w:val="28"/>
          <w:szCs w:val="28"/>
          <w:rtl w:val="true"/>
          <w:lang w:bidi="ar-SA"/>
        </w:rPr>
        <w:t>، أو زيادة الركن والرَّكعة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ورود رواياتٍ تخالف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 الباقر عليه السلام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المكتوبة لم يعتدَّ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 قدس سره</w:t>
      </w:r>
      <w:r>
        <w:rPr>
          <w:rStyle w:val="FootnoteAnchor"/>
          <w:rtl w:val="true"/>
        </w:rPr>
        <w:footnoteReference w:id="717"/>
      </w:r>
      <w:r>
        <w:rPr>
          <w:rFonts w:ascii="Amiri" w:hAnsi="Amiri" w:eastAsia="Amiri" w:cs="Amiri"/>
          <w:color w:val="111111"/>
          <w:sz w:val="28"/>
          <w:sz w:val="28"/>
          <w:szCs w:val="28"/>
          <w:rtl w:val="true"/>
          <w:lang w:bidi="ar-SA"/>
        </w:rPr>
        <w:t>، والشَّيخ قدس سره</w:t>
      </w:r>
      <w:r>
        <w:rPr>
          <w:rStyle w:val="FootnoteAnchor"/>
          <w:rtl w:val="true"/>
        </w:rPr>
        <w:footnoteReference w:id="718"/>
      </w:r>
      <w:r>
        <w:rPr>
          <w:rFonts w:ascii="Amiri" w:hAnsi="Amiri" w:eastAsia="Amiri" w:cs="Amiri"/>
          <w:color w:val="111111"/>
          <w:sz w:val="28"/>
          <w:sz w:val="28"/>
          <w:szCs w:val="28"/>
          <w:rtl w:val="true"/>
          <w:lang w:bidi="ar-SA"/>
        </w:rPr>
        <w:t>، والشَّيخ الحرُّ قدس سره</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عند العلَّامة </w:t>
      </w:r>
      <w:bookmarkStart w:id="273" w:name="pg20339_220415"/>
    </w:p>
    <w:p>
      <w:pPr>
        <w:pStyle w:val="BookText"/>
        <w:rPr/>
      </w:pPr>
      <w:bookmarkEnd w:id="273"/>
      <w:r>
        <w:rPr>
          <w:rFonts w:ascii="Amiri" w:hAnsi="Amiri" w:eastAsia="Amiri" w:cs="Amiri"/>
          <w:color w:val="111111"/>
          <w:sz w:val="28"/>
          <w:sz w:val="28"/>
          <w:szCs w:val="28"/>
          <w:rtl w:val="true"/>
          <w:lang w:bidi="ar-SA"/>
        </w:rPr>
        <w:t>المجلسيِّ قدس سره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رواه الكلينيُّ قدس سره</w:t>
      </w:r>
      <w:r>
        <w:rPr>
          <w:rStyle w:val="FootnoteAnchor"/>
          <w:rtl w:val="true"/>
        </w:rPr>
        <w:footnoteReference w:id="721"/>
      </w:r>
      <w:r>
        <w:rPr>
          <w:rFonts w:ascii="Amiri" w:hAnsi="Amiri" w:eastAsia="Amiri" w:cs="Amiri"/>
          <w:color w:val="111111"/>
          <w:sz w:val="28"/>
          <w:sz w:val="28"/>
          <w:szCs w:val="28"/>
          <w:rtl w:val="true"/>
          <w:lang w:bidi="ar-SA"/>
        </w:rPr>
        <w:t>، والشَّيخ قدس سره</w:t>
      </w:r>
      <w:r>
        <w:rPr>
          <w:rStyle w:val="FootnoteAnchor"/>
          <w:rtl w:val="true"/>
        </w:rPr>
        <w:footnoteReference w:id="722"/>
      </w:r>
      <w:r>
        <w:rPr>
          <w:rFonts w:ascii="Amiri" w:hAnsi="Amiri" w:eastAsia="Amiri" w:cs="Amiri"/>
          <w:color w:val="111111"/>
          <w:sz w:val="28"/>
          <w:sz w:val="28"/>
          <w:szCs w:val="28"/>
          <w:rtl w:val="true"/>
          <w:lang w:bidi="ar-SA"/>
        </w:rPr>
        <w:t>، والحرُّ قدس سره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وثَّقه العلَّامة المجلسيُّ قدس سره تارةً‌</w:t>
      </w:r>
      <w:r>
        <w:rPr>
          <w:rStyle w:val="FootnoteAnchor"/>
          <w:rtl w:val="true"/>
        </w:rPr>
        <w:footnoteReference w:id="724"/>
      </w:r>
      <w:r>
        <w:rPr>
          <w:rFonts w:ascii="Amiri" w:hAnsi="Amiri" w:eastAsia="Amiri" w:cs="Amiri"/>
          <w:color w:val="111111"/>
          <w:sz w:val="28"/>
          <w:sz w:val="28"/>
          <w:szCs w:val="28"/>
          <w:rtl w:val="true"/>
          <w:lang w:bidi="ar-SA"/>
        </w:rPr>
        <w:t>، وتارةً حكم بأنَّه موثَّقٌ كالصَّحيح</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1979224_1280447820"/>
      <w:bookmarkStart w:id="275" w:name="_Toc101"/>
      <w:bookmarkEnd w:id="274"/>
      <w:r>
        <w:rPr>
          <w:rtl w:val="true"/>
        </w:rPr>
        <w:t>التَّنبيه الخامس</w:t>
      </w:r>
      <w:r>
        <w:rPr>
          <w:rtl w:val="true"/>
        </w:rPr>
        <w:t>:</w:t>
      </w:r>
      <w:bookmarkEnd w:id="275"/>
    </w:p>
    <w:p>
      <w:pPr>
        <w:pStyle w:val="BookText"/>
        <w:rPr/>
      </w:pPr>
      <w:r>
        <w:rPr>
          <w:rFonts w:ascii="Amiri" w:hAnsi="Amiri" w:eastAsia="Amiri" w:cs="Amiri"/>
          <w:color w:val="111111"/>
          <w:sz w:val="28"/>
          <w:sz w:val="28"/>
          <w:szCs w:val="28"/>
          <w:rtl w:val="true"/>
          <w:lang w:bidi="ar-SA"/>
        </w:rPr>
        <w:t xml:space="preserve">هل تشمل القاعدة تركَ الأجزاء والشَّرائط في الأركان أيضًا؟، فمَن ترك التَّرتيب في الوضوء والغسل مع الإتيان بما يحصل به ماهيَّتهما تجب عليه الإعادة‌؟ أم لاتجب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شمولها لهذا المورد أيضًا،</w:t>
      </w:r>
    </w:p>
    <w:p>
      <w:pPr>
        <w:pStyle w:val="BookText"/>
        <w:rPr/>
      </w:pPr>
      <w:r>
        <w:rPr>
          <w:rFonts w:ascii="Amiri" w:hAnsi="Amiri" w:eastAsia="Amiri" w:cs="Amiri"/>
          <w:color w:val="111111"/>
          <w:sz w:val="28"/>
          <w:sz w:val="28"/>
          <w:szCs w:val="28"/>
          <w:rtl w:val="true"/>
          <w:lang w:bidi="ar-SA"/>
        </w:rPr>
        <w:t>لعدم ما يمنع عنه أوَّلًا؛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ولورود رواياتٍ في الباب تدلُّ علىٰ صحَّة صلوة مَن ترك ذكر الرُّكوع أو </w:t>
      </w:r>
      <w:bookmarkStart w:id="276" w:name="pg20339_220416"/>
    </w:p>
    <w:p>
      <w:pPr>
        <w:pStyle w:val="BookText"/>
        <w:rPr/>
      </w:pPr>
      <w:bookmarkEnd w:id="276"/>
      <w:r>
        <w:rPr>
          <w:rFonts w:ascii="Amiri" w:hAnsi="Amiri" w:eastAsia="Amiri" w:cs="Amiri"/>
          <w:color w:val="111111"/>
          <w:sz w:val="28"/>
          <w:sz w:val="28"/>
          <w:szCs w:val="28"/>
          <w:rtl w:val="true"/>
          <w:lang w:bidi="ar-SA"/>
        </w:rPr>
        <w:t>السُّجود</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ابنُإدريسٍ‌</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صحَّتُها لمَن ترك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من الرِّوايات تدلُّ علىٰ أنَّ المستثنىٰ في الرِّواية هو أصل الأركان، لا أجزائها وشرائطها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979226_1280447820"/>
      <w:bookmarkStart w:id="278" w:name="_Toc102"/>
      <w:bookmarkEnd w:id="277"/>
      <w:r>
        <w:rPr>
          <w:rtl w:val="true"/>
        </w:rPr>
        <w:t>أمثلةٌ لاستعمال القاعدة في الفقه</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المحقِّق الدَّاماد قدس سره في شرح قول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ستر العورة ابتداءً أو بعد التَّكشُّف في الأثناء فالأقوىٰ صحَّة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لاإشكال في الصِّحَّة عند نسيان السَّتر ابتداءً أو بعد التَّكشُّف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لاتُعاد</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الفقيه الشَّيخ علىٰ آل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لوأتىٰ بالعشاء قبل المغرب في الوقت المشترك إلَّاأنَّه تذكَّر في أثناء العشاء أنَّه لم يأت بالمغرب وقد تجاوز محلَّ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تذكَّر وقد دخل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عشاءً‌، لقاعدة لاتُعاد</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في شرح منتخب المسائل،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السَّيِّد الفقيه الخوئيُّ قدس سره في مَن نسي التَّشهُّد أو بعضه ثمَّ تذكَّر ذلك بعد الإتيان بالمنافي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 عليه السَّيِّد الفقيه القمِّي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مجالٍ للتَّدارك، وتصحُّ لقاعدة لاتُعاد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20339_220418"/>
      <w:bookmarkStart w:id="280" w:name="pg20339_220418"/>
      <w:bookmarkEnd w:id="280"/>
    </w:p>
    <w:p>
      <w:pPr>
        <w:pStyle w:val="Heading2"/>
        <w:numPr>
          <w:ilvl w:val="1"/>
          <w:numId w:val="1"/>
        </w:numPr>
        <w:rPr/>
      </w:pPr>
      <w:bookmarkStart w:id="281" w:name="pg20339_220418"/>
      <w:bookmarkStart w:id="282" w:name="__RefHeading___Toc11979228_1280447820"/>
      <w:bookmarkStart w:id="283" w:name="_Toc103"/>
      <w:bookmarkEnd w:id="281"/>
      <w:bookmarkEnd w:id="282"/>
      <w:r>
        <w:rPr>
          <w:rtl w:val="true"/>
        </w:rPr>
        <w:t>[</w:t>
      </w:r>
      <w:r>
        <w:rPr/>
        <w:t>52</w:t>
      </w:r>
      <w:r>
        <w:rPr>
          <w:rtl w:val="true"/>
        </w:rPr>
        <w:t xml:space="preserve">:] </w:t>
      </w:r>
      <w:r>
        <w:rPr>
          <w:rtl w:val="true"/>
        </w:rPr>
        <w:t>قاعدة لا رهن إلَّامقبُوضًا</w:t>
      </w:r>
      <w:bookmarkEnd w:id="283"/>
    </w:p>
    <w:p>
      <w:pPr>
        <w:pStyle w:val="Heading3"/>
        <w:numPr>
          <w:ilvl w:val="2"/>
          <w:numId w:val="1"/>
        </w:numPr>
        <w:rPr/>
      </w:pPr>
      <w:bookmarkStart w:id="284" w:name="__RefHeading___Toc11979230_1280447820"/>
      <w:bookmarkStart w:id="285" w:name="_Toc104"/>
      <w:bookmarkEnd w:id="284"/>
      <w:r>
        <w:rPr>
          <w:rtl w:val="true"/>
        </w:rPr>
        <w:t>عناوين أُخرىٰ للقاعدة</w:t>
      </w:r>
      <w:bookmarkEnd w:id="285"/>
    </w:p>
    <w:p>
      <w:pPr>
        <w:pStyle w:val="BookText"/>
        <w:rPr/>
      </w:pPr>
      <w:r>
        <w:rPr>
          <w:rFonts w:ascii="Amiri" w:hAnsi="Amiri" w:eastAsia="Amiri" w:cs="Amiri"/>
          <w:color w:val="111111"/>
          <w:sz w:val="28"/>
          <w:sz w:val="28"/>
          <w:szCs w:val="28"/>
          <w:rtl w:val="true"/>
          <w:lang w:bidi="ar-SA"/>
        </w:rPr>
        <w:t>سنتكلَّم عن أنَّ هذه القاعدة ليست كغيرها من القواعد الباحث عن قاعدةٍ جاريةٍ في أبوابٍ فقهيَّةٍ‌، بل ليست هي إلَّابعض ما أورده الفقهاء في كتاب الرَّهن؛ فليس لها إذن عناوين أُخرىٰ‌، حيث ليست قاعدةً أصلًا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979232_1280447820"/>
      <w:bookmarkStart w:id="287" w:name="_Toc105"/>
      <w:bookmarkEnd w:id="286"/>
      <w:r>
        <w:rPr>
          <w:rtl w:val="true"/>
        </w:rPr>
        <w:t>توضيح مفاد القاعدة</w:t>
      </w:r>
      <w:bookmarkEnd w:id="2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الرَّهن في اللُّغة واضحٌ‌، ولذلك اكتفىٰ الخليلُ‌</w:t>
      </w:r>
      <w:r>
        <w:rPr>
          <w:rStyle w:val="FootnoteAnchor"/>
          <w:rtl w:val="true"/>
        </w:rPr>
        <w:footnoteReference w:id="730"/>
      </w:r>
      <w:r>
        <w:rPr>
          <w:rFonts w:ascii="Amiri" w:hAnsi="Amiri" w:eastAsia="Amiri" w:cs="Amiri"/>
          <w:color w:val="111111"/>
          <w:sz w:val="28"/>
          <w:sz w:val="28"/>
          <w:szCs w:val="28"/>
          <w:rtl w:val="true"/>
          <w:lang w:bidi="ar-SA"/>
        </w:rPr>
        <w:t>وابنُدُريدٍ</w:t>
      </w:r>
      <w:r>
        <w:rPr>
          <w:rStyle w:val="FootnoteAnchor"/>
          <w:rtl w:val="true"/>
        </w:rPr>
        <w:footnoteReference w:id="731"/>
      </w:r>
      <w:r>
        <w:rPr>
          <w:rFonts w:ascii="Amiri" w:hAnsi="Amiri" w:eastAsia="Amiri" w:cs="Amiri"/>
          <w:color w:val="111111"/>
          <w:sz w:val="28"/>
          <w:sz w:val="28"/>
          <w:szCs w:val="28"/>
          <w:rtl w:val="true"/>
          <w:lang w:bidi="ar-SA"/>
        </w:rPr>
        <w:t xml:space="preserve">والأزهريُّ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اللَّيث</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إسماعيل</w:t>
      </w:r>
      <w:r>
        <w:rPr>
          <w:rStyle w:val="FootnoteAnchor"/>
          <w:rtl w:val="true"/>
        </w:rPr>
        <w:footnoteReference w:id="733"/>
      </w:r>
      <w:r>
        <w:rPr>
          <w:rFonts w:ascii="Amiri" w:hAnsi="Amiri" w:eastAsia="Amiri" w:cs="Amiri"/>
          <w:color w:val="111111"/>
          <w:sz w:val="28"/>
          <w:sz w:val="28"/>
          <w:szCs w:val="28"/>
          <w:rtl w:val="true"/>
          <w:lang w:bidi="ar-SA"/>
        </w:rPr>
        <w:t>والجوهريُّ‌</w:t>
      </w:r>
      <w:r>
        <w:rPr>
          <w:rStyle w:val="FootnoteAnchor"/>
          <w:rtl w:val="true"/>
        </w:rPr>
        <w:footnoteReference w:id="734"/>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يزيدوا </w:t>
      </w:r>
    </w:p>
    <w:p>
      <w:pPr>
        <w:pStyle w:val="BookText"/>
        <w:rPr/>
      </w:pPr>
      <w:r>
        <w:rPr>
          <w:rFonts w:ascii="Amiri" w:hAnsi="Amiri" w:eastAsia="Amiri" w:cs="Amiri"/>
          <w:color w:val="111111"/>
          <w:sz w:val="28"/>
          <w:sz w:val="28"/>
          <w:szCs w:val="28"/>
          <w:rtl w:val="true"/>
          <w:lang w:bidi="ar-SA"/>
        </w:rPr>
        <w:t>عليه شيئًا؛</w:t>
      </w:r>
    </w:p>
    <w:p>
      <w:pPr>
        <w:pStyle w:val="BookText"/>
        <w:rPr/>
      </w:pPr>
      <w:r>
        <w:rPr>
          <w:rFonts w:ascii="Amiri" w:hAnsi="Amiri" w:eastAsia="Amiri" w:cs="Amiri"/>
          <w:color w:val="111111"/>
          <w:sz w:val="28"/>
          <w:sz w:val="28"/>
          <w:szCs w:val="28"/>
          <w:rtl w:val="true"/>
          <w:lang w:bidi="ar-SA"/>
        </w:rPr>
        <w:t xml:space="preserve">أمَّا الَّذين جاءوا بتعريفه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كالرَّاغب</w:t>
      </w:r>
      <w:r>
        <w:rPr>
          <w:rStyle w:val="FootnoteAnchor"/>
          <w:rtl w:val="true"/>
        </w:rPr>
        <w:footnoteReference w:id="735"/>
      </w:r>
      <w:r>
        <w:rPr>
          <w:rFonts w:ascii="Amiri" w:hAnsi="Amiri" w:eastAsia="Amiri" w:cs="Amiri"/>
          <w:color w:val="111111"/>
          <w:sz w:val="28"/>
          <w:sz w:val="28"/>
          <w:szCs w:val="28"/>
          <w:rtl w:val="true"/>
          <w:lang w:bidi="ar-SA"/>
        </w:rPr>
        <w:t>، وابنِسيدة</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فاكتفوا في مقام التَّعريف بما ذكره الفقهاء؛ فلاحظ</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معنىً بحسب العُرف واصطلاح المُتَفقِّهة أيضًا؛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يتعرَّض كثيرٌ منهم وسيَّما المُتَقدِّمون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لتعريفه، كالمفيد قدس سره في بدأ كتاب الرَّهن</w:t>
      </w:r>
      <w:r>
        <w:rPr>
          <w:rStyle w:val="FootnoteAnchor"/>
          <w:rtl w:val="true"/>
        </w:rPr>
        <w:footnoteReference w:id="738"/>
      </w:r>
      <w:r>
        <w:rPr>
          <w:rFonts w:ascii="Amiri" w:hAnsi="Amiri" w:eastAsia="Amiri" w:cs="Amiri"/>
          <w:color w:val="111111"/>
          <w:sz w:val="28"/>
          <w:sz w:val="28"/>
          <w:szCs w:val="28"/>
          <w:rtl w:val="true"/>
          <w:lang w:bidi="ar-SA"/>
        </w:rPr>
        <w:t>، والمرتضىٰ قدس سره فيه</w:t>
      </w:r>
      <w:r>
        <w:rPr>
          <w:rStyle w:val="FootnoteAnchor"/>
          <w:rtl w:val="true"/>
        </w:rPr>
        <w:footnoteReference w:id="739"/>
      </w:r>
      <w:r>
        <w:rPr>
          <w:rFonts w:ascii="Amiri" w:hAnsi="Amiri" w:eastAsia="Amiri" w:cs="Amiri"/>
          <w:color w:val="111111"/>
          <w:sz w:val="28"/>
          <w:sz w:val="28"/>
          <w:szCs w:val="28"/>
          <w:rtl w:val="true"/>
          <w:lang w:bidi="ar-SA"/>
        </w:rPr>
        <w:t>، والشَّيخ قدس سره فيه في الخلاف</w:t>
      </w:r>
      <w:r>
        <w:rPr>
          <w:rStyle w:val="FootnoteAnchor"/>
          <w:rtl w:val="true"/>
        </w:rPr>
        <w:footnoteReference w:id="740"/>
      </w:r>
      <w:r>
        <w:rPr>
          <w:rFonts w:ascii="Amiri" w:hAnsi="Amiri" w:eastAsia="Amiri" w:cs="Amiri"/>
          <w:color w:val="111111"/>
          <w:sz w:val="28"/>
          <w:sz w:val="28"/>
          <w:szCs w:val="28"/>
          <w:rtl w:val="true"/>
          <w:lang w:bidi="ar-SA"/>
        </w:rPr>
        <w:t>، والطَّبَرسيِّ قدس سره في تلخيصه</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الوثيقة من المديون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يشيرُ كلماتُ الفقهاء الَّذين تعرَّضوا لتعريفه؛ إليك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 في مبسوطه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اسمٌ لجَعْل المال وثيقةً في دَينٍ إذا تعذَّرَ استيفاؤُه ممَّن عليه استوفىٰ من ثمَن الرَّهن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وقال ابنُالبرَّاج 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جعْلُ المال عند صاحب الدَّين وثيقةً له علىٰ ماله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وعن الكَيدُريِّ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جعلُ العين وثيقةً في دَينٍ وغيره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وعن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وثيقةٌ لدَين المُرتَهن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ومثله ما ذكره في مختصره</w:t>
      </w:r>
      <w:r>
        <w:rPr>
          <w:rStyle w:val="FootnoteAnchor"/>
          <w:rtl w:val="true"/>
        </w:rPr>
        <w:footnoteReference w:id="746"/>
      </w:r>
      <w:r>
        <w:rPr>
          <w:rFonts w:ascii="Amiri" w:hAnsi="Amiri" w:eastAsia="Amiri" w:cs="Amiri"/>
          <w:color w:val="111111"/>
          <w:sz w:val="28"/>
          <w:sz w:val="28"/>
          <w:szCs w:val="28"/>
          <w:rtl w:val="true"/>
          <w:lang w:bidi="ar-SA"/>
        </w:rPr>
        <w:t>وعن الشَّهيد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وثيقةٌ للدَّين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اختصاصَ الرَّهن بالدَّين لا وجه له قطعًا وإن اختصَّ الأصحاب الدَّينَ به؛ ضرورة أنَّ أخذَ الوثيقة من العامل في عمله ومن العاقد في عقده وهكذا في غيرهما من موارده يكون من الدَّين؛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هو أخذ الوثيقة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لايُثبِت الرَّهنُ إلَّابعد قبض المرتهِن إيَّاه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اللَّافت للنَّظر جدًّا أنَّ كثيرًا من المعاملات يحتاج إلى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والوقف، بل الهبة والمضاربة والعارية والإجارة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فاختصاص البحث هيهنا بالرَّهن لاوجه له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الَّذي يُتراءىٰ من بعضهم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البجنورديِّ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الرَّهن له، ممَّا لانعلمُ له وجهًا؛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ليس البحث عن القاعدة هذه بحثًا عن القواعد الفقهيَّة كغيره من الأبحاث، حيث إنَّ البحث هيهنا يُركِّز علىٰ كتاب الرَّهن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أيضًا نقتفي أثرَهم ونذكر بعض مسائل هذا الكتاب تبعًا للأصحاب؛ وإلَّا فالبحث خارجٌ عن مساق </w:t>
      </w:r>
      <w:bookmarkStart w:id="288" w:name="pg20339_220421"/>
    </w:p>
    <w:p>
      <w:pPr>
        <w:pStyle w:val="BookText"/>
        <w:rPr/>
      </w:pPr>
      <w:bookmarkEnd w:id="288"/>
      <w:r>
        <w:rPr>
          <w:rFonts w:ascii="Amiri" w:hAnsi="Amiri" w:eastAsia="Amiri" w:cs="Amiri"/>
          <w:color w:val="111111"/>
          <w:sz w:val="28"/>
          <w:sz w:val="28"/>
          <w:szCs w:val="28"/>
          <w:rtl w:val="true"/>
          <w:lang w:bidi="ar-SA"/>
        </w:rPr>
        <w:t>القواعد من جهاتٍ عدَّةٍ لاتخفىٰ علىٰ المتأمِّل فيه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979234_1280447820"/>
      <w:bookmarkStart w:id="290" w:name="_Toc106"/>
      <w:bookmarkEnd w:id="289"/>
      <w:r>
        <w:rPr>
          <w:rtl w:val="true"/>
        </w:rPr>
        <w:t>مدركُ القاعدة</w:t>
      </w:r>
      <w:bookmarkEnd w:id="290"/>
    </w:p>
    <w:p>
      <w:pPr>
        <w:pStyle w:val="Heading4"/>
        <w:numPr>
          <w:ilvl w:val="3"/>
          <w:numId w:val="1"/>
        </w:numPr>
        <w:rPr/>
      </w:pPr>
      <w:bookmarkStart w:id="291" w:name="__RefHeading___Toc11979236_1280447820"/>
      <w:bookmarkStart w:id="292" w:name="_Toc107"/>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تدلُّ علىٰ القاعدة 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979238_1280447820"/>
      <w:bookmarkStart w:id="294" w:name="_Toc108"/>
      <w:bookmarkEnd w:id="293"/>
      <w:r>
        <w:rPr>
          <w:rtl w:val="true"/>
        </w:rPr>
        <w:t>أوَّلًا</w:t>
      </w:r>
      <w:r>
        <w:rPr>
          <w:rtl w:val="true"/>
        </w:rPr>
        <w:t xml:space="preserve">: </w:t>
      </w:r>
      <w:r>
        <w:rPr>
          <w:rtl w:val="true"/>
        </w:rPr>
        <w:t>بناء العُقلاء</w:t>
      </w:r>
      <w:bookmarkEnd w:id="294"/>
    </w:p>
    <w:p>
      <w:pPr>
        <w:pStyle w:val="BookText"/>
        <w:rPr/>
      </w:pPr>
      <w:r>
        <w:rPr>
          <w:rFonts w:ascii="Amiri" w:hAnsi="Amiri" w:eastAsia="Amiri" w:cs="Amiri"/>
          <w:color w:val="111111"/>
          <w:sz w:val="28"/>
          <w:sz w:val="28"/>
          <w:szCs w:val="28"/>
          <w:rtl w:val="true"/>
          <w:lang w:bidi="ar-SA"/>
        </w:rPr>
        <w:t>والأصلُ فيها هو بناء العقلاء</w:t>
      </w:r>
      <w:r>
        <w:rPr>
          <w:rStyle w:val="FootnoteAnchor"/>
          <w:rtl w:val="true"/>
        </w:rPr>
        <w:footnoteReference w:id="748"/>
      </w:r>
      <w:r>
        <w:rPr>
          <w:rFonts w:ascii="Amiri" w:hAnsi="Amiri" w:eastAsia="Amiri" w:cs="Amiri"/>
          <w:color w:val="111111"/>
          <w:sz w:val="28"/>
          <w:sz w:val="28"/>
          <w:szCs w:val="28"/>
          <w:rtl w:val="true"/>
          <w:lang w:bidi="ar-SA"/>
        </w:rPr>
        <w:t>، كغير الرَّهن من العقود، حيث إنَّ للعقلاء قواعدَ في معيشتهم وحياتهم الجماعيَّة بها ينظِّمونها وهم راضون بها، وهذه البناءات حجَجٌ من غير خلافٍ لو لم تخالِف الكتابَ الكريم أو السُّنَّة القطعيَّة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979240_1280447820"/>
      <w:bookmarkStart w:id="296" w:name="_Toc109"/>
      <w:bookmarkEnd w:id="295"/>
      <w:r>
        <w:rPr>
          <w:rtl w:val="true"/>
        </w:rPr>
        <w:t>ثانيًا</w:t>
      </w:r>
      <w:r>
        <w:rPr>
          <w:rtl w:val="true"/>
        </w:rPr>
        <w:t xml:space="preserve">: </w:t>
      </w:r>
      <w:r>
        <w:rPr>
          <w:rtl w:val="true"/>
        </w:rPr>
        <w:t>الكتاب</w:t>
      </w:r>
      <w:bookmarkEnd w:id="296"/>
    </w:p>
    <w:p>
      <w:pPr>
        <w:pStyle w:val="BookText"/>
        <w:rPr/>
      </w:pPr>
      <w:r>
        <w:rPr>
          <w:rFonts w:ascii="Amiri" w:hAnsi="Amiri" w:eastAsia="Amiri" w:cs="Amiri"/>
          <w:color w:val="111111"/>
          <w:sz w:val="28"/>
          <w:sz w:val="28"/>
          <w:szCs w:val="28"/>
          <w:rtl w:val="true"/>
          <w:lang w:bidi="ar-SA"/>
        </w:rPr>
        <w:t xml:space="preserve">ثمَّ إنَّ الذِّكرَ الحكيم أمضىٰ هذا البناء،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كثيرٌ من مفسِّري الفريقَين إلى كيفيَّة دلالة الكريمة علىٰ تشريع الرَّهن وكيفيَّته؛ كالشَّيخ قدس سره</w:t>
      </w:r>
      <w:r>
        <w:rPr>
          <w:rStyle w:val="FootnoteAnchor"/>
          <w:rtl w:val="true"/>
        </w:rPr>
        <w:footnoteReference w:id="750"/>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751"/>
      </w:r>
      <w:r>
        <w:rPr>
          <w:rFonts w:ascii="IRNazanin" w:hAnsi="IRNazanin" w:eastAsia="IRNazanin"/>
          <w:color w:val="111111"/>
          <w:sz w:val="28"/>
          <w:sz w:val="28"/>
          <w:szCs w:val="28"/>
          <w:rtl w:val="true"/>
          <w:lang w:bidi="fa-IR"/>
        </w:rPr>
        <w:t>، والفاضل الجواد قدس سره</w:t>
      </w:r>
      <w:r>
        <w:rPr>
          <w:rStyle w:val="FootnoteAnchor"/>
          <w:rtl w:val="true"/>
        </w:rPr>
        <w:footnoteReference w:id="752"/>
      </w:r>
      <w:r>
        <w:rPr>
          <w:rFonts w:ascii="Amiri" w:hAnsi="Amiri" w:eastAsia="Amiri" w:cs="Amiri"/>
          <w:color w:val="111111"/>
          <w:sz w:val="28"/>
          <w:sz w:val="28"/>
          <w:szCs w:val="28"/>
          <w:rtl w:val="true"/>
          <w:lang w:bidi="ar-SA"/>
        </w:rPr>
        <w:t>، والجصَّاص قدس سره</w:t>
      </w:r>
      <w:r>
        <w:rPr>
          <w:rStyle w:val="FootnoteAnchor"/>
          <w:rtl w:val="true"/>
        </w:rPr>
        <w:footnoteReference w:id="753"/>
      </w:r>
      <w:r>
        <w:rPr>
          <w:rFonts w:ascii="Amiri" w:hAnsi="Amiri" w:eastAsia="Amiri" w:cs="Amiri"/>
          <w:color w:val="111111"/>
          <w:sz w:val="28"/>
          <w:sz w:val="28"/>
          <w:szCs w:val="28"/>
          <w:rtl w:val="true"/>
          <w:lang w:bidi="ar-SA"/>
        </w:rPr>
        <w:t>، والكياهراسي قدس سره</w:t>
      </w:r>
      <w:r>
        <w:rPr>
          <w:rStyle w:val="FootnoteAnchor"/>
          <w:rtl w:val="true"/>
        </w:rPr>
        <w:footnoteReference w:id="754"/>
      </w:r>
      <w:r>
        <w:rPr>
          <w:rFonts w:ascii="Amiri" w:hAnsi="Amiri" w:eastAsia="Amiri" w:cs="Amiri"/>
          <w:color w:val="111111"/>
          <w:sz w:val="28"/>
          <w:sz w:val="28"/>
          <w:szCs w:val="28"/>
          <w:rtl w:val="true"/>
          <w:lang w:bidi="ar-SA"/>
        </w:rPr>
        <w:t xml:space="preserve">وقد فصَّل الكلامَ فيها القُرطبيُّ قدس سره تفصيلًا </w:t>
      </w:r>
      <w:bookmarkStart w:id="297" w:name="pg20339_220422"/>
    </w:p>
    <w:p>
      <w:pPr>
        <w:pStyle w:val="BookText"/>
        <w:rPr/>
      </w:pPr>
      <w:bookmarkEnd w:id="297"/>
      <w:r>
        <w:rPr>
          <w:rFonts w:ascii="Amiri" w:hAnsi="Amiri" w:eastAsia="Amiri" w:cs="Amiri"/>
          <w:color w:val="111111"/>
          <w:sz w:val="28"/>
          <w:sz w:val="28"/>
          <w:szCs w:val="28"/>
          <w:rtl w:val="true"/>
          <w:lang w:bidi="ar-SA"/>
        </w:rPr>
        <w:t>بالغًا في مسائل</w:t>
      </w:r>
      <w:r>
        <w:rPr>
          <w:rStyle w:val="FootnoteAnchor"/>
          <w:rtl w:val="true"/>
        </w:rPr>
        <w:footnoteReference w:id="755"/>
      </w:r>
      <w:r>
        <w:rPr>
          <w:rFonts w:ascii="Amiri" w:hAnsi="Amiri" w:eastAsia="Amiri" w:cs="Amiri"/>
          <w:color w:val="111111"/>
          <w:sz w:val="28"/>
          <w:sz w:val="28"/>
          <w:szCs w:val="28"/>
          <w:rtl w:val="true"/>
          <w:lang w:bidi="ar-SA"/>
        </w:rPr>
        <w:t>، وأوجز فيها سيِّدُنا الأستاذ العلَّامة قدس سره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فدلالة الكريمة علىٰ المطلوب واضحةٌ لايحتاج إلى مزيد بيانٍ‌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979242_1280447820"/>
      <w:bookmarkStart w:id="299" w:name="_Toc110"/>
      <w:bookmarkEnd w:id="298"/>
      <w:r>
        <w:rPr>
          <w:rtl w:val="true"/>
        </w:rPr>
        <w:t>ثالثًا</w:t>
      </w:r>
      <w:r>
        <w:rPr>
          <w:rtl w:val="true"/>
        </w:rPr>
        <w:t xml:space="preserve">: </w:t>
      </w:r>
      <w:r>
        <w:rPr>
          <w:rtl w:val="true"/>
        </w:rPr>
        <w:t>السُّنَّة</w:t>
      </w:r>
      <w:bookmarkEnd w:id="299"/>
    </w:p>
    <w:p>
      <w:pPr>
        <w:pStyle w:val="BookText"/>
        <w:rPr/>
      </w:pPr>
      <w:r>
        <w:rPr>
          <w:rFonts w:ascii="Amiri" w:hAnsi="Amiri" w:eastAsia="Amiri" w:cs="Amiri"/>
          <w:color w:val="111111"/>
          <w:sz w:val="28"/>
          <w:sz w:val="28"/>
          <w:szCs w:val="28"/>
          <w:rtl w:val="true"/>
          <w:lang w:bidi="ar-SA"/>
        </w:rPr>
        <w:t>ويدلُّ عليه أيضًا رواياتٌ كثيرةٌ‌؛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إلَّامقبوضًا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الشَّيخ قدس سره</w:t>
      </w:r>
      <w:r>
        <w:rPr>
          <w:rStyle w:val="FootnoteAnchor"/>
          <w:rtl w:val="true"/>
        </w:rPr>
        <w:footnoteReference w:id="757"/>
      </w:r>
      <w:r>
        <w:rPr>
          <w:rFonts w:ascii="Amiri" w:hAnsi="Amiri" w:eastAsia="Amiri" w:cs="Amiri"/>
          <w:color w:val="111111"/>
          <w:sz w:val="28"/>
          <w:sz w:val="28"/>
          <w:szCs w:val="28"/>
          <w:rtl w:val="true"/>
          <w:lang w:bidi="ar-SA"/>
        </w:rPr>
        <w:t>، والعيَّاشيُّ قدس سره</w:t>
      </w:r>
      <w:r>
        <w:rPr>
          <w:rStyle w:val="FootnoteAnchor"/>
          <w:rtl w:val="true"/>
        </w:rPr>
        <w:footnoteReference w:id="758"/>
      </w:r>
      <w:r>
        <w:rPr>
          <w:rFonts w:ascii="Amiri" w:hAnsi="Amiri" w:eastAsia="Amiri" w:cs="Amiri"/>
          <w:color w:val="111111"/>
          <w:sz w:val="28"/>
          <w:sz w:val="28"/>
          <w:szCs w:val="28"/>
          <w:rtl w:val="true"/>
          <w:lang w:bidi="ar-SA"/>
        </w:rPr>
        <w:t>، والفيضُ قدس سره</w:t>
      </w:r>
      <w:r>
        <w:rPr>
          <w:rStyle w:val="FootnoteAnchor"/>
          <w:rtl w:val="true"/>
        </w:rPr>
        <w:footnoteReference w:id="759"/>
      </w:r>
      <w:r>
        <w:rPr>
          <w:rFonts w:ascii="Amiri" w:hAnsi="Amiri" w:eastAsia="Amiri" w:cs="Amiri"/>
          <w:color w:val="111111"/>
          <w:sz w:val="28"/>
          <w:sz w:val="28"/>
          <w:szCs w:val="28"/>
          <w:rtl w:val="true"/>
          <w:lang w:bidi="ar-SA"/>
        </w:rPr>
        <w:t>، والشَّيخ الحرُّ قدس سره</w:t>
      </w:r>
      <w:r>
        <w:rPr>
          <w:rStyle w:val="FootnoteAnchor"/>
          <w:rtl w:val="true"/>
        </w:rPr>
        <w:footnoteReference w:id="760"/>
      </w:r>
      <w:r>
        <w:rPr>
          <w:rFonts w:ascii="Amiri" w:hAnsi="Amiri" w:eastAsia="Amiri" w:cs="Amiri"/>
          <w:color w:val="111111"/>
          <w:sz w:val="28"/>
          <w:sz w:val="28"/>
          <w:szCs w:val="28"/>
          <w:rtl w:val="true"/>
          <w:lang w:bidi="ar-SA"/>
        </w:rPr>
        <w:t>وغيرهم؛ بسندٍ لاباس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العلَّامةُ المجلسيُّ قدس سره في ملاذه</w:t>
      </w:r>
      <w:r>
        <w:rPr>
          <w:rStyle w:val="FootnoteAnchor"/>
          <w:rtl w:val="true"/>
        </w:rPr>
        <w:footnoteReference w:id="761"/>
      </w:r>
      <w:r>
        <w:rPr>
          <w:rFonts w:ascii="Amiri" w:hAnsi="Amiri" w:eastAsia="Amiri" w:cs="Amiri"/>
          <w:color w:val="111111"/>
          <w:sz w:val="28"/>
          <w:sz w:val="28"/>
          <w:szCs w:val="28"/>
          <w:rtl w:val="true"/>
          <w:lang w:bidi="ar-SA"/>
        </w:rPr>
        <w:t>، كغيره كالفقيه العامِليِّ قدس سره</w:t>
      </w:r>
      <w:r>
        <w:rPr>
          <w:rStyle w:val="FootnoteAnchor"/>
          <w:rtl w:val="true"/>
        </w:rPr>
        <w:footnoteReference w:id="762"/>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763"/>
      </w:r>
      <w:r>
        <w:rPr>
          <w:rFonts w:ascii="Amiri" w:hAnsi="Amiri" w:eastAsia="Amiri" w:cs="Amiri"/>
          <w:color w:val="111111"/>
          <w:sz w:val="28"/>
          <w:sz w:val="28"/>
          <w:szCs w:val="28"/>
          <w:rtl w:val="true"/>
          <w:lang w:bidi="ar-SA"/>
        </w:rPr>
        <w:t>وعن أوَّل المجلسيَّينِ قدس سره كونه من الموثَّق كالصَّحيح</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وأمثالُه الكثيرة المرويَة في مصادرنا الرِّوائيَّة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1979244_1280447820"/>
      <w:bookmarkStart w:id="301" w:name="_Toc111"/>
      <w:bookmarkEnd w:id="300"/>
      <w:r>
        <w:rPr>
          <w:rtl w:val="true"/>
        </w:rPr>
        <w:t>رابعًا</w:t>
      </w:r>
      <w:r>
        <w:rPr>
          <w:rtl w:val="true"/>
        </w:rPr>
        <w:t xml:space="preserve">: </w:t>
      </w:r>
      <w:r>
        <w:rPr>
          <w:rtl w:val="true"/>
        </w:rPr>
        <w:t>الإجماع</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الإجماعُ المُدَّعىٰ في المقام أيضًا مِن قِبَل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الأقدمُ‌ </w:t>
      </w:r>
      <w:bookmarkStart w:id="302" w:name="pg20339_220423"/>
    </w:p>
    <w:p>
      <w:pPr>
        <w:pStyle w:val="BookText"/>
        <w:rPr/>
      </w:pPr>
      <w:bookmarkEnd w:id="302"/>
      <w:r>
        <w:rPr>
          <w:rFonts w:ascii="Amiri" w:hAnsi="Amiri" w:eastAsia="Amiri" w:cs="Amiri"/>
          <w:color w:val="111111"/>
          <w:sz w:val="28"/>
          <w:sz w:val="28"/>
          <w:szCs w:val="28"/>
          <w:rtl w:val="true"/>
          <w:lang w:bidi="ar-SA"/>
        </w:rPr>
        <w:t>القاضي ابنُالبرَّاج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حاصلٌ علىٰ جواز الرَّهن</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وكذلك عن غيره، كالقمِّي السَّبزواريِّ قدس سره</w:t>
      </w:r>
      <w:r>
        <w:rPr>
          <w:rStyle w:val="FootnoteAnchor"/>
          <w:rtl w:val="true"/>
        </w:rPr>
        <w:footnoteReference w:id="767"/>
      </w:r>
      <w:r>
        <w:rPr>
          <w:rFonts w:ascii="Amiri" w:hAnsi="Amiri" w:eastAsia="Amiri" w:cs="Amiri"/>
          <w:color w:val="111111"/>
          <w:sz w:val="28"/>
          <w:sz w:val="28"/>
          <w:szCs w:val="28"/>
          <w:rtl w:val="true"/>
          <w:lang w:bidi="ar-SA"/>
        </w:rPr>
        <w:t>، والعلَّامة قدس سره</w:t>
      </w:r>
      <w:r>
        <w:rPr>
          <w:rStyle w:val="FootnoteAnchor"/>
          <w:rtl w:val="true"/>
        </w:rPr>
        <w:footnoteReference w:id="768"/>
      </w:r>
      <w:r>
        <w:rPr>
          <w:rFonts w:ascii="Amiri" w:hAnsi="Amiri" w:eastAsia="Amiri" w:cs="Amiri"/>
          <w:color w:val="111111"/>
          <w:sz w:val="28"/>
          <w:sz w:val="28"/>
          <w:szCs w:val="28"/>
          <w:rtl w:val="true"/>
          <w:lang w:bidi="ar-SA"/>
        </w:rPr>
        <w:t>، وفي تذكرته</w:t>
      </w:r>
      <w:r>
        <w:rPr>
          <w:rStyle w:val="FootnoteAnchor"/>
          <w:rtl w:val="true"/>
        </w:rPr>
        <w:footnoteReference w:id="769"/>
      </w:r>
      <w:r>
        <w:rPr>
          <w:rFonts w:ascii="Amiri" w:hAnsi="Amiri" w:eastAsia="Amiri" w:cs="Amiri"/>
          <w:color w:val="111111"/>
          <w:sz w:val="28"/>
          <w:sz w:val="28"/>
          <w:szCs w:val="28"/>
          <w:rtl w:val="true"/>
          <w:lang w:bidi="ar-SA"/>
        </w:rPr>
        <w:t>، والشَّهيدِ قدس سره</w:t>
      </w:r>
      <w:r>
        <w:rPr>
          <w:rStyle w:val="FootnoteAnchor"/>
          <w:rtl w:val="true"/>
        </w:rPr>
        <w:footnoteReference w:id="770"/>
      </w:r>
      <w:r>
        <w:rPr>
          <w:rFonts w:ascii="Amiri" w:hAnsi="Amiri" w:eastAsia="Amiri" w:cs="Amiri"/>
          <w:color w:val="111111"/>
          <w:sz w:val="28"/>
          <w:sz w:val="28"/>
          <w:szCs w:val="28"/>
          <w:rtl w:val="true"/>
          <w:lang w:bidi="ar-SA"/>
        </w:rPr>
        <w:t>، وابنِفهدٍ قدس سره</w:t>
      </w:r>
      <w:r>
        <w:rPr>
          <w:rStyle w:val="FootnoteAnchor"/>
          <w:rtl w:val="true"/>
        </w:rPr>
        <w:footnoteReference w:id="771"/>
      </w:r>
      <w:r>
        <w:rPr>
          <w:rFonts w:ascii="Amiri" w:hAnsi="Amiri" w:eastAsia="Amiri" w:cs="Amiri"/>
          <w:color w:val="111111"/>
          <w:sz w:val="28"/>
          <w:sz w:val="28"/>
          <w:szCs w:val="28"/>
          <w:rtl w:val="true"/>
          <w:lang w:bidi="ar-SA"/>
        </w:rPr>
        <w:t>بل قال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ولاإشكال في ثبوته أي الرَّهن في الجملة، بل الإجماع بقِسمَيه عليه، بل لعلَّه من ضروريَّات المذهب أو الدِّينِ‌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1979246_1280447820"/>
      <w:bookmarkStart w:id="304" w:name="_Toc112"/>
      <w:bookmarkEnd w:id="303"/>
      <w:r>
        <w:rPr>
          <w:rtl w:val="true"/>
        </w:rPr>
        <w:t>تنبيهاتٌ‌</w:t>
      </w:r>
      <w:r>
        <w:rPr>
          <w:rtl w:val="true"/>
        </w:rPr>
        <w:t>:</w:t>
      </w:r>
      <w:bookmarkEnd w:id="304"/>
    </w:p>
    <w:p>
      <w:pPr>
        <w:pStyle w:val="Heading4"/>
        <w:numPr>
          <w:ilvl w:val="3"/>
          <w:numId w:val="1"/>
        </w:numPr>
        <w:rPr/>
      </w:pPr>
      <w:bookmarkStart w:id="305" w:name="__RefHeading___Toc11979248_1280447820"/>
      <w:bookmarkStart w:id="306" w:name="_Toc113"/>
      <w:bookmarkEnd w:id="305"/>
      <w:r>
        <w:rPr>
          <w:rtl w:val="true"/>
        </w:rPr>
        <w:t>التَّنبيه الأوَّل</w:t>
      </w:r>
      <w:r>
        <w:rPr>
          <w:rtl w:val="true"/>
        </w:rPr>
        <w:t>:</w:t>
      </w:r>
      <w:bookmarkEnd w:id="306"/>
    </w:p>
    <w:p>
      <w:pPr>
        <w:pStyle w:val="BookText"/>
        <w:rPr/>
      </w:pPr>
      <w:r>
        <w:rPr>
          <w:rFonts w:ascii="Amiri" w:hAnsi="Amiri" w:eastAsia="Amiri" w:cs="Amiri"/>
          <w:color w:val="111111"/>
          <w:sz w:val="28"/>
          <w:sz w:val="28"/>
          <w:szCs w:val="28"/>
          <w:rtl w:val="true"/>
          <w:lang w:bidi="ar-SA"/>
        </w:rPr>
        <w:t>هل القبضُ‌</w:t>
      </w:r>
      <w:r>
        <w:rPr>
          <w:rStyle w:val="FootnoteAnchor"/>
          <w:rtl w:val="true"/>
        </w:rPr>
        <w:footnoteReference w:id="774"/>
      </w:r>
      <w:r>
        <w:rPr>
          <w:rFonts w:ascii="Amiri" w:hAnsi="Amiri" w:eastAsia="Amiri" w:cs="Amiri"/>
          <w:color w:val="111111"/>
          <w:sz w:val="28"/>
          <w:sz w:val="28"/>
          <w:szCs w:val="28"/>
          <w:rtl w:val="true"/>
          <w:lang w:bidi="ar-SA"/>
        </w:rPr>
        <w:t>داخلٌ في حقيقة الرَّهن وماهيَّته‌؟؛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بل هو 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القبضُ شرطٌ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الأصحُّ‌</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بشرطٍ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هو عدم احتياج الرَّهن إلى القبض أصلًا، بل الرَّهنُ يتحقَّق بالعقد ثمَّ يجب علىٰ الرَّاهن إعطاء العين المرهونة كوثيقةٍ‌، فلوأبىٰ عن إعطائها فللحاكم جبرُه عليه، كما أنَّ للمرتهن فسخَ العقد؛ فهو كالإجارة الَّتي يجب علىٰ الموجِر تحويلُ مورد الإجارة للمستأجر لاستمتاعه بمنفعته، وإن أبىٰ عن التَّسليم فللحاكم جبرُه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أذِن الرَّاهن للمرتهن في قبض الرَّهن ثمَّ رجع عن الإِذنِ ومنعه عن القبض لم يكن له ذلك، لأنَّ بالإيجاب والقبول وجب قبضُ الرَّهن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واختاره في النِّهاية</w:t>
      </w:r>
      <w:r>
        <w:rPr>
          <w:rStyle w:val="FootnoteAnchor"/>
          <w:rtl w:val="true"/>
        </w:rPr>
        <w:footnoteReference w:id="778"/>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ومثله ما عن ابنِالبرَّاج قدس سره</w:t>
      </w:r>
      <w:r>
        <w:rPr>
          <w:rStyle w:val="FootnoteAnchor"/>
          <w:rtl w:val="true"/>
        </w:rPr>
        <w:footnoteReference w:id="7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وإن اشتهرَتْ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قال عنه ابنُزهرة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الظَّاهر من المذهب وعليه الإجماعُ‌</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ومثله ما عن الكَيدُريِّ قدس سره</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لا أصل لها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ذلك كلِّه سيرةُ العقلاء جيلًا بعد جيلٍ من غير ردعٍ عن الشَّارع عنها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w:t>
      </w:r>
      <w:r>
        <w:rPr>
          <w:rStyle w:val="FootnoteAnchor"/>
          <w:rtl w:val="true"/>
        </w:rPr>
        <w:footnoteReference w:id="782"/>
      </w:r>
      <w:r>
        <w:rPr>
          <w:rFonts w:ascii="Amiri" w:hAnsi="Amiri" w:eastAsia="Amiri" w:cs="Amiri"/>
          <w:color w:val="111111"/>
          <w:sz w:val="28"/>
          <w:sz w:val="28"/>
          <w:szCs w:val="28"/>
          <w:rtl w:val="true"/>
          <w:lang w:bidi="ar-SA"/>
        </w:rPr>
        <w:t>ذلك القول إلى الشَّيخ قدس سره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فله قدس سره 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والعلَّامة قدس سره في تحريره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ومختَلَفه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وولده الفخر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والمحقِّق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وثاني الشَّهيدَين قدس سرهما في حاشيته علىٰ الشَّرائع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ومسالكه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نسبَه ابنُإدريس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أكثر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ابنُسعيدٍ قدس سره أيضًا حيث 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صحَّته الإيجابُ والقبولُ‌، والقبض باختيار الرَّاهن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للمفيد قدس سره</w:t>
      </w:r>
      <w:r>
        <w:rPr>
          <w:rStyle w:val="FootnoteAnchor"/>
          <w:rtl w:val="true"/>
        </w:rPr>
        <w:footnoteReference w:id="785"/>
      </w:r>
      <w:r>
        <w:rPr>
          <w:rFonts w:ascii="Amiri" w:hAnsi="Amiri" w:eastAsia="Amiri" w:cs="Amiri"/>
          <w:color w:val="111111"/>
          <w:sz w:val="28"/>
          <w:sz w:val="28"/>
          <w:szCs w:val="28"/>
          <w:rtl w:val="true"/>
          <w:lang w:bidi="ar-SA"/>
        </w:rPr>
        <w:t>، وابنِالبرَّاج قدس سره</w:t>
      </w:r>
      <w:r>
        <w:rPr>
          <w:rStyle w:val="FootnoteAnchor"/>
          <w:rtl w:val="true"/>
        </w:rPr>
        <w:footnoteReference w:id="786"/>
      </w:r>
      <w:r>
        <w:rPr>
          <w:rFonts w:ascii="Amiri" w:hAnsi="Amiri" w:eastAsia="Amiri" w:cs="Amiri"/>
          <w:color w:val="111111"/>
          <w:sz w:val="28"/>
          <w:sz w:val="28"/>
          <w:szCs w:val="28"/>
          <w:rtl w:val="true"/>
          <w:lang w:bidi="ar-SA"/>
        </w:rPr>
        <w:t>، وأبي الصَّلاح الحلبيِّ قدس سره</w:t>
      </w:r>
      <w:r>
        <w:rPr>
          <w:rStyle w:val="FootnoteAnchor"/>
          <w:rtl w:val="true"/>
        </w:rPr>
        <w:footnoteReference w:id="787"/>
      </w:r>
      <w:r>
        <w:rPr>
          <w:rFonts w:ascii="IRNazanin" w:hAnsi="IRNazanin" w:eastAsia="IRNazanin"/>
          <w:color w:val="111111"/>
          <w:sz w:val="28"/>
          <w:sz w:val="28"/>
          <w:szCs w:val="28"/>
          <w:rtl w:val="true"/>
          <w:lang w:bidi="fa-IR"/>
        </w:rPr>
        <w:t xml:space="preserve">، </w:t>
      </w:r>
      <w:bookmarkStart w:id="307" w:name="pg20339_220426"/>
    </w:p>
    <w:p>
      <w:pPr>
        <w:pStyle w:val="BookText"/>
        <w:rPr/>
      </w:pPr>
      <w:bookmarkEnd w:id="307"/>
      <w:r>
        <w:rPr>
          <w:rFonts w:ascii="Amiri" w:hAnsi="Amiri" w:eastAsia="Amiri" w:cs="Amiri"/>
          <w:color w:val="111111"/>
          <w:sz w:val="28"/>
          <w:sz w:val="28"/>
          <w:szCs w:val="28"/>
          <w:rtl w:val="true"/>
          <w:lang w:bidi="ar-SA"/>
        </w:rPr>
        <w:t>وسلَّارٍ قدس سره</w:t>
      </w:r>
      <w:r>
        <w:rPr>
          <w:rStyle w:val="FootnoteAnchor"/>
          <w:rtl w:val="true"/>
        </w:rPr>
        <w:footnoteReference w:id="788"/>
      </w:r>
      <w:r>
        <w:rPr>
          <w:rFonts w:ascii="Amiri" w:hAnsi="Amiri" w:eastAsia="Amiri" w:cs="Amiri"/>
          <w:color w:val="111111"/>
          <w:sz w:val="28"/>
          <w:sz w:val="28"/>
          <w:szCs w:val="28"/>
          <w:rtl w:val="true"/>
          <w:lang w:bidi="ar-SA"/>
        </w:rPr>
        <w:t>، وابنِحمزة قدس سره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حقيقةَ الرَّهن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ماهيَّتَه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الوثيقة، ولاتتحقَّق إلَّا بالقبض</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يرد عليه أنَّ القبض ممَّا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الإجارة وتسليم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عقد الرَّهن يتوقَّف علىٰ القبض،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إنعقاد العقد يجب علىٰ مالك العين المرتَهَن أن يُسلِّمه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الباب فلاتدلُّ علىٰ أكثر من هذا، ولا أقلَّ من كونها إرشاديَّةً‌، والمرشَد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اشتراط تسليم الوثيقة في تحقُّق العقد</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فإذن تصير القاعدةُ 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الشَّيخُ قدس سره في الخلاف بعد حكاية أقوال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بيَّنَّا أنَّ بنفس العقد يثبت الرَّهنُ‌، فهذا الفرعُ يسقط عنَّا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11979250_1280447820"/>
      <w:bookmarkStart w:id="309" w:name="_Toc114"/>
      <w:bookmarkEnd w:id="308"/>
      <w:r>
        <w:rPr>
          <w:rtl w:val="true"/>
        </w:rPr>
        <w:t>التَّنبيه الثَّاني</w:t>
      </w:r>
      <w:r>
        <w:rPr>
          <w:rtl w:val="true"/>
        </w:rPr>
        <w:t>:</w:t>
      </w:r>
      <w:bookmarkEnd w:id="309"/>
    </w:p>
    <w:p>
      <w:pPr>
        <w:pStyle w:val="BookText"/>
        <w:rPr/>
      </w:pPr>
      <w:r>
        <w:rPr>
          <w:rFonts w:ascii="Amiri" w:hAnsi="Amiri" w:eastAsia="Amiri" w:cs="Amiri"/>
          <w:color w:val="111111"/>
          <w:sz w:val="28"/>
          <w:sz w:val="28"/>
          <w:szCs w:val="28"/>
          <w:rtl w:val="true"/>
          <w:lang w:bidi="ar-SA"/>
        </w:rPr>
        <w:t xml:space="preserve">إذا لم يُسلِّم الرَّاهنُ الرِّهانَ فللحاكم أن يأمره بتسليمه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ويُجبَر الرَّاهن علىٰ تسليمه بمجرَّد العقد</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كما عن الصَّيمُريِّ قدس سره أيضًا</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للمرتهن أن يقبِضَه من دون إذنٍ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المحقِّقُ قدس سره</w:t>
      </w:r>
      <w:r>
        <w:rPr>
          <w:rStyle w:val="FootnoteAnchor"/>
          <w:rtl w:val="true"/>
        </w:rPr>
        <w:footnoteReference w:id="795"/>
      </w:r>
      <w:r>
        <w:rPr>
          <w:rFonts w:ascii="Amiri" w:hAnsi="Amiri" w:eastAsia="Amiri" w:cs="Amiri"/>
          <w:color w:val="111111"/>
          <w:sz w:val="28"/>
          <w:sz w:val="28"/>
          <w:szCs w:val="28"/>
          <w:rtl w:val="true"/>
          <w:lang w:bidi="ar-SA"/>
        </w:rPr>
        <w:t>، والعلَّامةُ قدس سره</w:t>
      </w:r>
      <w:r>
        <w:rPr>
          <w:rStyle w:val="FootnoteAnchor"/>
          <w:rtl w:val="true"/>
        </w:rPr>
        <w:footnoteReference w:id="796"/>
      </w:r>
      <w:r>
        <w:rPr>
          <w:rFonts w:ascii="Amiri" w:hAnsi="Amiri" w:eastAsia="Amiri" w:cs="Amiri"/>
          <w:color w:val="111111"/>
          <w:sz w:val="28"/>
          <w:sz w:val="28"/>
          <w:szCs w:val="28"/>
          <w:rtl w:val="true"/>
          <w:lang w:bidi="ar-SA"/>
        </w:rPr>
        <w:t>، وثاني الشَّهيدَين قدس سره</w:t>
      </w:r>
      <w:r>
        <w:rPr>
          <w:rStyle w:val="FootnoteAnchor"/>
          <w:rtl w:val="true"/>
        </w:rPr>
        <w:footnoteReference w:id="797"/>
      </w:r>
      <w:r>
        <w:rPr>
          <w:rFonts w:ascii="Amiri" w:hAnsi="Amiri" w:eastAsia="Amiri" w:cs="Amiri"/>
          <w:color w:val="111111"/>
          <w:sz w:val="28"/>
          <w:sz w:val="28"/>
          <w:szCs w:val="28"/>
          <w:rtl w:val="true"/>
          <w:lang w:bidi="ar-SA"/>
        </w:rPr>
        <w:t>، وفي مسالكه أيضًا</w:t>
      </w:r>
      <w:r>
        <w:rPr>
          <w:rStyle w:val="FootnoteAnchor"/>
          <w:rtl w:val="true"/>
        </w:rPr>
        <w:footnoteReference w:id="798"/>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الجواهر قدس سره بعد قول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لوقبَضَه من غير إذن الرَّاهن لم ينعقد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بلاخلافٍ أجِدُه فيه</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قبضٌ بلا إذنٍ‌، فيكون التَّصرُّف فيه تصرُّفًا في مال الغير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عندي هو الجواز، لأنَّه بمجرَّد إنعقاد العقد يجوز له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ثابتٌ له كحقٍّ من حقوقه، ولايحتاج في حيازة حقِّه إلى إذنٍ وإجازةٍ من غيره؛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قبولُ العقد من قِبَل الرَّاهن يساوي أن يكون الرِّهانُ عند المرتهن وثيقةً‌</w:t>
      </w:r>
      <w:r>
        <w:rPr>
          <w:rFonts w:eastAsia="Amiri" w:cs="Amiri" w:ascii="Amiri" w:hAnsi="Amiri"/>
          <w:color w:val="111111"/>
          <w:sz w:val="28"/>
          <w:szCs w:val="28"/>
          <w:rtl w:val="true"/>
          <w:lang w:bidi="ar-SA"/>
        </w:rPr>
        <w:t xml:space="preserve">. </w:t>
      </w:r>
      <w:bookmarkStart w:id="310" w:name="pg20339_220428"/>
    </w:p>
    <w:p>
      <w:pPr>
        <w:pStyle w:val="BookText"/>
        <w:rPr/>
      </w:pPr>
      <w:bookmarkEnd w:id="310"/>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حسْمًا لمادَّة النِّزاع نذهب إلى أنَّ له أن يُراجِع إلى الحاكم حتَّى يأخذ له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لومات الرَّاهنُ يجب علىٰ ورثته أن يردُّوا العينَ إلى المرتهن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لوقلنا أنَّ القبضَ دخيلٌ في ماهيَّة الرَّهن وحقيقته أو شرطٌ فيه،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بموته يبطل الرَّهنُ كما يبطل الهبةُ والوقف قبل القبض</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979252_1280447820"/>
      <w:bookmarkStart w:id="312" w:name="_Toc115"/>
      <w:bookmarkEnd w:id="311"/>
      <w:r>
        <w:rPr>
          <w:rtl w:val="true"/>
        </w:rPr>
        <w:t>التَّنبيه الثَّالث</w:t>
      </w:r>
      <w:r>
        <w:rPr>
          <w:rtl w:val="true"/>
        </w:rPr>
        <w:t>:</w:t>
      </w:r>
      <w:bookmarkEnd w:id="312"/>
    </w:p>
    <w:p>
      <w:pPr>
        <w:pStyle w:val="BookText"/>
        <w:rPr/>
      </w:pPr>
      <w:r>
        <w:rPr>
          <w:rFonts w:ascii="Amiri" w:hAnsi="Amiri" w:eastAsia="Amiri" w:cs="Amiri"/>
          <w:color w:val="111111"/>
          <w:sz w:val="28"/>
          <w:sz w:val="28"/>
          <w:szCs w:val="28"/>
          <w:rtl w:val="true"/>
          <w:lang w:bidi="ar-SA"/>
        </w:rPr>
        <w:t>هل يجوز رهنُ دينٍ للمرتهن‌؟، أو رهن مال الغير مع إجازته</w:t>
      </w:r>
      <w:r>
        <w:rPr>
          <w:rStyle w:val="FootnoteAnchor"/>
          <w:rtl w:val="true"/>
        </w:rPr>
        <w:footnoteReference w:id="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أشار إلى المسألة العلَّامةُ قدس سره</w:t>
      </w:r>
      <w:r>
        <w:rPr>
          <w:rStyle w:val="FootnoteAnchor"/>
          <w:rtl w:val="true"/>
        </w:rPr>
        <w:footnoteReference w:id="803"/>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804"/>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805"/>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80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وقد نصَّ العلَّامةُ قدس سره في الأوَّل علىٰ عدم صحَّته،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فلاينعقد رهنُ الدَّين</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ومثله ما في تحريره</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ولدُه الفاضل قدس سره</w:t>
      </w:r>
      <w:r>
        <w:rPr>
          <w:rStyle w:val="FootnoteAnchor"/>
          <w:rtl w:val="true"/>
        </w:rPr>
        <w:footnoteReference w:id="809"/>
      </w:r>
      <w:r>
        <w:rPr>
          <w:rFonts w:ascii="Amiri" w:hAnsi="Amiri" w:eastAsia="Amiri" w:cs="Amiri"/>
          <w:color w:val="111111"/>
          <w:sz w:val="28"/>
          <w:sz w:val="28"/>
          <w:szCs w:val="28"/>
          <w:rtl w:val="true"/>
          <w:lang w:bidi="ar-SA"/>
        </w:rPr>
        <w:t>، وهو ظاهر الشَّهيد قدس سره في الغاية</w:t>
      </w:r>
      <w:r>
        <w:rPr>
          <w:rStyle w:val="FootnoteAnchor"/>
          <w:rtl w:val="true"/>
        </w:rPr>
        <w:footnoteReference w:id="810"/>
      </w:r>
      <w:r>
        <w:rPr>
          <w:rFonts w:ascii="Amiri" w:hAnsi="Amiri" w:eastAsia="Amiri" w:cs="Amiri"/>
          <w:color w:val="111111"/>
          <w:sz w:val="28"/>
          <w:sz w:val="28"/>
          <w:szCs w:val="28"/>
          <w:rtl w:val="true"/>
          <w:lang w:bidi="ar-SA"/>
        </w:rPr>
        <w:t>، وصريحه في القواعد</w:t>
      </w:r>
      <w:r>
        <w:rPr>
          <w:rStyle w:val="FootnoteAnchor"/>
          <w:rtl w:val="true"/>
        </w:rPr>
        <w:footnoteReference w:id="811"/>
      </w:r>
      <w:r>
        <w:rPr>
          <w:rFonts w:ascii="Amiri" w:hAnsi="Amiri" w:eastAsia="Amiri" w:cs="Amiri"/>
          <w:color w:val="111111"/>
          <w:sz w:val="28"/>
          <w:sz w:val="28"/>
          <w:szCs w:val="28"/>
          <w:rtl w:val="true"/>
          <w:lang w:bidi="ar-SA"/>
        </w:rPr>
        <w:t>، واللُّمعة</w:t>
      </w:r>
      <w:r>
        <w:rPr>
          <w:rStyle w:val="FootnoteAnchor"/>
          <w:rtl w:val="true"/>
        </w:rPr>
        <w:footnoteReference w:id="812"/>
      </w:r>
      <w:r>
        <w:rPr>
          <w:rFonts w:ascii="IRNazanin" w:hAnsi="IRNazanin" w:eastAsia="IRNazanin"/>
          <w:color w:val="111111"/>
          <w:sz w:val="28"/>
          <w:sz w:val="28"/>
          <w:szCs w:val="28"/>
          <w:rtl w:val="true"/>
          <w:lang w:bidi="fa-IR"/>
        </w:rPr>
        <w:t>والمقدادِ قدس سره</w:t>
      </w:r>
      <w:r>
        <w:rPr>
          <w:rStyle w:val="FootnoteAnchor"/>
          <w:rtl w:val="true"/>
        </w:rPr>
        <w:footnoteReference w:id="813"/>
      </w:r>
      <w:r>
        <w:rPr>
          <w:rFonts w:ascii="Amiri" w:hAnsi="Amiri" w:eastAsia="Amiri" w:cs="Amiri"/>
          <w:color w:val="111111"/>
          <w:sz w:val="28"/>
          <w:sz w:val="28"/>
          <w:szCs w:val="28"/>
          <w:rtl w:val="true"/>
          <w:lang w:bidi="ar-SA"/>
        </w:rPr>
        <w:t xml:space="preserve">، والشَّيخ </w:t>
      </w:r>
    </w:p>
    <w:p>
      <w:pPr>
        <w:pStyle w:val="BookText"/>
        <w:rPr/>
      </w:pPr>
      <w:r>
        <w:rPr>
          <w:rFonts w:ascii="Amiri" w:hAnsi="Amiri" w:eastAsia="Amiri" w:cs="Amiri"/>
          <w:color w:val="111111"/>
          <w:sz w:val="28"/>
          <w:sz w:val="28"/>
          <w:szCs w:val="28"/>
          <w:rtl w:val="true"/>
          <w:lang w:bidi="ar-SA"/>
        </w:rPr>
        <w:t>شمس الدِّين القطَّان قدس سره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العلَّامةُ قدس سره في الثَّاني إلى الصِّحَّة</w:t>
      </w:r>
      <w:r>
        <w:rPr>
          <w:rStyle w:val="FootnoteAnchor"/>
          <w:rtl w:val="true"/>
        </w:rPr>
        <w:footnoteReference w:id="815"/>
      </w:r>
      <w:r>
        <w:rPr>
          <w:rFonts w:ascii="Amiri" w:hAnsi="Amiri" w:eastAsia="Amiri" w:cs="Amiri"/>
          <w:color w:val="111111"/>
          <w:sz w:val="28"/>
          <w:sz w:val="28"/>
          <w:szCs w:val="28"/>
          <w:rtl w:val="true"/>
          <w:lang w:bidi="ar-SA"/>
        </w:rPr>
        <w:t>وادَّعىٰ ثاني الشَّهيدَين قدس سرهما ثبوتَ الإجماع عليه</w:t>
      </w:r>
      <w:r>
        <w:rPr>
          <w:rStyle w:val="FootnoteAnchor"/>
          <w:rtl w:val="true"/>
        </w:rPr>
        <w:footnoteReference w:id="816"/>
      </w:r>
      <w:r>
        <w:rPr>
          <w:rFonts w:ascii="Amiri" w:hAnsi="Amiri" w:eastAsia="Amiri" w:cs="Amiri"/>
          <w:color w:val="111111"/>
          <w:sz w:val="28"/>
          <w:sz w:val="28"/>
          <w:szCs w:val="28"/>
          <w:rtl w:val="true"/>
          <w:lang w:bidi="ar-SA"/>
        </w:rPr>
        <w:t>، كما ادَّعاه الفيضُ قدس سره أيضًا</w:t>
      </w:r>
      <w:r>
        <w:rPr>
          <w:rStyle w:val="FootnoteAnchor"/>
          <w:rtl w:val="true"/>
        </w:rPr>
        <w:footnoteReference w:id="817"/>
      </w:r>
      <w:r>
        <w:rPr>
          <w:rFonts w:ascii="Amiri" w:hAnsi="Amiri" w:eastAsia="Amiri" w:cs="Amiri"/>
          <w:color w:val="111111"/>
          <w:sz w:val="28"/>
          <w:sz w:val="28"/>
          <w:szCs w:val="28"/>
          <w:rtl w:val="true"/>
          <w:lang w:bidi="ar-SA"/>
        </w:rPr>
        <w:t>واختاره الأردبيليُّ قدس سره</w:t>
      </w:r>
      <w:r>
        <w:rPr>
          <w:rStyle w:val="FootnoteAnchor"/>
          <w:rtl w:val="true"/>
        </w:rPr>
        <w:footnoteReference w:id="818"/>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819"/>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المختارُ في كِلَيهما هو الجواز، كما احتَمَله الشَّهيدُ قدس سره</w:t>
      </w:r>
      <w:r>
        <w:rPr>
          <w:rStyle w:val="FootnoteAnchor"/>
          <w:rtl w:val="true"/>
        </w:rPr>
        <w:footnoteReference w:id="820"/>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821"/>
      </w:r>
      <w:r>
        <w:rPr>
          <w:rFonts w:ascii="Amiri" w:hAnsi="Amiri" w:eastAsia="Amiri" w:cs="Amiri"/>
          <w:color w:val="111111"/>
          <w:sz w:val="28"/>
          <w:sz w:val="28"/>
          <w:szCs w:val="28"/>
          <w:rtl w:val="true"/>
          <w:lang w:bidi="ar-SA"/>
        </w:rPr>
        <w:t>في كِلتَي المسألَتين؛ لأنَّ الرَّاهن لايكون له إلَّاالوثيقة، والرَّهن وثيقةٌ كالعين، كما أنَّ مالَ الغير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إنصراف الرِّوايات عن هذا المورد وأمثاله</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من أدلَّة القاعدة هو العُرف، والعرفُ لايفرِّقُ بين هذه الموارد كلِّها</w:t>
      </w:r>
      <w:r>
        <w:rPr>
          <w:rFonts w:eastAsia="Amiri" w:cs="Amiri" w:ascii="Amiri" w:hAnsi="Amiri"/>
          <w:color w:val="111111"/>
          <w:sz w:val="28"/>
          <w:szCs w:val="28"/>
          <w:rtl w:val="true"/>
          <w:lang w:bidi="ar-SA"/>
        </w:rPr>
        <w:t xml:space="preserve">. </w:t>
      </w:r>
      <w:bookmarkStart w:id="313" w:name="pg20339_220430"/>
    </w:p>
    <w:p>
      <w:pPr>
        <w:pStyle w:val="Heading4"/>
        <w:numPr>
          <w:ilvl w:val="3"/>
          <w:numId w:val="1"/>
        </w:numPr>
        <w:rPr/>
      </w:pPr>
      <w:bookmarkStart w:id="314" w:name="__RefHeading___Toc11979254_1280447820"/>
      <w:bookmarkStart w:id="315" w:name="_Toc116"/>
      <w:bookmarkEnd w:id="313"/>
      <w:bookmarkEnd w:id="314"/>
      <w:r>
        <w:rPr>
          <w:rtl w:val="true"/>
        </w:rPr>
        <w:t>التَّنبيه الرَّابع</w:t>
      </w:r>
      <w:r>
        <w:rPr>
          <w:rtl w:val="true"/>
        </w:rPr>
        <w:t>:</w:t>
      </w:r>
      <w:bookmarkEnd w:id="315"/>
    </w:p>
    <w:p>
      <w:pPr>
        <w:pStyle w:val="BookText"/>
        <w:rPr/>
      </w:pPr>
      <w:r>
        <w:rPr>
          <w:rFonts w:ascii="Amiri" w:hAnsi="Amiri" w:eastAsia="Amiri" w:cs="Amiri"/>
          <w:color w:val="111111"/>
          <w:sz w:val="28"/>
          <w:sz w:val="28"/>
          <w:szCs w:val="28"/>
          <w:rtl w:val="true"/>
          <w:lang w:bidi="ar-SA"/>
        </w:rPr>
        <w:t xml:space="preserve">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العلَّامةُ قدس سره ثبوتَ الإجماع عليه</w:t>
      </w:r>
      <w:r>
        <w:rPr>
          <w:rStyle w:val="FootnoteAnchor"/>
          <w:rtl w:val="true"/>
        </w:rPr>
        <w:footnoteReference w:id="823"/>
      </w:r>
      <w:r>
        <w:rPr>
          <w:rFonts w:ascii="Amiri" w:hAnsi="Amiri" w:eastAsia="Amiri" w:cs="Amiri"/>
          <w:color w:val="111111"/>
          <w:sz w:val="28"/>
          <w:sz w:val="28"/>
          <w:szCs w:val="28"/>
          <w:rtl w:val="true"/>
          <w:lang w:bidi="ar-SA"/>
        </w:rPr>
        <w:t>وعن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أجدُه فيه</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الرَّهن لازمٌ من طرف الرَّاهن جائزٌ من طرف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قدس سره</w:t>
      </w:r>
      <w:r>
        <w:rPr>
          <w:rStyle w:val="FootnoteAnchor"/>
          <w:rtl w:val="true"/>
        </w:rPr>
        <w:footnoteReference w:id="825"/>
      </w:r>
      <w:r>
        <w:rPr>
          <w:rFonts w:ascii="Amiri" w:hAnsi="Amiri" w:eastAsia="Amiri" w:cs="Amiri"/>
          <w:color w:val="111111"/>
          <w:sz w:val="28"/>
          <w:sz w:val="28"/>
          <w:szCs w:val="28"/>
          <w:rtl w:val="true"/>
          <w:lang w:bidi="ar-SA"/>
        </w:rPr>
        <w:t>، وابنُحمزة الطُّوسي قدس سره</w:t>
      </w:r>
      <w:r>
        <w:rPr>
          <w:rStyle w:val="FootnoteAnchor"/>
          <w:rtl w:val="true"/>
        </w:rPr>
        <w:footnoteReference w:id="826"/>
      </w:r>
      <w:r>
        <w:rPr>
          <w:rFonts w:ascii="Amiri" w:hAnsi="Amiri" w:eastAsia="Amiri" w:cs="Amiri"/>
          <w:color w:val="111111"/>
          <w:sz w:val="28"/>
          <w:sz w:val="28"/>
          <w:szCs w:val="28"/>
          <w:rtl w:val="true"/>
          <w:lang w:bidi="ar-SA"/>
        </w:rPr>
        <w:t>، وابن إدريس قدس سره</w:t>
      </w:r>
      <w:r>
        <w:rPr>
          <w:rStyle w:val="FootnoteAnchor"/>
          <w:rtl w:val="true"/>
        </w:rPr>
        <w:footnoteReference w:id="827"/>
      </w:r>
      <w:r>
        <w:rPr>
          <w:rFonts w:ascii="Amiri" w:hAnsi="Amiri" w:eastAsia="Amiri" w:cs="Amiri"/>
          <w:color w:val="111111"/>
          <w:sz w:val="28"/>
          <w:sz w:val="28"/>
          <w:szCs w:val="28"/>
          <w:rtl w:val="true"/>
          <w:lang w:bidi="ar-SA"/>
        </w:rPr>
        <w:t>، وابنُسعيدٍ قدس سره</w:t>
      </w:r>
      <w:r>
        <w:rPr>
          <w:rStyle w:val="FootnoteAnchor"/>
          <w:rtl w:val="true"/>
        </w:rPr>
        <w:footnoteReference w:id="828"/>
      </w:r>
      <w:r>
        <w:rPr>
          <w:rFonts w:ascii="Amiri" w:hAnsi="Amiri" w:eastAsia="Amiri" w:cs="Amiri"/>
          <w:color w:val="111111"/>
          <w:sz w:val="28"/>
          <w:sz w:val="28"/>
          <w:szCs w:val="28"/>
          <w:rtl w:val="true"/>
          <w:lang w:bidi="ar-SA"/>
        </w:rPr>
        <w:t>، والشَّهيدُ قدس سره</w:t>
      </w:r>
      <w:r>
        <w:rPr>
          <w:rStyle w:val="FootnoteAnchor"/>
          <w:rtl w:val="true"/>
        </w:rPr>
        <w:footnoteReference w:id="829"/>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830"/>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831"/>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فلايجوز للرَّاهن فسخُ العقد وردُّ العين؛ وأمَّا من طرف المرتهن فيجوز له أن يُسقِطَ حقَّه، فيبقىٰ الدَّين من دون وثيقةٍ‌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ولامعنىٰ لأنْ يكون لازمًا من طرفٍ وجائزًا من طرفٍ آخر، إذ هو تبعيضٌ محالٌ يرُدُّه عرف المتشرِّعة بل العقلاء؛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إسقاطِه حقَّه فهو كأصل الدَّين يجوز للمرتنه أن يُبرِء ذمَّة الرَّاهن </w:t>
      </w:r>
      <w:bookmarkStart w:id="316" w:name="pg20339_220431"/>
    </w:p>
    <w:p>
      <w:pPr>
        <w:pStyle w:val="BookText"/>
        <w:rPr/>
      </w:pPr>
      <w:bookmarkEnd w:id="316"/>
      <w:r>
        <w:rPr>
          <w:rFonts w:ascii="Amiri" w:hAnsi="Amiri" w:eastAsia="Amiri" w:cs="Amiri"/>
          <w:color w:val="111111"/>
          <w:sz w:val="28"/>
          <w:sz w:val="28"/>
          <w:szCs w:val="28"/>
          <w:rtl w:val="true"/>
          <w:lang w:bidi="ar-SA"/>
        </w:rPr>
        <w:t xml:space="preserve">منه؛ ولايخفىٰ الفرقُ بين لزوم العقد وبين جواز دفع ذلك اللُّزوم أو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الخيارات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منَّا في هذه الرِّسالة أنَّ العقودَ كلَّها لازمةٌ ولا عقد جائزَ أصلًا، لقاعدة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الكلام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العقود الجائزة كالعارية والمضاربة فصورتُها صورةُ العقد، لكنَّها في الواقع ليس إلَّاتمليكَ الغير المالَ للاستفادة منه والإنتفاع به، ولذلك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الإذنِيَّة</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وعن الفقيه السَّيِّد محمَّد بحرالعلوم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قوامُها مجرَّد الإذن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فلوكانت عقودًا حقيقةً كانت الوفاءُ به لازمًا لِما تعهَّد به المتعاقدان، ولذلك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هذا واضحٌ لاخفاء فيه وإن ذهب المشهورُ إلى خلاف ما بيَّنَّاه لك واخترناه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1979256_1280447820"/>
      <w:bookmarkStart w:id="318" w:name="_Toc117"/>
      <w:bookmarkEnd w:id="317"/>
      <w:r>
        <w:rPr>
          <w:rtl w:val="true"/>
        </w:rPr>
        <w:t>التَّنبيه الخامس</w:t>
      </w:r>
      <w:r>
        <w:rPr>
          <w:rtl w:val="true"/>
        </w:rPr>
        <w:t>:</w:t>
      </w:r>
      <w:bookmarkEnd w:id="318"/>
    </w:p>
    <w:p>
      <w:pPr>
        <w:pStyle w:val="BookText"/>
        <w:rPr/>
      </w:pPr>
      <w:r>
        <w:rPr>
          <w:rFonts w:ascii="Amiri" w:hAnsi="Amiri" w:eastAsia="Amiri" w:cs="Amiri"/>
          <w:color w:val="111111"/>
          <w:sz w:val="28"/>
          <w:sz w:val="28"/>
          <w:szCs w:val="28"/>
          <w:rtl w:val="true"/>
          <w:lang w:bidi="ar-SA"/>
        </w:rPr>
        <w:t>الرَّهن ليس إلَّاأمانةً عند المرتهن، فهو كمورد الإجارة محكومٌ بحكم الأمانة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عليه لوتلف في يد المرتهن لم يضمُن قِبَلَه، إلَّاأن يُفرِط فيه؛ كما قد نصَّ كثيرٌ من الأعلام علىٰ هذا الحكم، كالمحقِّق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أمانةٌ في يده لايضمنه ولوتلف، ولايسقط به شيءٌ من حقِّه ما لم يتلف بتفريطه</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الفاضل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ولوتلف ضمِنَه </w:t>
      </w:r>
    </w:p>
    <w:p>
      <w:pPr>
        <w:pStyle w:val="BookText"/>
        <w:rPr/>
      </w:pPr>
      <w:r>
        <w:rPr>
          <w:rFonts w:ascii="Amiri" w:hAnsi="Amiri" w:eastAsia="Amiri" w:cs="Amiri"/>
          <w:color w:val="111111"/>
          <w:sz w:val="28"/>
          <w:sz w:val="28"/>
          <w:szCs w:val="28"/>
          <w:rtl w:val="true"/>
          <w:lang w:bidi="ar-SA"/>
        </w:rPr>
        <w:t>المرتهن لمستحقِّه مع التَّعدِّي أو التَّفريط</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واختاره السَّيِّد العَميديُّ قدس سره</w:t>
      </w:r>
      <w:r>
        <w:rPr>
          <w:rStyle w:val="FootnoteAnchor"/>
          <w:rtl w:val="true"/>
        </w:rPr>
        <w:footnoteReference w:id="836"/>
      </w:r>
      <w:r>
        <w:rPr>
          <w:rFonts w:ascii="Amiri" w:hAnsi="Amiri" w:eastAsia="Amiri" w:cs="Amiri"/>
          <w:color w:val="111111"/>
          <w:sz w:val="28"/>
          <w:sz w:val="28"/>
          <w:szCs w:val="28"/>
          <w:rtl w:val="true"/>
          <w:lang w:bidi="ar-SA"/>
        </w:rPr>
        <w:t>، والقطَّانُ قدس سره</w:t>
      </w:r>
      <w:r>
        <w:rPr>
          <w:rStyle w:val="FootnoteAnchor"/>
          <w:rtl w:val="true"/>
        </w:rPr>
        <w:footnoteReference w:id="837"/>
      </w:r>
      <w:r>
        <w:rPr>
          <w:rFonts w:ascii="Amiri" w:hAnsi="Amiri" w:eastAsia="Amiri" w:cs="Amiri"/>
          <w:color w:val="111111"/>
          <w:sz w:val="28"/>
          <w:sz w:val="28"/>
          <w:szCs w:val="28"/>
          <w:rtl w:val="true"/>
          <w:lang w:bidi="ar-SA"/>
        </w:rPr>
        <w:t>وهذا واضحٌ عقلًا لاسترة فيه أصلًا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أُدُّعِي ثبوت الإجماع علىٰ أنَّ يد المرتهن عليه ليس يد ضمانٍ حتَّى تشمُلَها قاعدةُ اليد؛ كما أنَّ ثاني الُمحقِّقين قدس سرهما بعد أن ذكَرَ قولَ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ولوتلف في يد المرتهن فالأقربُ سقوط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أمينٌ‌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رواياتٌ يدلُّ بعضُها علىٰ عدم الضَّمان، وبعضُها الآخر علىٰ ثبوته؛ مثل ما رواه الشَّيخ المحدِّث الحرُّ قدس سره في الباب الخامس</w:t>
      </w:r>
      <w:r>
        <w:rPr>
          <w:rStyle w:val="FootnoteAnchor"/>
          <w:rtl w:val="true"/>
        </w:rPr>
        <w:footnoteReference w:id="840"/>
      </w:r>
      <w:r>
        <w:rPr>
          <w:rFonts w:ascii="Amiri" w:hAnsi="Amiri" w:eastAsia="Amiri" w:cs="Amiri"/>
          <w:color w:val="111111"/>
          <w:sz w:val="28"/>
          <w:sz w:val="28"/>
          <w:szCs w:val="28"/>
          <w:rtl w:val="true"/>
          <w:lang w:bidi="ar-SA"/>
        </w:rPr>
        <w:t>من أبواب الرَّهن من جامعه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قد حمَلها والشَّيخُ قدس سره</w:t>
      </w:r>
      <w:r>
        <w:rPr>
          <w:rStyle w:val="FootnoteAnchor"/>
          <w:rtl w:val="true"/>
        </w:rPr>
        <w:footnoteReference w:id="841"/>
      </w:r>
      <w:r>
        <w:rPr>
          <w:rFonts w:ascii="Amiri" w:hAnsi="Amiri" w:eastAsia="Amiri" w:cs="Amiri"/>
          <w:color w:val="111111"/>
          <w:sz w:val="28"/>
          <w:sz w:val="28"/>
          <w:szCs w:val="28"/>
          <w:rtl w:val="true"/>
          <w:lang w:bidi="ar-SA"/>
        </w:rPr>
        <w:t>وغيرُه</w:t>
      </w:r>
      <w:r>
        <w:rPr>
          <w:rStyle w:val="FootnoteAnchor"/>
          <w:rtl w:val="true"/>
        </w:rPr>
        <w:footnoteReference w:id="842"/>
      </w:r>
      <w:r>
        <w:rPr>
          <w:rFonts w:ascii="Amiri" w:hAnsi="Amiri" w:eastAsia="Amiri" w:cs="Amiri"/>
          <w:color w:val="111111"/>
          <w:sz w:val="28"/>
          <w:sz w:val="28"/>
          <w:szCs w:val="28"/>
          <w:rtl w:val="true"/>
          <w:lang w:bidi="ar-SA"/>
        </w:rPr>
        <w:t>علىٰ التَّفريط فيه؛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جمعٌ تبرُّعيٌ لايقبله العرفُ‌</w:t>
      </w:r>
      <w:r>
        <w:rPr>
          <w:rFonts w:eastAsia="Amiri" w:cs="Amiri" w:ascii="Amiri" w:hAnsi="Amiri"/>
          <w:color w:val="111111"/>
          <w:sz w:val="28"/>
          <w:szCs w:val="28"/>
          <w:rtl w:val="true"/>
          <w:lang w:bidi="ar-SA"/>
        </w:rPr>
        <w:t xml:space="preserve">!. </w:t>
      </w:r>
      <w:bookmarkStart w:id="319" w:name="pg20339_220433"/>
    </w:p>
    <w:p>
      <w:pPr>
        <w:pStyle w:val="BookText"/>
        <w:rPr/>
      </w:pPr>
      <w:bookmarkEnd w:id="319"/>
      <w:r>
        <w:rPr>
          <w:rFonts w:ascii="Amiri" w:hAnsi="Amiri" w:eastAsia="Amiri" w:cs="Amiri"/>
          <w:color w:val="111111"/>
          <w:sz w:val="28"/>
          <w:sz w:val="28"/>
          <w:szCs w:val="28"/>
          <w:rtl w:val="true"/>
          <w:lang w:bidi="ar-SA"/>
        </w:rPr>
        <w:t xml:space="preserve">كما أنَّ الشَّيخَ نفسَه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كالفقيه الطَّباطبائيِّ قدس سره</w:t>
      </w:r>
      <w:r>
        <w:rPr>
          <w:rStyle w:val="FootnoteAnchor"/>
          <w:rtl w:val="true"/>
        </w:rPr>
        <w:footnoteReference w:id="843"/>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حملُوها علىٰ التَّقيَّة؛</w:t>
      </w:r>
    </w:p>
    <w:p>
      <w:pPr>
        <w:pStyle w:val="BookText"/>
        <w:rPr/>
      </w:pPr>
      <w:r>
        <w:rPr>
          <w:rFonts w:ascii="Amiri" w:hAnsi="Amiri" w:eastAsia="Amiri" w:cs="Amiri"/>
          <w:color w:val="111111"/>
          <w:sz w:val="28"/>
          <w:sz w:val="28"/>
          <w:szCs w:val="28"/>
          <w:rtl w:val="true"/>
          <w:lang w:bidi="ar-SA"/>
        </w:rPr>
        <w:t>وهذا حملٌ حسَنٌ لو لم يُشِنه أمرٌ آخر، وهو إعراضُ الأصحاب عن هذه الرِّوايات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تردعُ عن السِّيرة الثَّابتة المستمرَّة، وبعد وجود التَّعارُض ليس لها الرَّدع عنها، لأنَّ الرَّدع يحتاجُ إلى دليلٍ قويٍّ واضحٍ‌، وهذه الرِّوايات بعد ثبوت التَّعارض بينها وبين السِّيرة ليستْ بهذه المثابة من القوَّة والمتانة حتَّى تُردَعَ بها السِّيرة</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979258_1280447820"/>
      <w:bookmarkStart w:id="321" w:name="_Toc118"/>
      <w:bookmarkEnd w:id="320"/>
      <w:r>
        <w:rPr>
          <w:rtl w:val="true"/>
        </w:rPr>
        <w:t>التَّنبيه السَّادس</w:t>
      </w:r>
      <w:r>
        <w:rPr>
          <w:rtl w:val="true"/>
        </w:rPr>
        <w:t>:</w:t>
      </w:r>
      <w:bookmarkEnd w:id="321"/>
    </w:p>
    <w:p>
      <w:pPr>
        <w:pStyle w:val="BookText"/>
        <w:rPr/>
      </w:pPr>
      <w:r>
        <w:rPr>
          <w:rFonts w:ascii="Amiri" w:hAnsi="Amiri" w:eastAsia="Amiri" w:cs="Amiri"/>
          <w:color w:val="111111"/>
          <w:sz w:val="28"/>
          <w:sz w:val="28"/>
          <w:szCs w:val="28"/>
          <w:rtl w:val="true"/>
          <w:lang w:bidi="ar-SA"/>
        </w:rPr>
        <w:t xml:space="preserve">أجمعَت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الرَّاهن والمرتهن ممنوعان من التَّصرُّف في الرَّهن إلَّابإذنٍ من الآخر</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أمَّا الرَّاهن، فلمكان كون المال وثيقةً عنده، والوثيقةُ تقتضي عدمَ جواز التَّصرُّف فيها إلَّابإذنٍ من المرتهن؛</w:t>
      </w:r>
    </w:p>
    <w:p>
      <w:pPr>
        <w:pStyle w:val="BookText"/>
        <w:rPr/>
      </w:pPr>
      <w:r>
        <w:rPr>
          <w:rFonts w:ascii="Amiri" w:hAnsi="Amiri" w:eastAsia="Amiri" w:cs="Amiri"/>
          <w:color w:val="111111"/>
          <w:sz w:val="28"/>
          <w:sz w:val="28"/>
          <w:szCs w:val="28"/>
          <w:rtl w:val="true"/>
          <w:lang w:bidi="ar-SA"/>
        </w:rPr>
        <w:t>أمَّا المرتهن، فلكون يده يدًا أمانيَّةً‌، لا مالكيَّةً‌، إلَّامع إذن الرَّاهن؛</w:t>
      </w:r>
    </w:p>
    <w:p>
      <w:pPr>
        <w:pStyle w:val="BookText"/>
        <w:rPr/>
      </w:pPr>
      <w:r>
        <w:rPr>
          <w:rFonts w:ascii="Amiri" w:hAnsi="Amiri" w:eastAsia="Amiri" w:cs="Amiri"/>
          <w:color w:val="111111"/>
          <w:sz w:val="28"/>
          <w:sz w:val="28"/>
          <w:szCs w:val="28"/>
          <w:rtl w:val="true"/>
          <w:lang w:bidi="ar-SA"/>
        </w:rPr>
        <w:t>فليس لهما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الأقدمُ الشَّيخُ أبوالصَّلاح الحلبيُّ قدس سره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للرَّاهن ولا المرتهن التَّصرُّف في الرَّهن ولا الاتنفاع به، إلَّاعن اتِّفاقٍ قبل </w:t>
      </w:r>
    </w:p>
    <w:p>
      <w:pPr>
        <w:pStyle w:val="BookText"/>
        <w:rPr/>
      </w:pPr>
      <w:r>
        <w:rPr>
          <w:rFonts w:ascii="Amiri" w:hAnsi="Amiri" w:eastAsia="Amiri" w:cs="Amiri"/>
          <w:color w:val="111111"/>
          <w:sz w:val="28"/>
          <w:sz w:val="28"/>
          <w:szCs w:val="28"/>
          <w:rtl w:val="true"/>
          <w:lang w:bidi="ar-SA"/>
        </w:rPr>
        <w:t>عقدة الرَّهن</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ومثله ما عن السَّلَّار قدس سره</w:t>
      </w:r>
      <w:r>
        <w:rPr>
          <w:rStyle w:val="FootnoteAnchor"/>
          <w:rtl w:val="true"/>
        </w:rPr>
        <w:footnoteReference w:id="847"/>
      </w:r>
      <w:r>
        <w:rPr>
          <w:rFonts w:ascii="Amiri" w:hAnsi="Amiri" w:eastAsia="Amiri" w:cs="Amiri"/>
          <w:color w:val="111111"/>
          <w:sz w:val="28"/>
          <w:sz w:val="28"/>
          <w:szCs w:val="28"/>
          <w:rtl w:val="true"/>
          <w:lang w:bidi="ar-SA"/>
        </w:rPr>
        <w:t>، والشَّيخ قدس سره</w:t>
      </w:r>
      <w:r>
        <w:rPr>
          <w:rStyle w:val="FootnoteAnchor"/>
          <w:rtl w:val="true"/>
        </w:rPr>
        <w:footnoteReference w:id="848"/>
      </w:r>
      <w:r>
        <w:rPr>
          <w:rFonts w:ascii="Amiri" w:hAnsi="Amiri" w:eastAsia="Amiri" w:cs="Amiri"/>
          <w:color w:val="111111"/>
          <w:sz w:val="28"/>
          <w:sz w:val="28"/>
          <w:szCs w:val="28"/>
          <w:rtl w:val="true"/>
          <w:lang w:bidi="ar-SA"/>
        </w:rPr>
        <w:t>، وابن البرَّاج قدس سره</w:t>
      </w:r>
      <w:r>
        <w:rPr>
          <w:rStyle w:val="FootnoteAnchor"/>
          <w:rtl w:val="true"/>
        </w:rPr>
        <w:footnoteReference w:id="849"/>
      </w:r>
      <w:r>
        <w:rPr>
          <w:rFonts w:ascii="Amiri" w:hAnsi="Amiri" w:eastAsia="Amiri" w:cs="Amiri"/>
          <w:color w:val="111111"/>
          <w:sz w:val="28"/>
          <w:sz w:val="28"/>
          <w:szCs w:val="28"/>
          <w:rtl w:val="true"/>
          <w:lang w:bidi="ar-SA"/>
        </w:rPr>
        <w:t>، وابن حمزةَ قدس سره</w:t>
      </w:r>
      <w:r>
        <w:rPr>
          <w:rStyle w:val="FootnoteAnchor"/>
          <w:rtl w:val="true"/>
        </w:rPr>
        <w:footnoteReference w:id="850"/>
      </w:r>
      <w:r>
        <w:rPr>
          <w:rFonts w:ascii="Amiri" w:hAnsi="Amiri" w:eastAsia="Amiri" w:cs="Amiri"/>
          <w:color w:val="111111"/>
          <w:sz w:val="28"/>
          <w:sz w:val="28"/>
          <w:szCs w:val="28"/>
          <w:rtl w:val="true"/>
          <w:lang w:bidi="ar-SA"/>
        </w:rPr>
        <w:t>، والمحقِّق قدس سره في شرائعه</w:t>
      </w:r>
      <w:r>
        <w:rPr>
          <w:rStyle w:val="FootnoteAnchor"/>
          <w:rtl w:val="true"/>
        </w:rPr>
        <w:footnoteReference w:id="851"/>
      </w:r>
      <w:r>
        <w:rPr>
          <w:rFonts w:ascii="IRNazanin" w:hAnsi="IRNazanin" w:eastAsia="IRNazanin"/>
          <w:color w:val="111111"/>
          <w:sz w:val="28"/>
          <w:sz w:val="28"/>
          <w:szCs w:val="28"/>
          <w:rtl w:val="true"/>
          <w:lang w:bidi="fa-IR"/>
        </w:rPr>
        <w:t>، ومختصره</w:t>
      </w:r>
      <w:r>
        <w:rPr>
          <w:rStyle w:val="FootnoteAnchor"/>
          <w:rtl w:val="true"/>
        </w:rPr>
        <w:footnoteReference w:id="852"/>
      </w:r>
      <w:r>
        <w:rPr>
          <w:rFonts w:ascii="Amiri" w:hAnsi="Amiri" w:eastAsia="Amiri" w:cs="Amiri"/>
          <w:color w:val="111111"/>
          <w:sz w:val="28"/>
          <w:sz w:val="28"/>
          <w:szCs w:val="28"/>
          <w:rtl w:val="true"/>
          <w:lang w:bidi="ar-SA"/>
        </w:rPr>
        <w:t>، وابنِ سعيدٍ قدس سره</w:t>
      </w:r>
      <w:r>
        <w:rPr>
          <w:rStyle w:val="FootnoteAnchor"/>
          <w:rtl w:val="true"/>
        </w:rPr>
        <w:footnoteReference w:id="853"/>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854"/>
      </w:r>
      <w:r>
        <w:rPr>
          <w:rFonts w:ascii="Amiri" w:hAnsi="Amiri" w:eastAsia="Amiri" w:cs="Amiri"/>
          <w:color w:val="111111"/>
          <w:sz w:val="28"/>
          <w:sz w:val="28"/>
          <w:szCs w:val="28"/>
          <w:rtl w:val="true"/>
          <w:lang w:bidi="ar-SA"/>
        </w:rPr>
        <w:t>، وتحريره</w:t>
      </w:r>
      <w:r>
        <w:rPr>
          <w:rStyle w:val="FootnoteAnchor"/>
          <w:rtl w:val="true"/>
        </w:rPr>
        <w:footnoteReference w:id="855"/>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ادَّعاه الشَّيخُ قدس سره</w:t>
      </w:r>
      <w:r>
        <w:rPr>
          <w:rStyle w:val="FootnoteAnchor"/>
          <w:rtl w:val="true"/>
        </w:rPr>
        <w:footnoteReference w:id="856"/>
      </w:r>
      <w:r>
        <w:rPr>
          <w:rFonts w:ascii="Amiri" w:hAnsi="Amiri" w:eastAsia="Amiri" w:cs="Amiri"/>
          <w:color w:val="111111"/>
          <w:sz w:val="28"/>
          <w:sz w:val="28"/>
          <w:szCs w:val="28"/>
          <w:rtl w:val="true"/>
          <w:lang w:bidi="ar-SA"/>
        </w:rPr>
        <w:t>، وابنُإدريس قدس سره</w:t>
      </w:r>
      <w:r>
        <w:rPr>
          <w:rStyle w:val="FootnoteAnchor"/>
          <w:rtl w:val="true"/>
        </w:rPr>
        <w:footnoteReference w:id="857"/>
      </w:r>
      <w:r>
        <w:rPr>
          <w:rFonts w:ascii="Amiri" w:hAnsi="Amiri" w:eastAsia="Amiri" w:cs="Amiri"/>
          <w:color w:val="111111"/>
          <w:sz w:val="28"/>
          <w:sz w:val="28"/>
          <w:szCs w:val="28"/>
          <w:rtl w:val="true"/>
          <w:lang w:bidi="ar-SA"/>
        </w:rPr>
        <w:t>وعن المحقِّق الهمدانيِّ قدس سره</w:t>
      </w:r>
      <w:r>
        <w:rPr>
          <w:rStyle w:val="FootnoteAnchor"/>
          <w:rtl w:val="true"/>
        </w:rPr>
        <w:footnoteReference w:id="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فلاخلاف في المسألة إلَّامايُتراءىٰ من الشَّهيد قدس سره في الدُّروس</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هيهنا رواياتٌ دلَّتْ علىٰ جواز التَّصرُّف فيه في الجملة، ففي صحيحة </w:t>
      </w:r>
    </w:p>
    <w:p>
      <w:pPr>
        <w:pStyle w:val="BookText"/>
        <w:rPr/>
      </w:pPr>
      <w:r>
        <w:rPr>
          <w:rFonts w:ascii="Amiri" w:hAnsi="Amiri" w:eastAsia="Amiri" w:cs="Amiri"/>
          <w:color w:val="111111"/>
          <w:sz w:val="28"/>
          <w:sz w:val="28"/>
          <w:szCs w:val="28"/>
          <w:rtl w:val="true"/>
          <w:lang w:bidi="ar-SA"/>
        </w:rPr>
        <w:t xml:space="preserve">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شارح المفاتيح قدس سره</w:t>
      </w:r>
      <w:r>
        <w:rPr>
          <w:rStyle w:val="FootnoteAnchor"/>
          <w:rtl w:val="true"/>
        </w:rPr>
        <w:footnoteReference w:id="860"/>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861"/>
      </w:r>
      <w:r>
        <w:rPr>
          <w:rFonts w:ascii="Amiri" w:hAnsi="Amiri" w:eastAsia="Amiri" w:cs="Amiri"/>
          <w:color w:val="111111"/>
          <w:sz w:val="28"/>
          <w:sz w:val="28"/>
          <w:szCs w:val="28"/>
          <w:rtl w:val="true"/>
          <w:lang w:bidi="ar-SA"/>
        </w:rPr>
        <w:t>، وأوَّل المجلسيَّين</w:t>
      </w:r>
      <w:r>
        <w:rPr>
          <w:rStyle w:val="FootnoteAnchor"/>
          <w:rtl w:val="true"/>
        </w:rPr>
        <w:footnoteReference w:id="862"/>
      </w:r>
      <w:r>
        <w:rPr>
          <w:rFonts w:ascii="Amiri" w:hAnsi="Amiri" w:eastAsia="Amiri" w:cs="Amiri"/>
          <w:color w:val="111111"/>
          <w:sz w:val="28"/>
          <w:sz w:val="28"/>
          <w:szCs w:val="28"/>
          <w:rtl w:val="true"/>
          <w:lang w:bidi="ar-SA"/>
        </w:rPr>
        <w:t>، وثانيهما قدس سرهما</w:t>
      </w:r>
      <w:r>
        <w:rPr>
          <w:rStyle w:val="FootnoteAnchor"/>
          <w:rtl w:val="true"/>
        </w:rPr>
        <w:footnoteReference w:id="863"/>
      </w:r>
      <w:r>
        <w:rPr>
          <w:rFonts w:ascii="Amiri" w:hAnsi="Amiri" w:eastAsia="Amiri" w:cs="Amiri"/>
          <w:color w:val="111111"/>
          <w:sz w:val="28"/>
          <w:sz w:val="28"/>
          <w:szCs w:val="28"/>
          <w:rtl w:val="true"/>
          <w:lang w:bidi="ar-SA"/>
        </w:rPr>
        <w:t>، وفي ملاذه</w:t>
      </w:r>
      <w:r>
        <w:rPr>
          <w:rStyle w:val="FootnoteAnchor"/>
          <w:rtl w:val="true"/>
        </w:rPr>
        <w:footnoteReference w:id="864"/>
      </w:r>
      <w:r>
        <w:rPr>
          <w:rFonts w:ascii="Amiri" w:hAnsi="Amiri" w:eastAsia="Amiri" w:cs="Amiri"/>
          <w:color w:val="111111"/>
          <w:sz w:val="28"/>
          <w:sz w:val="28"/>
          <w:szCs w:val="28"/>
          <w:rtl w:val="true"/>
          <w:lang w:bidi="ar-SA"/>
        </w:rPr>
        <w:t xml:space="preserve">، وغيرهم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يأخذ الدَّابَّة والبعيرَ رهنًا بماله، أ له أن يركبَه‌؟،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يَعلِفُه فله أن يركبه، وإن كان الَّذي رَهَنَه عنده يَعلِفُه فليس له أن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865"/>
      </w:r>
      <w:r>
        <w:rPr>
          <w:rFonts w:ascii="Amiri" w:hAnsi="Amiri" w:eastAsia="Amiri" w:cs="Amiri"/>
          <w:color w:val="111111"/>
          <w:sz w:val="28"/>
          <w:sz w:val="28"/>
          <w:szCs w:val="28"/>
          <w:rtl w:val="true"/>
          <w:lang w:bidi="ar-SA"/>
        </w:rPr>
        <w:t>، والصَّدوق قدس سره</w:t>
      </w:r>
      <w:r>
        <w:rPr>
          <w:rStyle w:val="FootnoteAnchor"/>
          <w:rtl w:val="true"/>
        </w:rPr>
        <w:footnoteReference w:id="866"/>
      </w:r>
      <w:r>
        <w:rPr>
          <w:rFonts w:ascii="Amiri" w:hAnsi="Amiri" w:eastAsia="Amiri" w:cs="Amiri"/>
          <w:color w:val="111111"/>
          <w:sz w:val="28"/>
          <w:sz w:val="28"/>
          <w:szCs w:val="28"/>
          <w:rtl w:val="true"/>
          <w:lang w:bidi="ar-SA"/>
        </w:rPr>
        <w:t>، والشَّيخ قدس سره</w:t>
      </w:r>
      <w:r>
        <w:rPr>
          <w:rStyle w:val="FootnoteAnchor"/>
          <w:rtl w:val="true"/>
        </w:rPr>
        <w:footnoteReference w:id="867"/>
      </w:r>
      <w:r>
        <w:rPr>
          <w:rFonts w:ascii="Amiri" w:hAnsi="Amiri" w:eastAsia="Amiri" w:cs="Amiri"/>
          <w:color w:val="111111"/>
          <w:sz w:val="28"/>
          <w:sz w:val="28"/>
          <w:szCs w:val="28"/>
          <w:rtl w:val="true"/>
          <w:lang w:bidi="ar-SA"/>
        </w:rPr>
        <w:t>، والفيضُ قدس سره</w:t>
      </w:r>
      <w:r>
        <w:rPr>
          <w:rStyle w:val="FootnoteAnchor"/>
          <w:rtl w:val="true"/>
        </w:rPr>
        <w:footnoteReference w:id="868"/>
      </w:r>
      <w:r>
        <w:rPr>
          <w:rFonts w:ascii="Amiri" w:hAnsi="Amiri" w:eastAsia="Amiri" w:cs="Amiri"/>
          <w:color w:val="111111"/>
          <w:sz w:val="28"/>
          <w:sz w:val="28"/>
          <w:szCs w:val="28"/>
          <w:rtl w:val="true"/>
          <w:lang w:bidi="ar-SA"/>
        </w:rPr>
        <w:t>، والحرُّ قدس سره</w:t>
      </w:r>
      <w:r>
        <w:rPr>
          <w:rStyle w:val="FootnoteAnchor"/>
          <w:rtl w:val="true"/>
        </w:rPr>
        <w:footnoteReference w:id="86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غيرها، كموثَّقة السَّكوني عن جعفرٍ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الظَّهر يُركَب إذا كان مرهونًا وعلىٰ الَّذي يركبه نفقتُه، والدَّرُّ يُشرَب إذا كان مرهونًا وعلىٰ الَّذي يشرب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الصَّدوق قدس سره</w:t>
      </w:r>
      <w:r>
        <w:rPr>
          <w:rStyle w:val="FootnoteAnchor"/>
          <w:rtl w:val="true"/>
        </w:rPr>
        <w:footnoteReference w:id="870"/>
      </w:r>
      <w:r>
        <w:rPr>
          <w:rFonts w:ascii="Amiri" w:hAnsi="Amiri" w:eastAsia="Amiri" w:cs="Amiri"/>
          <w:color w:val="111111"/>
          <w:sz w:val="28"/>
          <w:sz w:val="28"/>
          <w:szCs w:val="28"/>
          <w:rtl w:val="true"/>
          <w:lang w:bidi="ar-SA"/>
        </w:rPr>
        <w:t>، والشَّيخ قدس سره</w:t>
      </w:r>
      <w:r>
        <w:rPr>
          <w:rStyle w:val="FootnoteAnchor"/>
          <w:rtl w:val="true"/>
        </w:rPr>
        <w:footnoteReference w:id="871"/>
      </w:r>
      <w:r>
        <w:rPr>
          <w:rFonts w:ascii="Amiri" w:hAnsi="Amiri" w:eastAsia="Amiri" w:cs="Amiri"/>
          <w:color w:val="111111"/>
          <w:sz w:val="28"/>
          <w:sz w:val="28"/>
          <w:szCs w:val="28"/>
          <w:rtl w:val="true"/>
          <w:lang w:bidi="ar-SA"/>
        </w:rPr>
        <w:t>، والشَّيخ الحرُّ قدس سره</w:t>
      </w:r>
      <w:r>
        <w:rPr>
          <w:rStyle w:val="FootnoteAnchor"/>
          <w:rtl w:val="true"/>
        </w:rPr>
        <w:footnoteReference w:id="872"/>
      </w:r>
      <w:r>
        <w:rPr>
          <w:rFonts w:ascii="Amiri" w:hAnsi="Amiri" w:eastAsia="Amiri" w:cs="Amiri"/>
          <w:color w:val="111111"/>
          <w:sz w:val="28"/>
          <w:sz w:val="28"/>
          <w:szCs w:val="28"/>
          <w:rtl w:val="true"/>
          <w:lang w:bidi="ar-SA"/>
        </w:rPr>
        <w:t>، والفيض قدس سره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322" w:name="pg20339_220436"/>
    </w:p>
    <w:p>
      <w:pPr>
        <w:pStyle w:val="BookText"/>
        <w:rPr/>
      </w:pPr>
      <w:bookmarkEnd w:id="322"/>
      <w:r>
        <w:rPr>
          <w:rFonts w:ascii="Amiri" w:hAnsi="Amiri" w:eastAsia="Amiri" w:cs="Amiri"/>
          <w:color w:val="111111"/>
          <w:sz w:val="28"/>
          <w:sz w:val="28"/>
          <w:szCs w:val="28"/>
          <w:rtl w:val="true"/>
          <w:lang w:bidi="ar-SA"/>
        </w:rPr>
        <w:t xml:space="preserve">والسَّند علىٰ ما في المنابع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العلَّامة المجلسيُّ قدس سره</w:t>
      </w:r>
      <w:r>
        <w:rPr>
          <w:rStyle w:val="FootnoteAnchor"/>
          <w:rtl w:val="true"/>
        </w:rPr>
        <w:footnoteReference w:id="874"/>
      </w:r>
      <w:r>
        <w:rPr>
          <w:rFonts w:ascii="Amiri" w:hAnsi="Amiri" w:eastAsia="Amiri" w:cs="Amiri"/>
          <w:color w:val="111111"/>
          <w:sz w:val="28"/>
          <w:sz w:val="28"/>
          <w:szCs w:val="28"/>
          <w:rtl w:val="true"/>
          <w:lang w:bidi="ar-SA"/>
        </w:rPr>
        <w:t>، ووثَّقه البحرانيُّ قدس سره</w:t>
      </w:r>
      <w:r>
        <w:rPr>
          <w:rStyle w:val="FootnoteAnchor"/>
          <w:rtl w:val="true"/>
        </w:rPr>
        <w:footnoteReference w:id="875"/>
      </w:r>
      <w:r>
        <w:rPr>
          <w:rFonts w:ascii="Amiri" w:hAnsi="Amiri" w:eastAsia="Amiri" w:cs="Amiri"/>
          <w:color w:val="111111"/>
          <w:sz w:val="28"/>
          <w:sz w:val="28"/>
          <w:szCs w:val="28"/>
          <w:rtl w:val="true"/>
          <w:lang w:bidi="ar-SA"/>
        </w:rPr>
        <w:t>، وجعلَه أوَّل المجلسيَّين قدس سرهما من القويِّ علىٰ سند الصَّدوق قدس سره، ومن الموثَّق كالصَّحيح علىٰ سند الشَّيخ قدس سره؛ والظَّاهر كونه موثَّقًا؛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الرِّوايات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بأنَّ الرُّكوب مشروطٌ بإذن المرتهن، فليس للرَّاهن التَّصرُّف في الرَّهن بالرُّكوب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فلاشيء إلَّاالإعراض عنها وطرحِها، لمكان إعراض الأصحاب عنها؛ كما ذكره الفقيه النَّجفيُّ قدس سره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1979260_1280447820"/>
      <w:bookmarkStart w:id="324" w:name="_Toc119"/>
      <w:bookmarkEnd w:id="323"/>
      <w:r>
        <w:rPr>
          <w:rtl w:val="true"/>
        </w:rPr>
        <w:t>التَّنبيه السَّابع</w:t>
      </w:r>
      <w:r>
        <w:rPr>
          <w:rtl w:val="true"/>
        </w:rPr>
        <w:t>:</w:t>
      </w:r>
      <w:bookmarkEnd w:id="324"/>
    </w:p>
    <w:p>
      <w:pPr>
        <w:pStyle w:val="BookText"/>
        <w:rPr/>
      </w:pPr>
      <w:r>
        <w:rPr>
          <w:rFonts w:ascii="Amiri" w:hAnsi="Amiri" w:eastAsia="Amiri" w:cs="Amiri"/>
          <w:color w:val="111111"/>
          <w:sz w:val="28"/>
          <w:sz w:val="28"/>
          <w:szCs w:val="28"/>
          <w:rtl w:val="true"/>
          <w:lang w:bidi="ar-SA"/>
        </w:rPr>
        <w:t>لوأفلس الرَّاهن فهل المرتهن أحقُّ بالرَّهن‌؟، أم لا؟، بل يقسِّم الحاكمُ مالَ الرَّاهن بين غُرَمائه ويكون العينُ المرهونةُ من جملة أمواله أيضًا</w:t>
      </w:r>
      <w:r>
        <w:rPr>
          <w:rStyle w:val="FootnoteAnchor"/>
          <w:rtl w:val="true"/>
        </w:rPr>
        <w:footnoteReference w:id="8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والمشهور أنَّه ليس له حقٌّ علىٰ العين المرهونة إلَّابالغَضِّ عن الدَّين، لأنَّ معنىٰ الوثيقة في العُرف ليس إلَّاأنَّ العينَ المرهونةَ حقٌّ للمرتهن حتَّى يأخذ مالَه من الرَّاهن</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من غير فرقٍ في ذلك بين الغريم الحيِّ 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إجماعيُّ كما في المسالك</w:t>
      </w:r>
      <w:r>
        <w:rPr>
          <w:rStyle w:val="FootnoteAnchor"/>
          <w:rtl w:val="true"/>
        </w:rPr>
        <w:footnoteReference w:id="879"/>
      </w:r>
      <w:r>
        <w:rPr>
          <w:rFonts w:ascii="Amiri" w:hAnsi="Amiri" w:eastAsia="Amiri" w:cs="Amiri"/>
          <w:color w:val="111111"/>
          <w:sz w:val="28"/>
          <w:sz w:val="28"/>
          <w:szCs w:val="28"/>
          <w:rtl w:val="true"/>
          <w:lang w:bidi="ar-SA"/>
        </w:rPr>
        <w:t>وهذا هو رأي المفيدِ قدس سره</w:t>
      </w:r>
      <w:r>
        <w:rPr>
          <w:rStyle w:val="FootnoteAnchor"/>
          <w:rtl w:val="true"/>
        </w:rPr>
        <w:footnoteReference w:id="880"/>
      </w:r>
      <w:r>
        <w:rPr>
          <w:rFonts w:ascii="Amiri" w:hAnsi="Amiri" w:eastAsia="Amiri" w:cs="Amiri"/>
          <w:color w:val="111111"/>
          <w:sz w:val="28"/>
          <w:sz w:val="28"/>
          <w:szCs w:val="28"/>
          <w:rtl w:val="true"/>
          <w:lang w:bidi="ar-SA"/>
        </w:rPr>
        <w:t>، والشَّيخ قدس سره</w:t>
      </w:r>
      <w:r>
        <w:rPr>
          <w:rStyle w:val="FootnoteAnchor"/>
          <w:rtl w:val="true"/>
        </w:rPr>
        <w:footnoteReference w:id="881"/>
      </w:r>
      <w:r>
        <w:rPr>
          <w:rFonts w:ascii="Amiri" w:hAnsi="Amiri" w:eastAsia="Amiri" w:cs="Amiri"/>
          <w:color w:val="111111"/>
          <w:sz w:val="28"/>
          <w:sz w:val="28"/>
          <w:szCs w:val="28"/>
          <w:rtl w:val="true"/>
          <w:lang w:bidi="ar-SA"/>
        </w:rPr>
        <w:t>، وابنِإدريس قدس سره</w:t>
      </w:r>
      <w:r>
        <w:rPr>
          <w:rStyle w:val="FootnoteAnchor"/>
          <w:rtl w:val="true"/>
        </w:rPr>
        <w:footnoteReference w:id="882"/>
      </w:r>
      <w:r>
        <w:rPr>
          <w:rFonts w:ascii="Amiri" w:hAnsi="Amiri" w:eastAsia="Amiri" w:cs="Amiri"/>
          <w:color w:val="111111"/>
          <w:sz w:val="28"/>
          <w:sz w:val="28"/>
          <w:szCs w:val="28"/>
          <w:rtl w:val="true"/>
          <w:lang w:bidi="ar-SA"/>
        </w:rPr>
        <w:t>، وابن سعيدٍ قدس سره</w:t>
      </w:r>
      <w:r>
        <w:rPr>
          <w:rStyle w:val="FootnoteAnchor"/>
          <w:rtl w:val="true"/>
        </w:rPr>
        <w:footnoteReference w:id="883"/>
      </w:r>
      <w:r>
        <w:rPr>
          <w:rFonts w:ascii="Amiri" w:hAnsi="Amiri" w:eastAsia="Amiri" w:cs="Amiri"/>
          <w:color w:val="111111"/>
          <w:sz w:val="28"/>
          <w:sz w:val="28"/>
          <w:szCs w:val="28"/>
          <w:rtl w:val="true"/>
          <w:lang w:bidi="ar-SA"/>
        </w:rPr>
        <w:t>، والمحقِّق قدس سره</w:t>
      </w:r>
      <w:r>
        <w:rPr>
          <w:rStyle w:val="FootnoteAnchor"/>
          <w:rtl w:val="true"/>
        </w:rPr>
        <w:footnoteReference w:id="884"/>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885"/>
      </w:r>
      <w:r>
        <w:rPr>
          <w:rFonts w:ascii="Amiri" w:hAnsi="Amiri" w:eastAsia="Amiri" w:cs="Amiri"/>
          <w:color w:val="111111"/>
          <w:sz w:val="28"/>
          <w:sz w:val="28"/>
          <w:szCs w:val="28"/>
          <w:rtl w:val="true"/>
          <w:lang w:bidi="ar-SA"/>
        </w:rPr>
        <w:t>، والعلَّامة قدس سره</w:t>
      </w:r>
      <w:r>
        <w:rPr>
          <w:rStyle w:val="FootnoteAnchor"/>
          <w:rtl w:val="true"/>
        </w:rPr>
        <w:footnoteReference w:id="886"/>
      </w:r>
      <w:r>
        <w:rPr>
          <w:rFonts w:ascii="Amiri" w:hAnsi="Amiri" w:eastAsia="Amiri" w:cs="Amiri"/>
          <w:color w:val="111111"/>
          <w:sz w:val="28"/>
          <w:sz w:val="28"/>
          <w:szCs w:val="28"/>
          <w:rtl w:val="true"/>
          <w:lang w:bidi="ar-SA"/>
        </w:rPr>
        <w:t>، والشَّهيد قدس سره</w:t>
      </w:r>
      <w:r>
        <w:rPr>
          <w:rStyle w:val="FootnoteAnchor"/>
          <w:rtl w:val="true"/>
        </w:rPr>
        <w:footnoteReference w:id="887"/>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888"/>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تصحيح السَّند علىٰ مذهب القدماء،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 مختلَفٌ في توثيقه، ولم ينُصَّ علماء الرِّجال علىٰ سليمان بمدحٍ ولاقدحٍ‌، بل لم يذكروه؛</w:t>
      </w:r>
    </w:p>
    <w:p>
      <w:pPr>
        <w:pStyle w:val="BookText"/>
        <w:rPr/>
      </w:pPr>
      <w:r>
        <w:rPr>
          <w:rFonts w:ascii="Amiri" w:hAnsi="Amiri" w:eastAsia="Amiri" w:cs="Amiri"/>
          <w:color w:val="111111"/>
          <w:sz w:val="28"/>
          <w:sz w:val="28"/>
          <w:szCs w:val="28"/>
          <w:rtl w:val="true"/>
          <w:lang w:bidi="ar-SA"/>
        </w:rPr>
        <w:t>علىٰ أنَّ هذه 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نصُّ كلام المحقِّق العامِليِّ قدس سره</w:t>
      </w:r>
      <w:r>
        <w:rPr>
          <w:rStyle w:val="FootnoteAnchor"/>
          <w:rtl w:val="true"/>
        </w:rPr>
        <w:footnoteReference w:id="889"/>
      </w:r>
      <w:r>
        <w:rPr>
          <w:rFonts w:ascii="Amiri" w:hAnsi="Amiri" w:eastAsia="Amiri" w:cs="Amiri"/>
          <w:color w:val="111111"/>
          <w:sz w:val="28"/>
          <w:sz w:val="28"/>
          <w:szCs w:val="28"/>
          <w:rtl w:val="true"/>
          <w:lang w:bidi="ar-SA"/>
        </w:rPr>
        <w:t>في توضيح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العين المستأجَرة، فكما أنَّ الدَّائنين لهم حقوقٌ متساويةٌ فيها، فكذا في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تدلُّ عليه رواياتٌ‌؛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w:t>
      </w:r>
      <w:bookmarkStart w:id="325" w:name="pg20339_220438"/>
    </w:p>
    <w:p>
      <w:pPr>
        <w:pStyle w:val="BookText"/>
        <w:rPr/>
      </w:pPr>
      <w:bookmarkEnd w:id="325"/>
      <w:r>
        <w:rPr>
          <w:rFonts w:ascii="Amiri" w:hAnsi="Amiri" w:eastAsia="Amiri" w:cs="Amiri"/>
          <w:color w:val="111111"/>
          <w:sz w:val="28"/>
          <w:sz w:val="28"/>
          <w:szCs w:val="28"/>
          <w:rtl w:val="true"/>
          <w:lang w:bidi="ar-SA"/>
        </w:rPr>
        <w:t>رجلٍ مات وعليه دَينٌ ولم يُخَلِّفْ شيئًا إلَّارهنًا في يد بعضهم فلايبلغ ثمنُه أكثر من مال المرتهن، أ يأخُذ بماله أو هو وسائر الدُّيَّان فيه شركاء؟،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الدُّيَّان في ذلك سواءٌ يتَوزَّعونه بينهم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890"/>
      </w:r>
      <w:r>
        <w:rPr>
          <w:rFonts w:ascii="Amiri" w:hAnsi="Amiri" w:eastAsia="Amiri" w:cs="Amiri"/>
          <w:color w:val="111111"/>
          <w:sz w:val="28"/>
          <w:sz w:val="28"/>
          <w:szCs w:val="28"/>
          <w:rtl w:val="true"/>
          <w:lang w:bidi="ar-SA"/>
        </w:rPr>
        <w:t>، والفيضُ قدس سره</w:t>
      </w:r>
      <w:r>
        <w:rPr>
          <w:rStyle w:val="FootnoteAnchor"/>
          <w:rtl w:val="true"/>
        </w:rPr>
        <w:footnoteReference w:id="891"/>
      </w:r>
      <w:r>
        <w:rPr>
          <w:rFonts w:ascii="Amiri" w:hAnsi="Amiri" w:eastAsia="Amiri" w:cs="Amiri"/>
          <w:color w:val="111111"/>
          <w:sz w:val="28"/>
          <w:sz w:val="28"/>
          <w:szCs w:val="28"/>
          <w:rtl w:val="true"/>
          <w:lang w:bidi="ar-SA"/>
        </w:rPr>
        <w:t>، والشَّيخ الحرُّ قدس سره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1979262_1280447820"/>
      <w:bookmarkStart w:id="327" w:name="_Toc120"/>
      <w:bookmarkEnd w:id="326"/>
      <w:r>
        <w:rPr>
          <w:rtl w:val="true"/>
        </w:rPr>
        <w:t>التَّنبيه الثَّامن</w:t>
      </w:r>
      <w:r>
        <w:rPr>
          <w:rtl w:val="true"/>
        </w:rPr>
        <w:t>:</w:t>
      </w:r>
      <w:bookmarkEnd w:id="327"/>
    </w:p>
    <w:p>
      <w:pPr>
        <w:pStyle w:val="BookText"/>
        <w:rPr/>
      </w:pPr>
      <w:r>
        <w:rPr>
          <w:rFonts w:ascii="Amiri" w:hAnsi="Amiri" w:eastAsia="Amiri" w:cs="Amiri"/>
          <w:color w:val="111111"/>
          <w:sz w:val="28"/>
          <w:sz w:val="28"/>
          <w:szCs w:val="28"/>
          <w:rtl w:val="true"/>
          <w:lang w:bidi="ar-SA"/>
        </w:rPr>
        <w:t>لوشرط المرتهن علىٰ الرَّاهن في عقد الرَّهن أنْ يكون له بيعُ الرَّهن إن لم يُؤدِّ الدَّينَ إلى أجلٍ مسمىً‌، فهل يصير المرتهن مالكًا إن لم يؤدِّ الرَّاهنُ؟، أم 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والأقوىٰ هو القولُ بثبوت مالكيَّته عليه إذن؛ تبعًا للمفيد قدس سره</w:t>
      </w:r>
      <w:r>
        <w:rPr>
          <w:rStyle w:val="FootnoteAnchor"/>
          <w:rtl w:val="true"/>
        </w:rPr>
        <w:footnoteReference w:id="893"/>
      </w:r>
      <w:r>
        <w:rPr>
          <w:rFonts w:ascii="Amiri" w:hAnsi="Amiri" w:eastAsia="Amiri" w:cs="Amiri"/>
          <w:color w:val="111111"/>
          <w:sz w:val="28"/>
          <w:sz w:val="28"/>
          <w:szCs w:val="28"/>
          <w:rtl w:val="true"/>
          <w:lang w:bidi="ar-SA"/>
        </w:rPr>
        <w:t>، والشَّيخ قدس سره</w:t>
      </w:r>
      <w:r>
        <w:rPr>
          <w:rStyle w:val="FootnoteAnchor"/>
          <w:rtl w:val="true"/>
        </w:rPr>
        <w:footnoteReference w:id="894"/>
      </w:r>
      <w:r>
        <w:rPr>
          <w:rFonts w:ascii="Amiri" w:hAnsi="Amiri" w:eastAsia="Amiri" w:cs="Amiri"/>
          <w:color w:val="111111"/>
          <w:sz w:val="28"/>
          <w:sz w:val="28"/>
          <w:szCs w:val="28"/>
          <w:rtl w:val="true"/>
          <w:lang w:bidi="ar-SA"/>
        </w:rPr>
        <w:t>، وفي نهايته</w:t>
      </w:r>
      <w:r>
        <w:rPr>
          <w:rStyle w:val="FootnoteAnchor"/>
          <w:rtl w:val="true"/>
        </w:rPr>
        <w:footnoteReference w:id="895"/>
      </w:r>
      <w:r>
        <w:rPr>
          <w:rFonts w:ascii="Amiri" w:hAnsi="Amiri" w:eastAsia="Amiri" w:cs="Amiri"/>
          <w:color w:val="111111"/>
          <w:sz w:val="28"/>
          <w:sz w:val="28"/>
          <w:szCs w:val="28"/>
          <w:rtl w:val="true"/>
          <w:lang w:bidi="ar-SA"/>
        </w:rPr>
        <w:t>، وابنِالبرَّاج قدس سره</w:t>
      </w:r>
      <w:r>
        <w:rPr>
          <w:rStyle w:val="FootnoteAnchor"/>
          <w:rtl w:val="true"/>
        </w:rPr>
        <w:footnoteReference w:id="896"/>
      </w:r>
      <w:r>
        <w:rPr>
          <w:rFonts w:ascii="Amiri" w:hAnsi="Amiri" w:eastAsia="Amiri" w:cs="Amiri"/>
          <w:color w:val="111111"/>
          <w:sz w:val="28"/>
          <w:sz w:val="28"/>
          <w:szCs w:val="28"/>
          <w:rtl w:val="true"/>
          <w:lang w:bidi="ar-SA"/>
        </w:rPr>
        <w:t>، والعلَّامة قدس سره</w:t>
      </w:r>
      <w:r>
        <w:rPr>
          <w:rStyle w:val="FootnoteAnchor"/>
          <w:rtl w:val="true"/>
        </w:rPr>
        <w:footnoteReference w:id="897"/>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89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ولإبن ادريس قدس سره هيهنا تفصيلٌ في صدر المسألة، وقد خالف المشهور في بعضها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328" w:name="pg20339_220439"/>
    </w:p>
    <w:p>
      <w:pPr>
        <w:pStyle w:val="BookText"/>
        <w:rPr/>
      </w:pPr>
      <w:bookmarkEnd w:id="328"/>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ثبوت مالكيَّته عليه ترجع إلى أمورٍ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كالقول بأنَّ الشَّرط تعليقيٌّ‌، والتَّعليق ينافي البيع؛</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الفاسد يُفسِدُ العقدَ، فإذن الرَّهن باطلٌ‌؛</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مخالفٌ لمقتضىٰ عقد الرَّهن، لأنَّ الرَّهن هو الاستيثاق وخروجُه إلى المَبيع بالشَّرط ينافي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الأمورَ وأمثالَها ليس لها أن يمنع الشَّرط عن تنجُّزِه،</w:t>
      </w:r>
    </w:p>
    <w:p>
      <w:pPr>
        <w:pStyle w:val="BookText"/>
        <w:rPr/>
      </w:pPr>
      <w:r>
        <w:rPr>
          <w:rFonts w:ascii="Amiri" w:hAnsi="Amiri" w:eastAsia="Amiri" w:cs="Amiri"/>
          <w:color w:val="111111"/>
          <w:sz w:val="28"/>
          <w:sz w:val="28"/>
          <w:szCs w:val="28"/>
          <w:rtl w:val="true"/>
          <w:lang w:bidi="ar-SA"/>
        </w:rPr>
        <w:t>لأنَّ التَّعليق يقع في العقود والإيقاعات كثيرًا بحيث لايمكن عدُّه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وفساد الشَّرط لايُفسِد العقدَ؛</w:t>
      </w:r>
    </w:p>
    <w:p>
      <w:pPr>
        <w:pStyle w:val="BookText"/>
        <w:rPr/>
      </w:pPr>
      <w:r>
        <w:rPr>
          <w:rFonts w:ascii="Amiri" w:hAnsi="Amiri" w:eastAsia="Amiri" w:cs="Amiri"/>
          <w:color w:val="111111"/>
          <w:sz w:val="28"/>
          <w:sz w:val="28"/>
          <w:szCs w:val="28"/>
          <w:rtl w:val="true"/>
          <w:lang w:bidi="ar-SA"/>
        </w:rPr>
        <w:t>وهذا الشَّرط وأمثاله لاينافي مقتضىٰ العقد، وإلَّا فكلُّ شرطٍ يكون منافيًا لمقتضىٰ العقد؛ وقد مرَّ منَّا غير مرَّةٍ الإشكالُ علىٰ هذه المباني وتبيين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الجواز من غير ردعٍ من الشَّارع</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1979264_1280447820"/>
      <w:bookmarkStart w:id="330" w:name="_Toc121"/>
      <w:bookmarkEnd w:id="329"/>
      <w:r>
        <w:rPr>
          <w:rtl w:val="true"/>
        </w:rPr>
        <w:t>التَّنبيه التَّاسع</w:t>
      </w:r>
      <w:r>
        <w:rPr>
          <w:rtl w:val="true"/>
        </w:rPr>
        <w:t>:</w:t>
      </w:r>
      <w:bookmarkEnd w:id="330"/>
    </w:p>
    <w:p>
      <w:pPr>
        <w:pStyle w:val="BookText"/>
        <w:rPr/>
      </w:pPr>
      <w:r>
        <w:rPr>
          <w:rFonts w:ascii="Amiri" w:hAnsi="Amiri" w:eastAsia="Amiri" w:cs="Amiri"/>
          <w:color w:val="111111"/>
          <w:sz w:val="28"/>
          <w:sz w:val="28"/>
          <w:szCs w:val="28"/>
          <w:rtl w:val="true"/>
          <w:lang w:bidi="ar-SA"/>
        </w:rPr>
        <w:t>لاإشكال في أنَّ منافع العين المرهونة للرَّاهن</w:t>
      </w:r>
      <w:r>
        <w:rPr>
          <w:rStyle w:val="FootnoteAnchor"/>
          <w:rtl w:val="true"/>
        </w:rPr>
        <w:footnoteReference w:id="900"/>
      </w:r>
      <w:r>
        <w:rPr>
          <w:rFonts w:ascii="Amiri" w:hAnsi="Amiri" w:eastAsia="Amiri" w:cs="Amiri"/>
          <w:color w:val="111111"/>
          <w:sz w:val="28"/>
          <w:sz w:val="28"/>
          <w:szCs w:val="28"/>
          <w:rtl w:val="true"/>
          <w:lang w:bidi="ar-SA"/>
        </w:rPr>
        <w:t>، لأنَّه المالك؛ كما عن المحقِّق قدس سره فيما علَّقَه علىٰ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الِّنماء لصاحب الرَّهن لأنَّه ثمرةُ ماله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ولافرق في ذلك بين المنافِع المتَّصلة وبين المنفصلَة منها؛ خلافًا لبعضهم، كالعلَّامة قدس سره، حيث فصَّل بين نمائَين المتَّصل والمنفصل</w:t>
      </w:r>
      <w:r>
        <w:rPr>
          <w:rStyle w:val="FootnoteAnchor"/>
          <w:rtl w:val="true"/>
        </w:rPr>
        <w:footnoteReference w:id="902"/>
      </w:r>
      <w:r>
        <w:rPr>
          <w:rFonts w:ascii="Amiri" w:hAnsi="Amiri" w:eastAsia="Amiri" w:cs="Amiri"/>
          <w:color w:val="111111"/>
          <w:sz w:val="28"/>
          <w:sz w:val="28"/>
          <w:szCs w:val="28"/>
          <w:rtl w:val="true"/>
          <w:lang w:bidi="ar-SA"/>
        </w:rPr>
        <w:t>وادَّعىٰ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ذلك </w:t>
      </w:r>
      <w:bookmarkStart w:id="331" w:name="pg20339_220440"/>
    </w:p>
    <w:p>
      <w:pPr>
        <w:pStyle w:val="BookText"/>
        <w:rPr/>
      </w:pPr>
      <w:bookmarkEnd w:id="331"/>
      <w:r>
        <w:rPr>
          <w:rFonts w:ascii="Amiri" w:hAnsi="Amiri" w:eastAsia="Amiri" w:cs="Amiri"/>
          <w:color w:val="111111"/>
          <w:sz w:val="28"/>
          <w:sz w:val="28"/>
          <w:szCs w:val="28"/>
          <w:rtl w:val="true"/>
          <w:lang w:bidi="ar-SA"/>
        </w:rPr>
        <w:t>مذهب أكثر علمائنا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ولاوجه لثبوتها للمرتهن إلَّاإجازةُ الرَّاهن وإذنه بانتفاع المرتهن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تدلُّ علىٰ ذلك عدَّةٌ من روايات الباب؛</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ارتهن دارًا لها غلَّةٌ‌، لمَن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الحرُّ قدس سره كحديثٍ عن مولانا أبي عبداللَّه عليه السلام</w:t>
      </w:r>
      <w:r>
        <w:rPr>
          <w:rStyle w:val="FootnoteAnchor"/>
          <w:rtl w:val="true"/>
        </w:rPr>
        <w:footnoteReference w:id="904"/>
      </w:r>
      <w:r>
        <w:rPr>
          <w:rFonts w:ascii="Amiri" w:hAnsi="Amiri" w:eastAsia="Amiri" w:cs="Amiri"/>
          <w:color w:val="111111"/>
          <w:sz w:val="28"/>
          <w:sz w:val="28"/>
          <w:szCs w:val="28"/>
          <w:rtl w:val="true"/>
          <w:lang w:bidi="ar-SA"/>
        </w:rPr>
        <w:t>، وهو في مصادر المتقدِّمين مرويٌّ عن سيِّدنا أبي إبراهيم عليه السلام، كما رواه عنه الكلينيُّ قدس سره</w:t>
      </w:r>
      <w:r>
        <w:rPr>
          <w:rStyle w:val="FootnoteAnchor"/>
          <w:rtl w:val="true"/>
        </w:rPr>
        <w:footnoteReference w:id="905"/>
      </w:r>
      <w:r>
        <w:rPr>
          <w:rFonts w:ascii="Amiri" w:hAnsi="Amiri" w:eastAsia="Amiri" w:cs="Amiri"/>
          <w:color w:val="111111"/>
          <w:sz w:val="28"/>
          <w:sz w:val="28"/>
          <w:szCs w:val="28"/>
          <w:rtl w:val="true"/>
          <w:lang w:bidi="ar-SA"/>
        </w:rPr>
        <w:t>، والصَّدوق قدس سره</w:t>
      </w:r>
      <w:r>
        <w:rPr>
          <w:rStyle w:val="FootnoteAnchor"/>
          <w:rtl w:val="true"/>
        </w:rPr>
        <w:footnoteReference w:id="906"/>
      </w:r>
      <w:r>
        <w:rPr>
          <w:rFonts w:ascii="Amiri" w:hAnsi="Amiri" w:eastAsia="Amiri" w:cs="Amiri"/>
          <w:color w:val="111111"/>
          <w:sz w:val="28"/>
          <w:sz w:val="28"/>
          <w:szCs w:val="28"/>
          <w:rtl w:val="true"/>
          <w:lang w:bidi="ar-SA"/>
        </w:rPr>
        <w:t>، والشَّيخ قدس سره</w:t>
      </w:r>
      <w:r>
        <w:rPr>
          <w:rStyle w:val="FootnoteAnchor"/>
          <w:rtl w:val="true"/>
        </w:rPr>
        <w:footnoteReference w:id="907"/>
      </w:r>
      <w:r>
        <w:rPr>
          <w:rFonts w:ascii="Amiri" w:hAnsi="Amiri" w:eastAsia="Amiri" w:cs="Amiri"/>
          <w:color w:val="111111"/>
          <w:sz w:val="28"/>
          <w:sz w:val="28"/>
          <w:szCs w:val="28"/>
          <w:rtl w:val="true"/>
          <w:lang w:bidi="ar-SA"/>
        </w:rPr>
        <w:t>، والفيض قدس سره</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وقد أورده الحرُّ قدس سره نفسُه تارةً أُخرىٰ بهذا الإسناد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وتوثيق الحديث لمكان إسحاق بن عمَّار الساباطيِّ المشهور بأنَّه من الفطحيِّين؛ كما وثَّقه السَّيِّد المجاهدُ قدس سره أيضًا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الموثَّقة وأمثالُها تدلُّ علىٰ المختار من غير خفاءٍ فيها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1979266_1280447820"/>
      <w:bookmarkStart w:id="333" w:name="_Toc122"/>
      <w:bookmarkEnd w:id="332"/>
      <w:r>
        <w:rPr>
          <w:rtl w:val="true"/>
        </w:rPr>
        <w:t>أمثلةٌ لاستعمال القاعدة في الفقه</w:t>
      </w:r>
      <w:r>
        <w:rPr>
          <w:rtl w:val="true"/>
        </w:rPr>
        <w:t>:</w:t>
      </w:r>
      <w:bookmarkEnd w:id="3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إلى أنَّ هذه القاعدة ليست إلَّابعض مسائل كتاب الرَّهن وما يرجع إليه، فالأمثلة هي نفس تلك المسائل لا موارد تنطبق عليها القاعدة؛ فليس لنا إذن أن نأتي بأمثلةٍ لها</w:t>
      </w:r>
      <w:r>
        <w:rPr>
          <w:rFonts w:eastAsia="Amiri" w:cs="Amiri" w:ascii="Amiri" w:hAnsi="Amiri"/>
          <w:color w:val="111111"/>
          <w:sz w:val="28"/>
          <w:szCs w:val="28"/>
          <w:rtl w:val="true"/>
          <w:lang w:bidi="ar-SA"/>
        </w:rPr>
        <w:t xml:space="preserve">. </w:t>
      </w:r>
      <w:bookmarkStart w:id="334" w:name="pg20339_220442"/>
    </w:p>
    <w:p>
      <w:pPr>
        <w:pStyle w:val="Heading2"/>
        <w:numPr>
          <w:ilvl w:val="1"/>
          <w:numId w:val="1"/>
        </w:numPr>
        <w:rPr/>
      </w:pPr>
      <w:bookmarkStart w:id="335" w:name="__RefHeading___Toc11979268_1280447820"/>
      <w:bookmarkStart w:id="336" w:name="_Toc123"/>
      <w:bookmarkEnd w:id="334"/>
      <w:bookmarkEnd w:id="335"/>
      <w:r>
        <w:rPr>
          <w:rtl w:val="true"/>
        </w:rPr>
        <w:t>[</w:t>
      </w:r>
      <w:r>
        <w:rPr/>
        <w:t>53</w:t>
      </w:r>
      <w:r>
        <w:rPr>
          <w:rtl w:val="true"/>
        </w:rPr>
        <w:t xml:space="preserve">:] </w:t>
      </w:r>
      <w:r>
        <w:rPr>
          <w:rtl w:val="true"/>
        </w:rPr>
        <w:t>قاعدة لاشكَّ في النَّافلة</w:t>
      </w:r>
      <w:bookmarkEnd w:id="336"/>
    </w:p>
    <w:p>
      <w:pPr>
        <w:pStyle w:val="Heading3"/>
        <w:numPr>
          <w:ilvl w:val="2"/>
          <w:numId w:val="1"/>
        </w:numPr>
        <w:rPr/>
      </w:pPr>
      <w:bookmarkStart w:id="337" w:name="__RefHeading___Toc11979270_1280447820"/>
      <w:bookmarkStart w:id="338" w:name="_Toc124"/>
      <w:bookmarkEnd w:id="337"/>
      <w:r>
        <w:rPr>
          <w:rtl w:val="true"/>
        </w:rPr>
        <w:t>عناوين أُخرىٰ للقاعدة</w:t>
      </w:r>
      <w:bookmarkEnd w:id="338"/>
    </w:p>
    <w:p>
      <w:pPr>
        <w:pStyle w:val="BookText"/>
        <w:rPr/>
      </w:pPr>
      <w:r>
        <w:rPr>
          <w:rFonts w:ascii="Amiri" w:hAnsi="Amiri" w:eastAsia="Amiri" w:cs="Amiri"/>
          <w:color w:val="111111"/>
          <w:sz w:val="28"/>
          <w:sz w:val="28"/>
          <w:szCs w:val="28"/>
          <w:rtl w:val="true"/>
          <w:lang w:bidi="ar-SA"/>
        </w:rPr>
        <w:t>لاحكم للسَّهو في النَّافلة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سهو في النَّافلة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في النَّافلة فلاشيء عليه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39" w:name="pg20339_220443"/>
    </w:p>
    <w:p>
      <w:pPr>
        <w:pStyle w:val="Heading3"/>
        <w:numPr>
          <w:ilvl w:val="2"/>
          <w:numId w:val="1"/>
        </w:numPr>
        <w:rPr/>
      </w:pPr>
      <w:bookmarkStart w:id="340" w:name="__RefHeading___Toc11979272_1280447820"/>
      <w:bookmarkStart w:id="341" w:name="_Toc125"/>
      <w:bookmarkEnd w:id="339"/>
      <w:bookmarkEnd w:id="340"/>
      <w:r>
        <w:rPr>
          <w:rtl w:val="true"/>
        </w:rPr>
        <w:t>توضيح مفاد القاعدة</w:t>
      </w:r>
      <w:bookmarkEnd w:id="341"/>
    </w:p>
    <w:p>
      <w:pPr>
        <w:pStyle w:val="BookText"/>
        <w:rPr/>
      </w:pPr>
      <w:r>
        <w:rPr>
          <w:rFonts w:ascii="Amiri" w:hAnsi="Amiri" w:eastAsia="Amiri" w:cs="Amiri"/>
          <w:color w:val="111111"/>
          <w:sz w:val="28"/>
          <w:sz w:val="28"/>
          <w:szCs w:val="28"/>
          <w:rtl w:val="true"/>
          <w:lang w:bidi="ar-SA"/>
        </w:rPr>
        <w:t xml:space="preserve">المراد من القاعدة أنَّه لا اعتبار بالسَّهوِ والشَّكِّ في النَّوافل من الصَّلوات، فلوشكَّ من يَتَنَفَّلُ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بالنَّافلة</w:t>
      </w:r>
      <w:r>
        <w:rPr>
          <w:rStyle w:val="FootnoteAnchor"/>
          <w:rtl w:val="true"/>
        </w:rPr>
        <w:footnoteReference w:id="914"/>
      </w:r>
      <w:r>
        <w:rPr>
          <w:rFonts w:ascii="Amiri" w:hAnsi="Amiri" w:eastAsia="Amiri" w:cs="Amiri"/>
          <w:color w:val="111111"/>
          <w:sz w:val="28"/>
          <w:sz w:val="28"/>
          <w:szCs w:val="28"/>
          <w:rtl w:val="true"/>
          <w:lang w:bidi="ar-SA"/>
        </w:rPr>
        <w:t>في عدد الرَّكعة لا محلَّ لشكِّه، ولااعتبار به؛ بل له أن يبني علىٰ ما يشاء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توضيحًا أزيد من هذا ونأتي بمصادر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النَّافلة ههينا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بحسب الذَّات، لا بمعنىٰ الزَّائدة والمستحبَّة فقط، كما نبَّه عليه بعضُ أكابر المحقِّقين قدس سره</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بذكر المبحث في التَّنبيه الثَّاني من تنبيهات القاعدة؛ فانتظر</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1979274_1280447820"/>
      <w:bookmarkStart w:id="343" w:name="_Toc126"/>
      <w:bookmarkEnd w:id="342"/>
      <w:r>
        <w:rPr>
          <w:rtl w:val="true"/>
        </w:rPr>
        <w:t>مدركُ القاعدة</w:t>
      </w:r>
      <w:bookmarkEnd w:id="343"/>
    </w:p>
    <w:p>
      <w:pPr>
        <w:pStyle w:val="Heading4"/>
        <w:numPr>
          <w:ilvl w:val="3"/>
          <w:numId w:val="1"/>
        </w:numPr>
        <w:rPr/>
      </w:pPr>
      <w:bookmarkStart w:id="344" w:name="__RefHeading___Toc11979276_1280447820"/>
      <w:bookmarkStart w:id="345" w:name="_Toc127"/>
      <w:bookmarkEnd w:id="344"/>
      <w:r>
        <w:rPr>
          <w:rtl w:val="true"/>
        </w:rPr>
        <w:t>أوَّلًا</w:t>
      </w:r>
      <w:r>
        <w:rPr>
          <w:rtl w:val="true"/>
        </w:rPr>
        <w:t xml:space="preserve">: </w:t>
      </w:r>
      <w:r>
        <w:rPr>
          <w:rtl w:val="true"/>
        </w:rPr>
        <w:t>جملةٌ من القواعد الأُخَر الفقهيَّة</w:t>
      </w:r>
      <w:bookmarkEnd w:id="345"/>
    </w:p>
    <w:p>
      <w:pPr>
        <w:pStyle w:val="BookText"/>
        <w:rPr/>
      </w:pPr>
      <w:r>
        <w:rPr>
          <w:rFonts w:ascii="Amiri" w:hAnsi="Amiri" w:eastAsia="Amiri" w:cs="Amiri"/>
          <w:color w:val="111111"/>
          <w:sz w:val="28"/>
          <w:sz w:val="28"/>
          <w:szCs w:val="28"/>
          <w:rtl w:val="true"/>
          <w:lang w:bidi="ar-SA"/>
        </w:rPr>
        <w:t>القاعدة وإن كانت من التَّعبُّديَّات، لكن تُناسِبها قاعدةُ تناسُبُ الحكم والموضوع أوَّلًا؛ وقاعدة التَّسامح في المستحبَّات ثانيًا؛</w:t>
      </w:r>
    </w:p>
    <w:p>
      <w:pPr>
        <w:pStyle w:val="BookText"/>
        <w:rPr/>
      </w:pPr>
      <w:r>
        <w:rPr>
          <w:rFonts w:ascii="Amiri" w:hAnsi="Amiri" w:eastAsia="Amiri" w:cs="Amiri"/>
          <w:color w:val="111111"/>
          <w:sz w:val="28"/>
          <w:sz w:val="28"/>
          <w:szCs w:val="28"/>
          <w:rtl w:val="true"/>
          <w:lang w:bidi="ar-SA"/>
        </w:rPr>
        <w:t>وقاعدة التَّسامح في أدلَّة السُّنَن ثالثًا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979278_1280447820"/>
      <w:bookmarkStart w:id="347" w:name="_Toc128"/>
      <w:bookmarkEnd w:id="346"/>
      <w:r>
        <w:rPr>
          <w:rtl w:val="true"/>
        </w:rPr>
        <w:t>ثانيًا</w:t>
      </w:r>
      <w:r>
        <w:rPr>
          <w:rtl w:val="true"/>
        </w:rPr>
        <w:t xml:space="preserve">: </w:t>
      </w:r>
      <w:r>
        <w:rPr>
          <w:rtl w:val="true"/>
        </w:rPr>
        <w:t>روايات الباب</w:t>
      </w:r>
      <w:bookmarkEnd w:id="3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أدلَّة القاعدة هو رواياتٌ كثيرةٌ صحيحةُ السَّند أوَّلًا وظاهرة </w:t>
      </w:r>
    </w:p>
    <w:p>
      <w:pPr>
        <w:pStyle w:val="BookText"/>
        <w:rPr/>
      </w:pPr>
      <w:r>
        <w:rPr>
          <w:rFonts w:ascii="Amiri" w:hAnsi="Amiri" w:eastAsia="Amiri" w:cs="Amiri"/>
          <w:color w:val="111111"/>
          <w:sz w:val="28"/>
          <w:sz w:val="28"/>
          <w:szCs w:val="28"/>
          <w:rtl w:val="true"/>
          <w:lang w:bidi="ar-SA"/>
        </w:rPr>
        <w:t xml:space="preserve">الدِّلالة في مفاد القاعدة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بعضها الشَّيخ الكلينيُّ قدس سره</w:t>
      </w:r>
      <w:r>
        <w:rPr>
          <w:rStyle w:val="FootnoteAnchor"/>
          <w:rtl w:val="true"/>
        </w:rPr>
        <w:footnoteReference w:id="916"/>
      </w:r>
      <w:r>
        <w:rPr>
          <w:rFonts w:ascii="Amiri" w:hAnsi="Amiri" w:eastAsia="Amiri" w:cs="Amiri"/>
          <w:color w:val="111111"/>
          <w:sz w:val="28"/>
          <w:sz w:val="28"/>
          <w:szCs w:val="28"/>
          <w:rtl w:val="true"/>
          <w:lang w:bidi="ar-SA"/>
        </w:rPr>
        <w:t>، والقاضي نُعمان قدس سره</w:t>
      </w:r>
      <w:r>
        <w:rPr>
          <w:rStyle w:val="FootnoteAnchor"/>
          <w:rtl w:val="true"/>
        </w:rPr>
        <w:footnoteReference w:id="917"/>
      </w:r>
      <w:r>
        <w:rPr>
          <w:rFonts w:ascii="Amiri" w:hAnsi="Amiri" w:eastAsia="Amiri" w:cs="Amiri"/>
          <w:color w:val="111111"/>
          <w:sz w:val="28"/>
          <w:sz w:val="28"/>
          <w:szCs w:val="28"/>
          <w:rtl w:val="true"/>
          <w:lang w:bidi="ar-SA"/>
        </w:rPr>
        <w:t>، والشَّيخُ الحرُّ قدس سره</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أُفيض في مرويَّاتنا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لاسهو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كلام الصَّدوق قدس سره في مُقنِعِه</w:t>
      </w:r>
      <w:r>
        <w:rPr>
          <w:rStyle w:val="FootnoteAnchor"/>
          <w:rtl w:val="true"/>
        </w:rPr>
        <w:footnoteReference w:id="919"/>
      </w:r>
      <w:r>
        <w:rPr>
          <w:rFonts w:ascii="Amiri" w:hAnsi="Amiri" w:eastAsia="Amiri" w:cs="Amiri"/>
          <w:color w:val="111111"/>
          <w:sz w:val="28"/>
          <w:sz w:val="28"/>
          <w:szCs w:val="28"/>
          <w:rtl w:val="true"/>
          <w:lang w:bidi="ar-SA"/>
        </w:rPr>
        <w:t>، ورواه عنه النُّوريُّ قدس سره</w:t>
      </w:r>
      <w:r>
        <w:rPr>
          <w:rStyle w:val="FootnoteAnchor"/>
          <w:rtl w:val="true"/>
        </w:rPr>
        <w:footnoteReference w:id="920"/>
      </w:r>
      <w:r>
        <w:rPr>
          <w:rFonts w:ascii="Amiri" w:hAnsi="Amiri" w:eastAsia="Amiri" w:cs="Amiri"/>
          <w:color w:val="111111"/>
          <w:sz w:val="28"/>
          <w:sz w:val="28"/>
          <w:szCs w:val="28"/>
          <w:rtl w:val="true"/>
          <w:lang w:bidi="ar-SA"/>
        </w:rPr>
        <w:t>، ونسبه إلى الحديث الوحيدُ الفريد قدس سره</w:t>
      </w:r>
      <w:r>
        <w:rPr>
          <w:rStyle w:val="FootnoteAnchor"/>
          <w:rtl w:val="true"/>
        </w:rPr>
        <w:footnoteReference w:id="921"/>
      </w:r>
      <w:r>
        <w:rPr>
          <w:rFonts w:ascii="Amiri" w:hAnsi="Amiri" w:eastAsia="Amiri" w:cs="Amiri"/>
          <w:color w:val="111111"/>
          <w:sz w:val="28"/>
          <w:sz w:val="28"/>
          <w:szCs w:val="28"/>
          <w:rtl w:val="true"/>
          <w:lang w:bidi="ar-SA"/>
        </w:rPr>
        <w:t>، وقريبٌ منه ما رواه الحرُّ قدس سره في وسائله</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النَّافلة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رواه الكليني قدس سره</w:t>
      </w:r>
      <w:r>
        <w:rPr>
          <w:rStyle w:val="FootnoteAnchor"/>
          <w:rtl w:val="true"/>
        </w:rPr>
        <w:footnoteReference w:id="923"/>
      </w:r>
      <w:r>
        <w:rPr>
          <w:rFonts w:ascii="Amiri" w:hAnsi="Amiri" w:eastAsia="Amiri" w:cs="Amiri"/>
          <w:color w:val="111111"/>
          <w:sz w:val="28"/>
          <w:sz w:val="28"/>
          <w:szCs w:val="28"/>
          <w:rtl w:val="true"/>
          <w:lang w:bidi="ar-SA"/>
        </w:rPr>
        <w:t>، والصَّدوق قدس سره</w:t>
      </w:r>
      <w:r>
        <w:rPr>
          <w:rStyle w:val="FootnoteAnchor"/>
          <w:rtl w:val="true"/>
        </w:rPr>
        <w:footnoteReference w:id="924"/>
      </w:r>
      <w:r>
        <w:rPr>
          <w:rFonts w:ascii="Amiri" w:hAnsi="Amiri" w:eastAsia="Amiri" w:cs="Amiri"/>
          <w:color w:val="111111"/>
          <w:sz w:val="28"/>
          <w:sz w:val="28"/>
          <w:szCs w:val="28"/>
          <w:rtl w:val="true"/>
          <w:lang w:bidi="ar-SA"/>
        </w:rPr>
        <w:t>، والشَّيخ قدس سره</w:t>
      </w:r>
      <w:r>
        <w:rPr>
          <w:rStyle w:val="FootnoteAnchor"/>
          <w:rtl w:val="true"/>
        </w:rPr>
        <w:footnoteReference w:id="925"/>
      </w:r>
      <w:r>
        <w:rPr>
          <w:rFonts w:ascii="Amiri" w:hAnsi="Amiri" w:eastAsia="Amiri" w:cs="Amiri"/>
          <w:color w:val="111111"/>
          <w:sz w:val="28"/>
          <w:sz w:val="28"/>
          <w:szCs w:val="28"/>
          <w:rtl w:val="true"/>
          <w:lang w:bidi="ar-SA"/>
        </w:rPr>
        <w:t>، والحرُّ قدس سره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وإن كان مرسلًا، لكنَّ الوحيد الفريد قدس سره وصفَه بكونه معتبرًا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348" w:name="pg20339_220445"/>
    </w:p>
    <w:p>
      <w:pPr>
        <w:pStyle w:val="BookText"/>
        <w:rPr/>
      </w:pPr>
      <w:bookmarkEnd w:id="348"/>
      <w:r>
        <w:rPr>
          <w:rFonts w:ascii="Amiri" w:hAnsi="Amiri" w:eastAsia="Amiri" w:cs="Amiri"/>
          <w:color w:val="111111"/>
          <w:sz w:val="28"/>
          <w:sz w:val="28"/>
          <w:szCs w:val="28"/>
          <w:rtl w:val="true"/>
          <w:lang w:bidi="ar-SA"/>
        </w:rPr>
        <w:t xml:space="preserve">ومعنىٰ هذه الجملة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يُوضَع شيءٌ في عالَم التَّشريع للشَّكِّ والسَّهو في النَّوافل؛ فإذا شُكَّ أو سُهِي فيها فكأنَّه لم يُشكَّ أو لم يُسهَ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للشَّاكِّ والسَّاهي أن يبني علىٰ ما يشاء من البِناء علىٰ الأقلِّ أو الأكثر، ويتمَّ الصَّلوة كيفما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بحَمْل هذه الطَّائفة من الرِّوايات علىٰ الاِستحباب، وكون البناء علىٰ الأقلِّ أفضلَ من البناء علىٰ الأكثر، ثمَّ تتميم النَّافلة بما يقتضيه الأكثرُ؛ كما عن الشَّيخ قدس سره في جُمَله</w:t>
      </w:r>
      <w:r>
        <w:rPr>
          <w:rStyle w:val="FootnoteAnchor"/>
          <w:rtl w:val="true"/>
        </w:rPr>
        <w:footnoteReference w:id="928"/>
      </w:r>
      <w:r>
        <w:rPr>
          <w:rFonts w:ascii="IRNazanin" w:hAnsi="IRNazanin" w:eastAsia="IRNazanin"/>
          <w:color w:val="111111"/>
          <w:sz w:val="28"/>
          <w:sz w:val="28"/>
          <w:szCs w:val="28"/>
          <w:rtl w:val="true"/>
          <w:lang w:bidi="fa-IR"/>
        </w:rPr>
        <w:t>، ومبسوطه</w:t>
      </w:r>
      <w:r>
        <w:rPr>
          <w:rStyle w:val="FootnoteAnchor"/>
          <w:rtl w:val="true"/>
        </w:rPr>
        <w:footnoteReference w:id="929"/>
      </w:r>
      <w:r>
        <w:rPr>
          <w:rFonts w:ascii="Amiri" w:hAnsi="Amiri" w:eastAsia="Amiri" w:cs="Amiri"/>
          <w:color w:val="111111"/>
          <w:sz w:val="28"/>
          <w:sz w:val="28"/>
          <w:szCs w:val="28"/>
          <w:rtl w:val="true"/>
          <w:lang w:bidi="ar-SA"/>
        </w:rPr>
        <w:t>، والكَيدريِّ قدس سره</w:t>
      </w:r>
      <w:r>
        <w:rPr>
          <w:rStyle w:val="FootnoteAnchor"/>
          <w:rtl w:val="true"/>
        </w:rPr>
        <w:footnoteReference w:id="930"/>
      </w:r>
      <w:r>
        <w:rPr>
          <w:rFonts w:ascii="Amiri" w:hAnsi="Amiri" w:eastAsia="Amiri" w:cs="Amiri"/>
          <w:color w:val="111111"/>
          <w:sz w:val="28"/>
          <w:sz w:val="28"/>
          <w:szCs w:val="28"/>
          <w:rtl w:val="true"/>
          <w:lang w:bidi="ar-SA"/>
        </w:rPr>
        <w:t>، والمحقِّق قدس سره في مختصر الجمل</w:t>
      </w:r>
      <w:r>
        <w:rPr>
          <w:rStyle w:val="FootnoteAnchor"/>
          <w:rtl w:val="true"/>
        </w:rPr>
        <w:footnoteReference w:id="931"/>
      </w:r>
      <w:r>
        <w:rPr>
          <w:rFonts w:ascii="Amiri" w:hAnsi="Amiri" w:eastAsia="Amiri" w:cs="Amiri"/>
          <w:color w:val="111111"/>
          <w:sz w:val="28"/>
          <w:sz w:val="28"/>
          <w:szCs w:val="28"/>
          <w:rtl w:val="true"/>
          <w:lang w:bidi="ar-SA"/>
        </w:rPr>
        <w:t>، والشَّرائع</w:t>
      </w:r>
      <w:r>
        <w:rPr>
          <w:rStyle w:val="FootnoteAnchor"/>
          <w:rtl w:val="true"/>
        </w:rPr>
        <w:footnoteReference w:id="932"/>
      </w:r>
      <w:r>
        <w:rPr>
          <w:rFonts w:ascii="Amiri" w:hAnsi="Amiri" w:eastAsia="Amiri" w:cs="Amiri"/>
          <w:color w:val="111111"/>
          <w:sz w:val="28"/>
          <w:sz w:val="28"/>
          <w:szCs w:val="28"/>
          <w:rtl w:val="true"/>
          <w:lang w:bidi="ar-SA"/>
        </w:rPr>
        <w:t>، والعلَّامة قدس سره</w:t>
      </w:r>
      <w:r>
        <w:rPr>
          <w:rStyle w:val="FootnoteAnchor"/>
          <w:rtl w:val="true"/>
        </w:rPr>
        <w:footnoteReference w:id="933"/>
      </w:r>
      <w:r>
        <w:rPr>
          <w:rFonts w:ascii="Amiri" w:hAnsi="Amiri" w:eastAsia="Amiri" w:cs="Amiri"/>
          <w:color w:val="111111"/>
          <w:sz w:val="28"/>
          <w:sz w:val="28"/>
          <w:szCs w:val="28"/>
          <w:rtl w:val="true"/>
          <w:lang w:bidi="ar-SA"/>
        </w:rPr>
        <w:t>، وفي نهايته</w:t>
      </w:r>
      <w:r>
        <w:rPr>
          <w:rStyle w:val="FootnoteAnchor"/>
          <w:rtl w:val="true"/>
        </w:rPr>
        <w:footnoteReference w:id="934"/>
      </w:r>
      <w:r>
        <w:rPr>
          <w:rFonts w:ascii="Amiri" w:hAnsi="Amiri" w:eastAsia="Amiri" w:cs="Amiri"/>
          <w:color w:val="111111"/>
          <w:sz w:val="28"/>
          <w:sz w:val="28"/>
          <w:szCs w:val="28"/>
          <w:rtl w:val="true"/>
          <w:lang w:bidi="ar-SA"/>
        </w:rPr>
        <w:t>أيضًا، والشَّهيد الثَّاني قدس سره</w:t>
      </w:r>
      <w:r>
        <w:rPr>
          <w:rStyle w:val="FootnoteAnchor"/>
          <w:rtl w:val="true"/>
        </w:rPr>
        <w:footnoteReference w:id="935"/>
      </w:r>
      <w:r>
        <w:rPr>
          <w:rFonts w:ascii="Amiri" w:hAnsi="Amiri" w:eastAsia="Amiri" w:cs="Amiri"/>
          <w:color w:val="111111"/>
          <w:sz w:val="28"/>
          <w:sz w:val="28"/>
          <w:szCs w:val="28"/>
          <w:rtl w:val="true"/>
          <w:lang w:bidi="ar-SA"/>
        </w:rPr>
        <w:t>، مع تنصيص الجميع بجواز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إلى التَّسوية وعدم أفضليَّة البِناء علىٰ الأقلِّ‌، كابن البرَّاج قدس سره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1979280_1280447820"/>
      <w:bookmarkStart w:id="350" w:name="_Toc129"/>
      <w:bookmarkEnd w:id="349"/>
      <w:r>
        <w:rPr>
          <w:rtl w:val="true"/>
        </w:rPr>
        <w:t>ثالثًا</w:t>
      </w:r>
      <w:r>
        <w:rPr>
          <w:rtl w:val="true"/>
        </w:rPr>
        <w:t xml:space="preserve">: </w:t>
      </w:r>
      <w:r>
        <w:rPr>
          <w:rtl w:val="true"/>
        </w:rPr>
        <w:t>الإجماع</w:t>
      </w:r>
      <w:bookmarkEnd w:id="3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ثبوتُ الإجماع بين المُتقدِّمين والمتأخِّرين علىٰ ذلك، وقد نصَّ‌ </w:t>
      </w:r>
      <w:bookmarkStart w:id="351" w:name="pg20339_220446"/>
    </w:p>
    <w:p>
      <w:pPr>
        <w:pStyle w:val="BookText"/>
        <w:rPr/>
      </w:pPr>
      <w:bookmarkEnd w:id="351"/>
      <w:r>
        <w:rPr>
          <w:rFonts w:ascii="Amiri" w:hAnsi="Amiri" w:eastAsia="Amiri" w:cs="Amiri"/>
          <w:color w:val="111111"/>
          <w:sz w:val="28"/>
          <w:sz w:val="28"/>
          <w:szCs w:val="28"/>
          <w:rtl w:val="true"/>
          <w:lang w:bidi="ar-SA"/>
        </w:rPr>
        <w:t>شيخنُا الأستاذ الفقيه الأعظم البروجرديُّ قدس سره علىٰ أنَّ هذا هو المشهور بين الأصحاب</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وقد نصَّ علىٰ ثبوت الإجماع في المسألة الفريد الوحيد قدس سره في الحاشيَة علىٰ المدارك</w:t>
      </w:r>
      <w:r>
        <w:rPr>
          <w:rStyle w:val="FootnoteAnchor"/>
          <w:rtl w:val="true"/>
        </w:rPr>
        <w:footnoteReference w:id="938"/>
      </w:r>
      <w:r>
        <w:rPr>
          <w:rFonts w:ascii="Amiri" w:hAnsi="Amiri" w:eastAsia="Amiri" w:cs="Amiri"/>
          <w:color w:val="111111"/>
          <w:sz w:val="28"/>
          <w:sz w:val="28"/>
          <w:szCs w:val="28"/>
          <w:rtl w:val="true"/>
          <w:lang w:bidi="ar-SA"/>
        </w:rPr>
        <w:t>، وفي مصابيحه</w:t>
      </w:r>
      <w:r>
        <w:rPr>
          <w:rStyle w:val="FootnoteAnchor"/>
          <w:rtl w:val="true"/>
        </w:rPr>
        <w:footnoteReference w:id="939"/>
      </w:r>
      <w:r>
        <w:rPr>
          <w:rFonts w:ascii="Amiri" w:hAnsi="Amiri" w:eastAsia="Amiri" w:cs="Amiri"/>
          <w:color w:val="111111"/>
          <w:sz w:val="28"/>
          <w:sz w:val="28"/>
          <w:szCs w:val="28"/>
          <w:rtl w:val="true"/>
          <w:lang w:bidi="ar-SA"/>
        </w:rPr>
        <w:t>، والسَّيِّد العاملي قدس سره</w:t>
      </w:r>
      <w:r>
        <w:rPr>
          <w:rStyle w:val="FootnoteAnchor"/>
          <w:rtl w:val="true"/>
        </w:rPr>
        <w:footnoteReference w:id="940"/>
      </w:r>
      <w:r>
        <w:rPr>
          <w:rFonts w:ascii="Amiri" w:hAnsi="Amiri" w:eastAsia="Amiri" w:cs="Amiri"/>
          <w:color w:val="111111"/>
          <w:sz w:val="28"/>
          <w:sz w:val="28"/>
          <w:szCs w:val="28"/>
          <w:rtl w:val="true"/>
          <w:lang w:bidi="ar-SA"/>
        </w:rPr>
        <w:t>، وعن صاحِبَي الذَّخيرة قدس سره</w:t>
      </w:r>
      <w:r>
        <w:rPr>
          <w:rStyle w:val="FootnoteAnchor"/>
          <w:rtl w:val="true"/>
        </w:rPr>
        <w:footnoteReference w:id="941"/>
      </w:r>
      <w:r>
        <w:rPr>
          <w:rFonts w:ascii="Amiri" w:hAnsi="Amiri" w:eastAsia="Amiri" w:cs="Amiri"/>
          <w:color w:val="111111"/>
          <w:sz w:val="28"/>
          <w:sz w:val="28"/>
          <w:szCs w:val="28"/>
          <w:rtl w:val="true"/>
          <w:lang w:bidi="ar-SA"/>
        </w:rPr>
        <w:t>والرِّياض قدس سره</w:t>
      </w:r>
      <w:r>
        <w:rPr>
          <w:rStyle w:val="FootnoteAnchor"/>
          <w:rtl w:val="true"/>
        </w:rPr>
        <w:footnoteReference w:id="942"/>
      </w:r>
      <w:r>
        <w:rPr>
          <w:rFonts w:ascii="Amiri" w:hAnsi="Amiri" w:eastAsia="Amiri" w:cs="Amiri"/>
          <w:color w:val="111111"/>
          <w:sz w:val="28"/>
          <w:sz w:val="28"/>
          <w:szCs w:val="28"/>
          <w:rtl w:val="true"/>
          <w:lang w:bidi="ar-SA"/>
        </w:rPr>
        <w:t>ثبوت الإتِّفاق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نكتٌ نأتي بها في تنبيهاتٍ‌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1979282_1280447820"/>
      <w:bookmarkStart w:id="353" w:name="_Toc130"/>
      <w:bookmarkEnd w:id="352"/>
      <w:r>
        <w:rPr>
          <w:rtl w:val="true"/>
        </w:rPr>
        <w:t>تنبيهاتٌ‌</w:t>
      </w:r>
      <w:r>
        <w:rPr>
          <w:rtl w:val="true"/>
        </w:rPr>
        <w:t>:</w:t>
      </w:r>
      <w:bookmarkEnd w:id="353"/>
    </w:p>
    <w:p>
      <w:pPr>
        <w:pStyle w:val="Heading4"/>
        <w:numPr>
          <w:ilvl w:val="3"/>
          <w:numId w:val="1"/>
        </w:numPr>
        <w:rPr/>
      </w:pPr>
      <w:bookmarkStart w:id="354" w:name="__RefHeading___Toc11979284_1280447820"/>
      <w:bookmarkStart w:id="355" w:name="_Toc131"/>
      <w:bookmarkEnd w:id="354"/>
      <w:r>
        <w:rPr>
          <w:rtl w:val="true"/>
        </w:rPr>
        <w:t>التَّنبيه الأوَّل</w:t>
      </w:r>
      <w:r>
        <w:rPr>
          <w:rtl w:val="true"/>
        </w:rPr>
        <w:t>:</w:t>
      </w:r>
      <w:bookmarkEnd w:id="355"/>
    </w:p>
    <w:p>
      <w:pPr>
        <w:pStyle w:val="BookText"/>
        <w:rPr/>
      </w:pPr>
      <w:r>
        <w:rPr>
          <w:rFonts w:ascii="Amiri" w:hAnsi="Amiri" w:eastAsia="Amiri" w:cs="Amiri"/>
          <w:color w:val="111111"/>
          <w:sz w:val="28"/>
          <w:sz w:val="28"/>
          <w:szCs w:val="28"/>
          <w:rtl w:val="true"/>
          <w:lang w:bidi="ar-SA"/>
        </w:rPr>
        <w:t>الاِستصحاب يدلُّ علىٰ البِناء علىٰ الأقلِّ والإتيان بالأكثر، كما ورد في روايةٍ‌</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وانظر إلى البيان الَّذي ذكره المحقِّق الفيض قدس سره في التَّذييل علىٰ ما رواه عن التَّهذيب في 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رواه الشَّيخ قدس سره 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فيه قال أبوبصيرٍ لمولانا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طواف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w:t>
      </w:r>
      <w:bookmarkStart w:id="356" w:name="pg20339_220447"/>
    </w:p>
    <w:p>
      <w:pPr>
        <w:pStyle w:val="BookText"/>
        <w:rPr/>
      </w:pPr>
      <w:bookmarkEnd w:id="356"/>
      <w:r>
        <w:rPr>
          <w:rFonts w:ascii="Amiri" w:hAnsi="Amiri" w:eastAsia="Amiri" w:cs="Amiri"/>
          <w:color w:val="111111"/>
          <w:sz w:val="28"/>
          <w:sz w:val="28"/>
          <w:szCs w:val="28"/>
          <w:rtl w:val="true"/>
          <w:lang w:bidi="ar-SA"/>
        </w:rPr>
        <w:t>إلَّا أنَّ الرِّوايات الكثيرة الواردة في الباب حاكمةٌ علىٰ الاِستصحاب، فلامحلَّ له في النَّوافل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1979286_1280447820"/>
      <w:bookmarkStart w:id="358" w:name="_Toc132"/>
      <w:bookmarkEnd w:id="357"/>
      <w:r>
        <w:rPr>
          <w:rtl w:val="true"/>
        </w:rPr>
        <w:t>التَّنبيه الثَّاني</w:t>
      </w:r>
      <w:r>
        <w:rPr>
          <w:rtl w:val="true"/>
        </w:rPr>
        <w:t>:</w:t>
      </w:r>
      <w:bookmarkEnd w:id="358"/>
    </w:p>
    <w:p>
      <w:pPr>
        <w:pStyle w:val="BookText"/>
        <w:rPr/>
      </w:pPr>
      <w:r>
        <w:rPr>
          <w:rFonts w:ascii="Amiri" w:hAnsi="Amiri" w:eastAsia="Amiri" w:cs="Amiri"/>
          <w:color w:val="111111"/>
          <w:sz w:val="28"/>
          <w:sz w:val="28"/>
          <w:szCs w:val="28"/>
          <w:rtl w:val="true"/>
          <w:lang w:bidi="ar-SA"/>
        </w:rPr>
        <w:t>هل الحكمُ يشمل النَّوافل الَّتي تصير واجبةً بالنَّذر وأمْرِ الوالِدَين وشبهِهِما؟، أم لا؟؛</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يشمل النَّوافل الَّتي كانت واجبةً ثمَّ عرَضَها النَّدب فصارَتْ مندوبةً‌، كالصَّلوة المُعادَة، وصلوة الجُمُعة والعيدين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مندوبَين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 بل قولان</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النَّافلة واجبةً بأسبابها مبحوثٌ عنها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نهاية الإحكام،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حكم الشَّكِّ في هذه النَّافلة الَّتي صارتْ واجبةً لم أجد مَن صرَّح به من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البجنورديِّ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الورود في صُلب المطلب لابدَّ من لَفْت النَّظر إلى أمرٍ هامٍّ‌، وهو</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المندوب بالذَّات لايُعقَل أن يصير واجبًا، لأنَّه يساوي قلبَ المهيَّة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للمصالح والمفاسد الحقيقيَّة، فما هو </w:t>
      </w:r>
    </w:p>
    <w:p>
      <w:pPr>
        <w:pStyle w:val="BookText"/>
        <w:rPr/>
      </w:pPr>
      <w:r>
        <w:rPr>
          <w:rFonts w:ascii="Amiri" w:hAnsi="Amiri" w:eastAsia="Amiri" w:cs="Amiri"/>
          <w:color w:val="111111"/>
          <w:sz w:val="28"/>
          <w:sz w:val="28"/>
          <w:szCs w:val="28"/>
          <w:rtl w:val="true"/>
          <w:lang w:bidi="ar-SA"/>
        </w:rPr>
        <w:t xml:space="preserve">مستحبٌّ مندوبٌ كيف يصير بالنَّذر واجبًا غير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لسيِّدنا الإستاذ الإمام الخميني قدس سره</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الوجوبُ يتعلَّق بنفس النَّذر، لا بمُتَعَلَّقِه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يجب علىٰ النَّاذر أن يأتي بمتعلَّق النَّذر ندبًا حتَّى يفي بنذره</w:t>
      </w:r>
      <w:r>
        <w:rPr>
          <w:rStyle w:val="FootnoteAnchor"/>
          <w:rtl w:val="true"/>
        </w:rPr>
        <w:footnoteReference w:id="947"/>
      </w:r>
      <w:r>
        <w:rPr>
          <w:rFonts w:ascii="Amiri" w:hAnsi="Amiri" w:eastAsia="Amiri" w:cs="Amiri"/>
          <w:color w:val="111111"/>
          <w:sz w:val="28"/>
          <w:sz w:val="28"/>
          <w:szCs w:val="28"/>
          <w:rtl w:val="true"/>
          <w:lang w:bidi="ar-SA"/>
        </w:rPr>
        <w:t>، ولوقصد الوجوبَ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 بالمُتَعلَّق أوَّلًا؛</w:t>
      </w:r>
    </w:p>
    <w:p>
      <w:pPr>
        <w:pStyle w:val="BookText"/>
        <w:rPr/>
      </w:pPr>
      <w:r>
        <w:rPr>
          <w:rFonts w:ascii="Amiri" w:hAnsi="Amiri" w:eastAsia="Amiri" w:cs="Amiri"/>
          <w:color w:val="111111"/>
          <w:sz w:val="28"/>
          <w:sz w:val="28"/>
          <w:szCs w:val="28"/>
          <w:rtl w:val="true"/>
          <w:lang w:bidi="ar-SA"/>
        </w:rPr>
        <w:t>ولم يَفِ بالنَّذر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كلمات الأصحاب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الصَّلوات الواجبة صلوةُ المنذور، كصلوة اللَّيل إذا تعلَّق بها نذرٌ من الواجبات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العلَّامة قدس سره</w:t>
      </w:r>
      <w:r>
        <w:rPr>
          <w:rStyle w:val="FootnoteAnchor"/>
          <w:rtl w:val="true"/>
        </w:rPr>
        <w:footnoteReference w:id="948"/>
      </w:r>
      <w:r>
        <w:rPr>
          <w:rFonts w:ascii="Amiri" w:hAnsi="Amiri" w:eastAsia="Amiri" w:cs="Amiri"/>
          <w:color w:val="111111"/>
          <w:sz w:val="28"/>
          <w:sz w:val="28"/>
          <w:szCs w:val="28"/>
          <w:rtl w:val="true"/>
          <w:lang w:bidi="ar-SA"/>
        </w:rPr>
        <w:t>، وأوَّل الشَّهيدين قدس سرهما في الفيَّته</w:t>
      </w:r>
      <w:r>
        <w:rPr>
          <w:rStyle w:val="FootnoteAnchor"/>
          <w:rtl w:val="true"/>
        </w:rPr>
        <w:footnoteReference w:id="949"/>
      </w:r>
      <w:r>
        <w:rPr>
          <w:rFonts w:ascii="Amiri" w:hAnsi="Amiri" w:eastAsia="Amiri" w:cs="Amiri"/>
          <w:color w:val="111111"/>
          <w:sz w:val="28"/>
          <w:sz w:val="28"/>
          <w:szCs w:val="28"/>
          <w:rtl w:val="true"/>
          <w:lang w:bidi="ar-SA"/>
        </w:rPr>
        <w:t>، وبيانه</w:t>
      </w:r>
      <w:r>
        <w:rPr>
          <w:rStyle w:val="FootnoteAnchor"/>
          <w:rtl w:val="true"/>
        </w:rPr>
        <w:footnoteReference w:id="950"/>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951"/>
      </w:r>
      <w:r>
        <w:rPr>
          <w:rFonts w:ascii="Amiri" w:hAnsi="Amiri" w:eastAsia="Amiri" w:cs="Amiri"/>
          <w:color w:val="111111"/>
          <w:sz w:val="28"/>
          <w:sz w:val="28"/>
          <w:szCs w:val="28"/>
          <w:rtl w:val="true"/>
          <w:lang w:bidi="ar-SA"/>
        </w:rPr>
        <w:t>، والبحراني قدس سره</w:t>
      </w:r>
      <w:r>
        <w:rPr>
          <w:rStyle w:val="FootnoteAnchor"/>
          <w:rtl w:val="true"/>
        </w:rPr>
        <w:footnoteReference w:id="952"/>
      </w:r>
      <w:r>
        <w:rPr>
          <w:rFonts w:ascii="Amiri" w:hAnsi="Amiri" w:eastAsia="Amiri" w:cs="Amiri"/>
          <w:color w:val="111111"/>
          <w:sz w:val="28"/>
          <w:sz w:val="28"/>
          <w:szCs w:val="28"/>
          <w:rtl w:val="true"/>
          <w:lang w:bidi="ar-SA"/>
        </w:rPr>
        <w:t xml:space="preserve">، وغيرهم الكثيرين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تتعلَّق بحال الموصوف، لأنَّ الوفاء بالنَّذر واجبٌ‌، أمَّا صلوة اللَّيل فلاتصير واجبةً بحالٍ أصلًا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لك أنَّه ليس في الشَّريعة الغرَّاء واجبٌ يُمكِن أن يصير مندوبًا، أو </w:t>
      </w:r>
    </w:p>
    <w:p>
      <w:pPr>
        <w:pStyle w:val="BookText"/>
        <w:rPr/>
      </w:pPr>
      <w:r>
        <w:rPr>
          <w:rFonts w:ascii="Amiri" w:hAnsi="Amiri" w:eastAsia="Amiri" w:cs="Amiri"/>
          <w:color w:val="111111"/>
          <w:sz w:val="28"/>
          <w:sz w:val="28"/>
          <w:szCs w:val="28"/>
          <w:rtl w:val="true"/>
          <w:lang w:bidi="ar-SA"/>
        </w:rPr>
        <w:t xml:space="preserve">مندوبٌ يُمكِن أن يصير واجبًا؛ فصلوة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اختَرنا في الفقه كونَها مندوبًا ذاتًا حتَّى في عصر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القول بوجوبها في زمن الحضور وندبها في عصر الغيبة، فالمراد من هذا القول كونُها في عصر الحضور أفضلَ فردَي الإتيان بها وتركها؛</w:t>
      </w:r>
    </w:p>
    <w:p>
      <w:pPr>
        <w:pStyle w:val="BookText"/>
        <w:rPr/>
      </w:pPr>
      <w:r>
        <w:rPr>
          <w:rFonts w:ascii="Amiri" w:hAnsi="Amiri" w:eastAsia="Amiri" w:cs="Amiri"/>
          <w:color w:val="111111"/>
          <w:sz w:val="28"/>
          <w:sz w:val="28"/>
          <w:szCs w:val="28"/>
          <w:rtl w:val="true"/>
          <w:lang w:bidi="ar-SA"/>
        </w:rPr>
        <w:t>وهكذا في صلوة الجماعة، فهي واجبةٌ مطلقًا، إلَّاأنَّها تعيينيٌّ في زمن الحضور تخييريٌّ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ومساق هذا مساق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 وإن لم يجِئك فأنت مخيَّرٌ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صلوة العيدين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الصَّلوة المُعادَة، فهي مستحبَّةٌ ذاتًا، لا أنَّها واجبةٌ ثمَّ طرَءَ عليها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 أدلَّة عدم السَّهو والشَّكِّ في النافلة لمثل المقام، فالظَّاهر أنَّها لاتشمله أصلًا؛ لاِنصرافها عن هذا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لايبعد دعوىٰ الضَّرورة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 الشَّكِّ في صلاتَي الجمعة والمُعادَة حكمُ الشُّكوك في الصَّلوة الواجبة</w:t>
      </w:r>
      <w:r>
        <w:rPr>
          <w:rStyle w:val="FootnoteAnchor"/>
          <w:rtl w:val="true"/>
        </w:rPr>
        <w:footnoteReference w:id="953"/>
      </w:r>
      <w:r>
        <w:rPr>
          <w:rFonts w:ascii="Amiri" w:hAnsi="Amiri" w:eastAsia="Amiri" w:cs="Amiri"/>
          <w:color w:val="111111"/>
          <w:sz w:val="28"/>
          <w:sz w:val="28"/>
          <w:szCs w:val="28"/>
          <w:rtl w:val="true"/>
          <w:lang w:bidi="ar-SA"/>
        </w:rPr>
        <w:t>وكذلك حكم السَّهو فيهما؛</w:t>
      </w:r>
    </w:p>
    <w:p>
      <w:pPr>
        <w:pStyle w:val="BookText"/>
        <w:rPr/>
      </w:pPr>
      <w:r>
        <w:rPr>
          <w:rFonts w:ascii="Amiri" w:hAnsi="Amiri" w:eastAsia="Amiri" w:cs="Amiri"/>
          <w:color w:val="111111"/>
          <w:sz w:val="28"/>
          <w:sz w:val="28"/>
          <w:szCs w:val="28"/>
          <w:rtl w:val="true"/>
          <w:lang w:bidi="ar-SA"/>
        </w:rPr>
        <w:t>فلابدَّ للشَّاكِّ أو السَّاهي فيهما من أن يعمَلَ علىٰ ما تقتضيه أدلَّة الشَّكِّ والسَّهو في الصَّلوة، وهذا الإجماع والضَّرورة يدلُّ علىٰ اِنصراف روايات الباب عن هذا الموضع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صلوة الطَّواف في الحجِّ النَّدبيِّ وأمثالها، فهي واجبةٌ‌، بل جميع الشَّرائط </w:t>
      </w:r>
      <w:bookmarkStart w:id="359" w:name="pg20339_220450"/>
    </w:p>
    <w:p>
      <w:pPr>
        <w:pStyle w:val="BookText"/>
        <w:rPr/>
      </w:pPr>
      <w:bookmarkEnd w:id="359"/>
      <w:r>
        <w:rPr>
          <w:rFonts w:ascii="Amiri" w:hAnsi="Amiri" w:eastAsia="Amiri" w:cs="Amiri"/>
          <w:color w:val="111111"/>
          <w:sz w:val="28"/>
          <w:sz w:val="28"/>
          <w:szCs w:val="28"/>
          <w:rtl w:val="true"/>
          <w:lang w:bidi="ar-SA"/>
        </w:rPr>
        <w:t>والأجزاء في الصَّلوات المندوبة واجبةٌ‌، بمعنىٰ أنَّه لوأراد أن يأتيَ بصلوةٍ ندبيٍّ فعَلَيه أن يأتيَ بها جميعًا، وإلَّا لم يأتِ بشيءٍ أصلًا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1979288_1280447820"/>
      <w:bookmarkStart w:id="361" w:name="_Toc133"/>
      <w:bookmarkEnd w:id="360"/>
      <w:r>
        <w:rPr>
          <w:rtl w:val="true"/>
        </w:rPr>
        <w:t>التَّنبيه الثَّالث</w:t>
      </w:r>
      <w:r>
        <w:rPr>
          <w:rtl w:val="true"/>
        </w:rPr>
        <w:t>:</w:t>
      </w:r>
      <w:bookmarkEnd w:id="361"/>
    </w:p>
    <w:p>
      <w:pPr>
        <w:pStyle w:val="BookText"/>
        <w:rPr/>
      </w:pPr>
      <w:r>
        <w:rPr>
          <w:rFonts w:ascii="Amiri" w:hAnsi="Amiri" w:eastAsia="Amiri" w:cs="Amiri"/>
          <w:color w:val="111111"/>
          <w:sz w:val="28"/>
          <w:sz w:val="28"/>
          <w:szCs w:val="28"/>
          <w:rtl w:val="true"/>
          <w:lang w:bidi="ar-SA"/>
        </w:rPr>
        <w:t>قد اشتهر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زيادةَ الرُّكن في النَّوافل لاتوجب البُطلان؛ خلافًا للنَّقيصة الرُّكنيَّة، فإنَّها توجبه قطعًا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السَّيِّد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ونقصان الرُّكن مبطلٍ لها كالفريضة، بخلاف زيادته، فإنَّها لاتُوجِب البطلان علىٰ الأقوىٰ‌</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موسوعة الإمام الخوئي قدس سره،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فتدلُّ علىٰ عدم بطلان الصَّلوة بزيادتها ما رواه الكليني قدس سره</w:t>
      </w:r>
      <w:r>
        <w:rPr>
          <w:rStyle w:val="FootnoteAnchor"/>
          <w:rtl w:val="true"/>
        </w:rPr>
        <w:footnoteReference w:id="956"/>
      </w:r>
      <w:r>
        <w:rPr>
          <w:rFonts w:ascii="Amiri" w:hAnsi="Amiri" w:eastAsia="Amiri" w:cs="Amiri"/>
          <w:color w:val="111111"/>
          <w:sz w:val="28"/>
          <w:sz w:val="28"/>
          <w:szCs w:val="28"/>
          <w:rtl w:val="true"/>
          <w:lang w:bidi="ar-SA"/>
        </w:rPr>
        <w:t>، والشَّيخ قدس سره</w:t>
      </w:r>
      <w:r>
        <w:rPr>
          <w:rStyle w:val="FootnoteAnchor"/>
          <w:rtl w:val="true"/>
        </w:rPr>
        <w:footnoteReference w:id="957"/>
      </w:r>
      <w:r>
        <w:rPr>
          <w:rFonts w:ascii="Amiri" w:hAnsi="Amiri" w:eastAsia="Amiri" w:cs="Amiri"/>
          <w:color w:val="111111"/>
          <w:sz w:val="28"/>
          <w:sz w:val="28"/>
          <w:szCs w:val="28"/>
          <w:rtl w:val="true"/>
          <w:lang w:bidi="ar-SA"/>
        </w:rPr>
        <w:t>، والمحقِّق الفيض قدس سره</w:t>
      </w:r>
      <w:r>
        <w:rPr>
          <w:rStyle w:val="FootnoteAnchor"/>
          <w:rtl w:val="true"/>
        </w:rPr>
        <w:footnoteReference w:id="958"/>
      </w:r>
      <w:r>
        <w:rPr>
          <w:rFonts w:ascii="Amiri" w:hAnsi="Amiri" w:eastAsia="Amiri" w:cs="Amiri"/>
          <w:color w:val="111111"/>
          <w:sz w:val="28"/>
          <w:sz w:val="28"/>
          <w:szCs w:val="28"/>
          <w:rtl w:val="true"/>
          <w:lang w:bidi="ar-SA"/>
        </w:rPr>
        <w:t>، والشَّيخ صاحب الوسائل قدس سره</w:t>
      </w:r>
      <w:r>
        <w:rPr>
          <w:rStyle w:val="FootnoteAnchor"/>
          <w:rtl w:val="true"/>
        </w:rPr>
        <w:footnoteReference w:id="959"/>
      </w:r>
      <w:r>
        <w:rPr>
          <w:rFonts w:ascii="Amiri" w:hAnsi="Amiri" w:eastAsia="Amiri" w:cs="Amiri"/>
          <w:color w:val="111111"/>
          <w:sz w:val="28"/>
          <w:sz w:val="28"/>
          <w:szCs w:val="28"/>
          <w:rtl w:val="true"/>
          <w:lang w:bidi="ar-SA"/>
        </w:rPr>
        <w:t>عن الحسن الصَّيقل عن أبي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الرَّكعتين من الوَتْر ثمَّ يقوم فينسىٰ التَّشهُّد حتَّى يركَعَ ويَذْكر وهو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 بعد ما </w:t>
      </w:r>
    </w:p>
    <w:p>
      <w:pPr>
        <w:pStyle w:val="BookText"/>
        <w:rPr/>
      </w:pPr>
      <w:r>
        <w:rPr>
          <w:rFonts w:ascii="Amiri" w:hAnsi="Amiri" w:eastAsia="Amiri" w:cs="Amiri"/>
          <w:color w:val="111111"/>
          <w:sz w:val="28"/>
          <w:sz w:val="28"/>
          <w:szCs w:val="28"/>
          <w:rtl w:val="true"/>
          <w:lang w:bidi="ar-SA"/>
        </w:rPr>
        <w:t>ركع مضىٰ ثمَّ سَجَدَ سجدَتَي السَّهو بعد ما ينصرف ويتشَّهد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أيضًا الشَّيخ قدس سره</w:t>
      </w:r>
      <w:r>
        <w:rPr>
          <w:rStyle w:val="FootnoteAnchor"/>
          <w:rtl w:val="true"/>
        </w:rPr>
        <w:footnoteReference w:id="960"/>
      </w:r>
      <w:r>
        <w:rPr>
          <w:rFonts w:ascii="Amiri" w:hAnsi="Amiri" w:eastAsia="Amiri" w:cs="Amiri"/>
          <w:color w:val="111111"/>
          <w:sz w:val="28"/>
          <w:sz w:val="28"/>
          <w:szCs w:val="28"/>
          <w:rtl w:val="true"/>
          <w:lang w:bidi="ar-SA"/>
        </w:rPr>
        <w:t>، والمحقِّق الفيض قدس سره</w:t>
      </w:r>
      <w:r>
        <w:rPr>
          <w:rStyle w:val="FootnoteAnchor"/>
          <w:rtl w:val="true"/>
        </w:rPr>
        <w:footnoteReference w:id="961"/>
      </w:r>
      <w:r>
        <w:rPr>
          <w:rFonts w:ascii="Amiri" w:hAnsi="Amiri" w:eastAsia="Amiri" w:cs="Amiri"/>
          <w:color w:val="111111"/>
          <w:sz w:val="28"/>
          <w:sz w:val="28"/>
          <w:szCs w:val="28"/>
          <w:rtl w:val="true"/>
          <w:lang w:bidi="ar-SA"/>
        </w:rPr>
        <w:t>، والحرُّ قدس سره</w:t>
      </w:r>
      <w:r>
        <w:rPr>
          <w:rStyle w:val="FootnoteAnchor"/>
          <w:rtl w:val="true"/>
        </w:rPr>
        <w:footnoteReference w:id="962"/>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ويجلس ويتشهَّد ويُسلِّم، ثمَّ يستأنِفُ الصَّلوة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لاإشكال فيهما بحسب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فواضحة؛ أمَّا سندهما فايضًا لاخذشه فيهما، وقد صحَّح الثَّاني منهما الشَّيخ محمَّدهادي ابنُ شارح الكافي قدس سرهما في شرحه علىٰ فروعه</w:t>
      </w:r>
      <w:r>
        <w:rPr>
          <w:rStyle w:val="FootnoteAnchor"/>
          <w:rtl w:val="true"/>
        </w:rPr>
        <w:footnoteReference w:id="963"/>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964"/>
      </w:r>
      <w:r>
        <w:rPr>
          <w:rFonts w:ascii="Amiri" w:hAnsi="Amiri" w:eastAsia="Amiri" w:cs="Amiri"/>
          <w:color w:val="111111"/>
          <w:sz w:val="28"/>
          <w:sz w:val="28"/>
          <w:szCs w:val="28"/>
          <w:rtl w:val="true"/>
          <w:lang w:bidi="ar-SA"/>
        </w:rPr>
        <w:t>، والبحرانيُّ قدس سره</w:t>
      </w:r>
      <w:r>
        <w:rPr>
          <w:rStyle w:val="FootnoteAnchor"/>
          <w:rtl w:val="true"/>
        </w:rPr>
        <w:footnoteReference w:id="965"/>
      </w:r>
      <w:r>
        <w:rPr>
          <w:rFonts w:ascii="Amiri" w:hAnsi="Amiri" w:eastAsia="Amiri" w:cs="Amiri"/>
          <w:color w:val="111111"/>
          <w:sz w:val="28"/>
          <w:sz w:val="28"/>
          <w:szCs w:val="28"/>
          <w:rtl w:val="true"/>
          <w:lang w:bidi="ar-SA"/>
        </w:rPr>
        <w:t>، وثاني النَّراقيَّيْن قدس سرهما</w:t>
      </w:r>
      <w:r>
        <w:rPr>
          <w:rStyle w:val="FootnoteAnchor"/>
          <w:rtl w:val="true"/>
        </w:rPr>
        <w:footnoteReference w:id="966"/>
      </w:r>
      <w:r>
        <w:rPr>
          <w:rFonts w:ascii="Amiri" w:hAnsi="Amiri" w:eastAsia="Amiri" w:cs="Amiri"/>
          <w:color w:val="111111"/>
          <w:sz w:val="28"/>
          <w:sz w:val="28"/>
          <w:szCs w:val="28"/>
          <w:rtl w:val="true"/>
          <w:lang w:bidi="ar-SA"/>
        </w:rPr>
        <w:t>، وجعَلَه الوحيدُ الفريدُ قدس سره كالصَّحيح</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ولابأس بالحَسَن الصَّيقل؛ والتَّفصيل فيه موكولٌ إلى أبحاثنا في علم الرِّجال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فالسَّهو من حيث الزِّيادة الرُّكنيَّة لاإشكال ولا كلام فيه، نصًّا وفتوىً‌</w:t>
      </w:r>
      <w:r>
        <w:rPr>
          <w:rFonts w:eastAsia="Amiri" w:cs="Amiri" w:ascii="Amiri" w:hAnsi="Amiri"/>
          <w:color w:val="111111"/>
          <w:sz w:val="28"/>
          <w:szCs w:val="28"/>
          <w:rtl w:val="true"/>
          <w:lang w:bidi="ar-SA"/>
        </w:rPr>
        <w:t xml:space="preserve">. </w:t>
      </w:r>
      <w:bookmarkStart w:id="362" w:name="pg20339_220452"/>
    </w:p>
    <w:p>
      <w:pPr>
        <w:pStyle w:val="BookText"/>
        <w:rPr/>
      </w:pPr>
      <w:bookmarkEnd w:id="362"/>
      <w:r>
        <w:rPr>
          <w:rFonts w:ascii="Amiri" w:hAnsi="Amiri" w:eastAsia="Amiri" w:cs="Amiri"/>
          <w:color w:val="111111"/>
          <w:sz w:val="28"/>
          <w:sz w:val="28"/>
          <w:szCs w:val="28"/>
          <w:rtl w:val="true"/>
          <w:lang w:bidi="ar-SA"/>
        </w:rPr>
        <w:t>وأمَّا النَّقيصةُ‌، فالأقوىٰ المختارُ هو خلاف ما اختاره الأصحاب؛ لقوله عليه السلام في رواية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حيث إنَّ استفادة العموم في الحُكم وحِكمته منه ليس ببعيدٍ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النَّافلة سهوٌ</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يشمل الزِّيادة والنَّقيصة معًا؛</w:t>
      </w:r>
    </w:p>
    <w:p>
      <w:pPr>
        <w:pStyle w:val="BookText"/>
        <w:rPr/>
      </w:pPr>
      <w:r>
        <w:rPr>
          <w:rFonts w:ascii="Amiri" w:hAnsi="Amiri" w:eastAsia="Amiri" w:cs="Amiri"/>
          <w:color w:val="111111"/>
          <w:sz w:val="28"/>
          <w:sz w:val="28"/>
          <w:szCs w:val="28"/>
          <w:rtl w:val="true"/>
          <w:lang w:bidi="ar-SA"/>
        </w:rPr>
        <w:t>فاستفادة العموم من الرِّوايات سهلٌ جدًّا</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يمنع الإجماعُ عن ذلك، وإلَّا فلولا الإجماع لكُنَّا نذهب إلى أنَّ النَّقيصة الرُّكنيَّة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لها أصلًا</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الفقه الجعفريِّ‌،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مهذِّب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1979290_1280447820"/>
      <w:bookmarkStart w:id="364" w:name="_Toc134"/>
      <w:bookmarkEnd w:id="363"/>
      <w:r>
        <w:rPr>
          <w:rtl w:val="true"/>
        </w:rPr>
        <w:t>التَّنبيه الرَّابع</w:t>
      </w:r>
      <w:r>
        <w:rPr>
          <w:rtl w:val="true"/>
        </w:rPr>
        <w:t>:</w:t>
      </w:r>
      <w:bookmarkEnd w:id="364"/>
    </w:p>
    <w:p>
      <w:pPr>
        <w:pStyle w:val="BookText"/>
        <w:rPr/>
      </w:pPr>
      <w:r>
        <w:rPr>
          <w:rFonts w:ascii="Amiri" w:hAnsi="Amiri" w:eastAsia="Amiri" w:cs="Amiri"/>
          <w:color w:val="111111"/>
          <w:sz w:val="28"/>
          <w:sz w:val="28"/>
          <w:szCs w:val="28"/>
          <w:rtl w:val="true"/>
          <w:lang w:bidi="ar-SA"/>
        </w:rPr>
        <w:t>لاإشكال في تقدُّم هذه الرِّوايات علىٰ الرِّوايات الَّتي تُبيِّن حكمَ الشَّكِّ والسَّهو في النَّافلة، تقَدُّمَ الحكومة والحاكم علىٰ المحكوم عليه؛ لأنَّ العُرف لايشكُّ في أنَّ الطَّائفة الأولىٰ ناظرةٌ إلى هذه الطَّائفة الثَّانيَة، فهي تُحدِّدُها بالنَّظر إليها، بل لولا القول بكونها ناظرةً إليها ليجب أن تكون هذه لغوًا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قبِلتَ حكومتها عليها، فهو؛</w:t>
      </w:r>
    </w:p>
    <w:p>
      <w:pPr>
        <w:pStyle w:val="BookText"/>
        <w:rPr/>
      </w:pPr>
      <w:r>
        <w:rPr>
          <w:rFonts w:ascii="Amiri" w:hAnsi="Amiri" w:eastAsia="Amiri" w:cs="Amiri"/>
          <w:color w:val="111111"/>
          <w:sz w:val="28"/>
          <w:sz w:val="28"/>
          <w:szCs w:val="28"/>
          <w:rtl w:val="true"/>
          <w:lang w:bidi="ar-SA"/>
        </w:rPr>
        <w:t>وإن أبيتَ‌، فهي مخصِّصةٌ لها؛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أيضًا، فهي مقدَّمةٌ عليها عرفًا، لأنَّ العُرف له أن يجمَعَ بينهما بتقديم </w:t>
      </w:r>
      <w:bookmarkStart w:id="365" w:name="pg20339_220453"/>
    </w:p>
    <w:p>
      <w:pPr>
        <w:pStyle w:val="BookText"/>
        <w:rPr/>
      </w:pPr>
      <w:bookmarkEnd w:id="365"/>
      <w:r>
        <w:rPr>
          <w:rFonts w:ascii="Amiri" w:hAnsi="Amiri" w:eastAsia="Amiri" w:cs="Amiri"/>
          <w:color w:val="111111"/>
          <w:sz w:val="28"/>
          <w:sz w:val="28"/>
          <w:szCs w:val="28"/>
          <w:rtl w:val="true"/>
          <w:lang w:bidi="ar-SA"/>
        </w:rPr>
        <w:t>الأولىٰ علىٰ الثَّانيَة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1979292_1280447820"/>
      <w:bookmarkStart w:id="367" w:name="_Toc135"/>
      <w:bookmarkEnd w:id="366"/>
      <w:r>
        <w:rPr>
          <w:rtl w:val="true"/>
        </w:rPr>
        <w:t>أمثلةٌ لاستعمال القاعدة في الفقه</w:t>
      </w:r>
      <w:r>
        <w:rPr>
          <w:rtl w:val="true"/>
        </w:rPr>
        <w:t>:</w:t>
      </w:r>
      <w:bookmarkEnd w:id="3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من القواعد الَّتي تجري في بابٍ واحدٍ من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النَّوافل من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بعض موارد الإشارة إليها في الفقه؛ فلانأتي بأمثلةٍ لاستعمالها فيه</w:t>
      </w:r>
      <w:r>
        <w:rPr>
          <w:rFonts w:eastAsia="Amiri" w:cs="Amiri" w:ascii="Amiri" w:hAnsi="Amiri"/>
          <w:color w:val="111111"/>
          <w:sz w:val="28"/>
          <w:szCs w:val="28"/>
          <w:rtl w:val="true"/>
          <w:lang w:bidi="ar-SA"/>
        </w:rPr>
        <w:t xml:space="preserve">. </w:t>
      </w:r>
      <w:bookmarkStart w:id="368" w:name="pg20339_220454"/>
    </w:p>
    <w:p>
      <w:pPr>
        <w:pStyle w:val="Heading2"/>
        <w:numPr>
          <w:ilvl w:val="1"/>
          <w:numId w:val="1"/>
        </w:numPr>
        <w:rPr/>
      </w:pPr>
      <w:bookmarkStart w:id="369" w:name="__RefHeading___Toc11979294_1280447820"/>
      <w:bookmarkStart w:id="370" w:name="_Toc136"/>
      <w:bookmarkEnd w:id="368"/>
      <w:bookmarkEnd w:id="369"/>
      <w:r>
        <w:rPr>
          <w:rtl w:val="true"/>
        </w:rPr>
        <w:t>[</w:t>
      </w:r>
      <w:r>
        <w:rPr/>
        <w:t>54</w:t>
      </w:r>
      <w:r>
        <w:rPr>
          <w:rtl w:val="true"/>
        </w:rPr>
        <w:t xml:space="preserve">:] </w:t>
      </w:r>
      <w:r>
        <w:rPr>
          <w:rtl w:val="true"/>
        </w:rPr>
        <w:t>قاعدة لا ضرر ولا ضرار</w:t>
      </w:r>
      <w:bookmarkEnd w:id="370"/>
    </w:p>
    <w:p>
      <w:pPr>
        <w:pStyle w:val="Heading3"/>
        <w:numPr>
          <w:ilvl w:val="2"/>
          <w:numId w:val="1"/>
        </w:numPr>
        <w:rPr/>
      </w:pPr>
      <w:bookmarkStart w:id="371" w:name="__RefHeading___Toc11979296_1280447820"/>
      <w:bookmarkStart w:id="372" w:name="_Toc137"/>
      <w:bookmarkEnd w:id="371"/>
      <w:r>
        <w:rPr>
          <w:rtl w:val="true"/>
        </w:rPr>
        <w:t>عناوين أُخرىٰ للقاعدة</w:t>
      </w:r>
      <w:bookmarkEnd w:id="372"/>
    </w:p>
    <w:p>
      <w:pPr>
        <w:pStyle w:val="Heading3"/>
        <w:numPr>
          <w:ilvl w:val="2"/>
          <w:numId w:val="1"/>
        </w:numPr>
        <w:rPr/>
      </w:pPr>
      <w:bookmarkStart w:id="373" w:name="__RefHeading___Toc11979298_1280447820"/>
      <w:bookmarkStart w:id="374" w:name="_Toc138"/>
      <w:bookmarkEnd w:id="373"/>
      <w:r>
        <w:rPr>
          <w:rtl w:val="true"/>
        </w:rPr>
        <w:t>توضيح مفاد القاعدة</w:t>
      </w:r>
      <w:bookmarkEnd w:id="374"/>
    </w:p>
    <w:p>
      <w:pPr>
        <w:pStyle w:val="Heading4"/>
        <w:numPr>
          <w:ilvl w:val="3"/>
          <w:numId w:val="1"/>
        </w:numPr>
        <w:rPr/>
      </w:pPr>
      <w:bookmarkStart w:id="375" w:name="__RefHeading___Toc11979300_1280447820"/>
      <w:bookmarkStart w:id="376" w:name="_Toc13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توضيح المراد من القاعدة يستدعي البحثَ عن مفردات العنوان أوَّلًا؛ ثمَّ الكلام عن مفاد العنوان بهيئته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 متوكِّلًا عليه</w:t>
      </w:r>
      <w:r>
        <w:rPr>
          <w:rFonts w:eastAsia="Amiri" w:cs="Amiri" w:ascii="Amiri" w:hAnsi="Amiri"/>
          <w:color w:val="111111"/>
          <w:sz w:val="28"/>
          <w:szCs w:val="28"/>
          <w:rtl w:val="true"/>
          <w:lang w:bidi="ar-SA"/>
        </w:rPr>
        <w:t>! -:</w:t>
      </w:r>
    </w:p>
    <w:p>
      <w:pPr>
        <w:pStyle w:val="Heading4"/>
        <w:numPr>
          <w:ilvl w:val="3"/>
          <w:numId w:val="1"/>
        </w:numPr>
        <w:rPr/>
      </w:pPr>
      <w:bookmarkStart w:id="377" w:name="__RefHeading___Toc11979302_1280447820"/>
      <w:bookmarkStart w:id="378" w:name="_Toc140"/>
      <w:bookmarkEnd w:id="377"/>
      <w:r>
        <w:rPr>
          <w:rtl w:val="true"/>
        </w:rPr>
        <w:t>أوَّلًا</w:t>
      </w:r>
      <w:r>
        <w:rPr>
          <w:rtl w:val="true"/>
        </w:rPr>
        <w:t xml:space="preserve">: </w:t>
      </w:r>
      <w:r>
        <w:rPr>
          <w:rtl w:val="true"/>
        </w:rPr>
        <w:t>البحث عن المفردات المُستَعمَلة في العنوان</w:t>
      </w:r>
      <w:bookmarkEnd w:id="3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يقابل النَّفعَ‌،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الأموال والأنفس والأعراض؛ كما عن الخليل،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 النُّقصان يدخل في الشَّيء</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 xml:space="preserve">واقتصر </w:t>
      </w:r>
    </w:p>
    <w:p>
      <w:pPr>
        <w:pStyle w:val="BookText"/>
        <w:rPr/>
      </w:pPr>
      <w:r>
        <w:rPr>
          <w:rFonts w:ascii="Amiri" w:hAnsi="Amiri" w:eastAsia="Amiri" w:cs="Amiri"/>
          <w:color w:val="111111"/>
          <w:sz w:val="28"/>
          <w:sz w:val="28"/>
          <w:szCs w:val="28"/>
          <w:rtl w:val="true"/>
          <w:lang w:bidi="ar-SA"/>
        </w:rPr>
        <w:t>الأزهريُّ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 النُّقصان</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العبارتين في المعنىٰ ما عن الصَّاحب إسماعيل</w:t>
      </w:r>
      <w:r>
        <w:rPr>
          <w:rStyle w:val="FootnoteAnchor"/>
          <w:rtl w:val="true"/>
        </w:rPr>
        <w:footnoteReference w:id="973"/>
      </w:r>
      <w:r>
        <w:rPr>
          <w:rFonts w:ascii="Amiri" w:hAnsi="Amiri" w:eastAsia="Amiri" w:cs="Amiri"/>
          <w:color w:val="111111"/>
          <w:sz w:val="28"/>
          <w:sz w:val="28"/>
          <w:szCs w:val="28"/>
          <w:rtl w:val="true"/>
          <w:lang w:bidi="ar-SA"/>
        </w:rPr>
        <w:t>، وابنِسيدة</w:t>
      </w:r>
      <w:r>
        <w:rPr>
          <w:rStyle w:val="FootnoteAnchor"/>
          <w:rtl w:val="true"/>
        </w:rPr>
        <w:footnoteReference w:id="974"/>
      </w:r>
      <w:r>
        <w:rPr>
          <w:rFonts w:ascii="Amiri" w:hAnsi="Amiri" w:eastAsia="Amiri" w:cs="Amiri"/>
          <w:color w:val="111111"/>
          <w:sz w:val="28"/>
          <w:sz w:val="28"/>
          <w:szCs w:val="28"/>
          <w:rtl w:val="true"/>
          <w:lang w:bidi="ar-SA"/>
        </w:rPr>
        <w:t>، والزَّمخشريِّ‌</w:t>
      </w:r>
      <w:r>
        <w:rPr>
          <w:rStyle w:val="FootnoteAnchor"/>
          <w:rtl w:val="true"/>
        </w:rPr>
        <w:footnoteReference w:id="975"/>
      </w:r>
      <w:r>
        <w:rPr>
          <w:rFonts w:ascii="Amiri" w:hAnsi="Amiri" w:eastAsia="Amiri" w:cs="Amiri"/>
          <w:color w:val="111111"/>
          <w:sz w:val="28"/>
          <w:sz w:val="28"/>
          <w:szCs w:val="28"/>
          <w:rtl w:val="true"/>
          <w:lang w:bidi="ar-SA"/>
        </w:rPr>
        <w:t>ونصُّ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 خلاف النَّفع</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ولغيرهم أيضًا مايشبه بهذه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استعماله في الأموال، ولذلك مثَّلَ الخليلُ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دخل عليه ضررٌ في ماله</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ومثله ما عن الأزهريِّ‌</w:t>
      </w:r>
      <w:r>
        <w:rPr>
          <w:rStyle w:val="FootnoteAnchor"/>
          <w:rtl w:val="true"/>
        </w:rPr>
        <w:footnoteReference w:id="978"/>
      </w:r>
      <w:r>
        <w:rPr>
          <w:rFonts w:ascii="Amiri" w:hAnsi="Amiri" w:eastAsia="Amiri" w:cs="Amiri"/>
          <w:color w:val="111111"/>
          <w:sz w:val="28"/>
          <w:sz w:val="28"/>
          <w:szCs w:val="28"/>
          <w:rtl w:val="true"/>
          <w:lang w:bidi="ar-SA"/>
        </w:rPr>
        <w:t>، والزَّمخشريِّ‌</w:t>
      </w:r>
      <w:r>
        <w:rPr>
          <w:rStyle w:val="FootnoteAnchor"/>
          <w:rtl w:val="true"/>
        </w:rPr>
        <w:footnoteReference w:id="9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لاإشكال في صحَّة استعماله في العِرْض والشَّرف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من باب المفاعلة، بمعنىٰ الجزاء بالمثل، كما صرَّح بذلك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قوله لاضرر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الرَّجلُ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لايُجازيه علىٰ إضراره</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ومثلُه ما عن اللِّسان</w:t>
      </w:r>
      <w:r>
        <w:rPr>
          <w:rStyle w:val="FootnoteAnchor"/>
          <w:rtl w:val="true"/>
        </w:rPr>
        <w:footnoteReference w:id="981"/>
      </w:r>
      <w:r>
        <w:rPr>
          <w:rFonts w:ascii="Amiri" w:hAnsi="Amiri" w:eastAsia="Amiri" w:cs="Amiri"/>
          <w:color w:val="111111"/>
          <w:sz w:val="28"/>
          <w:sz w:val="28"/>
          <w:szCs w:val="28"/>
          <w:rtl w:val="true"/>
          <w:lang w:bidi="ar-SA"/>
        </w:rPr>
        <w:t>وغيره؛ كالمُطَرِّزيِّ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الضَّررُ بمعنىٰ الضُرِّ، وهو يكون من واحدٍ، </w:t>
      </w:r>
    </w:p>
    <w:p>
      <w:pPr>
        <w:pStyle w:val="BookText"/>
        <w:rPr/>
      </w:pPr>
      <w:r>
        <w:rPr>
          <w:rFonts w:ascii="Amiri" w:hAnsi="Amiri" w:eastAsia="Amiri" w:cs="Amiri"/>
          <w:color w:val="111111"/>
          <w:sz w:val="28"/>
          <w:sz w:val="28"/>
          <w:szCs w:val="28"/>
          <w:rtl w:val="true"/>
          <w:lang w:bidi="ar-SA"/>
        </w:rPr>
        <w:t>والضِّرارُ من اثنين بمعنىٰ المُضارَّة، وهو أن تَضُرَّ من ضرَّك</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للفيُّوميِّ قدس سره في مصباحه،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ضارَّه مُضارَّة و ضرارًا بمعنىٰ ضرَّه</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الضِّرار بمعنىٰ الضَّرر، جيء به تأكيدًا</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 عليه الأزهريُّ فقال بعد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واحدةٍ من اللَّفظَين معنىً غير الآخر</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 الأستاذ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بمعنىٰ التَّضييق وإيصال الحرج والمكروه إلى الغير</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الضِّرارُ فإنَّ الشَّائع من استعماله هو استعماله في التَّضييق والحرج وإيراد المكروه وإيقاع الكُلفَة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أنَّ أكثر استعمال اللَّفظة فيه، واستشهد بآياتٍ‌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اُستُعمِلَت فيها لفظة المضارِّ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المعنىٰ قول النَّبيِّ الكريم صلى الله عليه و آله في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يا سمرة </w:t>
      </w:r>
      <w:bookmarkStart w:id="379" w:name="pg20339_220457"/>
    </w:p>
    <w:p>
      <w:pPr>
        <w:pStyle w:val="BookText"/>
        <w:rPr/>
      </w:pPr>
      <w:bookmarkEnd w:id="379"/>
      <w:r>
        <w:rPr>
          <w:rFonts w:ascii="Amiri" w:hAnsi="Amiri" w:eastAsia="Amiri" w:cs="Amiri"/>
          <w:color w:val="111111"/>
          <w:sz w:val="28"/>
          <w:sz w:val="28"/>
          <w:szCs w:val="28"/>
          <w:rtl w:val="true"/>
          <w:lang w:bidi="ar-SA"/>
        </w:rPr>
        <w:t>إلَّا مضارًّا</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ولم يكن سمرة أن يضرَّه إلَّابالتَّضييق عليه وإيصال المكروه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غيرهم غيرها</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آراؤنا في أصول الفقة،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أخذ هذا المعنىٰ من نفس الرِّوايات، لظهور لجاجة سمرة فيها، وإلَّا فليس هذا معنىً للإضرار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اللُّتَيَّا والُّتَي لايجوز رفعُ اليد عن ظاهر باب المفاعلة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979304_1280447820"/>
      <w:bookmarkStart w:id="381" w:name="_Toc141"/>
      <w:bookmarkEnd w:id="380"/>
      <w:r>
        <w:rPr>
          <w:rtl w:val="true"/>
        </w:rPr>
        <w:t>ثانيًا</w:t>
      </w:r>
      <w:r>
        <w:rPr>
          <w:rtl w:val="true"/>
        </w:rPr>
        <w:t xml:space="preserve">: </w:t>
      </w:r>
      <w:r>
        <w:rPr>
          <w:rtl w:val="true"/>
        </w:rPr>
        <w:t>البحث عن هيئة العنوان التَّركيبيَّة</w:t>
      </w:r>
      <w:bookmarkEnd w:id="381"/>
    </w:p>
    <w:p>
      <w:pPr>
        <w:pStyle w:val="BookText"/>
        <w:rPr/>
      </w:pPr>
      <w:r>
        <w:rPr>
          <w:rFonts w:ascii="Amiri" w:hAnsi="Amiri" w:eastAsia="Amiri" w:cs="Amiri"/>
          <w:color w:val="111111"/>
          <w:sz w:val="28"/>
          <w:sz w:val="28"/>
          <w:szCs w:val="28"/>
          <w:rtl w:val="true"/>
          <w:lang w:bidi="ar-SA"/>
        </w:rPr>
        <w:t>أمَّا هيئة العبارة التَّركيبيَّة، ففيها 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كما هو الأصلُ في أمثال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منها نفي الحكم الشَّرعيِّ الَّذي يكون ضرريًّا علىٰ العباد، وأنَّه ليس في الشَّريعة مجعولٌ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كلزوم البيع مع الغبن، ووجوب الوضوء مع المرض</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الخراسانيِّ قدس سره</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هنا إدِّعائيٌّ كنايةً عن نفي الآثار، كما هو الظَّاهر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لاصلوة لجار المسجد إلَّافي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رواه </w:t>
      </w:r>
    </w:p>
    <w:p>
      <w:pPr>
        <w:pStyle w:val="BookText"/>
        <w:rPr/>
      </w:pPr>
      <w:r>
        <w:rPr>
          <w:rFonts w:ascii="Amiri" w:hAnsi="Amiri" w:eastAsia="Amiri" w:cs="Amiri"/>
          <w:color w:val="111111"/>
          <w:sz w:val="28"/>
          <w:sz w:val="28"/>
          <w:szCs w:val="28"/>
          <w:rtl w:val="true"/>
          <w:lang w:bidi="ar-SA"/>
        </w:rPr>
        <w:t>الشَّيخُ قدس سره</w:t>
      </w:r>
      <w:r>
        <w:rPr>
          <w:rStyle w:val="FootnoteAnchor"/>
          <w:rtl w:val="true"/>
        </w:rPr>
        <w:footnoteReference w:id="991"/>
      </w:r>
      <w:r>
        <w:rPr>
          <w:rFonts w:ascii="Amiri" w:hAnsi="Amiri" w:eastAsia="Amiri" w:cs="Amiri"/>
          <w:color w:val="111111"/>
          <w:sz w:val="28"/>
          <w:sz w:val="28"/>
          <w:szCs w:val="28"/>
          <w:rtl w:val="true"/>
          <w:lang w:bidi="ar-SA"/>
        </w:rPr>
        <w:t>، والمحدِّث الحرُّ قدس سره</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الرَّضيُّ قدس سره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القول اقتضاءُ أساليب الكلام بلاغةً‌، إذ ليس المقامُ من باب المجاز في التَّقدير أو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 الشَّيخ قدس سره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سيِّدُنا الأستاذ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ليستْ من آثار الضَّرر ولايكون الضَّررُ موضوعًا لها حتَّى يصحَّ تلك الإدِّعاءُ‌، فالعنوان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يصحُّ هناك سلبُ الرُّجوليَّة عن الرِّجال ادِّعاءً بدعوىٰ سلبها عن الجبانين؛ بينما أنَّ الكلام لايجري في العنوان، إذ الأحكامُ ليست من آثار الضَّرر حتَّى يُسلَبَ عنها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من آثار الموضوع بالضَّرورة، فلوقيل بوجوب الوضوء الضَّرريِّ أو لزوم البيع الغَبنيِّ فالوجوب واللُّزوم من أحكام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الضَّرريِّ والبيع الغرريِّ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فيُسلَبُ تلك الموضوعات باعتبار أحكامها وآثارها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النَّائينيِّ قدس سره</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الضَّرر والضِّرار إنَّما هو </w:t>
      </w:r>
    </w:p>
    <w:p>
      <w:pPr>
        <w:pStyle w:val="BookText"/>
        <w:rPr/>
      </w:pPr>
      <w:r>
        <w:rPr>
          <w:rFonts w:ascii="Amiri" w:hAnsi="Amiri" w:eastAsia="Amiri" w:cs="Amiri"/>
          <w:color w:val="111111"/>
          <w:sz w:val="28"/>
          <w:sz w:val="28"/>
          <w:szCs w:val="28"/>
          <w:rtl w:val="true"/>
          <w:lang w:bidi="ar-SA"/>
        </w:rPr>
        <w:t xml:space="preserve">بلحاظ التَّشريع ومحيطه وساحَته، فلم يكن في ساحة التَّشريع حكمٌ ضرريٌّ‌،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لا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هو الَّذي اخترناه في باب البراءة، تبعًا للمحقِّق النَّائينيِّ قدس سره؛</w:t>
      </w:r>
    </w:p>
    <w:p>
      <w:pPr>
        <w:pStyle w:val="BookText"/>
        <w:rPr/>
      </w:pPr>
      <w:r>
        <w:rPr>
          <w:rFonts w:ascii="Amiri" w:hAnsi="Amiri" w:eastAsia="Amiri" w:cs="Amiri"/>
          <w:color w:val="111111"/>
          <w:sz w:val="28"/>
          <w:sz w:val="28"/>
          <w:szCs w:val="28"/>
          <w:rtl w:val="true"/>
          <w:lang w:bidi="ar-SA"/>
        </w:rPr>
        <w:t>وهو أجود الأقوال، بل هو المتعيَّن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سيِّدُنا الأستاذ الإمام الخمينيُّ قدس سره بأنْ لامعنىٰ للقول بأنَّه لاضرر ولا ضرار بحسب الحقيقة في الشَّريعة، لكثرة الأحكام الضَّرريَّة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كالزَّكوة، والخُمس، والكفَّارات، والحجِّ‌، والحدود، والجهاد، وغيرها من أحكامٍ كثيرةٍ تُشاهَد فيها الضَّرر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ليستْ ضرريَّةً بالنَّظر إلى ما يحصل منها، كما أشار إليه أبوعبداللَّه الصَّادق عليه السلام حينما أمَرَ ببيع الماء للوضوء بأغلىٰ من قيمته، فتعجَّب عنه الرَّاوي،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يجلب عنه أكثر ممَّا أعطاه</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العقول،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آراؤُنا في أصول الفقه،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ليستْ بضرريَّةٍ‌، ضرورةَ أنَّ الجهاد واجبٌ لحفظ حدود المسلمين وثغورهم، والحجَّ لتهذيب نفوسِهم، والحدودَ لحفظ أموالهم و نفوسهم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فالمرء كما يُصرِف المال لقُوته وقوت عياله وحفظ أمواله ونفسه، لابدَّ له من صَرفه لحفظ دينه ومملكته وقُطْره؛ ولذلك فإنَّ العقلاء يفرِّقُون بين أنْ يسرق </w:t>
      </w:r>
    </w:p>
    <w:p>
      <w:pPr>
        <w:pStyle w:val="BookText"/>
        <w:rPr/>
      </w:pPr>
      <w:r>
        <w:rPr>
          <w:rFonts w:ascii="Amiri" w:hAnsi="Amiri" w:eastAsia="Amiri" w:cs="Amiri"/>
          <w:color w:val="111111"/>
          <w:sz w:val="28"/>
          <w:sz w:val="28"/>
          <w:szCs w:val="28"/>
          <w:rtl w:val="true"/>
          <w:lang w:bidi="ar-SA"/>
        </w:rPr>
        <w:t>السَّارقُ مالَهم ويأخذه ظالمٌ منهم ظلمًا، وبين أن يأخذه سلطانٌ عادلٌ لصَرفه في حفظ حوزتهم ومملكتهم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لاضرر ولاضرار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تلك الأحكام قطعًا، لأنَّ العُرف يوفِّقُ أن يجمعَ بين القاعدة وبين تلك الأحكام بتقدُّمها علىٰ القاعدة قطعًا؛ ولقد أجاد المحقِّق الخراسانيُّ قدس سره فيما أفاد بقوله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القاعدة ناظرةٌ إلى الأحكام الَّتي ليس موضوعُها ضرريَّةً‌، لأنَّ الظَّاهر من القاعدة أنَّ الضَّرر علَّةٌ لنفي الحكم، ولا معنىٰ لرفع الموضوع للحكم المترتَّب عليه، لأنَّ وجود الموضوع يقتضي إثبات الحكم، لا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شيخ الشَّريعة الأصفهانيُّ قدس سره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ناهيَةٌ‌، لا نافيَة، وكثيرًا ما تُستَعمَل هذه اللَّفظة ويُراد منها النَّهي، لا النَّفي؛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في الأراك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رواه المجلسيُّ قدس سره وتفرَّدَ به بيننا</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لاسبق إلَّافي خفٍّ أو حافرٍ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رواه الكلينيُّ قدس سره</w:t>
      </w:r>
      <w:r>
        <w:rPr>
          <w:rStyle w:val="FootnoteAnchor"/>
          <w:rtl w:val="true"/>
        </w:rPr>
        <w:footnoteReference w:id="1000"/>
      </w:r>
      <w:r>
        <w:rPr>
          <w:rFonts w:ascii="Amiri" w:hAnsi="Amiri" w:eastAsia="Amiri" w:cs="Amiri"/>
          <w:color w:val="111111"/>
          <w:sz w:val="28"/>
          <w:sz w:val="28"/>
          <w:szCs w:val="28"/>
          <w:rtl w:val="true"/>
          <w:lang w:bidi="ar-SA"/>
        </w:rPr>
        <w:t>، والحرُّ قدس سره</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الصَّدوقُ قدس سره</w:t>
      </w:r>
      <w:r>
        <w:rPr>
          <w:rStyle w:val="FootnoteAnchor"/>
          <w:rtl w:val="true"/>
        </w:rPr>
        <w:footnoteReference w:id="1002"/>
      </w:r>
      <w:r>
        <w:rPr>
          <w:rFonts w:ascii="Amiri" w:hAnsi="Amiri" w:eastAsia="Amiri" w:cs="Amiri"/>
          <w:color w:val="111111"/>
          <w:sz w:val="28"/>
          <w:sz w:val="28"/>
          <w:szCs w:val="28"/>
          <w:rtl w:val="true"/>
          <w:lang w:bidi="ar-SA"/>
        </w:rPr>
        <w:t>، والمحدِّث الحرُّ قدس سره</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أنَّ قوله صلى الله عليه و آله في قضية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رجلٌ مضارٌّ ولا ضرر ولا </w:t>
      </w:r>
    </w:p>
    <w:p>
      <w:p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الكبرىٰ‌، فلوكان الرَّسول صلى الله عليه و آله أراد بكلامه هذا النَّهيَ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والمضارَّةُ حرامٌ‌، وهو يناسب الصُّغرىٰ‌؛ وأمَّا لوكان مراده منه النَّفي فلايلائم هذه الكبرىٰ الصُّغرىٰ أصلًا، إذ المعنىٰ يصير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والحكم الضَّرريُّ منفيٌّ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حقيقةً‌، أو إدِّعاءً‌، ولاتعيُّن للنَّهي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ومساقُ الأمثلة كلِّها مساقُ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لاصلوة إلَّابفاتحة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رواه ابنُ أبي جمهورٍ قدس سره</w:t>
      </w:r>
      <w:r>
        <w:rPr>
          <w:rStyle w:val="FootnoteAnchor"/>
          <w:rtl w:val="true"/>
        </w:rPr>
        <w:footnoteReference w:id="1004"/>
      </w:r>
      <w:r>
        <w:rPr>
          <w:rFonts w:ascii="Amiri" w:hAnsi="Amiri" w:eastAsia="Amiri" w:cs="Amiri"/>
          <w:color w:val="111111"/>
          <w:sz w:val="28"/>
          <w:sz w:val="28"/>
          <w:szCs w:val="28"/>
          <w:rtl w:val="true"/>
          <w:lang w:bidi="ar-SA"/>
        </w:rPr>
        <w:t>، والمحدِّث النُّوريُّ قدس سره</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المراد من هذا المثال هو نفيُ الحقيقة، فكذلك هذه الأمثلة بأجمَعِها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مواضع النَّهي لاتدلُّ علىٰ تعيُّن هذا المعنىٰ‌، لكثرة مواضع النَّفي أيضًا؛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لاسهو في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المجلسيُّ قدس سره</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لايمينَ في قطيعة 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رواه الكلينيُّ قدس سره</w:t>
      </w:r>
      <w:r>
        <w:rPr>
          <w:rStyle w:val="FootnoteAnchor"/>
          <w:rtl w:val="true"/>
        </w:rPr>
        <w:footnoteReference w:id="1007"/>
      </w:r>
      <w:r>
        <w:rPr>
          <w:rFonts w:ascii="Amiri" w:hAnsi="Amiri" w:eastAsia="Amiri" w:cs="Amiri"/>
          <w:color w:val="111111"/>
          <w:sz w:val="28"/>
          <w:sz w:val="28"/>
          <w:szCs w:val="28"/>
          <w:rtl w:val="true"/>
          <w:lang w:bidi="ar-SA"/>
        </w:rPr>
        <w:t>، والمحدِّث الحرُّ قدس سره</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لانذر فيما لايملكه ابنُآدم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روىٰ ما يقرُب منه المحدِّث النُّوريُّ قدس سره</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الكلينيِّ قدس سره</w:t>
      </w:r>
      <w:r>
        <w:rPr>
          <w:rStyle w:val="FootnoteAnchor"/>
          <w:rtl w:val="true"/>
        </w:rPr>
        <w:footnoteReference w:id="1010"/>
      </w:r>
      <w:r>
        <w:rPr>
          <w:rFonts w:ascii="Amiri" w:hAnsi="Amiri" w:eastAsia="Amiri" w:cs="Amiri"/>
          <w:color w:val="111111"/>
          <w:sz w:val="28"/>
          <w:sz w:val="28"/>
          <w:szCs w:val="28"/>
          <w:rtl w:val="true"/>
          <w:lang w:bidi="ar-SA"/>
        </w:rPr>
        <w:t>، والحرِّ قدس سره</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 إلَّافي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ابنُ أبي جمهورٍ الأحسائيُّ قدس سره</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لاطلاقَ ولانكاحَ‌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العيَّاشي قدس سره</w:t>
      </w:r>
      <w:r>
        <w:rPr>
          <w:rStyle w:val="FootnoteAnchor"/>
          <w:rtl w:val="true"/>
        </w:rPr>
        <w:footnoteReference w:id="1013"/>
      </w:r>
      <w:r>
        <w:rPr>
          <w:rFonts w:ascii="Amiri" w:hAnsi="Amiri" w:eastAsia="Amiri" w:cs="Amiri"/>
          <w:color w:val="111111"/>
          <w:sz w:val="28"/>
          <w:sz w:val="28"/>
          <w:szCs w:val="28"/>
          <w:rtl w:val="true"/>
          <w:lang w:bidi="ar-SA"/>
        </w:rPr>
        <w:t>، والنُّوري قدس سره</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فكَثرَةُ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بدليلٍ لتعيُّن استعمالها في هذا المعنىٰ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الجملة الخبريَّة وإرادة النَّهي عنها يحتاج إلى دليلٍ خاصٍّ‌، ولا دليل في البين،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أيَّده به المحقِّقُ شيخ الشَّريعة قدس سره كلامَه يدلُّ علىٰ بطلان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لأمره بقَلْع النَّخلة، وليس كبرىً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والتَّعليل يلائم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لاناهيةً‌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ظلَّه الوارفَ‌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 مقدَّماتٍ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للنُّبوَّة والإمامة مضافًا إلى منصب تبليغ الأحكام مقامَ القضاء ومقامَ الحكم، والظَّاهر من لفظة قضىٰ وحكَم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اُستُعمِلَت في حقِّ الرَّسول والوصيِّ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القضاء والحُكم، فلذلك قلَّما ترىٰ أن ترد هذه الألفاظ بالنِّسبة إلى غيرهما من المعصومين عليهم السلام، حيث لم يكن لهم رئاسةُ القضاء والحكم بحسب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نفي الضَّرر قد نُقِل عن مسند احمد بن حنبل في عِداد قضايا النَّبيِّ الكريم، فقضىٰ بأنْ لا ضرر ولاضرار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طرقنا وإن لم يرد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التَّأمُّل في صدر القضيَّة وذيلِها وشأنِ صدور الحديث ممَّا يكاد يُشرِف الفقيه بالقطع بأنَّه حكمٌ صادرٌ منه صلى الله عليه و آله من منصبه الَّذي هو الحكم والقضاء، لا أنَّه حكمٌ شرعيٌّ صادرٌ عن منصبه الَّذي هو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الإحتمالات المنقولة عن القوم في فقه الحديث كلَّها مخدوشةٌ‌، فلامحيص من القول بأنَّ قاعدة لاضرر حكمٌ سلطانيٌّ صدر من قِبَل النَّبيِّ الأعظم صلى الله عليه و آله كسلطان الأمَّة، لا مُبلِّغ الأحكام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اُستُعملت للنَّهي السُّلطانيِّ الحُكميِّ‌، لا النَّهي الإلهيِّ التَّبليغيِّ‌</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خلاصة ما أفاده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قضيَّة سَمُرَة من قضايا الرَّسول ممَّا لا إشكال فيه؛ إنَّما الإشكال كلُّه في أنَّ تمسُّكَه صلى الله عليه و آله بالقاعدة هل تمسُّكٌ بحكمٍ إلهيٍّ؟، أو تمسُّكٌ بحكمٍ سلطانيٍّ حكوميٍّ؟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صلى الله عليه و آله قضىٰ بقلع النَّخلة وعلَّلَ ذلك بحكمٍ شرعيٍّ‌، وهو عدم ضررٍ في محيط الإسلام شرعًا؛ وهذا هو المناسب للمقام، وإلَّا فلامعنىٰ لتعليل عَمَله صلى الله عليه و آله بحكم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المعنىٰ يرجع حينئذٍ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قَضَيتُ بذلك ومدركُ حكمي هو حكمي بأنَّه لاضرر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والمناسب أن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قَضَيتُ بذلك ومدركه هو </w:t>
      </w:r>
    </w:p>
    <w:p>
      <w:pPr>
        <w:pStyle w:val="BookText"/>
        <w:rPr/>
      </w:pP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الاحتمالات هو ما اختاره المحقِّق النَّائينيُّ قدس سره، ولا خدشة فيه يوجب الذِّهاب إلى هذا القول بداعي كون الأقوال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جملةٍ من الرِّوايات وقد استقرَّ عليه عملُ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قاعدة لاضرر قاعدةٌ مسلَّمةٌ مفروغٌ عنها، وأنَّها مدرك أحكامٍ كثيرةٍ في الفقه، وليست منحصرةً بقضيَّة سَمُرَة فقط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حكمٌ حكوميٌّ لا حكمٌ إلهيٌّ عامٌّ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الكلينيُّ قدس سره</w:t>
      </w:r>
      <w:r>
        <w:rPr>
          <w:rStyle w:val="FootnoteAnchor"/>
          <w:rtl w:val="true"/>
        </w:rPr>
        <w:footnoteReference w:id="1016"/>
      </w:r>
      <w:r>
        <w:rPr>
          <w:rFonts w:ascii="Amiri" w:hAnsi="Amiri" w:eastAsia="Amiri" w:cs="Amiri"/>
          <w:color w:val="111111"/>
          <w:sz w:val="28"/>
          <w:sz w:val="28"/>
          <w:szCs w:val="28"/>
          <w:rtl w:val="true"/>
          <w:lang w:bidi="ar-SA"/>
        </w:rPr>
        <w:t>، والصَّدوق قدس سره</w:t>
      </w:r>
      <w:r>
        <w:rPr>
          <w:rStyle w:val="FootnoteAnchor"/>
          <w:rtl w:val="true"/>
        </w:rPr>
        <w:footnoteReference w:id="1017"/>
      </w:r>
      <w:r>
        <w:rPr>
          <w:rFonts w:ascii="Amiri" w:hAnsi="Amiri" w:eastAsia="Amiri" w:cs="Amiri"/>
          <w:color w:val="111111"/>
          <w:sz w:val="28"/>
          <w:sz w:val="28"/>
          <w:szCs w:val="28"/>
          <w:rtl w:val="true"/>
          <w:lang w:bidi="ar-SA"/>
        </w:rPr>
        <w:t>، والطُّوسي قدس سره</w:t>
      </w:r>
      <w:r>
        <w:rPr>
          <w:rStyle w:val="FootnoteAnchor"/>
          <w:rtl w:val="true"/>
        </w:rPr>
        <w:footnoteReference w:id="1018"/>
      </w:r>
      <w:r>
        <w:rPr>
          <w:rFonts w:ascii="Amiri" w:hAnsi="Amiri" w:eastAsia="Amiri" w:cs="Amiri"/>
          <w:color w:val="111111"/>
          <w:sz w:val="28"/>
          <w:sz w:val="28"/>
          <w:szCs w:val="28"/>
          <w:rtl w:val="true"/>
          <w:lang w:bidi="ar-SA"/>
        </w:rPr>
        <w:t>وغيرهم، كالفيض قدس سره</w:t>
      </w:r>
      <w:r>
        <w:rPr>
          <w:rStyle w:val="FootnoteAnchor"/>
          <w:rtl w:val="true"/>
        </w:rPr>
        <w:footnoteReference w:id="1019"/>
      </w:r>
      <w:r>
        <w:rPr>
          <w:rFonts w:ascii="Amiri" w:hAnsi="Amiri" w:eastAsia="Amiri" w:cs="Amiri"/>
          <w:color w:val="111111"/>
          <w:sz w:val="28"/>
          <w:sz w:val="28"/>
          <w:szCs w:val="28"/>
          <w:rtl w:val="true"/>
          <w:lang w:bidi="ar-SA"/>
        </w:rPr>
        <w:t>، والمحدِّث الحرِّ قدس سره</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محمَّد بن الحسين أو محمَّد بن عليِّ 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قناةٌ في قريةٍ‌، فأراد رجلٌ أن يحِفَرَ قناةً أُخرىٰ إلى قريةٍ له، كم يكون بينهما في البُعد حتَّى لاتُضِرَّ إحداهما بالأُخرىٰ في الأرضِ إذا كانت صُلبةً أو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أن لاتُضِرَّ إحداهما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معتبرةٌ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النَّراقيُّ الثَّاني قدس سرهما</w:t>
      </w:r>
      <w:r>
        <w:rPr>
          <w:rStyle w:val="FootnoteAnchor"/>
          <w:rtl w:val="true"/>
        </w:rPr>
        <w:footnoteReference w:id="1021"/>
      </w:r>
      <w:r>
        <w:rPr>
          <w:rFonts w:ascii="Amiri" w:hAnsi="Amiri" w:eastAsia="Amiri" w:cs="Amiri"/>
          <w:color w:val="111111"/>
          <w:sz w:val="28"/>
          <w:sz w:val="28"/>
          <w:szCs w:val="28"/>
          <w:rtl w:val="true"/>
          <w:lang w:bidi="ar-SA"/>
        </w:rPr>
        <w:t>، والفيضُ قدس سره</w:t>
      </w:r>
      <w:r>
        <w:rPr>
          <w:rStyle w:val="FootnoteAnchor"/>
          <w:rtl w:val="true"/>
        </w:rPr>
        <w:footnoteReference w:id="1022"/>
      </w:r>
      <w:r>
        <w:rPr>
          <w:rFonts w:ascii="Amiri" w:hAnsi="Amiri" w:eastAsia="Amiri" w:cs="Amiri"/>
          <w:color w:val="111111"/>
          <w:sz w:val="28"/>
          <w:sz w:val="28"/>
          <w:szCs w:val="28"/>
          <w:rtl w:val="true"/>
          <w:lang w:bidi="ar-SA"/>
        </w:rPr>
        <w:t xml:space="preserve">، والفقيه </w:t>
      </w:r>
    </w:p>
    <w:p>
      <w:pPr>
        <w:pStyle w:val="BookText"/>
        <w:rPr/>
      </w:pPr>
      <w:r>
        <w:rPr>
          <w:rFonts w:ascii="Amiri" w:hAnsi="Amiri" w:eastAsia="Amiri" w:cs="Amiri"/>
          <w:color w:val="111111"/>
          <w:sz w:val="28"/>
          <w:sz w:val="28"/>
          <w:szCs w:val="28"/>
          <w:rtl w:val="true"/>
          <w:lang w:bidi="ar-SA"/>
        </w:rPr>
        <w:t>الطَّباطبائيُّ قدس سره</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فلاإشكال فيها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تُعطي قاعدةً كلِّيَّةً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حدود 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إضرار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قدس سره</w:t>
      </w:r>
      <w:r>
        <w:rPr>
          <w:rStyle w:val="FootnoteAnchor"/>
          <w:rtl w:val="true"/>
        </w:rPr>
        <w:footnoteReference w:id="1024"/>
      </w:r>
      <w:r>
        <w:rPr>
          <w:rFonts w:ascii="Amiri" w:hAnsi="Amiri" w:eastAsia="Amiri" w:cs="Amiri"/>
          <w:color w:val="111111"/>
          <w:sz w:val="28"/>
          <w:sz w:val="28"/>
          <w:szCs w:val="28"/>
          <w:rtl w:val="true"/>
          <w:lang w:bidi="ar-SA"/>
        </w:rPr>
        <w:t>، والصَّدوق قدس سره</w:t>
      </w:r>
      <w:r>
        <w:rPr>
          <w:rStyle w:val="FootnoteAnchor"/>
          <w:rtl w:val="true"/>
        </w:rPr>
        <w:footnoteReference w:id="1025"/>
      </w:r>
      <w:r>
        <w:rPr>
          <w:rFonts w:ascii="Amiri" w:hAnsi="Amiri" w:eastAsia="Amiri" w:cs="Amiri"/>
          <w:color w:val="111111"/>
          <w:sz w:val="28"/>
          <w:sz w:val="28"/>
          <w:szCs w:val="28"/>
          <w:rtl w:val="true"/>
          <w:lang w:bidi="ar-SA"/>
        </w:rPr>
        <w:t>، والفيض قدس سره</w:t>
      </w:r>
      <w:r>
        <w:rPr>
          <w:rStyle w:val="FootnoteAnchor"/>
          <w:rtl w:val="true"/>
        </w:rPr>
        <w:footnoteReference w:id="1026"/>
      </w:r>
      <w:r>
        <w:rPr>
          <w:rFonts w:ascii="Amiri" w:hAnsi="Amiri" w:eastAsia="Amiri" w:cs="Amiri"/>
          <w:color w:val="111111"/>
          <w:sz w:val="28"/>
          <w:sz w:val="28"/>
          <w:szCs w:val="28"/>
          <w:rtl w:val="true"/>
          <w:lang w:bidi="ar-SA"/>
        </w:rPr>
        <w:t>، والحرِّ قدس سره</w:t>
      </w:r>
      <w:r>
        <w:rPr>
          <w:rStyle w:val="FootnoteAnchor"/>
          <w:rtl w:val="true"/>
        </w:rPr>
        <w:footnoteReference w:id="102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عُقبة بن خالدٍ عن أبي عبداللَّه عليه السلام في رجلٍ أتىٰ جبلًا فشقَّ فيه قناةً‌، فذهبت قناةُ الآخرِ بماء قناة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يتقاسَمانِ بحقائبِ البئر ليلةً ليلةً فيُنْظَرُ أيَّتُهما أضرَّتْ بصاحبَتِها، فإن رأيتَ الأخيرةَ أضرَّتْ بالأولىٰ فَلْتُعَوَّرْ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لابأس به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جعَلَها المجلسيُّ قدس سره من المجهول</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محمَّد بن عبداللَّه بن هلالٍ وعُقبَةَ به خالدٍ وقعا في أسانيد كامل الزِّيارات، الأوَّل منهما في موضعين منه</w:t>
      </w:r>
      <w:r>
        <w:rPr>
          <w:rStyle w:val="FootnoteAnchor"/>
          <w:rtl w:val="true"/>
        </w:rPr>
        <w:footnoteReference w:id="1029"/>
      </w:r>
      <w:r>
        <w:rPr>
          <w:rFonts w:ascii="Amiri" w:hAnsi="Amiri" w:eastAsia="Amiri" w:cs="Amiri"/>
          <w:color w:val="111111"/>
          <w:sz w:val="28"/>
          <w:sz w:val="28"/>
          <w:szCs w:val="28"/>
          <w:rtl w:val="true"/>
          <w:lang w:bidi="ar-SA"/>
        </w:rPr>
        <w:t>، والثَّاني أيضًا في موضعين</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وهي تُعطي قاعدةً كلِّيَّةً في نفس المورد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الصَّوم الَّتي جُعِلَ فيها مناطُ جواز الإفطار هو الضَّرر، بل </w:t>
      </w:r>
      <w:bookmarkStart w:id="382" w:name="pg20339_220466"/>
    </w:p>
    <w:p>
      <w:pPr>
        <w:pStyle w:val="BookText"/>
        <w:rPr/>
      </w:pPr>
      <w:bookmarkEnd w:id="382"/>
      <w:r>
        <w:rPr>
          <w:rFonts w:ascii="Amiri" w:hAnsi="Amiri" w:eastAsia="Amiri" w:cs="Amiri"/>
          <w:color w:val="111111"/>
          <w:sz w:val="28"/>
          <w:sz w:val="28"/>
          <w:szCs w:val="28"/>
          <w:rtl w:val="true"/>
          <w:lang w:bidi="ar-SA"/>
        </w:rPr>
        <w:t>خوف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عليِّ بن جعفرٍ عن أخيه موسىٰ بن جعفرٍ عليه السلام</w:t>
      </w:r>
      <w:r>
        <w:rPr>
          <w:rStyle w:val="FootnoteAnchor"/>
          <w:rtl w:val="true"/>
        </w:rPr>
        <w:footnoteReference w:id="10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ما يَجِب علىٰ المريض تركُ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روايات التَّيمُّم الَّتي جُعِل فيها ملاكُ جواز التَّيمُّم هو الضَّرر، بل خوفه أيضًا؛</w:t>
      </w:r>
    </w:p>
    <w:p>
      <w:pPr>
        <w:pStyle w:val="BookText"/>
        <w:rPr/>
      </w:pPr>
      <w:r>
        <w:rPr>
          <w:rFonts w:ascii="Amiri" w:hAnsi="Amiri" w:eastAsia="Amiri" w:cs="Amiri"/>
          <w:color w:val="111111"/>
          <w:sz w:val="28"/>
          <w:sz w:val="28"/>
          <w:szCs w:val="28"/>
          <w:rtl w:val="true"/>
          <w:lang w:bidi="ar-SA"/>
        </w:rPr>
        <w:t xml:space="preserve">كصحيحة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العلَّامة قدس سره</w:t>
      </w:r>
      <w:r>
        <w:rPr>
          <w:rStyle w:val="FootnoteAnchor"/>
          <w:rtl w:val="true"/>
        </w:rPr>
        <w:footnoteReference w:id="1032"/>
      </w:r>
      <w:r>
        <w:rPr>
          <w:rFonts w:ascii="Amiri" w:hAnsi="Amiri" w:eastAsia="Amiri" w:cs="Amiri"/>
          <w:color w:val="111111"/>
          <w:sz w:val="28"/>
          <w:sz w:val="28"/>
          <w:szCs w:val="28"/>
          <w:rtl w:val="true"/>
          <w:lang w:bidi="ar-SA"/>
        </w:rPr>
        <w:t>، والموسويُّ العامِليُّ قدس سره</w:t>
      </w:r>
      <w:r>
        <w:rPr>
          <w:rStyle w:val="FootnoteAnchor"/>
          <w:rtl w:val="true"/>
        </w:rPr>
        <w:footnoteReference w:id="1033"/>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103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وبه قروحٌ أو جُروحٌ‌، أو يكون يخافُ علىٰ نفسه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لايغتسلُ 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الشَّيخ قدس سره</w:t>
      </w:r>
      <w:r>
        <w:rPr>
          <w:rStyle w:val="FootnoteAnchor"/>
          <w:rtl w:val="true"/>
        </w:rPr>
        <w:footnoteReference w:id="1035"/>
      </w:r>
      <w:r>
        <w:rPr>
          <w:rFonts w:ascii="Amiri" w:hAnsi="Amiri" w:eastAsia="Amiri" w:cs="Amiri"/>
          <w:color w:val="111111"/>
          <w:sz w:val="28"/>
          <w:sz w:val="28"/>
          <w:szCs w:val="28"/>
          <w:rtl w:val="true"/>
          <w:lang w:bidi="ar-SA"/>
        </w:rPr>
        <w:t>، والشَّيخ الحرُّ قدس سره</w:t>
      </w:r>
      <w:r>
        <w:rPr>
          <w:rStyle w:val="FootnoteAnchor"/>
          <w:rtl w:val="true"/>
        </w:rPr>
        <w:footnoteReference w:id="1036"/>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الرِّوايات في الفقه كثيرٌ جدًّا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979306_1280447820"/>
      <w:bookmarkStart w:id="384" w:name="_Toc142"/>
      <w:bookmarkEnd w:id="383"/>
      <w:r>
        <w:rPr>
          <w:rtl w:val="true"/>
        </w:rPr>
        <w:t>مدركُ القاعدة</w:t>
      </w:r>
      <w:bookmarkEnd w:id="384"/>
    </w:p>
    <w:p>
      <w:pPr>
        <w:pStyle w:val="Heading4"/>
        <w:numPr>
          <w:ilvl w:val="3"/>
          <w:numId w:val="1"/>
        </w:numPr>
        <w:rPr/>
      </w:pPr>
      <w:bookmarkStart w:id="385" w:name="__RefHeading___Toc11979308_1280447820"/>
      <w:bookmarkStart w:id="386" w:name="_Toc143"/>
      <w:bookmarkEnd w:id="385"/>
      <w:r>
        <w:rPr>
          <w:rtl w:val="true"/>
        </w:rPr>
        <w:t>أوَّلًا</w:t>
      </w:r>
      <w:r>
        <w:rPr>
          <w:rtl w:val="true"/>
        </w:rPr>
        <w:t xml:space="preserve">: </w:t>
      </w:r>
      <w:r>
        <w:rPr>
          <w:rtl w:val="true"/>
        </w:rPr>
        <w:t>السُّنَّة المطهَّرة</w:t>
      </w:r>
      <w:bookmarkEnd w:id="38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القاعدة رواياتٌ كثيرةٌ‌، بل ادَّعىٰ بعضُهُم تواترَها إجمالًا بين العامَّة </w:t>
      </w:r>
    </w:p>
    <w:p>
      <w:pPr>
        <w:pStyle w:val="BookText"/>
        <w:rPr/>
      </w:pP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عن أبي جعفرٍ عليه السلام علىٰ ما رواه المشايخ الثَّلاثة بأسانيدهم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في حائطٍ لرجلٍ من الأنصار، وكان منزل الأنصاريِّ بباب البُستان، وكان سَمُرةُ يمرُّ إلى نختله ولايستأذن، فكلَّمَه الأنصاريُّ أن يستأذن إذا جاء، فأبىٰ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الأنصاريُّ إلى النَّبيِّ صلى الله عليه و آله فشكىٰ إليه وأخبَرَه بالخبر، فأرسل رسول اللَّه إليه وأخبره بقول الأنصاريِّ وما 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أبىٰ ساوَمَه حتَّى بلغ من الَّثمَن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أن يبيعَها،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فأقلِعْها وارْمِ بها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037"/>
      </w:r>
      <w:r>
        <w:rPr>
          <w:rFonts w:ascii="Amiri" w:hAnsi="Amiri" w:eastAsia="Amiri" w:cs="Amiri"/>
          <w:color w:val="111111"/>
          <w:sz w:val="28"/>
          <w:sz w:val="28"/>
          <w:szCs w:val="28"/>
          <w:rtl w:val="true"/>
          <w:lang w:bidi="ar-SA"/>
        </w:rPr>
        <w:t>، والشَّيخُ قدس سره</w:t>
      </w:r>
      <w:r>
        <w:rPr>
          <w:rStyle w:val="FootnoteAnchor"/>
          <w:rtl w:val="true"/>
        </w:rPr>
        <w:footnoteReference w:id="1038"/>
      </w:r>
      <w:r>
        <w:rPr>
          <w:rFonts w:ascii="Amiri" w:hAnsi="Amiri" w:eastAsia="Amiri" w:cs="Amiri"/>
          <w:color w:val="111111"/>
          <w:sz w:val="28"/>
          <w:sz w:val="28"/>
          <w:szCs w:val="28"/>
          <w:rtl w:val="true"/>
          <w:lang w:bidi="ar-SA"/>
        </w:rPr>
        <w:t>، والفيضُ قدس سره</w:t>
      </w:r>
      <w:r>
        <w:rPr>
          <w:rStyle w:val="FootnoteAnchor"/>
          <w:rtl w:val="true"/>
        </w:rPr>
        <w:footnoteReference w:id="1039"/>
      </w:r>
      <w:r>
        <w:rPr>
          <w:rFonts w:ascii="Amiri" w:hAnsi="Amiri" w:eastAsia="Amiri" w:cs="Amiri"/>
          <w:color w:val="111111"/>
          <w:sz w:val="28"/>
          <w:sz w:val="28"/>
          <w:szCs w:val="28"/>
          <w:rtl w:val="true"/>
          <w:lang w:bidi="ar-SA"/>
        </w:rPr>
        <w:t>، والمحدِّثُ الحرُّ قدس سره</w:t>
      </w:r>
      <w:r>
        <w:rPr>
          <w:rStyle w:val="FootnoteAnchor"/>
          <w:rtl w:val="true"/>
        </w:rPr>
        <w:footnoteReference w:id="1040"/>
      </w:r>
      <w:r>
        <w:rPr>
          <w:rFonts w:ascii="Amiri" w:hAnsi="Amiri" w:eastAsia="Amiri" w:cs="Amiri"/>
          <w:color w:val="111111"/>
          <w:sz w:val="28"/>
          <w:sz w:val="28"/>
          <w:szCs w:val="28"/>
          <w:rtl w:val="true"/>
          <w:lang w:bidi="ar-SA"/>
        </w:rPr>
        <w:t>، وسيِّدُنا الأستاذ الفقيه البروجرديُّ قدس سره</w:t>
      </w:r>
      <w:r>
        <w:rPr>
          <w:rStyle w:val="FootnoteAnchor"/>
          <w:rtl w:val="true"/>
        </w:rPr>
        <w:footnoteReference w:id="104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في رواية أبي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إلَّامضارًّا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فيها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لاإشكال فيها سندًا؛ والحسن الصَّيقَل أيضًا لابأس به، لأنَّه هو الَّذي </w:t>
      </w:r>
    </w:p>
    <w:p>
      <w:pPr>
        <w:pStyle w:val="BookText"/>
        <w:rPr/>
      </w:pPr>
      <w:r>
        <w:rPr>
          <w:rFonts w:ascii="Amiri" w:hAnsi="Amiri" w:eastAsia="Amiri" w:cs="Amiri"/>
          <w:color w:val="111111"/>
          <w:sz w:val="28"/>
          <w:sz w:val="28"/>
          <w:szCs w:val="28"/>
          <w:rtl w:val="true"/>
          <w:lang w:bidi="ar-SA"/>
        </w:rPr>
        <w:t>روىٰ عنه البزنطيُّ‌</w:t>
      </w:r>
      <w:r>
        <w:rPr>
          <w:rStyle w:val="FootnoteAnchor"/>
          <w:rtl w:val="true"/>
        </w:rPr>
        <w:footnoteReference w:id="1043"/>
      </w:r>
      <w:r>
        <w:rPr>
          <w:rFonts w:ascii="Amiri" w:hAnsi="Amiri" w:eastAsia="Amiri" w:cs="Amiri"/>
          <w:color w:val="111111"/>
          <w:sz w:val="28"/>
          <w:sz w:val="28"/>
          <w:szCs w:val="28"/>
          <w:rtl w:val="true"/>
          <w:lang w:bidi="ar-SA"/>
        </w:rPr>
        <w:t>، وحمَّادُ بن عثمانَ‌</w:t>
      </w:r>
      <w:r>
        <w:rPr>
          <w:rStyle w:val="FootnoteAnchor"/>
          <w:rtl w:val="true"/>
        </w:rPr>
        <w:footnoteReference w:id="1044"/>
      </w:r>
      <w:r>
        <w:rPr>
          <w:rFonts w:ascii="Amiri" w:hAnsi="Amiri" w:eastAsia="Amiri" w:cs="Amiri"/>
          <w:color w:val="111111"/>
          <w:sz w:val="28"/>
          <w:sz w:val="28"/>
          <w:szCs w:val="28"/>
          <w:rtl w:val="true"/>
          <w:lang w:bidi="ar-SA"/>
        </w:rPr>
        <w:t>، وغيرُهما من أجلَّاء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أوَّل المجلسيَّين قدس سرهما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الصَّدوق قدس سره أنَّ كتابَه معتَمَدٌ عليه عند الأصحاب</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يُنبِىءُ عن توثيقهم إيَّاه؛</w:t>
      </w:r>
    </w:p>
    <w:p>
      <w:pPr>
        <w:pStyle w:val="BookText"/>
        <w:rPr/>
      </w:pPr>
      <w:r>
        <w:rPr>
          <w:rFonts w:ascii="Amiri" w:hAnsi="Amiri" w:eastAsia="Amiri" w:cs="Amiri"/>
          <w:color w:val="111111"/>
          <w:sz w:val="28"/>
          <w:sz w:val="28"/>
          <w:szCs w:val="28"/>
          <w:rtl w:val="true"/>
          <w:lang w:bidi="ar-SA"/>
        </w:rPr>
        <w:t>كما أنَّ المحدِّث النُّوريَّ في المستدرك قد وثَّقه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السَّيِّد الأستاذ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يُذكَر فيه مدحٌ ولاقدحٌ مع كونه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 نعرف له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في مرسلة عبداللَّه 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تتمَّةُ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 ولاضرر ولاضرار علىٰ مؤمنٍ‌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هذه الصُّورة الأخيرة من الرِّواية مرسلةٌ‌</w:t>
      </w:r>
      <w:r>
        <w:rPr>
          <w:rStyle w:val="FootnoteAnchor"/>
          <w:rtl w:val="true"/>
        </w:rPr>
        <w:footnoteReference w:id="1048"/>
      </w:r>
      <w:r>
        <w:rPr>
          <w:rFonts w:ascii="Amiri" w:hAnsi="Amiri" w:eastAsia="Amiri" w:cs="Amiri"/>
          <w:color w:val="111111"/>
          <w:sz w:val="28"/>
          <w:sz w:val="28"/>
          <w:szCs w:val="28"/>
          <w:rtl w:val="true"/>
          <w:lang w:bidi="ar-SA"/>
        </w:rPr>
        <w:t xml:space="preserve">فلايمكن الإشكال عليها </w:t>
      </w:r>
    </w:p>
    <w:p>
      <w:pPr>
        <w:pStyle w:val="BookText"/>
        <w:rPr/>
      </w:pPr>
      <w:r>
        <w:rPr>
          <w:rFonts w:ascii="Amiri" w:hAnsi="Amiri" w:eastAsia="Amiri" w:cs="Amiri"/>
          <w:color w:val="111111"/>
          <w:sz w:val="28"/>
          <w:sz w:val="28"/>
          <w:szCs w:val="28"/>
          <w:rtl w:val="true"/>
          <w:lang w:bidi="ar-SA"/>
        </w:rPr>
        <w:t>بزيادة هذاالجزء، بل لاوَقْع لهذه الزِّيادة أصلًا،</w:t>
      </w:r>
    </w:p>
    <w:p>
      <w:pPr>
        <w:pStyle w:val="BookText"/>
        <w:rPr/>
      </w:pPr>
      <w:r>
        <w:rPr>
          <w:rFonts w:ascii="Amiri" w:hAnsi="Amiri" w:eastAsia="Amiri" w:cs="Amiri"/>
          <w:color w:val="111111"/>
          <w:sz w:val="28"/>
          <w:sz w:val="28"/>
          <w:szCs w:val="28"/>
          <w:rtl w:val="true"/>
          <w:lang w:bidi="ar-SA"/>
        </w:rPr>
        <w:t>لإعراض الأصحاب عنها جملةً وتفصيلًا، لتمسُّكِهم بالقاعدة في كثيرٍ من أبواب العبادات والمعاملات، بينما أنَّه لوزِيدت هذه الجملة فتختصُّ إذن القاعدةُ بحقوق النَّاس فقط؛ فلاتجري إذن في أبواب المعاملات، فضلًا عن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السَّيِّد الأستاذ الإمام الخميني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تطابق مضمونها لموثَّقة زرارة ورواية الحذَّاء في جوهره يُورِث الوثوق بصِدقِها وصدورِها عن المعصوم</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لايخلو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صرف تطابق خبرٍ لآخر لايُعدُّ من مصحِّحات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الُمحتَمَل جدًّا أنَّ الرَّاوي لفَّقَ خبرًا موافقًا لغيره من الأخبار ليزيد فيه هذه الزِّيادة؛</w:t>
      </w:r>
    </w:p>
    <w:p>
      <w:pPr>
        <w:pStyle w:val="BookText"/>
        <w:rPr/>
      </w:pPr>
      <w:r>
        <w:rPr>
          <w:rFonts w:ascii="Amiri" w:hAnsi="Amiri" w:eastAsia="Amiri" w:cs="Amiri"/>
          <w:color w:val="111111"/>
          <w:sz w:val="28"/>
          <w:sz w:val="28"/>
          <w:szCs w:val="28"/>
          <w:rtl w:val="true"/>
          <w:lang w:bidi="ar-SA"/>
        </w:rPr>
        <w:t>وهذا احتمالٌ ليس ببعيدٍ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الأخذَ بالزِّيادة وتقبُّلِها مع عدم ذكرها في غيرها من الرِّوايات أخْذٌ بخصوص تلك المُرسلة، وهو لايجوز قطعًا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الكلام في زيادة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المرسلات أيضًا، لأنَّها وقعَتْ في مرسلة الصَّدوق قدس سره</w:t>
      </w:r>
      <w:r>
        <w:rPr>
          <w:rStyle w:val="FootnoteAnchor"/>
          <w:rtl w:val="true"/>
        </w:rPr>
        <w:footnoteReference w:id="1050"/>
      </w:r>
      <w:r>
        <w:rPr>
          <w:rFonts w:ascii="Amiri" w:hAnsi="Amiri" w:eastAsia="Amiri" w:cs="Amiri"/>
          <w:color w:val="111111"/>
          <w:sz w:val="28"/>
          <w:sz w:val="28"/>
          <w:szCs w:val="28"/>
          <w:rtl w:val="true"/>
          <w:lang w:bidi="ar-SA"/>
        </w:rPr>
        <w:t>من طُرُقنا، ومرسلة ابنِالأثير قدس سره</w:t>
      </w:r>
      <w:r>
        <w:rPr>
          <w:rStyle w:val="FootnoteAnchor"/>
          <w:rtl w:val="true"/>
        </w:rPr>
        <w:footnoteReference w:id="1051"/>
      </w:r>
      <w:r>
        <w:rPr>
          <w:rFonts w:ascii="Amiri" w:hAnsi="Amiri" w:eastAsia="Amiri" w:cs="Amiri"/>
          <w:color w:val="111111"/>
          <w:sz w:val="28"/>
          <w:sz w:val="28"/>
          <w:szCs w:val="28"/>
          <w:rtl w:val="true"/>
          <w:lang w:bidi="ar-SA"/>
        </w:rPr>
        <w:t xml:space="preserve">من طرق العامَّة؛ </w:t>
      </w:r>
      <w:bookmarkStart w:id="387" w:name="pg20339_220470"/>
    </w:p>
    <w:p>
      <w:pPr>
        <w:pStyle w:val="BookText"/>
        <w:rPr/>
      </w:pPr>
      <w:bookmarkEnd w:id="387"/>
      <w:r>
        <w:rPr>
          <w:rFonts w:ascii="Amiri" w:hAnsi="Amiri" w:eastAsia="Amiri" w:cs="Amiri"/>
          <w:color w:val="111111"/>
          <w:sz w:val="28"/>
          <w:sz w:val="28"/>
          <w:szCs w:val="28"/>
          <w:rtl w:val="true"/>
          <w:lang w:bidi="ar-SA"/>
        </w:rPr>
        <w:t>ولعلَّ الزِّيادة من كلام الصَّدوق، لا من الحديث نفسِه؛ وكم لها من نظيرٍ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جارٍ هيهنا من غير ترديدٍ، لأنَّ الصَّدوق قدس سره ليس في هذا الموضع بصدد نقل الحديث حتَّى يأتي بذكر ألفاظه، بل ليس إلَّافي مقام الاستدلال، فله أن يزيد في ألفاظه أو يَنقُصَ منها بما لايراه موجبًا لبطلان الحديث أو وهنه لبيان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سيرة القدماء المألوفة منهم في تدوين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شأن ابنِالأثير قدس سره في النهاية، حيث كان بصدد إيضاح اللُّغة لا بصدد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بعد إعراض الأصحاب عن مثل هذه المرسلات فالتَّطويل فيها وفي ألفاظها تطويلٌ بلاطائلٍ قطعًا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1979310_1280447820"/>
      <w:bookmarkStart w:id="389" w:name="_Toc144"/>
      <w:bookmarkEnd w:id="388"/>
      <w:r>
        <w:rPr>
          <w:rtl w:val="true"/>
        </w:rPr>
        <w:t>تنبيهاتٌ‌</w:t>
      </w:r>
      <w:r>
        <w:rPr>
          <w:rtl w:val="true"/>
        </w:rPr>
        <w:t>:</w:t>
      </w:r>
      <w:bookmarkEnd w:id="389"/>
    </w:p>
    <w:p>
      <w:pPr>
        <w:pStyle w:val="Heading4"/>
        <w:numPr>
          <w:ilvl w:val="3"/>
          <w:numId w:val="1"/>
        </w:numPr>
        <w:rPr/>
      </w:pPr>
      <w:bookmarkStart w:id="390" w:name="__RefHeading___Toc11979312_1280447820"/>
      <w:bookmarkStart w:id="391" w:name="_Toc145"/>
      <w:bookmarkEnd w:id="390"/>
      <w:r>
        <w:rPr>
          <w:rtl w:val="true"/>
        </w:rPr>
        <w:t>التَّنبيه الأوَّل</w:t>
      </w:r>
      <w:r>
        <w:rPr>
          <w:rtl w:val="true"/>
        </w:rPr>
        <w:t>:</w:t>
      </w:r>
      <w:bookmarkEnd w:id="391"/>
    </w:p>
    <w:p>
      <w:pPr>
        <w:pStyle w:val="BookText"/>
        <w:rPr/>
      </w:pPr>
      <w:r>
        <w:rPr>
          <w:rFonts w:ascii="Amiri" w:hAnsi="Amiri" w:eastAsia="Amiri" w:cs="Amiri"/>
          <w:color w:val="111111"/>
          <w:sz w:val="28"/>
          <w:sz w:val="28"/>
          <w:szCs w:val="28"/>
          <w:rtl w:val="true"/>
          <w:lang w:bidi="ar-SA"/>
        </w:rPr>
        <w:t>إنَّ القاعدة من أهمِّ القواعد الفقهيَّة، بحيث قد تمسَّكَتْ بها الأصحابُ في كثيرٍ من المسائل والأبواب، ولذلك لا علينا لو خُضنا في غِمارِها فأكثرنا من البحث عن زواياها بما يزيد عن المألوف في هذه الرِّسالة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1979314_1280447820"/>
      <w:bookmarkStart w:id="393" w:name="_Toc146"/>
      <w:bookmarkEnd w:id="392"/>
      <w:r>
        <w:rPr>
          <w:rtl w:val="true"/>
        </w:rPr>
        <w:t>التَّنبيه الثَّاني</w:t>
      </w:r>
      <w:r>
        <w:rPr>
          <w:rtl w:val="true"/>
        </w:rPr>
        <w:t>:</w:t>
      </w:r>
      <w:bookmarkEnd w:id="3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أورَد علىٰ القاعدة بإيراداتٍ‌، العمدةُ منها لزوم التَّخصيص المُستَهجَن؛ لأنَّ‌ </w:t>
      </w:r>
      <w:bookmarkStart w:id="394" w:name="pg20339_220471"/>
    </w:p>
    <w:p>
      <w:pPr>
        <w:pStyle w:val="BookText"/>
        <w:rPr/>
      </w:pPr>
      <w:bookmarkEnd w:id="394"/>
      <w:r>
        <w:rPr>
          <w:rFonts w:ascii="Amiri" w:hAnsi="Amiri" w:eastAsia="Amiri" w:cs="Amiri"/>
          <w:color w:val="111111"/>
          <w:sz w:val="28"/>
          <w:sz w:val="28"/>
          <w:szCs w:val="28"/>
          <w:rtl w:val="true"/>
          <w:lang w:bidi="ar-SA"/>
        </w:rPr>
        <w:t xml:space="preserve">الأحكام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كثيرةٌ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كالخمس، والزَّكوة، والحجِّ‌، والكفَّارات، والحُدود، والقِصاص، والجِهاد،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هذا من ناحيَةٍ‌؛</w:t>
      </w:r>
    </w:p>
    <w:p>
      <w:pPr>
        <w:pStyle w:val="BookText"/>
        <w:rPr/>
      </w:pPr>
      <w:r>
        <w:rPr>
          <w:rFonts w:ascii="Amiri" w:hAnsi="Amiri" w:eastAsia="Amiri" w:cs="Amiri"/>
          <w:color w:val="111111"/>
          <w:sz w:val="28"/>
          <w:sz w:val="28"/>
          <w:szCs w:val="28"/>
          <w:rtl w:val="true"/>
          <w:lang w:bidi="ar-SA"/>
        </w:rPr>
        <w:t>ومن ناحيَةٍ أُخرىٰ فإنَّ القاعدة كقاعدة الحرج قاعدةٌ إمتنانيَّةٌ‌، وهذه القواعد آبيَةٌ عن التَّخصيص؛</w:t>
      </w:r>
    </w:p>
    <w:p>
      <w:pPr>
        <w:pStyle w:val="BookText"/>
        <w:rPr/>
      </w:pPr>
      <w:r>
        <w:rPr>
          <w:rFonts w:ascii="Amiri" w:hAnsi="Amiri" w:eastAsia="Amiri" w:cs="Amiri"/>
          <w:color w:val="111111"/>
          <w:sz w:val="28"/>
          <w:sz w:val="28"/>
          <w:szCs w:val="28"/>
          <w:rtl w:val="true"/>
          <w:lang w:bidi="ar-SA"/>
        </w:rPr>
        <w:t>فما هو وجه الجمع بين هاتين النَّاحيَتين المجتمعَتين في القاعدة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 الأعظمُ قدس سره عن هذا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الموارد الكثيرة لوكان بعنوانٍ واحدٍ لايكون من باب تخصيص الأكثر، فلا استهجان فيه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لايرفع الإشكالَ قطعًا،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ليس بجامعٍ لجميع موارد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ليس بعنوانٍ واحدٍ، بل العناونين المُشار إليها هيهنا عناوين متعدَّدةٌ لاتجتمع تحت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استهجان التَّخصيص هذا لايرفع بكثرة التَّعدُّد في الأفراد وقلَّته في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باطلٌ من أصله أصلًا؛ لأنَّا لانرىٰ تخصيصًا للقاعدة ولو في موردٍ واحدٍ، إذ قدَّمنا الكلامَ في أنَّ القاعدة منصرفةٌ عن مثل هذه الأحكام، بل أنَّها لاتشمل تلك الموارد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11979316_1280447820"/>
      <w:bookmarkStart w:id="396" w:name="_Toc147"/>
      <w:bookmarkEnd w:id="395"/>
      <w:r>
        <w:rPr>
          <w:rtl w:val="true"/>
        </w:rPr>
        <w:t>التَّنبيه الثَّالث</w:t>
      </w:r>
      <w:r>
        <w:rPr>
          <w:rtl w:val="true"/>
        </w:rPr>
        <w:t>:</w:t>
      </w:r>
      <w:bookmarkStart w:id="397" w:name="pg20339_220472"/>
      <w:bookmarkEnd w:id="396"/>
    </w:p>
    <w:p>
      <w:pPr>
        <w:pStyle w:val="BookText"/>
        <w:rPr/>
      </w:pPr>
      <w:bookmarkEnd w:id="397"/>
      <w:r>
        <w:rPr>
          <w:rFonts w:ascii="Amiri" w:hAnsi="Amiri" w:eastAsia="Amiri" w:cs="Amiri"/>
          <w:color w:val="111111"/>
          <w:sz w:val="28"/>
          <w:sz w:val="28"/>
          <w:szCs w:val="28"/>
          <w:rtl w:val="true"/>
          <w:lang w:bidi="ar-SA"/>
        </w:rPr>
        <w:t>للشَّيخ الأعظم قدس سره إشكالٌ آخر هيهنا؛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النَّبيِّ الكريم صلى الله عليه و آله بقلع الشَّجرة لاتقتضيه القواعد الفقهيَّة، إذ نفيُ الضَّرر لايؤدِّي إلى قلع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لايخلُّ بالاِستدلال بهذا الحديث اثباتًا للقاعدة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بقَلْع الشَّجرة ليس إلَّاقضاءً وحُكمًا منه صلى الله عليه و آله، وقد علَّله بأنَّ مدركَ حكمه هو القاعدة نفسُها، فهو صلى الله عليه و آله بما أنَّه حاكم المجتمع أمَر بقلعها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لاتشمل المقامَ وأمثالَه، بل لايُعقَل أن تشمله، لأنَّ موضوعَها الضَّرر وأنَّه علَّةٌ لما حكم 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الضَّرر لايقتضي الإضرار بالغير؛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مسلَّمٌ لاريب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يقتضي أن يكون علَّةً للحكم الَّذي لايكون إلَّا ضرريًّا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1979318_1280447820"/>
      <w:bookmarkStart w:id="399" w:name="_Toc148"/>
      <w:bookmarkEnd w:id="398"/>
      <w:r>
        <w:rPr>
          <w:rtl w:val="true"/>
        </w:rPr>
        <w:t>التَّنبيه الرَّابع</w:t>
      </w:r>
      <w:r>
        <w:rPr>
          <w:rtl w:val="true"/>
        </w:rPr>
        <w:t>:</w:t>
      </w:r>
      <w:bookmarkEnd w:id="399"/>
    </w:p>
    <w:p>
      <w:pPr>
        <w:pStyle w:val="BookText"/>
        <w:rPr/>
      </w:pPr>
      <w:r>
        <w:rPr>
          <w:rFonts w:ascii="Amiri" w:hAnsi="Amiri" w:eastAsia="Amiri" w:cs="Amiri"/>
          <w:color w:val="111111"/>
          <w:sz w:val="28"/>
          <w:sz w:val="28"/>
          <w:szCs w:val="28"/>
          <w:rtl w:val="true"/>
          <w:lang w:bidi="ar-SA"/>
        </w:rPr>
        <w:t>لاإشكال في تقدُّم أدلَّة الضَّرر علىٰ أدلَّة الأحكام الأوَّليَّة، وأنَّ للعرف أن يجمع بينهما بتقدُّم القاعدة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أنَّ التَّقدُّم هذا لحكومتها عليها؛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لا خدشة فيه، لنظارة الأدلَّة الثَّانويَّة علىٰ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بعد هذا سهلٌ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 علىٰ ما ذهبنا إليه في قاعدة الضَّرر؛</w:t>
      </w:r>
    </w:p>
    <w:p>
      <w:pPr>
        <w:pStyle w:val="BookText"/>
        <w:rPr/>
      </w:pPr>
      <w:r>
        <w:rPr>
          <w:rFonts w:ascii="Amiri" w:hAnsi="Amiri" w:eastAsia="Amiri" w:cs="Amiri"/>
          <w:color w:val="111111"/>
          <w:sz w:val="28"/>
          <w:sz w:val="28"/>
          <w:szCs w:val="28"/>
          <w:rtl w:val="true"/>
          <w:lang w:bidi="ar-SA"/>
        </w:rPr>
        <w:t>وأمَّا بناءً علىٰ ما ذهب إليه السَّيِّد الأستاذ الإمام الخمينيُّ من كونها من الأحكام السُّلطانيَّة؛</w:t>
      </w:r>
    </w:p>
    <w:p>
      <w:pPr>
        <w:pStyle w:val="BookText"/>
        <w:rPr/>
      </w:pPr>
      <w:r>
        <w:rPr>
          <w:rFonts w:ascii="Amiri" w:hAnsi="Amiri" w:eastAsia="Amiri" w:cs="Amiri"/>
          <w:color w:val="111111"/>
          <w:sz w:val="28"/>
          <w:sz w:val="28"/>
          <w:szCs w:val="28"/>
          <w:rtl w:val="true"/>
          <w:lang w:bidi="ar-SA"/>
        </w:rPr>
        <w:t>فلامَساس لها بالأدلَّة الأوَّليَّة حتَّى نَحتاجَ إلى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لاتكون حاكمةً علىٰ الأدلَّة الأوَّليَّة غير قاعدة السَّلطنة، فهي حاكمةٌ عليها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هذا 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أنَّها لوكانتْ من الأحكام السُّلطانيَّة تختصُّ بهذا المورد؛ وتعدِّيها عنه إلى غيره يحتاج إلى حاكمٍ‌، وموردٍ، وتمسُّكٍ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الإشكال بأنَّه لمَّا كان حكمُه علىٰ الأوَّلين كحُكمِه علىٰ الآخرين، فمَنْعه الرَّعيَّة عن الضَّرر والإضرار يساوي حكمَه لغيرهم بهذا الحكم أيضًا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في الحقيقة رجوعٌ عن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ولايكون حينئذٍ نزاعٌ بينه وبين الأعلام إلَّانزاعٌ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قائلٌ إذن بأنَّ القاعدة عامَّةٌ لجميع الموارد والأزمنة، ودليلها هو حكم النَّبيِّ الكريم صلى الله عليه و آله بما أنَّه حاكمٌ علىٰ المجتمع؛</w:t>
      </w:r>
    </w:p>
    <w:p>
      <w:pPr>
        <w:pStyle w:val="BookText"/>
        <w:rPr/>
      </w:pPr>
      <w:r>
        <w:rPr>
          <w:rFonts w:ascii="Amiri" w:hAnsi="Amiri" w:eastAsia="Amiri" w:cs="Amiri"/>
          <w:color w:val="111111"/>
          <w:sz w:val="28"/>
          <w:sz w:val="28"/>
          <w:szCs w:val="28"/>
          <w:rtl w:val="true"/>
          <w:lang w:bidi="ar-SA"/>
        </w:rPr>
        <w:t xml:space="preserve">وغيره من الأعلام قائلون بأنَّها عامَّةٌ لجميع الموراد والأزمنة، ودليلُها هو قول النَّبيِّ الكريم صلى الله عليه و آله بما أنَّه مبيِّنٌ ومبلِّغٌ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الرَّعيَّة؛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لامعنىٰ للقول بأنَّها غير حاكمةٍ علىٰ الأدلَّة الأوَّليَّة</w:t>
      </w:r>
      <w:r>
        <w:rPr>
          <w:rFonts w:eastAsia="Amiri" w:cs="Amiri" w:ascii="Amiri" w:hAnsi="Amiri"/>
          <w:color w:val="111111"/>
          <w:sz w:val="28"/>
          <w:szCs w:val="28"/>
          <w:rtl w:val="true"/>
          <w:lang w:bidi="ar-SA"/>
        </w:rPr>
        <w:t xml:space="preserve">. </w:t>
      </w:r>
      <w:bookmarkStart w:id="400" w:name="pg20339_220474"/>
    </w:p>
    <w:p>
      <w:pPr>
        <w:pStyle w:val="Heading4"/>
        <w:numPr>
          <w:ilvl w:val="3"/>
          <w:numId w:val="1"/>
        </w:numPr>
        <w:rPr/>
      </w:pPr>
      <w:bookmarkStart w:id="401" w:name="__RefHeading___Toc11979320_1280447820"/>
      <w:bookmarkStart w:id="402" w:name="_Toc149"/>
      <w:bookmarkEnd w:id="400"/>
      <w:bookmarkEnd w:id="401"/>
      <w:r>
        <w:rPr>
          <w:rtl w:val="true"/>
        </w:rPr>
        <w:t>التَّنبيه الخامس</w:t>
      </w:r>
      <w:r>
        <w:rPr>
          <w:rtl w:val="true"/>
        </w:rPr>
        <w:t>:</w:t>
      </w:r>
      <w:bookmarkEnd w:id="402"/>
    </w:p>
    <w:p>
      <w:pPr>
        <w:pStyle w:val="BookText"/>
        <w:rPr/>
      </w:pPr>
      <w:r>
        <w:rPr>
          <w:rFonts w:ascii="Amiri" w:hAnsi="Amiri" w:eastAsia="Amiri" w:cs="Amiri"/>
          <w:color w:val="111111"/>
          <w:sz w:val="28"/>
          <w:sz w:val="28"/>
          <w:szCs w:val="28"/>
          <w:rtl w:val="true"/>
          <w:lang w:bidi="ar-SA"/>
        </w:rPr>
        <w:t>لاإشكال في أنَّ هذه القاعدة وغيرَها من القواعد الثَّانويَّة مقدَّمةٌ علىٰ الأحكام الأوَّليَّة إذا أُحرِز كون الأحكام علىٰ نحو الاقتضاء؛</w:t>
      </w:r>
    </w:p>
    <w:p>
      <w:pPr>
        <w:pStyle w:val="BookText"/>
        <w:rPr/>
      </w:pPr>
      <w:r>
        <w:rPr>
          <w:rFonts w:ascii="Amiri" w:hAnsi="Amiri" w:eastAsia="Amiri" w:cs="Amiri"/>
          <w:color w:val="111111"/>
          <w:sz w:val="28"/>
          <w:sz w:val="28"/>
          <w:szCs w:val="28"/>
          <w:rtl w:val="true"/>
          <w:lang w:bidi="ar-SA"/>
        </w:rPr>
        <w:t xml:space="preserve">وأمَّا لوأُحرِز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نحو العلِّيَّة التَّامَّة وأنَّ الشَّارع لايرضىٰ بها وجودًا أو تركًا، فيعكس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هذه الأحكام وأدلَّتُها علىٰ تلك القواعد</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فمثلًا لوكانت قاعدةُ الضَّرر أو الحرَج أو الإكراه أو غيرها من القواعد تُوجِب هدم الكعبة المشرَّفة أو قبور الأئمَّة عليهم السلام أو قتلَ المسلمين عامَّةً وسبيَ نسائهم، فلاإشكال في عدم جواز ذلك؛ وأنَّ أدلَّة الأحكام تُقَدَّم علىٰ أدلَّة القواعد، عرفًا، وعقلًا،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بحسب الثَّلاثة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979322_1280447820"/>
      <w:bookmarkStart w:id="404" w:name="_Toc150"/>
      <w:bookmarkEnd w:id="403"/>
      <w:r>
        <w:rPr>
          <w:rtl w:val="true"/>
        </w:rPr>
        <w:t>التَّنبيه السَّادس</w:t>
      </w:r>
      <w:r>
        <w:rPr>
          <w:rtl w:val="true"/>
        </w:rPr>
        <w:t>:</w:t>
      </w:r>
      <w:bookmarkEnd w:id="404"/>
    </w:p>
    <w:p>
      <w:pPr>
        <w:pStyle w:val="BookText"/>
        <w:rPr/>
      </w:pPr>
      <w:r>
        <w:rPr>
          <w:rFonts w:ascii="Amiri" w:hAnsi="Amiri" w:eastAsia="Amiri" w:cs="Amiri"/>
          <w:color w:val="111111"/>
          <w:sz w:val="28"/>
          <w:sz w:val="28"/>
          <w:szCs w:val="28"/>
          <w:rtl w:val="true"/>
          <w:lang w:bidi="ar-SA"/>
        </w:rPr>
        <w:t>لوتوجَّه الضَّررُ إلى الغير فلايجب دفعه بتحمُّل الضَّرر، لأنَّ الممنوع هو الإضرارُ، وعدمُ دفع الضَّرر عن الغير لايكون إضرارًا، بل لايكون إلَّادفعَ الضَّرر عن نفسه ولو توجَّه الضَّرر حينئذٍ إلى الغير، لأنَّ دفعَ الضَّرر عن النَّفس لايكون إضرارًا بالغير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لوتوجَّه السَّيل إلى دارٍ لغيره لايجب عليه أن يُوَجِّه السَّيل إلى نفسه وداره حتَّى لايضرَّ بالغير، بل له أن يدفَع عن نفسه وإنْ توجَّه إلى الغير</w:t>
      </w:r>
      <w:r>
        <w:rPr>
          <w:rFonts w:eastAsia="Amiri" w:cs="Amiri" w:ascii="Amiri" w:hAnsi="Amiri"/>
          <w:color w:val="111111"/>
          <w:sz w:val="28"/>
          <w:szCs w:val="28"/>
          <w:rtl w:val="true"/>
          <w:lang w:bidi="ar-SA"/>
        </w:rPr>
        <w:t xml:space="preserve">. </w:t>
      </w:r>
      <w:bookmarkStart w:id="405" w:name="pg20339_220475"/>
    </w:p>
    <w:p>
      <w:pPr>
        <w:pStyle w:val="BookText"/>
        <w:rPr/>
      </w:pPr>
      <w:bookmarkEnd w:id="405"/>
      <w:r>
        <w:rPr>
          <w:rFonts w:ascii="Amiri" w:hAnsi="Amiri" w:eastAsia="Amiri" w:cs="Amiri"/>
          <w:color w:val="111111"/>
          <w:sz w:val="28"/>
          <w:sz w:val="28"/>
          <w:szCs w:val="28"/>
          <w:rtl w:val="true"/>
          <w:lang w:bidi="ar-SA"/>
        </w:rPr>
        <w:t>هذا كلُّه لاسترةَ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لوأُكرِه علىٰ الإضرار فهل يجوز له أن يضرَّ بالغير؟،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الأستاذ الإمام الخمينيِّ قدس سره أنَّه يجوز ذلك، لحكومة دليل الإكراه علىٰ قاعدة لاضرر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حديث الرَّفع علىٰ مثل قاعدة الضَّرر مسلَّمٌ‌، لنظارة دليله علىٰ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أُكرِه علىٰ الوضوء الضَّرريِّ مثلًا يجوز له أن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كلَّه في عموميَّة دليل الإكراه بحيث يشمل حقَّ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انصرافُه عنه واختصاصُه بالمكروهات الشَّخصيَّة؛</w:t>
      </w:r>
    </w:p>
    <w:p>
      <w:pPr>
        <w:pStyle w:val="BookText"/>
        <w:rPr/>
      </w:pPr>
      <w:r>
        <w:rPr>
          <w:rFonts w:ascii="Amiri" w:hAnsi="Amiri" w:eastAsia="Amiri" w:cs="Amiri"/>
          <w:color w:val="111111"/>
          <w:sz w:val="28"/>
          <w:sz w:val="28"/>
          <w:szCs w:val="28"/>
          <w:rtl w:val="true"/>
          <w:lang w:bidi="ar-SA"/>
        </w:rPr>
        <w:t>ولاأقلَّ من الشَّكِّ في ذلك، فلابدَّ من الإكتفاء علىٰ القدر المتيَقَّن منه، لعدم الإطلاق له بعد كونه في مقام بيان أصل تشريع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في ألسُن أهل العلم وأفتىٰ به بعضُهم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المأمورَ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له محلٌّ أصلًا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979324_1280447820"/>
      <w:bookmarkStart w:id="407" w:name="_Toc151"/>
      <w:bookmarkEnd w:id="406"/>
      <w:r>
        <w:rPr>
          <w:rtl w:val="true"/>
        </w:rPr>
        <w:t>التَّنبيه السَّابع</w:t>
      </w:r>
      <w:r>
        <w:rPr>
          <w:rtl w:val="true"/>
        </w:rPr>
        <w:t>:</w:t>
      </w:r>
      <w:bookmarkEnd w:id="40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لواستلزم تصرُّف المرءِ في ملكه ضررًا علىٰ الآخر، فالمشهور بين الأصحاب الجوازُ</w:t>
      </w:r>
      <w:r>
        <w:rPr>
          <w:rStyle w:val="FootnoteAnchor"/>
          <w:rtl w:val="true"/>
        </w:rPr>
        <w:footnoteReference w:id="1059"/>
      </w:r>
      <w:r>
        <w:rPr>
          <w:rFonts w:ascii="Amiri" w:hAnsi="Amiri" w:eastAsia="Amiri" w:cs="Amiri"/>
          <w:color w:val="111111"/>
          <w:sz w:val="28"/>
          <w:sz w:val="28"/>
          <w:szCs w:val="28"/>
          <w:rtl w:val="true"/>
          <w:lang w:bidi="ar-SA"/>
        </w:rPr>
        <w:t>بل نُقِل عن الشَّيخ قدس سره</w:t>
      </w:r>
      <w:r>
        <w:rPr>
          <w:rStyle w:val="FootnoteAnchor"/>
          <w:rtl w:val="true"/>
        </w:rPr>
        <w:footnoteReference w:id="1060"/>
      </w:r>
      <w:r>
        <w:rPr>
          <w:rFonts w:ascii="Amiri" w:hAnsi="Amiri" w:eastAsia="Amiri" w:cs="Amiri"/>
          <w:color w:val="111111"/>
          <w:sz w:val="28"/>
          <w:sz w:val="28"/>
          <w:szCs w:val="28"/>
          <w:rtl w:val="true"/>
          <w:lang w:bidi="ar-SA"/>
        </w:rPr>
        <w:t>وابن إدريس قدس سره</w:t>
      </w:r>
      <w:r>
        <w:rPr>
          <w:rStyle w:val="FootnoteAnchor"/>
          <w:rtl w:val="true"/>
        </w:rPr>
        <w:footnoteReference w:id="1061"/>
      </w:r>
      <w:r>
        <w:rPr>
          <w:rFonts w:ascii="Amiri" w:hAnsi="Amiri" w:eastAsia="Amiri" w:cs="Amiri"/>
          <w:color w:val="111111"/>
          <w:sz w:val="28"/>
          <w:sz w:val="28"/>
          <w:szCs w:val="28"/>
          <w:rtl w:val="true"/>
          <w:lang w:bidi="ar-SA"/>
        </w:rPr>
        <w:t>وابنِزهرة قدس سره</w:t>
      </w:r>
      <w:r>
        <w:rPr>
          <w:rStyle w:val="FootnoteAnchor"/>
          <w:rtl w:val="true"/>
        </w:rPr>
        <w:footnoteReference w:id="106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لواستلزم تصرُّفُه في مُلكه ضررًا علىٰ الغير وعدمُ تصرُّفه في ملكه ضررًا علىٰ نفسه، فالضَّرران إذن متعارضان، فيتساقطان، فإذن قاعدة السَّلطنة علىٰ الأموال محكَّمَةٌ‌، وهي تشهد بجواز تصرُّفه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لواستلزم التَّصرُّف هذا حرَجًا علىٰ الغير وعلىٰ نفسه معًا، فهما متعارَضان متساقَطان، ونفس قاعدة السَّلطنة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التَّصرِّف هذا ضرريًّا لأحدهما وحرجيًّا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التَّصرُّف ضرريًّا أو حرجيًّا علىٰ الغير ولم يكن عدمُ التَّصرُّف ضرريًّا أو حرجيًّا علىٰ نفسه، فلايجوز التَّصرُّف إذن في ملكه؛</w:t>
      </w:r>
    </w:p>
    <w:p>
      <w:pPr>
        <w:pStyle w:val="BookText"/>
        <w:rPr/>
      </w:pPr>
      <w:r>
        <w:rPr>
          <w:rFonts w:ascii="Amiri" w:hAnsi="Amiri" w:eastAsia="Amiri" w:cs="Amiri"/>
          <w:color w:val="111111"/>
          <w:sz w:val="28"/>
          <w:sz w:val="28"/>
          <w:szCs w:val="28"/>
          <w:rtl w:val="true"/>
          <w:lang w:bidi="ar-SA"/>
        </w:rPr>
        <w:t>لقاعدة نفي الضَّرر من غير معارضٍ‌؛</w:t>
      </w:r>
    </w:p>
    <w:p>
      <w:pPr>
        <w:pStyle w:val="BookText"/>
        <w:rPr/>
      </w:pPr>
      <w:r>
        <w:rPr>
          <w:rFonts w:ascii="Amiri" w:hAnsi="Amiri" w:eastAsia="Amiri" w:cs="Amiri"/>
          <w:color w:val="111111"/>
          <w:sz w:val="28"/>
          <w:sz w:val="28"/>
          <w:szCs w:val="28"/>
          <w:rtl w:val="true"/>
          <w:lang w:bidi="ar-SA"/>
        </w:rPr>
        <w:t>ولحكومة دليل نفي الضَّرر علىٰ قاعدة السَّلطنة لوقلنا بإطلاقها حتَّى في مورد الإضرار علىٰ الغير؛ والظَّاهر أنَّها دليلٌ حيثيٌّ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به السَّيِّد الأستاذ من أنَّ لازم التَّعارض إعدامُ الدَّليل نفسَه أو بعض مصاديقه،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حفر البئر لوكان يُوجِب ضررًا علىٰ الغير، فقاعدة لاضرر حيث ترفع الجواز تصير ضرريَّةً علىٰ المالك، فقاعدة لاضرر تنفي إذن نفسَها، وهو محالٌ‌</w:t>
      </w:r>
      <w:r>
        <w:rPr>
          <w:rStyle w:val="FootnoteAnchor"/>
          <w:rtl w:val="true"/>
        </w:rPr>
        <w:footnoteReference w:id="10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بسديدٍ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فرض التَّعارض ليس علىٰ ما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بل الفرضُ أنَّ جواز حفر البئر ضررٌ علىٰ الغير، فهو منفيٌّ بقاعدة لاضرر؛ </w:t>
      </w:r>
      <w:bookmarkStart w:id="408" w:name="pg20339_220477"/>
    </w:p>
    <w:p>
      <w:pPr>
        <w:pStyle w:val="BookText"/>
        <w:rPr/>
      </w:pPr>
      <w:bookmarkEnd w:id="408"/>
      <w:r>
        <w:rPr>
          <w:rFonts w:ascii="Amiri" w:hAnsi="Amiri" w:eastAsia="Amiri" w:cs="Amiri"/>
          <w:color w:val="111111"/>
          <w:sz w:val="28"/>
          <w:sz w:val="28"/>
          <w:szCs w:val="28"/>
          <w:rtl w:val="true"/>
          <w:lang w:bidi="ar-SA"/>
        </w:rPr>
        <w:t>وعدمَ جواز حفر البئر ضررٌ علىٰ المالك، فهو منفيٌّ بقاعدة لاضرر؛</w:t>
      </w:r>
    </w:p>
    <w:p>
      <w:pPr>
        <w:pStyle w:val="BookText"/>
        <w:rPr/>
      </w:pPr>
      <w:r>
        <w:rPr>
          <w:rFonts w:ascii="Amiri" w:hAnsi="Amiri" w:eastAsia="Amiri" w:cs="Amiri"/>
          <w:color w:val="111111"/>
          <w:sz w:val="28"/>
          <w:sz w:val="28"/>
          <w:szCs w:val="28"/>
          <w:rtl w:val="true"/>
          <w:lang w:bidi="ar-SA"/>
        </w:rPr>
        <w:t>فهما يتساقطان بعد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هذا من الَّذي أفاده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Heading3"/>
        <w:numPr>
          <w:ilvl w:val="2"/>
          <w:numId w:val="1"/>
        </w:numPr>
        <w:rPr/>
      </w:pPr>
      <w:bookmarkStart w:id="409" w:name="__RefHeading___Toc11979326_1280447820"/>
      <w:bookmarkStart w:id="410" w:name="_Toc152"/>
      <w:bookmarkEnd w:id="409"/>
      <w:r>
        <w:rPr>
          <w:rtl w:val="true"/>
        </w:rPr>
        <w:t>أمثلةٌ لاستعمال القاعدة في الفقه</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المحقِّق الحلِّي قدس سره في سرْدِ شروط النَّهي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لايكون في الإنكار مفسدةٌ‌، فلوظنَّ توجُّهَ الضَّرر إليه أو إلى ماله أو إلى أحدٍ من المسلمين سقط الوجوب</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هيهنا إلى ما ذكره ابنُ أُخته الفاضل قدس سره في تحريره</w:t>
      </w:r>
      <w:r>
        <w:rPr>
          <w:rStyle w:val="FootnoteAnchor"/>
          <w:rtl w:val="true"/>
        </w:rPr>
        <w:footnoteReference w:id="1065"/>
      </w:r>
      <w:r>
        <w:rPr>
          <w:rFonts w:ascii="Amiri" w:hAnsi="Amiri" w:eastAsia="Amiri" w:cs="Amiri"/>
          <w:color w:val="111111"/>
          <w:sz w:val="28"/>
          <w:sz w:val="28"/>
          <w:szCs w:val="28"/>
          <w:rtl w:val="true"/>
          <w:lang w:bidi="ar-SA"/>
        </w:rPr>
        <w:t>، وتذكرته</w:t>
      </w:r>
      <w:r>
        <w:rPr>
          <w:rStyle w:val="FootnoteAnchor"/>
          <w:rtl w:val="true"/>
        </w:rPr>
        <w:footnoteReference w:id="1066"/>
      </w:r>
      <w:r>
        <w:rPr>
          <w:rFonts w:ascii="IRNazanin" w:hAnsi="IRNazanin" w:eastAsia="IRNazanin"/>
          <w:color w:val="111111"/>
          <w:sz w:val="28"/>
          <w:sz w:val="28"/>
          <w:szCs w:val="28"/>
          <w:rtl w:val="true"/>
          <w:lang w:bidi="fa-IR"/>
        </w:rPr>
        <w:t>، ومنتهاه</w:t>
      </w:r>
      <w:r>
        <w:rPr>
          <w:rStyle w:val="FootnoteAnchor"/>
          <w:rtl w:val="true"/>
        </w:rPr>
        <w:footnoteReference w:id="1067"/>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068"/>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069"/>
      </w:r>
      <w:r>
        <w:rPr>
          <w:rFonts w:ascii="Amiri" w:hAnsi="Amiri" w:eastAsia="Amiri" w:cs="Amiri"/>
          <w:color w:val="111111"/>
          <w:sz w:val="28"/>
          <w:sz w:val="28"/>
          <w:szCs w:val="28"/>
          <w:rtl w:val="true"/>
          <w:lang w:bidi="ar-SA"/>
        </w:rPr>
        <w:t>وغيرهم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اليزديُّ قدس سره في مسألة ما إذا غاب الزَّوجُ عن زوجته ولم يمكن للزَّوجة الوصول إلى الحاكم بقيام عدول المؤمنين مقام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المسالك من وجوب الصَّبر حينئذٍ إلى أن يعلم حاله لاِستصحاب بقاء الزَّوجيَّة، منافٍ لما هو المعلوم من قيامهم في مثل هذه الأُمور الحِسبيَّة، ولقاعدة نفي الضَّرر والحَرَج</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الفقيه الوحيد البهبهانيُّ قدس سره في مسألة اِستحباب الاِستنجاء باليمين بعد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إذا لم يكن باليسار علَّةٌ‌، لنفي الضَّرر والعُسر والحرَج</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20339_220480"/>
      <w:bookmarkStart w:id="412" w:name="pg20339_220480"/>
      <w:bookmarkEnd w:id="412"/>
    </w:p>
    <w:p>
      <w:pPr>
        <w:pStyle w:val="Heading2"/>
        <w:numPr>
          <w:ilvl w:val="1"/>
          <w:numId w:val="1"/>
        </w:numPr>
        <w:rPr/>
      </w:pPr>
      <w:bookmarkStart w:id="413" w:name="pg20339_220480"/>
      <w:bookmarkStart w:id="414" w:name="__RefHeading___Toc11979328_1280447820"/>
      <w:bookmarkStart w:id="415" w:name="_Toc153"/>
      <w:bookmarkEnd w:id="413"/>
      <w:bookmarkEnd w:id="414"/>
      <w:r>
        <w:rPr>
          <w:rtl w:val="true"/>
        </w:rPr>
        <w:t>[</w:t>
      </w:r>
      <w:r>
        <w:rPr/>
        <w:t>55</w:t>
      </w:r>
      <w:r>
        <w:rPr>
          <w:rtl w:val="true"/>
        </w:rPr>
        <w:t xml:space="preserve">:] </w:t>
      </w:r>
      <w:r>
        <w:rPr>
          <w:rtl w:val="true"/>
        </w:rPr>
        <w:t>قاعدة لاضِمانَ علىٰ المستعيرِ</w:t>
      </w:r>
      <w:bookmarkEnd w:id="415"/>
    </w:p>
    <w:p>
      <w:pPr>
        <w:pStyle w:val="Heading3"/>
        <w:numPr>
          <w:ilvl w:val="2"/>
          <w:numId w:val="1"/>
        </w:numPr>
        <w:rPr/>
      </w:pPr>
      <w:bookmarkStart w:id="416" w:name="__RefHeading___Toc11979330_1280447820"/>
      <w:bookmarkStart w:id="417" w:name="_Toc154"/>
      <w:bookmarkEnd w:id="416"/>
      <w:r>
        <w:rPr>
          <w:rtl w:val="true"/>
        </w:rPr>
        <w:t>عناوين أُخرىٰ للقاعدة</w:t>
      </w:r>
      <w:bookmarkEnd w:id="417"/>
    </w:p>
    <w:p>
      <w:pPr>
        <w:pStyle w:val="BookText"/>
        <w:rPr/>
      </w:pPr>
      <w:r>
        <w:rPr>
          <w:rFonts w:ascii="Amiri" w:hAnsi="Amiri" w:eastAsia="Amiri" w:cs="Amiri"/>
          <w:color w:val="111111"/>
          <w:sz w:val="28"/>
          <w:sz w:val="28"/>
          <w:szCs w:val="28"/>
          <w:rtl w:val="true"/>
          <w:lang w:bidi="ar-SA"/>
        </w:rPr>
        <w:t>لانوجب الضَّمان علىٰ المُستعير</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 الضَّمان علىٰ المُستعير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علىٰ المُستعير غير المُغلِّ ضمانٌ‌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لاضمان علىٰ المُستعير</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418" w:name="pg20339_220481"/>
    </w:p>
    <w:p>
      <w:pPr>
        <w:pStyle w:val="BookText"/>
        <w:rPr/>
      </w:pPr>
      <w:bookmarkEnd w:id="418"/>
      <w:r>
        <w:rPr>
          <w:rFonts w:ascii="Amiri" w:hAnsi="Amiri" w:eastAsia="Amiri" w:cs="Amiri"/>
          <w:color w:val="111111"/>
          <w:sz w:val="28"/>
          <w:sz w:val="28"/>
          <w:szCs w:val="28"/>
          <w:rtl w:val="true"/>
          <w:lang w:bidi="ar-SA"/>
        </w:rPr>
        <w:t>العاريةُ أمانةٌ غير مضمونةٍ‌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1979332_1280447820"/>
      <w:bookmarkStart w:id="420" w:name="_Toc155"/>
      <w:bookmarkEnd w:id="419"/>
      <w:r>
        <w:rPr>
          <w:rtl w:val="true"/>
        </w:rPr>
        <w:t>توضيح مفاد القاعدة</w:t>
      </w:r>
      <w:bookmarkEnd w:id="420"/>
    </w:p>
    <w:p>
      <w:pPr>
        <w:pStyle w:val="BookText"/>
        <w:rPr/>
      </w:pPr>
      <w:r>
        <w:rPr>
          <w:rFonts w:ascii="Amiri" w:hAnsi="Amiri" w:eastAsia="Amiri" w:cs="Amiri"/>
          <w:color w:val="111111"/>
          <w:sz w:val="28"/>
          <w:sz w:val="28"/>
          <w:szCs w:val="28"/>
          <w:rtl w:val="true"/>
          <w:lang w:bidi="ar-SA"/>
        </w:rPr>
        <w:t>العارية هي تسليط الغيرِ علىٰ منفعة عينٍ مجَّانًا، لأنْ ينتفع من تلك المنفعة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ولوضوح معناها لم يتعرَّض لتعريفها كثيرٌ من الفقهاء في صدر البحث عن أحكامها، كالمفيد قدس سره</w:t>
      </w:r>
      <w:r>
        <w:rPr>
          <w:rStyle w:val="FootnoteAnchor"/>
          <w:rtl w:val="true"/>
        </w:rPr>
        <w:footnoteReference w:id="1077"/>
      </w:r>
      <w:r>
        <w:rPr>
          <w:rFonts w:ascii="Amiri" w:hAnsi="Amiri" w:eastAsia="Amiri" w:cs="Amiri"/>
          <w:color w:val="111111"/>
          <w:sz w:val="28"/>
          <w:sz w:val="28"/>
          <w:szCs w:val="28"/>
          <w:rtl w:val="true"/>
          <w:lang w:bidi="ar-SA"/>
        </w:rPr>
        <w:t>، وأبي الصَّلاح قدس سره</w:t>
      </w:r>
      <w:r>
        <w:rPr>
          <w:rStyle w:val="FootnoteAnchor"/>
          <w:rtl w:val="true"/>
        </w:rPr>
        <w:footnoteReference w:id="1078"/>
      </w:r>
      <w:r>
        <w:rPr>
          <w:rFonts w:ascii="Amiri" w:hAnsi="Amiri" w:eastAsia="Amiri" w:cs="Amiri"/>
          <w:color w:val="111111"/>
          <w:sz w:val="28"/>
          <w:sz w:val="28"/>
          <w:szCs w:val="28"/>
          <w:rtl w:val="true"/>
          <w:lang w:bidi="ar-SA"/>
        </w:rPr>
        <w:t>، والشَّيخ قدس سره في خلافه</w:t>
      </w:r>
      <w:r>
        <w:rPr>
          <w:rStyle w:val="FootnoteAnchor"/>
          <w:rtl w:val="true"/>
        </w:rPr>
        <w:footnoteReference w:id="1079"/>
      </w:r>
      <w:r>
        <w:rPr>
          <w:rFonts w:ascii="IRNazanin" w:hAnsi="IRNazanin" w:eastAsia="IRNazanin"/>
          <w:color w:val="111111"/>
          <w:sz w:val="28"/>
          <w:sz w:val="28"/>
          <w:szCs w:val="28"/>
          <w:rtl w:val="true"/>
          <w:lang w:bidi="fa-IR"/>
        </w:rPr>
        <w:t>، ومبسوطه</w:t>
      </w:r>
      <w:r>
        <w:rPr>
          <w:rStyle w:val="FootnoteAnchor"/>
          <w:rtl w:val="true"/>
        </w:rPr>
        <w:footnoteReference w:id="1080"/>
      </w:r>
      <w:r>
        <w:rPr>
          <w:rFonts w:ascii="Amiri" w:hAnsi="Amiri" w:eastAsia="Amiri" w:cs="Amiri"/>
          <w:color w:val="111111"/>
          <w:sz w:val="28"/>
          <w:sz w:val="28"/>
          <w:szCs w:val="28"/>
          <w:rtl w:val="true"/>
          <w:lang w:bidi="ar-SA"/>
        </w:rPr>
        <w:t>، ونهايته</w:t>
      </w:r>
      <w:r>
        <w:rPr>
          <w:rStyle w:val="FootnoteAnchor"/>
          <w:rtl w:val="true"/>
        </w:rPr>
        <w:footnoteReference w:id="1081"/>
      </w:r>
      <w:r>
        <w:rPr>
          <w:rFonts w:ascii="Amiri" w:hAnsi="Amiri" w:eastAsia="Amiri" w:cs="Amiri"/>
          <w:color w:val="111111"/>
          <w:sz w:val="28"/>
          <w:sz w:val="28"/>
          <w:szCs w:val="28"/>
          <w:rtl w:val="true"/>
          <w:lang w:bidi="ar-SA"/>
        </w:rPr>
        <w:t>، وابن البرَّاج قدس سره</w:t>
      </w:r>
      <w:r>
        <w:rPr>
          <w:rStyle w:val="FootnoteAnchor"/>
          <w:rtl w:val="true"/>
        </w:rPr>
        <w:footnoteReference w:id="1082"/>
      </w:r>
      <w:r>
        <w:rPr>
          <w:rFonts w:ascii="Amiri" w:hAnsi="Amiri" w:eastAsia="Amiri" w:cs="Amiri"/>
          <w:color w:val="111111"/>
          <w:sz w:val="28"/>
          <w:sz w:val="28"/>
          <w:szCs w:val="28"/>
          <w:rtl w:val="true"/>
          <w:lang w:bidi="ar-SA"/>
        </w:rPr>
        <w:t>، وابن إدريس قدس سره</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التَّعريف يشير قول ابنُحمزة الطُّوسي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عقدٌ علىٰ عينٍ مملوكةٍ للغير ليَنتَفع به غيرُه من غير أُجرة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وقول المحقِّق قدس سره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عقدٌ ثمرتُه التَّبرُّع بالمنفعة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وعنه في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الإذن في الانتفاع بالعين تبرُّعًا</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421" w:name="pg20339_220482"/>
    </w:p>
    <w:p>
      <w:pPr>
        <w:pStyle w:val="BookText"/>
        <w:rPr/>
      </w:pPr>
      <w:bookmarkEnd w:id="421"/>
      <w:r>
        <w:rPr>
          <w:rFonts w:ascii="Amiri" w:hAnsi="Amiri" w:eastAsia="Amiri" w:cs="Amiri"/>
          <w:color w:val="111111"/>
          <w:sz w:val="28"/>
          <w:sz w:val="28"/>
          <w:szCs w:val="28"/>
          <w:rtl w:val="true"/>
          <w:lang w:bidi="ar-SA"/>
        </w:rPr>
        <w:t>والفرقُ بينها وبين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هي تمليك المنفعة بعِوَضٍ‌، بينما أنَّ في العارية والإباحة لا تمليك أصلًا، فلاعوض فيهما</w:t>
      </w:r>
      <w:r>
        <w:rPr>
          <w:rStyle w:val="FootnoteAnchor"/>
          <w:rtl w:val="true"/>
        </w:rPr>
        <w:footnoteReference w:id="1087"/>
      </w:r>
      <w:r>
        <w:rPr>
          <w:rFonts w:ascii="Amiri" w:hAnsi="Amiri" w:eastAsia="Amiri" w:cs="Amiri"/>
          <w:color w:val="111111"/>
          <w:sz w:val="28"/>
          <w:sz w:val="28"/>
          <w:szCs w:val="28"/>
          <w:rtl w:val="true"/>
          <w:lang w:bidi="ar-SA"/>
        </w:rPr>
        <w:t>فالعاريةُ هي التَّسليط بلاعِوَضٍ‌، والإجارةُ هي التَّسليط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لمَن استعار شيئًا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المُستعيرُ؛</w:t>
      </w:r>
    </w:p>
    <w:p>
      <w:pPr>
        <w:pStyle w:val="BookText"/>
        <w:rPr/>
      </w:pPr>
      <w:r>
        <w:rPr>
          <w:rFonts w:ascii="Amiri" w:hAnsi="Amiri" w:eastAsia="Amiri" w:cs="Amiri"/>
          <w:color w:val="111111"/>
          <w:sz w:val="28"/>
          <w:sz w:val="28"/>
          <w:szCs w:val="28"/>
          <w:rtl w:val="true"/>
          <w:lang w:bidi="ar-SA"/>
        </w:rPr>
        <w:t>ولمَن أعار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المعيرُ؛</w:t>
      </w:r>
    </w:p>
    <w:p>
      <w:pPr>
        <w:pStyle w:val="BookText"/>
        <w:rPr/>
      </w:pPr>
      <w:r>
        <w:rPr>
          <w:rFonts w:ascii="Amiri" w:hAnsi="Amiri" w:eastAsia="Amiri" w:cs="Amiri"/>
          <w:color w:val="111111"/>
          <w:sz w:val="28"/>
          <w:sz w:val="28"/>
          <w:szCs w:val="28"/>
          <w:rtl w:val="true"/>
          <w:lang w:bidi="ar-SA"/>
        </w:rPr>
        <w:t>ولهذا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القاعدة تدلُّ علىٰ أنَّ المستعيرَ لواستعار شيئًا ولم يُفرِط في حفظه، لاضمان عليه لوتلف المُستعار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1979334_1280447820"/>
      <w:bookmarkStart w:id="423" w:name="_Toc156"/>
      <w:bookmarkEnd w:id="422"/>
      <w:r>
        <w:rPr>
          <w:rtl w:val="true"/>
        </w:rPr>
        <w:t>مدركُ القاعدة</w:t>
      </w:r>
      <w:bookmarkEnd w:id="423"/>
    </w:p>
    <w:p>
      <w:pPr>
        <w:pStyle w:val="Heading4"/>
        <w:numPr>
          <w:ilvl w:val="3"/>
          <w:numId w:val="1"/>
        </w:numPr>
        <w:rPr/>
      </w:pPr>
      <w:bookmarkStart w:id="424" w:name="__RefHeading___Toc11979336_1280447820"/>
      <w:bookmarkStart w:id="425" w:name="_Toc157"/>
      <w:bookmarkEnd w:id="424"/>
      <w:r>
        <w:rPr>
          <w:rtl w:val="true"/>
        </w:rPr>
        <w:t>أوَّلًا</w:t>
      </w:r>
      <w:r>
        <w:rPr>
          <w:rtl w:val="true"/>
        </w:rPr>
        <w:t xml:space="preserve">: </w:t>
      </w:r>
      <w:r>
        <w:rPr>
          <w:rtl w:val="true"/>
        </w:rPr>
        <w:t>بناء العقلاء</w:t>
      </w:r>
      <w:bookmarkEnd w:id="425"/>
    </w:p>
    <w:p>
      <w:pPr>
        <w:pStyle w:val="BookText"/>
        <w:rPr/>
      </w:pPr>
      <w:r>
        <w:rPr>
          <w:rFonts w:ascii="Amiri" w:hAnsi="Amiri" w:eastAsia="Amiri" w:cs="Amiri"/>
          <w:color w:val="111111"/>
          <w:sz w:val="28"/>
          <w:sz w:val="28"/>
          <w:szCs w:val="28"/>
          <w:rtl w:val="true"/>
          <w:lang w:bidi="ar-SA"/>
        </w:rPr>
        <w:t xml:space="preserve">أمَّا مدرك القاعدة، فليس إلَّابناء العقلاء المُمضا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إلى هذا الإمضاء في تنبيهات القاعدة </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979338_1280447820"/>
      <w:bookmarkStart w:id="427" w:name="_Toc158"/>
      <w:bookmarkEnd w:id="426"/>
      <w:r>
        <w:rPr>
          <w:rtl w:val="true"/>
        </w:rPr>
        <w:t>ثانيًا</w:t>
      </w:r>
      <w:r>
        <w:rPr>
          <w:rtl w:val="true"/>
        </w:rPr>
        <w:t xml:space="preserve">: </w:t>
      </w:r>
      <w:r>
        <w:rPr>
          <w:rtl w:val="true"/>
        </w:rPr>
        <w:t>الإجماع</w:t>
      </w:r>
      <w:bookmarkEnd w:id="427"/>
    </w:p>
    <w:p>
      <w:pPr>
        <w:pStyle w:val="BookText"/>
        <w:rPr/>
      </w:pPr>
      <w:r>
        <w:rPr>
          <w:rFonts w:ascii="Amiri" w:hAnsi="Amiri" w:eastAsia="Amiri" w:cs="Amiri"/>
          <w:color w:val="111111"/>
          <w:sz w:val="28"/>
          <w:sz w:val="28"/>
          <w:szCs w:val="28"/>
          <w:rtl w:val="true"/>
          <w:lang w:bidi="ar-SA"/>
        </w:rPr>
        <w:t xml:space="preserve">والإجماع المُشار إليه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هذا البناء؛ وإلى هذا الإجماع يشير قول العلَّامة قدس سره بعد نقله عنوانَ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إذن دليلًا مستقلًّا بحِياله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وهيهنا تنبيهاتٌ هامَّةٌ‌</w:t>
      </w:r>
      <w:r>
        <w:rPr>
          <w:rFonts w:eastAsia="Amiri" w:cs="Amiri" w:ascii="Amiri" w:hAnsi="Amiri"/>
          <w:color w:val="111111"/>
          <w:sz w:val="28"/>
          <w:szCs w:val="28"/>
          <w:rtl w:val="true"/>
          <w:lang w:bidi="ar-SA"/>
        </w:rPr>
        <w:t xml:space="preserve">. </w:t>
      </w:r>
      <w:bookmarkStart w:id="428" w:name="pg20339_220483"/>
    </w:p>
    <w:p>
      <w:pPr>
        <w:pStyle w:val="Heading3"/>
        <w:numPr>
          <w:ilvl w:val="2"/>
          <w:numId w:val="1"/>
        </w:numPr>
        <w:rPr/>
      </w:pPr>
      <w:bookmarkStart w:id="429" w:name="__RefHeading___Toc11979340_1280447820"/>
      <w:bookmarkStart w:id="430" w:name="_Toc159"/>
      <w:bookmarkEnd w:id="428"/>
      <w:bookmarkEnd w:id="429"/>
      <w:r>
        <w:rPr>
          <w:rtl w:val="true"/>
        </w:rPr>
        <w:t>تنبيهاتٌ‌</w:t>
      </w:r>
      <w:r>
        <w:rPr>
          <w:rtl w:val="true"/>
        </w:rPr>
        <w:t>:</w:t>
      </w:r>
      <w:bookmarkEnd w:id="430"/>
    </w:p>
    <w:p>
      <w:pPr>
        <w:pStyle w:val="Heading4"/>
        <w:numPr>
          <w:ilvl w:val="3"/>
          <w:numId w:val="1"/>
        </w:numPr>
        <w:rPr/>
      </w:pPr>
      <w:bookmarkStart w:id="431" w:name="__RefHeading___Toc11979342_1280447820"/>
      <w:bookmarkStart w:id="432" w:name="_Toc160"/>
      <w:bookmarkEnd w:id="431"/>
      <w:r>
        <w:rPr>
          <w:rtl w:val="true"/>
        </w:rPr>
        <w:t>التَّنبيه الأوَّل</w:t>
      </w:r>
      <w:r>
        <w:rPr>
          <w:rtl w:val="true"/>
        </w:rPr>
        <w:t>:</w:t>
      </w:r>
      <w:bookmarkEnd w:id="432"/>
    </w:p>
    <w:p>
      <w:pPr>
        <w:pStyle w:val="BookText"/>
        <w:rPr/>
      </w:pPr>
      <w:r>
        <w:rPr>
          <w:rFonts w:ascii="Amiri" w:hAnsi="Amiri" w:eastAsia="Amiri" w:cs="Amiri"/>
          <w:color w:val="111111"/>
          <w:sz w:val="28"/>
          <w:sz w:val="28"/>
          <w:szCs w:val="28"/>
          <w:rtl w:val="true"/>
          <w:lang w:bidi="ar-SA"/>
        </w:rPr>
        <w:t>ذِكْرُ هذه المسألة في عداد القواعد الفقهيَّة الكلِّيَّة ليس بسديدٍ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المُصنِّفين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البجنورديِّ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هيهنا جملةً من فروعات كتاب العارية، وهذه الفروعات لاربط بينها وبين القواعد؛</w:t>
      </w:r>
    </w:p>
    <w:p>
      <w:pPr>
        <w:pStyle w:val="BookText"/>
        <w:rPr/>
      </w:pPr>
      <w:r>
        <w:rPr>
          <w:rFonts w:ascii="Amiri" w:hAnsi="Amiri" w:eastAsia="Amiri" w:cs="Amiri"/>
          <w:color w:val="111111"/>
          <w:sz w:val="28"/>
          <w:sz w:val="28"/>
          <w:szCs w:val="28"/>
          <w:rtl w:val="true"/>
          <w:lang w:bidi="ar-SA"/>
        </w:rPr>
        <w:t>لكنَّا نتَّبع القومَ فنتكلَّم عنها هيهنا، وإن كان الإعراضُ عنها أجدر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نختصر في الكلام جدًّا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1979344_1280447820"/>
      <w:bookmarkStart w:id="434" w:name="_Toc161"/>
      <w:bookmarkEnd w:id="433"/>
      <w:r>
        <w:rPr>
          <w:rtl w:val="true"/>
        </w:rPr>
        <w:t>التَّنبيه الثَّاني</w:t>
      </w:r>
      <w:r>
        <w:rPr>
          <w:rtl w:val="true"/>
        </w:rPr>
        <w:t>:</w:t>
      </w:r>
      <w:bookmarkEnd w:id="434"/>
    </w:p>
    <w:p>
      <w:pPr>
        <w:pStyle w:val="BookText"/>
        <w:rPr/>
      </w:pPr>
      <w:r>
        <w:rPr>
          <w:rFonts w:ascii="Amiri" w:hAnsi="Amiri" w:eastAsia="Amiri" w:cs="Amiri"/>
          <w:color w:val="111111"/>
          <w:sz w:val="28"/>
          <w:sz w:val="28"/>
          <w:szCs w:val="28"/>
          <w:rtl w:val="true"/>
          <w:lang w:bidi="ar-SA"/>
        </w:rPr>
        <w:t xml:space="preserve">العاريةُ عقدٌ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ابنُحمزة قدس سره</w:t>
      </w:r>
      <w:r>
        <w:rPr>
          <w:rStyle w:val="FootnoteAnchor"/>
          <w:rtl w:val="true"/>
        </w:rPr>
        <w:footnoteReference w:id="1089"/>
      </w:r>
      <w:r>
        <w:rPr>
          <w:rFonts w:ascii="Amiri" w:hAnsi="Amiri" w:eastAsia="Amiri" w:cs="Amiri"/>
          <w:color w:val="111111"/>
          <w:sz w:val="28"/>
          <w:sz w:val="28"/>
          <w:szCs w:val="28"/>
          <w:rtl w:val="true"/>
          <w:lang w:bidi="ar-SA"/>
        </w:rPr>
        <w:t>، وابنُإدريس قدس سره</w:t>
      </w:r>
      <w:r>
        <w:rPr>
          <w:rStyle w:val="FootnoteAnchor"/>
          <w:rtl w:val="true"/>
        </w:rPr>
        <w:footnoteReference w:id="1090"/>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1091"/>
      </w:r>
      <w:r>
        <w:rPr>
          <w:rFonts w:ascii="Amiri" w:hAnsi="Amiri" w:eastAsia="Amiri" w:cs="Amiri"/>
          <w:color w:val="111111"/>
          <w:sz w:val="28"/>
          <w:sz w:val="28"/>
          <w:szCs w:val="28"/>
          <w:rtl w:val="true"/>
          <w:lang w:bidi="ar-SA"/>
        </w:rPr>
        <w:t>، وتذكرته</w:t>
      </w:r>
      <w:r>
        <w:rPr>
          <w:rStyle w:val="FootnoteAnchor"/>
          <w:rtl w:val="true"/>
        </w:rPr>
        <w:footnoteReference w:id="1092"/>
      </w:r>
      <w:r>
        <w:rPr>
          <w:rFonts w:ascii="IRNazanin" w:hAnsi="IRNazanin" w:eastAsia="IRNazanin"/>
          <w:color w:val="111111"/>
          <w:sz w:val="28"/>
          <w:sz w:val="28"/>
          <w:szCs w:val="28"/>
          <w:rtl w:val="true"/>
          <w:lang w:bidi="fa-IR"/>
        </w:rPr>
        <w:t>، وولده الفاضل قدس سره</w:t>
      </w:r>
      <w:r>
        <w:rPr>
          <w:rStyle w:val="FootnoteAnchor"/>
          <w:rtl w:val="true"/>
        </w:rPr>
        <w:footnoteReference w:id="1093"/>
      </w:r>
      <w:r>
        <w:rPr>
          <w:rFonts w:ascii="Amiri" w:hAnsi="Amiri" w:eastAsia="Amiri" w:cs="Amiri"/>
          <w:color w:val="111111"/>
          <w:sz w:val="28"/>
          <w:sz w:val="28"/>
          <w:szCs w:val="28"/>
          <w:rtl w:val="true"/>
          <w:lang w:bidi="ar-SA"/>
        </w:rPr>
        <w:t>، والشَّهيد قدس سره</w:t>
      </w:r>
      <w:r>
        <w:rPr>
          <w:rStyle w:val="FootnoteAnchor"/>
          <w:rtl w:val="true"/>
        </w:rPr>
        <w:footnoteReference w:id="1094"/>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095"/>
      </w:r>
      <w:r>
        <w:rPr>
          <w:rFonts w:ascii="Amiri" w:hAnsi="Amiri" w:eastAsia="Amiri" w:cs="Amiri"/>
          <w:color w:val="111111"/>
          <w:sz w:val="28"/>
          <w:sz w:val="28"/>
          <w:szCs w:val="28"/>
          <w:rtl w:val="true"/>
          <w:lang w:bidi="ar-SA"/>
        </w:rPr>
        <w:t xml:space="preserve">، وغيرهم الكثيرين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منَّا مرَّاةٍ عدَّة أنَّ العقود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الإِذنيَّة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بعقدٍ حقيقيٍّ تُبدَّلُ فيه الإضافتان، بل المُستعار أمانةٌ عند المستعير لانتفاعه بفوائده</w:t>
      </w:r>
      <w:r>
        <w:rPr>
          <w:rFonts w:eastAsia="Amiri" w:cs="Amiri" w:ascii="Amiri" w:hAnsi="Amiri"/>
          <w:color w:val="111111"/>
          <w:sz w:val="28"/>
          <w:szCs w:val="28"/>
          <w:rtl w:val="true"/>
          <w:lang w:bidi="ar-SA"/>
        </w:rPr>
        <w:t xml:space="preserve">. </w:t>
      </w:r>
      <w:bookmarkStart w:id="435" w:name="pg20339_220484"/>
    </w:p>
    <w:p>
      <w:pPr>
        <w:pStyle w:val="BookText"/>
        <w:rPr/>
      </w:pPr>
      <w:bookmarkEnd w:id="435"/>
      <w:r>
        <w:rPr>
          <w:rFonts w:ascii="Amiri" w:hAnsi="Amiri" w:eastAsia="Amiri" w:cs="Amiri"/>
          <w:color w:val="111111"/>
          <w:sz w:val="28"/>
          <w:sz w:val="28"/>
          <w:szCs w:val="28"/>
          <w:rtl w:val="true"/>
          <w:lang w:bidi="ar-SA"/>
        </w:rPr>
        <w:t>فالقعد قائمٌ علىٰ إذْن المُعير إذَن؛ وبرَفعه الإذنَ يرفع العقدُ ويبطل، ويجب علىٰ المستعير ردُّ المُستعار إليه قطعًا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979346_1280447820"/>
      <w:bookmarkStart w:id="437" w:name="_Toc162"/>
      <w:bookmarkEnd w:id="436"/>
      <w:r>
        <w:rPr>
          <w:rtl w:val="true"/>
        </w:rPr>
        <w:t>التَّنبيه الثَّالث</w:t>
      </w:r>
      <w:r>
        <w:rPr>
          <w:rtl w:val="true"/>
        </w:rPr>
        <w:t>:</w:t>
      </w:r>
      <w:bookmarkEnd w:id="437"/>
    </w:p>
    <w:p>
      <w:pPr>
        <w:pStyle w:val="BookText"/>
        <w:rPr/>
      </w:pPr>
      <w:r>
        <w:rPr>
          <w:rFonts w:ascii="Amiri" w:hAnsi="Amiri" w:eastAsia="Amiri" w:cs="Amiri"/>
          <w:color w:val="111111"/>
          <w:sz w:val="28"/>
          <w:sz w:val="28"/>
          <w:szCs w:val="28"/>
          <w:rtl w:val="true"/>
          <w:lang w:bidi="ar-SA"/>
        </w:rPr>
        <w:t>يُشترط في العارية ما يُشترط في العقود الأُخر،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التَّصرُّف في المال؛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الشَّرائط العامَّة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الشُّروط قد بحث عنها الفقهاء مفصَّلًا، كالسَّيِّد الطَّباطبائيِّ قدس سره</w:t>
      </w:r>
      <w:r>
        <w:rPr>
          <w:rStyle w:val="FootnoteAnchor"/>
          <w:rtl w:val="true"/>
        </w:rPr>
        <w:footnoteReference w:id="1096"/>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09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ولاحاجة إلى إكثار الكلام عنها، لخروجها عن مبحث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ثبوت هذه الشَّرائط هيهنا هو الدَّليل في غيرها من المعاملات، وهو بناء العقلاء؛ ضرورةَ أنَّ للعقلاء عقودًا في معائشهم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والأمانة، والوديعة، وكغيرها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أو جوازًا؛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والشَّارع المقدَّس قد أمضاها، كما أمضىٰ غيرَها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بعض </w:t>
      </w:r>
      <w:bookmarkStart w:id="438" w:name="pg20339_220485"/>
    </w:p>
    <w:p>
      <w:pPr>
        <w:pStyle w:val="BookText"/>
        <w:rPr/>
      </w:pPr>
      <w:bookmarkEnd w:id="438"/>
      <w:r>
        <w:rPr>
          <w:rFonts w:ascii="Amiri" w:hAnsi="Amiri" w:eastAsia="Amiri" w:cs="Amiri"/>
          <w:color w:val="111111"/>
          <w:sz w:val="28"/>
          <w:sz w:val="28"/>
          <w:szCs w:val="28"/>
          <w:rtl w:val="true"/>
          <w:lang w:bidi="ar-SA"/>
        </w:rPr>
        <w:t xml:space="preserve">رواياتٍ ورد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كرواياتٍ رواها الشَّيخ الحُرُّ قدس سره في البابين الأوَّل</w:t>
      </w:r>
      <w:r>
        <w:rPr>
          <w:rStyle w:val="FootnoteAnchor"/>
          <w:rtl w:val="true"/>
        </w:rPr>
        <w:footnoteReference w:id="1098"/>
      </w:r>
      <w:r>
        <w:rPr>
          <w:rFonts w:ascii="Amiri" w:hAnsi="Amiri" w:eastAsia="Amiri" w:cs="Amiri"/>
          <w:color w:val="111111"/>
          <w:sz w:val="28"/>
          <w:sz w:val="28"/>
          <w:szCs w:val="28"/>
          <w:rtl w:val="true"/>
          <w:lang w:bidi="ar-SA"/>
        </w:rPr>
        <w:t>والثَّالث</w:t>
      </w:r>
      <w:r>
        <w:rPr>
          <w:rStyle w:val="FootnoteAnchor"/>
          <w:rtl w:val="true"/>
        </w:rPr>
        <w:footnoteReference w:id="1099"/>
      </w:r>
      <w:r>
        <w:rPr>
          <w:rFonts w:ascii="Amiri" w:hAnsi="Amiri" w:eastAsia="Amiri" w:cs="Amiri"/>
          <w:color w:val="111111"/>
          <w:sz w:val="28"/>
          <w:sz w:val="28"/>
          <w:szCs w:val="28"/>
          <w:rtl w:val="true"/>
          <w:lang w:bidi="ar-SA"/>
        </w:rPr>
        <w:t xml:space="preserve">من أبواب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جوازَها مفروغٌ عنه، وليس لأحدٍ كلامٌ فيه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979348_1280447820"/>
      <w:bookmarkStart w:id="440" w:name="_Toc163"/>
      <w:bookmarkEnd w:id="439"/>
      <w:r>
        <w:rPr>
          <w:rtl w:val="true"/>
        </w:rPr>
        <w:t>التَّنبيه الرَّابع</w:t>
      </w:r>
      <w:r>
        <w:rPr>
          <w:rtl w:val="true"/>
        </w:rPr>
        <w:t>:</w:t>
      </w:r>
      <w:bookmarkEnd w:id="440"/>
    </w:p>
    <w:p>
      <w:pPr>
        <w:pStyle w:val="BookText"/>
        <w:rPr/>
      </w:pPr>
      <w:r>
        <w:rPr>
          <w:rFonts w:ascii="Amiri" w:hAnsi="Amiri" w:eastAsia="Amiri" w:cs="Amiri"/>
          <w:color w:val="111111"/>
          <w:sz w:val="28"/>
          <w:sz w:val="28"/>
          <w:szCs w:val="28"/>
          <w:rtl w:val="true"/>
          <w:lang w:bidi="ar-SA"/>
        </w:rPr>
        <w:t>يظهر من بعض تلك الرِّوايات أنَّ العارية أمانةٌ عند المستعير، فلوهلكت فلاضمان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اللَّافت للنَّظر أنَّ هذه الرِّوايات أيضًا إرشاديَّةٌ إلى حكم العقل والعقلاء في ذلك؛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رواه الكلينيُّ قدس سره</w:t>
      </w:r>
      <w:r>
        <w:rPr>
          <w:rStyle w:val="FootnoteAnchor"/>
          <w:rtl w:val="true"/>
        </w:rPr>
        <w:footnoteReference w:id="1100"/>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1101"/>
      </w:r>
      <w:r>
        <w:rPr>
          <w:rFonts w:ascii="IRNazanin" w:hAnsi="IRNazanin" w:eastAsia="IRNazanin"/>
          <w:color w:val="111111"/>
          <w:sz w:val="28"/>
          <w:sz w:val="28"/>
          <w:szCs w:val="28"/>
          <w:rtl w:val="true"/>
          <w:lang w:bidi="fa-IR"/>
        </w:rPr>
        <w:t>، واِستبصاره</w:t>
      </w:r>
      <w:r>
        <w:rPr>
          <w:rStyle w:val="FootnoteAnchor"/>
          <w:rtl w:val="true"/>
        </w:rPr>
        <w:footnoteReference w:id="1102"/>
      </w:r>
      <w:r>
        <w:rPr>
          <w:rFonts w:ascii="Amiri" w:hAnsi="Amiri" w:eastAsia="Amiri" w:cs="Amiri"/>
          <w:color w:val="111111"/>
          <w:sz w:val="28"/>
          <w:sz w:val="28"/>
          <w:szCs w:val="28"/>
          <w:rtl w:val="true"/>
          <w:lang w:bidi="ar-SA"/>
        </w:rPr>
        <w:t>، والفيض قدس سره</w:t>
      </w:r>
      <w:r>
        <w:rPr>
          <w:rStyle w:val="FootnoteAnchor"/>
          <w:rtl w:val="true"/>
        </w:rPr>
        <w:footnoteReference w:id="1103"/>
      </w:r>
      <w:r>
        <w:rPr>
          <w:rFonts w:ascii="Amiri" w:hAnsi="Amiri" w:eastAsia="Amiri" w:cs="Amiri"/>
          <w:color w:val="111111"/>
          <w:sz w:val="28"/>
          <w:sz w:val="28"/>
          <w:szCs w:val="28"/>
          <w:rtl w:val="true"/>
          <w:lang w:bidi="ar-SA"/>
        </w:rPr>
        <w:t>، والشَّيخ الحرُّ قدس سره</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بسندٍ صحيحٍ كما صحَّحه شارح المفاتيح قدس سره</w:t>
      </w:r>
      <w:r>
        <w:rPr>
          <w:rStyle w:val="FootnoteAnchor"/>
          <w:rtl w:val="true"/>
        </w:rPr>
        <w:footnoteReference w:id="1105"/>
      </w:r>
      <w:r>
        <w:rPr>
          <w:rFonts w:ascii="Amiri" w:hAnsi="Amiri" w:eastAsia="Amiri" w:cs="Amiri"/>
          <w:color w:val="111111"/>
          <w:sz w:val="28"/>
          <w:sz w:val="28"/>
          <w:szCs w:val="28"/>
          <w:rtl w:val="true"/>
          <w:lang w:bidi="ar-SA"/>
        </w:rPr>
        <w:t>، والمامقاني قدس سره</w:t>
      </w:r>
      <w:r>
        <w:rPr>
          <w:rStyle w:val="FootnoteAnchor"/>
          <w:rtl w:val="true"/>
        </w:rPr>
        <w:footnoteReference w:id="1106"/>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أمرٌ عقلائيٌّ أمضاه الشَّارع بتلك الرِّوايات؛</w:t>
      </w:r>
    </w:p>
    <w:p>
      <w:pPr>
        <w:pStyle w:val="BookText"/>
        <w:rPr/>
      </w:pPr>
      <w:r>
        <w:rPr>
          <w:rFonts w:ascii="Amiri" w:hAnsi="Amiri" w:eastAsia="Amiri" w:cs="Amiri"/>
          <w:color w:val="111111"/>
          <w:sz w:val="28"/>
          <w:sz w:val="28"/>
          <w:szCs w:val="28"/>
          <w:rtl w:val="true"/>
          <w:lang w:bidi="ar-SA"/>
        </w:rPr>
        <w:t>فمن هذه الجهة أيضًا لاإشكال فيها، نصًّا، وفتوىً‌، وعرفًا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1979350_1280447820"/>
      <w:bookmarkStart w:id="442" w:name="_Toc164"/>
      <w:bookmarkEnd w:id="441"/>
      <w:r>
        <w:rPr>
          <w:rtl w:val="true"/>
        </w:rPr>
        <w:t>التَّنبيه الخامس</w:t>
      </w:r>
      <w:r>
        <w:rPr>
          <w:rtl w:val="true"/>
        </w:rPr>
        <w:t>:</w:t>
      </w:r>
      <w:bookmarkEnd w:id="442"/>
    </w:p>
    <w:p>
      <w:pPr>
        <w:pStyle w:val="BookText"/>
        <w:rPr/>
      </w:pPr>
      <w:r>
        <w:rPr>
          <w:rFonts w:ascii="Amiri" w:hAnsi="Amiri" w:eastAsia="Amiri" w:cs="Amiri"/>
          <w:color w:val="111111"/>
          <w:sz w:val="28"/>
          <w:sz w:val="28"/>
          <w:szCs w:val="28"/>
          <w:rtl w:val="true"/>
          <w:lang w:bidi="ar-SA"/>
        </w:rPr>
        <w:t>يظهر من نفس الرِّوايات أنَّ المستعير ضامنٌ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غيرَ أمينٍ‌، كما إذا غصب المال واستفاد منه؛ أو كان أمينًا لكن صار غير أمينٍ برفع المعير إذنَه لكنَّه لم يردَّ المعارَ إلى المعيرِ، فهو إذن ضامنٌ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لوأفرط في حفظ المُعار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لواشترط في الإعارة الضَّمانَ‌،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الثَّلاثة لاإشكال فيها عرفًا؛ ويطابِقُه النَّصُّ والفتوىٰ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قدس سره في المُستعير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الانتفاع بما جرَتْ العادةُ به في الانتفاع بالمُعار؛ ولونقص من العين شيءٌ أو تلف بالاِستعمال من غير تَعَدٍّ لم يضمن، إلَّاأن يشترط ذلك في العارية</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ثاني الشَّهيدَين قدس سرهما</w:t>
      </w:r>
      <w:r>
        <w:rPr>
          <w:rStyle w:val="FootnoteAnchor"/>
          <w:rtl w:val="true"/>
        </w:rPr>
        <w:footnoteReference w:id="1108"/>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109"/>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110"/>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1111"/>
      </w:r>
      <w:r>
        <w:rPr>
          <w:rFonts w:ascii="Amiri" w:hAnsi="Amiri" w:eastAsia="Amiri" w:cs="Amiri"/>
          <w:color w:val="111111"/>
          <w:sz w:val="28"/>
          <w:sz w:val="28"/>
          <w:szCs w:val="28"/>
          <w:rtl w:val="true"/>
          <w:lang w:bidi="ar-SA"/>
        </w:rPr>
        <w:t>، وغيرهم في المقام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لواستعار ذهبًا أو فضَّةً للتَّحلِّي بهما أو لغيره، أو استعار الدِّرهم والدِّينار للانتفاع بهما، فهو ضامنٌ فيها بلا خلافٍ أجدُه؛ حيث قد انعقد الإجماعُ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ابنُسعيدٍ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والعاريةُ أمانةٌ لاتُضمَن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شرط ضمانها </w:t>
      </w:r>
    </w:p>
    <w:p>
      <w:pPr>
        <w:pStyle w:val="BookText"/>
        <w:rPr/>
      </w:pPr>
      <w:r>
        <w:rPr>
          <w:rFonts w:ascii="Amiri" w:hAnsi="Amiri" w:eastAsia="Amiri" w:cs="Amiri"/>
          <w:color w:val="111111"/>
          <w:sz w:val="28"/>
          <w:sz w:val="28"/>
          <w:szCs w:val="28"/>
          <w:rtl w:val="true"/>
          <w:lang w:bidi="ar-SA"/>
        </w:rPr>
        <w:t>ضَمِنها، إلَّاالذَّهب والفضَّة، فإنَّهما مضمونان شرط الضَّمان أم لم يشرط</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فخرالمحقِّقين قدس سره</w:t>
      </w:r>
      <w:r>
        <w:rPr>
          <w:rStyle w:val="FootnoteAnchor"/>
          <w:rtl w:val="true"/>
        </w:rPr>
        <w:footnoteReference w:id="1113"/>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ثاني المحقِّقين قدس سرهما أنْ لا خلاف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الذَّهب أو الفضَّة دنانير، أو دراهم</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و عن ثاني الشَّهيدين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في ضمانهما عندنا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رواياتٌ عدَّة؛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ليس علىٰ مستعيرها ضمانٌ إلَّاما كان من ذهبٍ أو فضَّةٍ‌، فإنَّهما مضمونان اشترطا أو لم يشترطا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الشَّيخ قدس سره</w:t>
      </w:r>
      <w:r>
        <w:rPr>
          <w:rStyle w:val="FootnoteAnchor"/>
          <w:rtl w:val="true"/>
        </w:rPr>
        <w:footnoteReference w:id="1117"/>
      </w:r>
      <w:r>
        <w:rPr>
          <w:rFonts w:ascii="Amiri" w:hAnsi="Amiri" w:eastAsia="Amiri" w:cs="Amiri"/>
          <w:color w:val="111111"/>
          <w:sz w:val="28"/>
          <w:sz w:val="28"/>
          <w:szCs w:val="28"/>
          <w:rtl w:val="true"/>
          <w:lang w:bidi="ar-SA"/>
        </w:rPr>
        <w:t>، والصَّدوق قدس سره</w:t>
      </w:r>
      <w:r>
        <w:rPr>
          <w:rStyle w:val="FootnoteAnchor"/>
          <w:rtl w:val="true"/>
        </w:rPr>
        <w:footnoteReference w:id="1118"/>
      </w:r>
      <w:r>
        <w:rPr>
          <w:rFonts w:ascii="Amiri" w:hAnsi="Amiri" w:eastAsia="Amiri" w:cs="Amiri"/>
          <w:color w:val="111111"/>
          <w:sz w:val="28"/>
          <w:sz w:val="28"/>
          <w:szCs w:val="28"/>
          <w:rtl w:val="true"/>
          <w:lang w:bidi="ar-SA"/>
        </w:rPr>
        <w:t>، والفيض قدس سره</w:t>
      </w:r>
      <w:r>
        <w:rPr>
          <w:rStyle w:val="FootnoteAnchor"/>
          <w:rtl w:val="true"/>
        </w:rPr>
        <w:footnoteReference w:id="1119"/>
      </w:r>
      <w:r>
        <w:rPr>
          <w:rFonts w:ascii="Amiri" w:hAnsi="Amiri" w:eastAsia="Amiri" w:cs="Amiri"/>
          <w:color w:val="111111"/>
          <w:sz w:val="28"/>
          <w:sz w:val="28"/>
          <w:szCs w:val="28"/>
          <w:rtl w:val="true"/>
          <w:lang w:bidi="ar-SA"/>
        </w:rPr>
        <w:t>، والشَّيخ الحرُّ قدس سره</w:t>
      </w:r>
      <w:r>
        <w:rPr>
          <w:rStyle w:val="FootnoteAnchor"/>
          <w:rtl w:val="true"/>
        </w:rPr>
        <w:footnoteReference w:id="1120"/>
      </w:r>
      <w:r>
        <w:rPr>
          <w:rFonts w:ascii="Amiri" w:hAnsi="Amiri" w:eastAsia="Amiri" w:cs="Amiri"/>
          <w:color w:val="111111"/>
          <w:sz w:val="28"/>
          <w:sz w:val="28"/>
          <w:szCs w:val="28"/>
          <w:rtl w:val="true"/>
          <w:lang w:bidi="ar-SA"/>
        </w:rPr>
        <w:t>، وغيرهم؛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وتوثيق السَّند لمكان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ثاني المجلسيَّين قدس سرهما</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فيه </w:t>
      </w:r>
      <w:bookmarkStart w:id="443" w:name="pg20339_220488"/>
    </w:p>
    <w:p>
      <w:pPr>
        <w:pStyle w:val="BookText"/>
        <w:rPr/>
      </w:pPr>
      <w:bookmarkEnd w:id="443"/>
      <w:r>
        <w:rPr>
          <w:rFonts w:ascii="Amiri" w:hAnsi="Amiri" w:eastAsia="Amiri" w:cs="Amiri"/>
          <w:color w:val="111111"/>
          <w:sz w:val="28"/>
          <w:sz w:val="28"/>
          <w:szCs w:val="28"/>
          <w:rtl w:val="true"/>
          <w:lang w:bidi="ar-SA"/>
        </w:rPr>
        <w:t>شيءٌ‌، ولذلك حكم أوَّلُهما بكون السَّند موثَّقًا كالصَّحيح</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ما رواه الشَّيخ الحرُّ قدس سره قبلَه، إلَّاأنَّ فيه ذُكِرتْ الدَّراهم بدلَ الذَّهب والفضَّة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خصَّصوا جميعَ روايات الباب بهذه الرِّواية وأمثالها</w:t>
      </w:r>
      <w:r>
        <w:rPr>
          <w:rStyle w:val="FootnoteAnchor"/>
          <w:rtl w:val="true"/>
        </w:rPr>
        <w:footnoteReference w:id="1124"/>
      </w:r>
      <w:r>
        <w:rPr>
          <w:rFonts w:ascii="Amiri" w:hAnsi="Amiri" w:eastAsia="Amiri" w:cs="Amiri"/>
          <w:color w:val="111111"/>
          <w:sz w:val="28"/>
          <w:sz w:val="28"/>
          <w:szCs w:val="28"/>
          <w:rtl w:val="true"/>
          <w:lang w:bidi="ar-SA"/>
        </w:rPr>
        <w:t>، فتعبَّدوا بالضَّمان في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العُرف يأبىٰ عن هذا التَّخصيص وهذا التَّعبُّد، حيث يحكم العرفُ بأنَّ المستعيرَ مؤتمنٌ مطلقًا مادام لم يفرط ولم يُشتَرَط في الإعارة الضَّمانُ‌، سواءٌ كان المُعار ذهبًا، أو فضَّةً‌،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لوثبت هيهنا إنعقادُ إجماعٍ‌، فهو</w:t>
      </w:r>
      <w:r>
        <w:rPr>
          <w:rStyle w:val="FootnoteAnchor"/>
          <w:rtl w:val="true"/>
        </w:rPr>
        <w:footnoteReference w:id="1125"/>
      </w:r>
      <w:r>
        <w:rPr>
          <w:rFonts w:ascii="Amiri" w:hAnsi="Amiri" w:eastAsia="Amiri" w:cs="Amiri"/>
          <w:color w:val="111111"/>
          <w:sz w:val="28"/>
          <w:sz w:val="28"/>
          <w:szCs w:val="28"/>
          <w:rtl w:val="true"/>
          <w:lang w:bidi="ar-SA"/>
        </w:rPr>
        <w:t>وإلَّا فالإلتزام بهذا الرَّأي مشكلٌ جدًّا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1979352_1280447820"/>
      <w:bookmarkStart w:id="445" w:name="_Toc165"/>
      <w:bookmarkEnd w:id="444"/>
      <w:r>
        <w:rPr>
          <w:rtl w:val="true"/>
        </w:rPr>
        <w:t>أمثلةٌ لاستعمال القاعدة في الفقه</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فخرالمحقِّقين قدس سره في شرح مسألة رجوع المُعير إلى المُستعير قبل انقضاء العارية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قلنا بجواز الرُّجوع هل يجب علىٰ المُعير الأرش لما نقص من ملك المُستعير؟، قال المصنِّف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تردَّد هنا من حيث إنَّ المُعير</w:t>
      </w:r>
    </w:p>
    <w:p>
      <w:pPr>
        <w:pStyle w:val="BookText"/>
        <w:rPr/>
      </w:pPr>
      <w:r>
        <w:rPr>
          <w:rFonts w:ascii="Amiri" w:hAnsi="Amiri" w:eastAsia="Amiri" w:cs="Amiri"/>
          <w:color w:val="111111"/>
          <w:sz w:val="28"/>
          <w:sz w:val="28"/>
          <w:szCs w:val="28"/>
          <w:rtl w:val="true"/>
          <w:lang w:bidi="ar-SA"/>
        </w:rPr>
        <w:t>لا ضمان عليه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ألفُ درهمٍ عاريةً‌،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أقرَّ بألفٍ وجعلَها عاريةً قُبِل منه ذلك، وتكون مضمونةً علىٰ كلِّ حالٍ‌، لأنَّ الدَّارهم والدَّنانير مضمونةٌ في العارية بلاشرطٍ، وما عداهما لايُضمَن إلَّابشرطٍ</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الدَّابَّة بعلفها،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الدَّابَّة بعشرة دراهم، كان عاريةً فاسدةً‌، واستحقَّ حينئذٍ أُجرةَ المثل، لأنَّ المالك لم يبذل المنفعةَ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ولاينافي ذلك كون العارية من العقود الَّتي لايُضمَن بصحيحها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0339_220490"/>
    </w:p>
    <w:p>
      <w:pPr>
        <w:pStyle w:val="Heading2"/>
        <w:numPr>
          <w:ilvl w:val="1"/>
          <w:numId w:val="1"/>
        </w:numPr>
        <w:rPr/>
      </w:pPr>
      <w:bookmarkStart w:id="447" w:name="__RefHeading___Toc11979354_1280447820"/>
      <w:bookmarkStart w:id="448" w:name="_Toc166"/>
      <w:bookmarkEnd w:id="446"/>
      <w:bookmarkEnd w:id="447"/>
      <w:r>
        <w:rPr>
          <w:rtl w:val="true"/>
        </w:rPr>
        <w:t>[</w:t>
      </w:r>
      <w:r>
        <w:rPr/>
        <w:t>56</w:t>
      </w:r>
      <w:r>
        <w:rPr>
          <w:rtl w:val="true"/>
        </w:rPr>
        <w:t xml:space="preserve">:] </w:t>
      </w:r>
      <w:r>
        <w:rPr>
          <w:rtl w:val="true"/>
        </w:rPr>
        <w:t>قاعدة ما يُضمَن بصحيحه يُضمَنُ بفاسده</w:t>
      </w:r>
      <w:bookmarkEnd w:id="448"/>
    </w:p>
    <w:p>
      <w:pPr>
        <w:pStyle w:val="Heading3"/>
        <w:numPr>
          <w:ilvl w:val="2"/>
          <w:numId w:val="1"/>
        </w:numPr>
        <w:rPr/>
      </w:pPr>
      <w:bookmarkStart w:id="449" w:name="__RefHeading___Toc11979356_1280447820"/>
      <w:bookmarkStart w:id="450" w:name="_Toc167"/>
      <w:bookmarkEnd w:id="449"/>
      <w:r>
        <w:rPr>
          <w:rtl w:val="true"/>
        </w:rPr>
        <w:t>عناوين أُخرىٰ للقاعدة</w:t>
      </w:r>
      <w:bookmarkEnd w:id="450"/>
    </w:p>
    <w:p>
      <w:pPr>
        <w:pStyle w:val="BookText"/>
        <w:rPr/>
      </w:pPr>
      <w:r>
        <w:rPr>
          <w:rFonts w:ascii="Amiri" w:hAnsi="Amiri" w:eastAsia="Amiri" w:cs="Amiri"/>
          <w:color w:val="111111"/>
          <w:sz w:val="28"/>
          <w:sz w:val="28"/>
          <w:szCs w:val="28"/>
          <w:rtl w:val="true"/>
          <w:lang w:bidi="ar-SA"/>
        </w:rPr>
        <w:t>قاعدة ما يُضمَن وما لايُضمَن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1979358_1280447820"/>
      <w:bookmarkStart w:id="452" w:name="_Toc168"/>
      <w:bookmarkEnd w:id="451"/>
      <w:r>
        <w:rPr>
          <w:rtl w:val="true"/>
        </w:rPr>
        <w:t>توضيح مفاد القاعدة</w:t>
      </w:r>
      <w:bookmarkEnd w:id="45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ثاني الشَّهيدَين قدس سره</w:t>
      </w:r>
      <w:r>
        <w:rPr>
          <w:rStyle w:val="FootnoteAnchor"/>
          <w:rtl w:val="true"/>
        </w:rPr>
        <w:footnoteReference w:id="1129"/>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130"/>
      </w:r>
      <w:r>
        <w:rPr>
          <w:rFonts w:ascii="Amiri" w:hAnsi="Amiri" w:eastAsia="Amiri" w:cs="Amiri"/>
          <w:color w:val="111111"/>
          <w:sz w:val="28"/>
          <w:sz w:val="28"/>
          <w:szCs w:val="28"/>
          <w:rtl w:val="true"/>
          <w:lang w:bidi="ar-SA"/>
        </w:rPr>
        <w:t>، والمحقِّق جمال الدِّين الخوانساريِّ قدس سره</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p>
    <w:p>
      <w:pPr>
        <w:pStyle w:val="BookText"/>
        <w:rPr/>
      </w:pPr>
      <w:r>
        <w:rPr>
          <w:rFonts w:ascii="Amiri" w:hAnsi="Amiri" w:eastAsia="Amiri" w:cs="Amiri"/>
          <w:color w:val="111111"/>
          <w:sz w:val="28"/>
          <w:sz w:val="28"/>
          <w:szCs w:val="28"/>
          <w:rtl w:val="true"/>
          <w:lang w:bidi="ar-SA"/>
        </w:rPr>
        <w:t>آل عصفور البحرانيِّ قدس سره</w:t>
      </w:r>
      <w:r>
        <w:rPr>
          <w:rStyle w:val="FootnoteAnchor"/>
          <w:rtl w:val="true"/>
        </w:rPr>
        <w:footnoteReference w:id="1132"/>
      </w:r>
      <w:r>
        <w:rPr>
          <w:rFonts w:ascii="Amiri" w:hAnsi="Amiri" w:eastAsia="Amiri" w:cs="Amiri"/>
          <w:color w:val="111111"/>
          <w:sz w:val="28"/>
          <w:sz w:val="28"/>
          <w:szCs w:val="28"/>
          <w:rtl w:val="true"/>
          <w:lang w:bidi="ar-SA"/>
        </w:rPr>
        <w:t>، والسَّيِّد العامليِّ قدس سره</w:t>
      </w:r>
      <w:r>
        <w:rPr>
          <w:rStyle w:val="FootnoteAnchor"/>
          <w:rtl w:val="true"/>
        </w:rPr>
        <w:footnoteReference w:id="1133"/>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1134"/>
      </w:r>
      <w:r>
        <w:rPr>
          <w:rFonts w:ascii="Amiri" w:hAnsi="Amiri" w:eastAsia="Amiri" w:cs="Amiri"/>
          <w:color w:val="111111"/>
          <w:sz w:val="28"/>
          <w:sz w:val="28"/>
          <w:szCs w:val="28"/>
          <w:rtl w:val="true"/>
          <w:lang w:bidi="ar-SA"/>
        </w:rPr>
        <w:t xml:space="preserve">، وغيرهم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 وكلَّ ما لايُضمَن بصحيحه لايُضمَن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لايبعد القول بكونه إجماعيًّا بينهم، كما عن المقدِّس المحقِّق الأردبيليِّ قدس سره</w:t>
      </w:r>
      <w:r>
        <w:rPr>
          <w:rStyle w:val="FootnoteAnchor"/>
          <w:rtl w:val="true"/>
        </w:rPr>
        <w:footnoteReference w:id="1135"/>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القاعدة تنحلُّ إلى قاعدتين؛ لكن بما أنَّهما في مساقٍ واحدٍ فلاوجه لإفراد البحث عن كلِّ واحدٍ منهما، كما فعلَه بعض معاصرينا</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لوتمَّ البيع فقبض البائعُ الَّثمنَ وقبض المشتري المُثمنَ‌، فلوتلف المبيعُ في يد المشتري أو تلف الَّثمنُ في يد البائع فالتَّالف في يدِّ كلٍّ منهما ليس إلَّاعلىٰ مَن هو في يده، والعهدةُ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لوكان المبيعُ فاسدًا فعلًا فما في يدِ كلٍّ واحد منهما يكون بالضَّمان، لابالملك؛ كما أنَّه لوأعطىٰ مالَه مضاربةً فظهر فساد المضاربة، فلوتلف ما في يد العامل فهو من ماله، لا من مال مَن أعطاه؛ لأنَّه أعطاه أمانًا، لا </w:t>
      </w:r>
      <w:bookmarkStart w:id="453" w:name="pg20339_220492"/>
    </w:p>
    <w:p>
      <w:pPr>
        <w:pStyle w:val="BookText"/>
        <w:rPr/>
      </w:pPr>
      <w:bookmarkEnd w:id="453"/>
      <w:r>
        <w:rPr>
          <w:rFonts w:ascii="Amiri" w:hAnsi="Amiri" w:eastAsia="Amiri" w:cs="Amiri"/>
          <w:color w:val="111111"/>
          <w:sz w:val="28"/>
          <w:sz w:val="28"/>
          <w:szCs w:val="28"/>
          <w:rtl w:val="true"/>
          <w:lang w:bidi="ar-SA"/>
        </w:rPr>
        <w:t>ضمانًا</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979360_1280447820"/>
      <w:bookmarkStart w:id="455" w:name="_Toc169"/>
      <w:bookmarkEnd w:id="454"/>
      <w:r>
        <w:rPr>
          <w:rtl w:val="true"/>
        </w:rPr>
        <w:t>مدركُ القاعدة</w:t>
      </w:r>
      <w:bookmarkEnd w:id="455"/>
    </w:p>
    <w:p>
      <w:pPr>
        <w:pStyle w:val="Heading4"/>
        <w:numPr>
          <w:ilvl w:val="3"/>
          <w:numId w:val="1"/>
        </w:numPr>
        <w:rPr/>
      </w:pPr>
      <w:bookmarkStart w:id="456" w:name="__RefHeading___Toc11979362_1280447820"/>
      <w:bookmarkStart w:id="457" w:name="_Toc170"/>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والدَّليل علىٰ ذلك كلِّه هو</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979364_1280447820"/>
      <w:bookmarkStart w:id="459" w:name="_Toc171"/>
      <w:bookmarkEnd w:id="458"/>
      <w:r>
        <w:rPr>
          <w:rtl w:val="true"/>
        </w:rPr>
        <w:t>أوَّلًا</w:t>
      </w:r>
      <w:r>
        <w:rPr>
          <w:rtl w:val="true"/>
        </w:rPr>
        <w:t xml:space="preserve">: </w:t>
      </w:r>
      <w:r>
        <w:rPr>
          <w:rtl w:val="true"/>
        </w:rPr>
        <w:t>بناء العقلاء</w:t>
      </w:r>
      <w:bookmarkEnd w:id="459"/>
    </w:p>
    <w:p>
      <w:pPr>
        <w:pStyle w:val="BookText"/>
        <w:rPr/>
      </w:pPr>
      <w:r>
        <w:rPr>
          <w:rFonts w:ascii="Amiri" w:hAnsi="Amiri" w:eastAsia="Amiri" w:cs="Amiri"/>
          <w:color w:val="111111"/>
          <w:sz w:val="28"/>
          <w:sz w:val="28"/>
          <w:szCs w:val="28"/>
          <w:rtl w:val="true"/>
          <w:lang w:bidi="ar-SA"/>
        </w:rPr>
        <w:t>بناء العقلاء، من غير ردعٍ عن الشَّارع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الأصحاب فقد تمسَّكوا هيهنا بأدلَّةٍ‌</w:t>
      </w:r>
      <w:r>
        <w:rPr>
          <w:rStyle w:val="FootnoteAnchor"/>
          <w:rtl w:val="true"/>
        </w:rPr>
        <w:footnoteReference w:id="1138"/>
      </w:r>
    </w:p>
    <w:p>
      <w:pPr>
        <w:pStyle w:val="Heading4"/>
        <w:numPr>
          <w:ilvl w:val="3"/>
          <w:numId w:val="1"/>
        </w:numPr>
        <w:rPr/>
      </w:pPr>
      <w:bookmarkStart w:id="460" w:name="__RefHeading___Toc11979366_1280447820"/>
      <w:bookmarkStart w:id="461" w:name="_Toc172"/>
      <w:bookmarkEnd w:id="460"/>
      <w:r>
        <w:rPr>
          <w:rtl w:val="true"/>
        </w:rPr>
        <w:t>ثانيًا</w:t>
      </w:r>
      <w:r>
        <w:rPr>
          <w:rtl w:val="true"/>
        </w:rPr>
        <w:t xml:space="preserve">: </w:t>
      </w:r>
      <w:r>
        <w:rPr>
          <w:rtl w:val="true"/>
        </w:rPr>
        <w:t>قاعدة الإقدام</w:t>
      </w:r>
      <w:bookmarkEnd w:id="46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الإقدام</w:t>
      </w:r>
      <w:r>
        <w:rPr>
          <w:rStyle w:val="FootnoteAnchor"/>
          <w:rtl w:val="true"/>
        </w:rPr>
        <w:footnoteReference w:id="1139"/>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المتعاقِدَين أقدما علىٰ العقد علىٰ أن يكون مالُ الآخر له بضمانٍ‌، لامجَّانًا ولا أمانًا؛ كما أنَّهما في جميع المعامَلات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أقدما علىٰ أن يكون المالُ في يد العامل أمانًا، لاضمانًا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979368_1280447820"/>
      <w:bookmarkStart w:id="463" w:name="_Toc173"/>
      <w:bookmarkEnd w:id="462"/>
      <w:r>
        <w:rPr>
          <w:rtl w:val="true"/>
        </w:rPr>
        <w:t>ثالثًا</w:t>
      </w:r>
      <w:r>
        <w:rPr>
          <w:rtl w:val="true"/>
        </w:rPr>
        <w:t xml:space="preserve">: </w:t>
      </w:r>
      <w:r>
        <w:rPr>
          <w:rtl w:val="true"/>
        </w:rPr>
        <w:t>قاعدة حرمة مال المُسلم</w:t>
      </w:r>
      <w:bookmarkEnd w:id="46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احترام مال المُسلم وحرمته؛ فإذا تلف في يد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حينئذٍ هو اليد الضَّمانيُّ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1979370_1280447820"/>
      <w:bookmarkStart w:id="465" w:name="_Toc174"/>
      <w:bookmarkEnd w:id="464"/>
      <w:r>
        <w:rPr>
          <w:rtl w:val="true"/>
        </w:rPr>
        <w:t>رابعًا</w:t>
      </w:r>
      <w:r>
        <w:rPr>
          <w:rtl w:val="true"/>
        </w:rPr>
        <w:t xml:space="preserve">: </w:t>
      </w:r>
      <w:r>
        <w:rPr>
          <w:rtl w:val="true"/>
        </w:rPr>
        <w:t>قاعدة اليد</w:t>
      </w:r>
      <w:bookmarkEnd w:id="4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الدَّربنديِّ قدس سره</w:t>
      </w:r>
      <w:r>
        <w:rPr>
          <w:rStyle w:val="FootnoteAnchor"/>
          <w:rtl w:val="true"/>
        </w:rPr>
        <w:footnoteReference w:id="1140"/>
      </w:r>
      <w:r>
        <w:rPr>
          <w:rFonts w:ascii="Amiri" w:hAnsi="Amiri" w:eastAsia="Amiri" w:cs="Amiri"/>
          <w:color w:val="111111"/>
          <w:sz w:val="28"/>
          <w:sz w:val="28"/>
          <w:szCs w:val="28"/>
          <w:rtl w:val="true"/>
          <w:lang w:bidi="ar-SA"/>
        </w:rPr>
        <w:t>، وغيره</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w:t>
      </w:r>
    </w:p>
    <w:p>
      <w:pPr>
        <w:pStyle w:val="BookText"/>
        <w:rPr/>
      </w:pPr>
      <w:r>
        <w:rPr>
          <w:rFonts w:ascii="Amiri" w:hAnsi="Amiri" w:eastAsia="Amiri" w:cs="Amiri"/>
          <w:color w:val="111111"/>
          <w:sz w:val="28"/>
          <w:sz w:val="28"/>
          <w:szCs w:val="28"/>
          <w:rtl w:val="true"/>
          <w:lang w:bidi="ar-SA"/>
        </w:rPr>
        <w:t>واحدٍ منهما أَخَذ مال الآخر، فلابدَّ عليهما من أن يؤدِّيانه؛ وإذا تلف في يدِّ كلِّ واحدٍ منهما مالُ الآخر فعَليه أن يتدارك التَّالِف بمثله،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العامل أمانيَّةً‌، فلوتلف المال فهو من مال مالكه، لا مال مَن 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الأصحاب الَّتمسُّك بهذه الأدلَّة وأمثالها</w:t>
      </w:r>
      <w:r>
        <w:rPr>
          <w:rStyle w:val="FootnoteAnchor"/>
          <w:rtl w:val="true"/>
        </w:rPr>
        <w:footnoteReference w:id="1142"/>
      </w:r>
      <w:r>
        <w:rPr>
          <w:rFonts w:ascii="Amiri" w:hAnsi="Amiri" w:eastAsia="Amiri" w:cs="Amiri"/>
          <w:color w:val="111111"/>
          <w:sz w:val="28"/>
          <w:sz w:val="28"/>
          <w:szCs w:val="28"/>
          <w:rtl w:val="true"/>
          <w:lang w:bidi="ar-SA"/>
        </w:rPr>
        <w:t>والأدلَّةُ كلُّها صحيحةٌ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يُتراءىٰ من بعض الكلمات من القول فيها والنَّقض عليها، فليس إلَّامن باب ضِعافِ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فلايُعبأ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المختار أنَّ الأدلَّة كلَّها ليست إلَّاتقريرًا لبناء العُقلاء؛ أو بيان منشأ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المقام هو بناء العقلاء الَّذي لم يردَعْ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كلام المحقِّق اللَّاري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ومأخذ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الاستقراء المحصَّل من التَّتبُّع في كلمات الشَّارع أو المتشرِّعة الكاشفة عنه</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فتأمل</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حيث لاوجه لأصل هذا الاستدلال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وينبغي التَّنبيه علىٰ أمرٍ هامٍّ يمكن أن تُنقَض به القاعدةُ‌؛ فعلينا الكلام فيه </w:t>
      </w:r>
      <w:bookmarkStart w:id="466" w:name="pg20339_220494"/>
    </w:p>
    <w:p>
      <w:pPr>
        <w:pStyle w:val="BookText"/>
        <w:rPr/>
      </w:pPr>
      <w:bookmarkEnd w:id="466"/>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1979372_1280447820"/>
      <w:bookmarkStart w:id="468" w:name="_Toc175"/>
      <w:bookmarkEnd w:id="467"/>
      <w:r>
        <w:rPr>
          <w:rtl w:val="true"/>
        </w:rPr>
        <w:t>تنبيهٌ‌</w:t>
      </w:r>
      <w:r>
        <w:rPr>
          <w:rtl w:val="true"/>
        </w:rPr>
        <w:t>:</w:t>
      </w:r>
      <w:bookmarkEnd w:id="468"/>
    </w:p>
    <w:p>
      <w:pPr>
        <w:pStyle w:val="BookText"/>
        <w:rPr/>
      </w:pPr>
      <w:r>
        <w:rPr>
          <w:rFonts w:ascii="Amiri" w:hAnsi="Amiri" w:eastAsia="Amiri" w:cs="Amiri"/>
          <w:color w:val="111111"/>
          <w:sz w:val="28"/>
          <w:sz w:val="28"/>
          <w:szCs w:val="28"/>
          <w:rtl w:val="true"/>
          <w:lang w:bidi="ar-SA"/>
        </w:rPr>
        <w:t>أشرنا إلى معنىٰ القاعدة ومدركها، فلوثبت كونها قاعدةً فقهيَّةً فلامعنىٰ لنَقْضه في بعض الموارد أصلًا؛ لعموم القواعد كلِّها في جميع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تُوجَد موارد كثيرة يمكن أن تُنقَض بها القاعدة؛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الإجارة؛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الإجارة الصَّحيحة تضمن المنافع غير المستوفاة، لأنَّها تمليكُ المنفعة؛ فالإجارة الَّتي تقع صحيحةً تُوجِب الضَّمان في المنافع غير المستوفاة أيضًا، كما توجبه في المستوفات منها؛</w:t>
      </w:r>
    </w:p>
    <w:p>
      <w:pPr>
        <w:pStyle w:val="BookText"/>
        <w:rPr/>
      </w:pPr>
      <w:r>
        <w:rPr>
          <w:rFonts w:ascii="Amiri" w:hAnsi="Amiri" w:eastAsia="Amiri" w:cs="Amiri"/>
          <w:color w:val="111111"/>
          <w:sz w:val="28"/>
          <w:sz w:val="28"/>
          <w:szCs w:val="28"/>
          <w:rtl w:val="true"/>
          <w:lang w:bidi="ar-SA"/>
        </w:rPr>
        <w:t>أمَّا في الإجارة الفاسدة، فليس عقدٌ ولم ينعقد أصلًا حتَّى يُضمَن به المنافع غير المستوفات؛</w:t>
      </w:r>
    </w:p>
    <w:p>
      <w:pPr>
        <w:pStyle w:val="BookText"/>
        <w:rPr/>
      </w:pPr>
      <w:r>
        <w:rPr>
          <w:rFonts w:ascii="Amiri" w:hAnsi="Amiri" w:eastAsia="Amiri" w:cs="Amiri"/>
          <w:color w:val="111111"/>
          <w:sz w:val="28"/>
          <w:sz w:val="28"/>
          <w:szCs w:val="28"/>
          <w:rtl w:val="true"/>
          <w:lang w:bidi="ar-SA"/>
        </w:rPr>
        <w:t xml:space="preserve">وكذلك في العين الَّذي انعقدَتْ عليه الاجارة، ففي الصَّحيحة منه تكون اليد يدًا أمانيَّةً‌، وفي الفاسدة ليست كذلك، فاليد في صورة التَّلف تكون ضمانيَّةً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الكركيُّ قدس سره</w:t>
      </w:r>
      <w:r>
        <w:rPr>
          <w:rStyle w:val="FootnoteAnchor"/>
          <w:rtl w:val="true"/>
        </w:rPr>
        <w:footnoteReference w:id="1145"/>
      </w:r>
      <w:r>
        <w:rPr>
          <w:rFonts w:ascii="Amiri" w:hAnsi="Amiri" w:eastAsia="Amiri" w:cs="Amiri"/>
          <w:color w:val="111111"/>
          <w:sz w:val="28"/>
          <w:sz w:val="28"/>
          <w:szCs w:val="28"/>
          <w:rtl w:val="true"/>
          <w:lang w:bidi="ar-SA"/>
        </w:rPr>
        <w:t>والمقدِّس الأردبيليُّ قدس سره</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ولم أعثر علىٰ القول في مجمع الفائدة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المطلب كثيرٌ من الأعلام في كثيرٍ من الفروعات، كالمحقِّق </w:t>
      </w:r>
    </w:p>
    <w:p>
      <w:pPr>
        <w:pStyle w:val="BookText"/>
        <w:rPr/>
      </w:pPr>
      <w:r>
        <w:rPr>
          <w:rFonts w:ascii="Amiri" w:hAnsi="Amiri" w:eastAsia="Amiri" w:cs="Amiri"/>
          <w:color w:val="111111"/>
          <w:sz w:val="28"/>
          <w:sz w:val="28"/>
          <w:szCs w:val="28"/>
          <w:rtl w:val="true"/>
          <w:lang w:bidi="ar-SA"/>
        </w:rPr>
        <w:t>الرَّشتي قدس سره</w:t>
      </w:r>
      <w:r>
        <w:rPr>
          <w:rStyle w:val="FootnoteAnchor"/>
          <w:rtl w:val="true"/>
        </w:rPr>
        <w:footnoteReference w:id="1147"/>
      </w:r>
      <w:r>
        <w:rPr>
          <w:rFonts w:ascii="Amiri" w:hAnsi="Amiri" w:eastAsia="Amiri" w:cs="Amiri"/>
          <w:color w:val="111111"/>
          <w:sz w:val="28"/>
          <w:sz w:val="28"/>
          <w:szCs w:val="28"/>
          <w:rtl w:val="true"/>
          <w:lang w:bidi="ar-SA"/>
        </w:rPr>
        <w:t>، والمحقِّق الأصفهانيِّ قدس سره</w:t>
      </w:r>
      <w:r>
        <w:rPr>
          <w:rStyle w:val="FootnoteAnchor"/>
          <w:rtl w:val="true"/>
        </w:rPr>
        <w:footnoteReference w:id="1148"/>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المؤجر أعطىٰ العينَ للمستأجر أمانةً ليستوفىٰ المستأجِرُ فوائدَها؛ ففي الحقيقة ملَّكه المنافع بالعوض لا مجَّانًا؛</w:t>
      </w:r>
    </w:p>
    <w:p>
      <w:pPr>
        <w:pStyle w:val="BookText"/>
        <w:rPr/>
      </w:pPr>
      <w:r>
        <w:rPr>
          <w:rFonts w:ascii="Amiri" w:hAnsi="Amiri" w:eastAsia="Amiri" w:cs="Amiri"/>
          <w:color w:val="111111"/>
          <w:sz w:val="28"/>
          <w:sz w:val="28"/>
          <w:szCs w:val="28"/>
          <w:rtl w:val="true"/>
          <w:lang w:bidi="ar-SA"/>
        </w:rPr>
        <w:t xml:space="preserve">فإذا ظهر بطلان الإجارة فعلىٰ المستأجر ضمانُ المنافع؛ ولوتلف فعليه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مبلغ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لوتلف العين فليس عليه ضمانٌ‌، لكون يده عليه غير ضمانيَّةٍ‌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استعار الُمحرِم صيدًا من الُمحِلِّ فيجب علىٰ المستعير إعادته إلى المستعار منه، ويكون ضامنًا لصاحب الصَّيد؛</w:t>
      </w:r>
    </w:p>
    <w:p>
      <w:pPr>
        <w:pStyle w:val="BookText"/>
        <w:rPr/>
      </w:pPr>
      <w:r>
        <w:rPr>
          <w:rFonts w:ascii="Amiri" w:hAnsi="Amiri" w:eastAsia="Amiri" w:cs="Amiri"/>
          <w:color w:val="111111"/>
          <w:sz w:val="28"/>
          <w:sz w:val="28"/>
          <w:szCs w:val="28"/>
          <w:rtl w:val="true"/>
          <w:lang w:bidi="ar-SA"/>
        </w:rPr>
        <w:t xml:space="preserve">فتنقض القاعدةُ‌، لأنَّ الصَّحيح من العارية لايُضمَن به إذا تلف والفاسد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به؛ كما عن المحقِّق البجنورديِّ قدس سره</w:t>
      </w:r>
      <w:r>
        <w:rPr>
          <w:rStyle w:val="FootnoteAnchor"/>
          <w:rtl w:val="true"/>
        </w:rPr>
        <w:footnoteReference w:id="1149"/>
      </w:r>
      <w:r>
        <w:rPr>
          <w:rFonts w:ascii="Amiri" w:hAnsi="Amiri" w:eastAsia="Amiri" w:cs="Amiri"/>
          <w:color w:val="111111"/>
          <w:sz w:val="28"/>
          <w:sz w:val="28"/>
          <w:szCs w:val="28"/>
          <w:rtl w:val="true"/>
          <w:lang w:bidi="ar-SA"/>
        </w:rPr>
        <w:t>وقد أشار العلَّامة قدس سره إلى الفرع في كتابَيه التَّحرير</w:t>
      </w:r>
      <w:r>
        <w:rPr>
          <w:rStyle w:val="FootnoteAnchor"/>
          <w:rtl w:val="true"/>
        </w:rPr>
        <w:footnoteReference w:id="1150"/>
      </w:r>
      <w:r>
        <w:rPr>
          <w:rFonts w:ascii="Amiri" w:hAnsi="Amiri" w:eastAsia="Amiri" w:cs="Amiri"/>
          <w:color w:val="111111"/>
          <w:sz w:val="28"/>
          <w:sz w:val="28"/>
          <w:szCs w:val="28"/>
          <w:rtl w:val="true"/>
          <w:lang w:bidi="ar-SA"/>
        </w:rPr>
        <w:t>والتَّذكرة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لانحتاج في هذا الفَرض المؤدِّي إلى نقض القاعدة إلى هذا المثال الشَّاذِّ، بل له أمثلةٌ كثيرةٌ‌؛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استعار مِلكًا غصْبيًّا فيجب عليه ردُّه لصاحبه، ففي الصَّحيح من الإعارة لايُضمَن، ولكن في الفاسد منها يُضمَن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لأجلِ الإتلاف؛ وثبوت الضَّمان في أخذ المُستَعير لأجل أنَّه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بغصبٍ فلاضمان أصلًا؛</w:t>
      </w:r>
    </w:p>
    <w:p>
      <w:pPr>
        <w:pStyle w:val="BookText"/>
        <w:rPr/>
      </w:pPr>
      <w:r>
        <w:rPr>
          <w:rFonts w:ascii="Amiri" w:hAnsi="Amiri" w:eastAsia="Amiri" w:cs="Amiri"/>
          <w:color w:val="111111"/>
          <w:sz w:val="28"/>
          <w:sz w:val="28"/>
          <w:szCs w:val="28"/>
          <w:rtl w:val="true"/>
          <w:lang w:bidi="ar-SA"/>
        </w:rPr>
        <w:t>كما وأنَّ ثبوتَ الضَّمان في الصَّيد والغصب لقاعدة الإتلاف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الشِّركة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الصَّحيح منها لايُضمَن به بالتَّصرُّف في المال الَّذي عُقد عليه وتلفه؛ وأمَّا الفاسد منه فيثبت فيه الضَّمان؛ لقاعدة اليد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فرَغْنا عن البحث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الفاسد منها إذا لم يَعلَم المتصرِّف بوقوع الفساد فيها فلاضمان عليه أصلًا، لقاعدة اليد الأمانيَّة؛ أمَّا لوعَلِم بوقوعه فاسدًا ثمَّ تلف فليست اليدُ إذًا يدًا أمانيَّةً‌، بل عليها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أوضَح من أن يخفىٰ علىٰ أحدٍ وإن خفِي علىٰ الشَّيخ الأعظم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النِّكاح، ففي الصَّحيح منه يضمِن الزَّوج مهرَ المُسمَّىٰ‌، أو مهر المِثل، ولكن في الفاسد منه لاضمان لوعلمَتْ الزَّوجةُ بفَساده؛ كما أشار إليه المحقِّقان المامقانيُّ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واللَّاريُّ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الزَّوج ولاالزَّوجة بالفساد فثبوت مهر المثل في المقام لا كلام </w:t>
      </w:r>
      <w:bookmarkStart w:id="469" w:name="pg20339_220497"/>
    </w:p>
    <w:p>
      <w:pPr>
        <w:pStyle w:val="BookText"/>
        <w:rPr/>
      </w:pPr>
      <w:bookmarkEnd w:id="469"/>
      <w:r>
        <w:rPr>
          <w:rFonts w:ascii="Amiri" w:hAnsi="Amiri" w:eastAsia="Amiri" w:cs="Amiri"/>
          <w:color w:val="111111"/>
          <w:sz w:val="28"/>
          <w:sz w:val="28"/>
          <w:szCs w:val="28"/>
          <w:rtl w:val="true"/>
          <w:lang w:bidi="ar-SA"/>
        </w:rPr>
        <w:t xml:space="preserve">فيه؛ أمَّا إذا علمَتْ المرأةُ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علىٰ الزَّوج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لوباع شخصٌ مالَه بسَفيهٍ فتلفه السَّفيه، فلاضمان عليه، مع أنَّ ثبوت الضَّمان في البيع الصَّحيح ممَّا لا كلام لأحدٍ فيه؛</w:t>
      </w:r>
    </w:p>
    <w:p>
      <w:pPr>
        <w:pStyle w:val="BookText"/>
        <w:rPr/>
      </w:pPr>
      <w:r>
        <w:rPr>
          <w:rFonts w:ascii="Amiri" w:hAnsi="Amiri" w:eastAsia="Amiri" w:cs="Amiri"/>
          <w:color w:val="111111"/>
          <w:sz w:val="28"/>
          <w:sz w:val="28"/>
          <w:szCs w:val="28"/>
          <w:rtl w:val="true"/>
          <w:lang w:bidi="ar-SA"/>
        </w:rPr>
        <w:t>وانظر أيضًا في المقام إلى ما ذكره المحقِّق الفريدُ البهبهانيُّ قدس سره</w:t>
      </w:r>
      <w:r>
        <w:rPr>
          <w:rStyle w:val="FootnoteAnchor"/>
          <w:rtl w:val="true"/>
        </w:rPr>
        <w:footnoteReference w:id="1152"/>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المال تحت يدَي السَّفيه إقدامٌ علىٰ الضَّرر، فالضَّمان لأجل ذلك، لا لأنَّ البيع وقع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يثبت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نقوضٌ أُخرىٰ غير هذه الَّتي أشرنا إليها، ولانتعرَّض لها بعد ما علِمتَ من عدم النَّقض في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فالقاعدتان تامَّتان لايَرِد عليهما شيءٌ أصلًا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1979374_1280447820"/>
      <w:bookmarkStart w:id="471" w:name="_Toc176"/>
      <w:bookmarkEnd w:id="470"/>
      <w:r>
        <w:rPr>
          <w:rtl w:val="true"/>
        </w:rPr>
        <w:t>أمثلةٌ لاستعمال القاعدة في الفقه</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الفقيه الكبير الشَّيخ حسن الكاشف الغطاء قدس سره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لوتلف أحد العوضين من النَّقدين أو كلٌّ منهما فظهر من غير الجنس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القابض له بمثله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يُضمن بصحيحه يُضمن بفاسده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 قدس سره في ردِّ من فسَّرَ حسنة حفصٍ في أخذ الزَّانيَة مهرَها بجميع المَهر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هو كما ترىٰ قولٌ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ما يُضمن بصحيحه يُضمن </w:t>
      </w:r>
    </w:p>
    <w:p>
      <w:pPr>
        <w:pStyle w:val="BookText"/>
        <w:rPr/>
      </w:pPr>
      <w:r>
        <w:rPr>
          <w:rFonts w:ascii="IRNazanin" w:hAnsi="IRNazanin" w:eastAsia="IRNazanin"/>
          <w:color w:val="111111"/>
          <w:sz w:val="28"/>
          <w:sz w:val="28"/>
          <w:szCs w:val="28"/>
          <w:rtl w:val="true"/>
          <w:lang w:bidi="fa-IR"/>
        </w:rPr>
        <w:t>بفاسده</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الخوئيُّ قدس سره في ردِّ مَن قال في مسألة الضَّمان في الرِّشوة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تُشبِه المعاوضة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أيِّ حالٍ يكون موجبًا للضِّمان، لقاعدة ما يُضمن بصحيحه يُضمن بفاسده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20339_220500"/>
      <w:bookmarkStart w:id="473" w:name="pg20339_220500"/>
      <w:bookmarkEnd w:id="473"/>
    </w:p>
    <w:p>
      <w:pPr>
        <w:pStyle w:val="Heading2"/>
        <w:numPr>
          <w:ilvl w:val="1"/>
          <w:numId w:val="1"/>
        </w:numPr>
        <w:rPr/>
      </w:pPr>
      <w:bookmarkStart w:id="474" w:name="pg20339_220500"/>
      <w:bookmarkStart w:id="475" w:name="__RefHeading___Toc11979376_1280447820"/>
      <w:bookmarkStart w:id="476" w:name="_Toc177"/>
      <w:bookmarkEnd w:id="474"/>
      <w:bookmarkEnd w:id="475"/>
      <w:r>
        <w:rPr>
          <w:rtl w:val="true"/>
        </w:rPr>
        <w:t>[</w:t>
      </w:r>
      <w:r>
        <w:rPr/>
        <w:t>57</w:t>
      </w:r>
      <w:r>
        <w:rPr>
          <w:rtl w:val="true"/>
        </w:rPr>
        <w:t xml:space="preserve">:] </w:t>
      </w:r>
      <w:r>
        <w:rPr>
          <w:rtl w:val="true"/>
        </w:rPr>
        <w:t>قاعدة مشروعيَّة عِبادات الصَّبيِّ‌</w:t>
      </w:r>
      <w:bookmarkEnd w:id="476"/>
    </w:p>
    <w:p>
      <w:pPr>
        <w:pStyle w:val="Heading3"/>
        <w:numPr>
          <w:ilvl w:val="2"/>
          <w:numId w:val="1"/>
        </w:numPr>
        <w:rPr/>
      </w:pPr>
      <w:bookmarkStart w:id="477" w:name="__RefHeading___Toc11979378_1280447820"/>
      <w:bookmarkStart w:id="478" w:name="_Toc178"/>
      <w:bookmarkEnd w:id="477"/>
      <w:r>
        <w:rPr>
          <w:rtl w:val="true"/>
        </w:rPr>
        <w:t>عناوين أُخرىٰ للقاعدة</w:t>
      </w:r>
      <w:bookmarkEnd w:id="478"/>
    </w:p>
    <w:p>
      <w:pPr>
        <w:pStyle w:val="BookText"/>
        <w:rPr/>
      </w:pPr>
      <w:r>
        <w:rPr>
          <w:rFonts w:ascii="Amiri" w:hAnsi="Amiri" w:eastAsia="Amiri" w:cs="Amiri"/>
          <w:color w:val="111111"/>
          <w:sz w:val="28"/>
          <w:sz w:val="28"/>
          <w:szCs w:val="28"/>
          <w:rtl w:val="true"/>
          <w:lang w:bidi="ar-SA"/>
        </w:rPr>
        <w:t>عبادة الصَّبيِّ المميِّز إذا مات قبل البلوغ هل يُثاب عليها؟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عبادات الصَّبيِّ المميِّز وعدمها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نيَّة الصَّبيِّ المميِّز صحيحةٌ‌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1979380_1280447820"/>
      <w:bookmarkStart w:id="480" w:name="_Toc179"/>
      <w:bookmarkEnd w:id="479"/>
      <w:r>
        <w:rPr>
          <w:rtl w:val="true"/>
        </w:rPr>
        <w:t>توضيح مفاد القاعدة</w:t>
      </w:r>
      <w:bookmarkEnd w:id="4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لاإشكال في أنَّ الخطابات كتابًا وسنَّةً كلَّها مطلقةٌ‌، بحيث تشمل الجاهل والعالِمَ‌، </w:t>
      </w:r>
    </w:p>
    <w:p>
      <w:pPr>
        <w:pStyle w:val="BookText"/>
        <w:rPr/>
      </w:pPr>
      <w:r>
        <w:rPr>
          <w:rFonts w:ascii="Amiri" w:hAnsi="Amiri" w:eastAsia="Amiri" w:cs="Amiri"/>
          <w:color w:val="111111"/>
          <w:sz w:val="28"/>
          <w:sz w:val="28"/>
          <w:szCs w:val="28"/>
          <w:rtl w:val="true"/>
          <w:lang w:bidi="ar-SA"/>
        </w:rPr>
        <w:t>والمسلم والكافر، والبالغ وغير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وقد أُدُّعي ثبوت الإجماع عليه، كما حكاه السَّيِّد الخوئيُّ قدس سره</w:t>
      </w:r>
      <w:r>
        <w:rPr>
          <w:rStyle w:val="FootnoteAnchor"/>
          <w:rtl w:val="true"/>
        </w:rPr>
        <w:footnoteReference w:id="1159"/>
      </w:r>
      <w:r>
        <w:rPr>
          <w:rFonts w:ascii="Amiri" w:hAnsi="Amiri" w:eastAsia="Amiri" w:cs="Amiri"/>
          <w:color w:val="111111"/>
          <w:sz w:val="28"/>
          <w:sz w:val="28"/>
          <w:szCs w:val="28"/>
          <w:rtl w:val="true"/>
          <w:lang w:bidi="ar-SA"/>
        </w:rPr>
        <w:t>، بل وادَّعاه الفقيه السَّبزواريُّ قدس سره</w:t>
      </w:r>
      <w:r>
        <w:rPr>
          <w:rStyle w:val="FootnoteAnchor"/>
          <w:rtl w:val="true"/>
        </w:rPr>
        <w:footnoteReference w:id="1160"/>
      </w:r>
      <w:r>
        <w:rPr>
          <w:rFonts w:ascii="Amiri" w:hAnsi="Amiri" w:eastAsia="Amiri" w:cs="Amiri"/>
          <w:color w:val="111111"/>
          <w:sz w:val="28"/>
          <w:sz w:val="28"/>
          <w:szCs w:val="28"/>
          <w:rtl w:val="true"/>
          <w:lang w:bidi="ar-SA"/>
        </w:rPr>
        <w:t>، والمحقِّق النَّائينيُّ قدس سره</w:t>
      </w:r>
      <w:r>
        <w:rPr>
          <w:rStyle w:val="FootnoteAnchor"/>
          <w:rtl w:val="true"/>
        </w:rPr>
        <w:footnoteReference w:id="1161"/>
      </w:r>
      <w:r>
        <w:rPr>
          <w:rFonts w:ascii="Amiri" w:hAnsi="Amiri" w:eastAsia="Amiri" w:cs="Amiri"/>
          <w:color w:val="111111"/>
          <w:sz w:val="28"/>
          <w:sz w:val="28"/>
          <w:szCs w:val="28"/>
          <w:rtl w:val="true"/>
          <w:lang w:bidi="ar-SA"/>
        </w:rPr>
        <w:t>، وغيرهم</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يُنبِىء عن ذلك؛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المقَصِّر كالعامد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حكاه السَّيِّد الشَّاهروديُّ الفقيه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حُكِي عن صاحب الجواهر قدس سره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خالفهم في إطلاق هذا القول المحقِّق الشَّيخ محمَّدرضا النَّجفي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نجعة المُرتاد في ميراث حوزۀ اصفهان،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فيه في رسالة في قاعدة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بحث الفقيه السَّيِّد عبداللَّه الشِّيرازي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عن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السَّيِّد محمَّد الرَّوحاني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الشَّيخ الصَّافي؛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w:t>
      </w:r>
    </w:p>
    <w:p>
      <w:pPr>
        <w:pStyle w:val="BookText"/>
        <w:rPr/>
      </w:pPr>
      <w:r>
        <w:rPr>
          <w:rFonts w:ascii="Amiri" w:hAnsi="Amiri" w:eastAsia="Amiri" w:cs="Amiri"/>
          <w:color w:val="111111"/>
          <w:sz w:val="28"/>
          <w:sz w:val="28"/>
          <w:szCs w:val="28"/>
          <w:rtl w:val="true"/>
          <w:lang w:bidi="ar-SA"/>
        </w:rPr>
        <w:t>استواء الجاهل والعالم في التَّكليف؛ بل 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القاصر كالعامِد في توجُّه التَّكليف نحوهما، بلا فرقٍ‌</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الكفَّار يُعاقَبُون بالفروع كما يُعاقَبُون بالأصول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نصَّ عليه السَّيِّد بحرالعلوم قدس سره</w:t>
      </w:r>
      <w:r>
        <w:rPr>
          <w:rStyle w:val="FootnoteAnchor"/>
          <w:rtl w:val="true"/>
        </w:rPr>
        <w:footnoteReference w:id="1164"/>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1165"/>
      </w:r>
      <w:r>
        <w:rPr>
          <w:rFonts w:ascii="Amiri" w:hAnsi="Amiri" w:eastAsia="Amiri" w:cs="Amiri"/>
          <w:color w:val="111111"/>
          <w:sz w:val="28"/>
          <w:sz w:val="28"/>
          <w:szCs w:val="28"/>
          <w:rtl w:val="true"/>
          <w:lang w:bidi="ar-SA"/>
        </w:rPr>
        <w:t>، والفقيه العَلياريُّ قدس سره</w:t>
      </w:r>
      <w:r>
        <w:rPr>
          <w:rStyle w:val="FootnoteAnchor"/>
          <w:rtl w:val="true"/>
        </w:rPr>
        <w:footnoteReference w:id="1166"/>
      </w:r>
      <w:r>
        <w:rPr>
          <w:rFonts w:ascii="Amiri" w:hAnsi="Amiri" w:eastAsia="Amiri" w:cs="Amiri"/>
          <w:color w:val="111111"/>
          <w:sz w:val="28"/>
          <w:sz w:val="28"/>
          <w:szCs w:val="28"/>
          <w:rtl w:val="true"/>
          <w:lang w:bidi="ar-SA"/>
        </w:rPr>
        <w:t>، والشَّيخ محمَّدحسين آل كاشف الغطاء قدس سره</w:t>
      </w:r>
      <w:r>
        <w:rPr>
          <w:rStyle w:val="FootnoteAnchor"/>
          <w:rtl w:val="true"/>
        </w:rPr>
        <w:footnoteReference w:id="1167"/>
      </w:r>
      <w:r>
        <w:rPr>
          <w:rFonts w:ascii="Amiri" w:hAnsi="Amiri" w:eastAsia="Amiri" w:cs="Amiri"/>
          <w:color w:val="111111"/>
          <w:sz w:val="28"/>
          <w:sz w:val="28"/>
          <w:szCs w:val="28"/>
          <w:rtl w:val="true"/>
          <w:lang w:bidi="ar-SA"/>
        </w:rPr>
        <w:t>، والمحقِّق الآمليُّ قدس سره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حُكِي إجماع الأصحاب علىٰ هذه القاعدة، كما عن الفقيه الحكيم قدس سره</w:t>
      </w:r>
      <w:r>
        <w:rPr>
          <w:rStyle w:val="FootnoteAnchor"/>
          <w:rtl w:val="true"/>
        </w:rPr>
        <w:footnoteReference w:id="1169"/>
      </w:r>
      <w:r>
        <w:rPr>
          <w:rFonts w:ascii="Amiri" w:hAnsi="Amiri" w:eastAsia="Amiri" w:cs="Amiri"/>
          <w:color w:val="111111"/>
          <w:sz w:val="28"/>
          <w:sz w:val="28"/>
          <w:szCs w:val="28"/>
          <w:rtl w:val="true"/>
          <w:lang w:bidi="ar-SA"/>
        </w:rPr>
        <w:t>والأصوليُّون أيضًا أشاروا إلى القاعدة، كالشَّيخ الكرباسيِّ قدس سره</w:t>
      </w:r>
      <w:r>
        <w:rPr>
          <w:rStyle w:val="FootnoteAnchor"/>
          <w:rtl w:val="true"/>
        </w:rPr>
        <w:footnoteReference w:id="1170"/>
      </w:r>
      <w:r>
        <w:rPr>
          <w:rFonts w:ascii="Amiri" w:hAnsi="Amiri" w:eastAsia="Amiri" w:cs="Amiri"/>
          <w:color w:val="111111"/>
          <w:sz w:val="28"/>
          <w:sz w:val="28"/>
          <w:szCs w:val="28"/>
          <w:rtl w:val="true"/>
          <w:lang w:bidi="ar-SA"/>
        </w:rPr>
        <w:t>، والسَّيِّد شبَّر قدس سره</w:t>
      </w:r>
      <w:r>
        <w:rPr>
          <w:rStyle w:val="FootnoteAnchor"/>
          <w:rtl w:val="true"/>
        </w:rPr>
        <w:footnoteReference w:id="1171"/>
      </w:r>
      <w:r>
        <w:rPr>
          <w:rFonts w:ascii="Amiri" w:hAnsi="Amiri" w:eastAsia="Amiri" w:cs="Amiri"/>
          <w:color w:val="111111"/>
          <w:sz w:val="28"/>
          <w:sz w:val="28"/>
          <w:szCs w:val="28"/>
          <w:rtl w:val="true"/>
          <w:lang w:bidi="ar-SA"/>
        </w:rPr>
        <w:t>، والعلَّامة الشَّيخ حسين الحلِّي قدس سره</w:t>
      </w:r>
      <w:r>
        <w:rPr>
          <w:rStyle w:val="FootnoteAnchor"/>
          <w:rtl w:val="true"/>
        </w:rPr>
        <w:footnoteReference w:id="1172"/>
      </w:r>
      <w:r>
        <w:rPr>
          <w:rFonts w:ascii="Amiri" w:hAnsi="Amiri" w:eastAsia="Amiri" w:cs="Amiri"/>
          <w:color w:val="111111"/>
          <w:sz w:val="28"/>
          <w:sz w:val="28"/>
          <w:szCs w:val="28"/>
          <w:rtl w:val="true"/>
          <w:lang w:bidi="ar-SA"/>
        </w:rPr>
        <w:t>، والمحقِّق الرَّشتي قدس سره</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استواء الكافر والمسلم في توجُّهه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لانحتاج إلى قيد التَّوجُّه أصلًا، لأنَّ التَّكاليف كلَّها عامَّةٌ صدرَتْ علىٰ سبيل القضايا الحقيقيَّة، لا علىٰ سبيل القضايا الجزئيَّة حتَّى نحتاج فيها إلى التَّوجُّه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والقوانين كلُّها في جميع المِلَل والنِّحَل هكذا صدرَتْ‌، ولاينحصر هذا في التَّكاليف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إقتضاء التَّكليف وثبوت ملاكه وإنشائه وفعليَّته عامٌّ من غير فرقٍ في ذلك بين الواجب والمندوب والمكروه والمحرَّم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التَّكليف يختصُّ بالبالغ العاقل العالِم القادر؛ ولذلك إنَّ البلوغ والعقل والعلم بالتَّكليف والقُدرة عليه سُمِّيَت بالشَّرائط العامَّة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إذن معنىٰ الشَّرائط أنَّ التَّكليف تَخصَّصَ بها، بل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التَّكليف يتوقَّف علىٰ هذه الشُّروط عقلًا، وإلَّا يلزم التَّكليف بما لايُطاقُ‌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من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الشُّروط من باب التَّخصيص في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غاية الضَّعف والسُّقوط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الشُّروط هذه ليستْ في مرتبة الإقتضاء والإنشاء والفعليَّة حتَّى تُخَصِّص التَّكليف، بل في مرتبة التَّنجُّز فقط؛ فلايُعقَل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لاغبار عليه،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المسائل الَّتي قياساتُها معها، ويكفي تصوُّرُها للتَّصديق بها وإن اشتَهَرَ عن بعض الأصحاب ما يخالفه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بما ذكرنا هيهنا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والنَّدب والإباحة </w:t>
      </w:r>
    </w:p>
    <w:p>
      <w:pPr>
        <w:pStyle w:val="BookText"/>
        <w:rPr/>
      </w:pPr>
      <w:r>
        <w:rPr>
          <w:rFonts w:ascii="Amiri" w:hAnsi="Amiri" w:eastAsia="Amiri" w:cs="Amiri"/>
          <w:color w:val="111111"/>
          <w:sz w:val="28"/>
          <w:sz w:val="28"/>
          <w:szCs w:val="28"/>
          <w:rtl w:val="true"/>
          <w:lang w:bidi="ar-SA"/>
        </w:rPr>
        <w:t xml:space="preserve">والكراهة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علىٰ النَّحو الَّذي يشمل جميع النَّاس، فهي تشمل غير البالغ كما تشمل البالغَ من غير تفاوتٍ بحسب الملاك والإنشاء والفعليَّة؛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لوأتىٰ الصَّبيُّ غير البالغ بها، فقد أتىٰ بالملاك، ووافَقَ الإنشاء والفعليَّة، فأتىٰ بمطلوب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تفاوتٍ بين ما فعل وما فعله البالغُ‌؛ وِفاقًا للأكثر، كصاحب المدارك قدس سره</w:t>
      </w:r>
      <w:r>
        <w:rPr>
          <w:rStyle w:val="FootnoteAnchor"/>
          <w:rtl w:val="true"/>
        </w:rPr>
        <w:footnoteReference w:id="1174"/>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1175"/>
      </w:r>
      <w:r>
        <w:rPr>
          <w:rFonts w:ascii="Amiri" w:hAnsi="Amiri" w:eastAsia="Amiri" w:cs="Amiri"/>
          <w:color w:val="111111"/>
          <w:sz w:val="28"/>
          <w:sz w:val="28"/>
          <w:szCs w:val="28"/>
          <w:rtl w:val="true"/>
          <w:lang w:bidi="ar-SA"/>
        </w:rPr>
        <w:t>، والمحقِّق القمِّي قدس سره</w:t>
      </w:r>
      <w:r>
        <w:rPr>
          <w:rStyle w:val="FootnoteAnchor"/>
          <w:rtl w:val="true"/>
        </w:rPr>
        <w:footnoteReference w:id="1176"/>
      </w:r>
      <w:r>
        <w:rPr>
          <w:rFonts w:ascii="Amiri" w:hAnsi="Amiri" w:eastAsia="Amiri" w:cs="Amiri"/>
          <w:color w:val="111111"/>
          <w:sz w:val="28"/>
          <w:sz w:val="28"/>
          <w:szCs w:val="28"/>
          <w:rtl w:val="true"/>
          <w:lang w:bidi="ar-SA"/>
        </w:rPr>
        <w:t>، والفاضل النَّراقي قدس سره</w:t>
      </w:r>
      <w:r>
        <w:rPr>
          <w:rStyle w:val="FootnoteAnchor"/>
          <w:rtl w:val="true"/>
        </w:rPr>
        <w:footnoteReference w:id="1177"/>
      </w:r>
      <w:r>
        <w:rPr>
          <w:rFonts w:ascii="Amiri" w:hAnsi="Amiri" w:eastAsia="Amiri" w:cs="Amiri"/>
          <w:color w:val="111111"/>
          <w:sz w:val="28"/>
          <w:sz w:val="28"/>
          <w:szCs w:val="28"/>
          <w:rtl w:val="true"/>
          <w:lang w:bidi="ar-SA"/>
        </w:rPr>
        <w:t>، والمدقِّق الأصفهانيِّ قدس سره</w:t>
      </w:r>
      <w:r>
        <w:rPr>
          <w:rStyle w:val="FootnoteAnchor"/>
          <w:rtl w:val="true"/>
        </w:rPr>
        <w:footnoteReference w:id="1178"/>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1179"/>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180"/>
      </w:r>
      <w:r>
        <w:rPr>
          <w:rFonts w:ascii="Amiri" w:hAnsi="Amiri" w:eastAsia="Amiri" w:cs="Amiri"/>
          <w:color w:val="111111"/>
          <w:sz w:val="28"/>
          <w:sz w:val="28"/>
          <w:szCs w:val="28"/>
          <w:rtl w:val="true"/>
          <w:lang w:bidi="ar-SA"/>
        </w:rPr>
        <w:t>، والمحقِّق الهمدانيِّ قدس سره</w:t>
      </w:r>
      <w:r>
        <w:rPr>
          <w:rStyle w:val="FootnoteAnchor"/>
          <w:rtl w:val="true"/>
        </w:rPr>
        <w:footnoteReference w:id="1181"/>
      </w:r>
      <w:r>
        <w:rPr>
          <w:rFonts w:ascii="Amiri" w:hAnsi="Amiri" w:eastAsia="Amiri" w:cs="Amiri"/>
          <w:color w:val="111111"/>
          <w:sz w:val="28"/>
          <w:sz w:val="28"/>
          <w:szCs w:val="28"/>
          <w:rtl w:val="true"/>
          <w:lang w:bidi="ar-SA"/>
        </w:rPr>
        <w:t>، وصاحب العروة قدس سره</w:t>
      </w:r>
      <w:r>
        <w:rPr>
          <w:rStyle w:val="FootnoteAnchor"/>
          <w:rtl w:val="true"/>
        </w:rPr>
        <w:footnoteReference w:id="1182"/>
      </w:r>
      <w:r>
        <w:rPr>
          <w:rFonts w:ascii="Amiri" w:hAnsi="Amiri" w:eastAsia="Amiri" w:cs="Amiri"/>
          <w:color w:val="111111"/>
          <w:sz w:val="28"/>
          <w:sz w:val="28"/>
          <w:szCs w:val="28"/>
          <w:rtl w:val="true"/>
          <w:lang w:bidi="ar-SA"/>
        </w:rPr>
        <w:t>، وسيِّدنا الأستاذ المحقِّق الدَّاماد قدس سره</w:t>
      </w:r>
      <w:r>
        <w:rPr>
          <w:rStyle w:val="FootnoteAnchor"/>
          <w:rtl w:val="true"/>
        </w:rPr>
        <w:footnoteReference w:id="1183"/>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184"/>
      </w:r>
      <w:r>
        <w:rPr>
          <w:rFonts w:ascii="Amiri" w:hAnsi="Amiri" w:eastAsia="Amiri" w:cs="Amiri"/>
          <w:color w:val="111111"/>
          <w:sz w:val="28"/>
          <w:sz w:val="28"/>
          <w:szCs w:val="28"/>
          <w:rtl w:val="true"/>
          <w:lang w:bidi="ar-SA"/>
        </w:rPr>
        <w:t>، والمحقِّق الآملي قدس سره</w:t>
      </w:r>
      <w:r>
        <w:rPr>
          <w:rStyle w:val="FootnoteAnchor"/>
          <w:rtl w:val="true"/>
        </w:rPr>
        <w:footnoteReference w:id="1185"/>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للقليلين، كالفاضل الأستراباديِّ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ماحكاه عنه العلَّامة المجلسيُّ قدس سره في مرآته</w:t>
      </w:r>
      <w:r>
        <w:rPr>
          <w:rStyle w:val="FootnoteAnchor"/>
          <w:rtl w:val="true"/>
        </w:rPr>
        <w:footnoteReference w:id="1186"/>
      </w:r>
      <w:r>
        <w:rPr>
          <w:rFonts w:ascii="IRNazanin" w:hAnsi="IRNazanin" w:eastAsia="IRNazanin"/>
          <w:color w:val="111111"/>
          <w:sz w:val="28"/>
          <w:sz w:val="28"/>
          <w:szCs w:val="28"/>
          <w:rtl w:val="true"/>
          <w:lang w:bidi="fa-IR"/>
        </w:rPr>
        <w:t>، وملاذه</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العراقي</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 بها فقد فاتَ عنه من غير عقوبةٍ ولا قضاءٍ‌، لعدم وضْعِ قلمِ التَّكليف عليه؛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المكروه والحرام، فلوأتىٰ بهما فقد أتىٰ بالمبغوض من غير عقوبةٍ عليه فيه، لعدم التَّكليف عليه</w:t>
      </w:r>
      <w:r>
        <w:rPr>
          <w:rStyle w:val="FootnoteAnchor"/>
          <w:rtl w:val="true"/>
        </w:rPr>
        <w:footnoteReference w:id="1189"/>
      </w:r>
      <w:r>
        <w:rPr>
          <w:rFonts w:ascii="Amiri" w:hAnsi="Amiri" w:eastAsia="Amiri" w:cs="Amiri"/>
          <w:color w:val="111111"/>
          <w:sz w:val="28"/>
          <w:sz w:val="28"/>
          <w:szCs w:val="28"/>
          <w:rtl w:val="true"/>
          <w:lang w:bidi="ar-SA"/>
        </w:rPr>
        <w:t>، بل في موارد خاصَّةٍ فقط يُعاقَب علىٰ الحرام، كالسِّرقة واللَّواطة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المجلسيِّ الأوَّل قدس سرهما</w:t>
      </w:r>
      <w:r>
        <w:rPr>
          <w:rStyle w:val="FootnoteAnchor"/>
          <w:rtl w:val="true"/>
        </w:rPr>
        <w:footnoteReference w:id="1190"/>
      </w:r>
      <w:r>
        <w:rPr>
          <w:rFonts w:ascii="Amiri" w:hAnsi="Amiri" w:eastAsia="Amiri" w:cs="Amiri"/>
          <w:color w:val="111111"/>
          <w:sz w:val="28"/>
          <w:sz w:val="28"/>
          <w:szCs w:val="28"/>
          <w:rtl w:val="true"/>
          <w:lang w:bidi="ar-SA"/>
        </w:rPr>
        <w:t>، والمحقِّق الشَّيخ التُّستَري قدس سره</w:t>
      </w:r>
      <w:r>
        <w:rPr>
          <w:rStyle w:val="FootnoteAnchor"/>
          <w:rtl w:val="true"/>
        </w:rPr>
        <w:footnoteReference w:id="1191"/>
      </w:r>
      <w:r>
        <w:rPr>
          <w:rFonts w:ascii="Amiri" w:hAnsi="Amiri" w:eastAsia="Amiri" w:cs="Amiri"/>
          <w:color w:val="111111"/>
          <w:sz w:val="28"/>
          <w:sz w:val="28"/>
          <w:szCs w:val="28"/>
          <w:rtl w:val="true"/>
          <w:lang w:bidi="ar-SA"/>
        </w:rPr>
        <w:t>، وابن سعيدٍ قدس سره</w:t>
      </w:r>
      <w:r>
        <w:rPr>
          <w:rStyle w:val="FootnoteAnchor"/>
          <w:rtl w:val="true"/>
        </w:rPr>
        <w:footnoteReference w:id="1192"/>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1193"/>
      </w:r>
      <w:r>
        <w:rPr>
          <w:rFonts w:ascii="IRNazanin" w:hAnsi="IRNazanin" w:eastAsia="IRNazanin"/>
          <w:color w:val="111111"/>
          <w:sz w:val="28"/>
          <w:sz w:val="28"/>
          <w:szCs w:val="28"/>
          <w:rtl w:val="true"/>
          <w:lang w:bidi="fa-IR"/>
        </w:rPr>
        <w:t>، ومختلفه</w:t>
      </w:r>
      <w:r>
        <w:rPr>
          <w:rStyle w:val="FootnoteAnchor"/>
          <w:rtl w:val="true"/>
        </w:rPr>
        <w:footnoteReference w:id="1194"/>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195"/>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196"/>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19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81" w:name="pg20339_220506"/>
    </w:p>
    <w:p>
      <w:pPr>
        <w:pStyle w:val="BookText"/>
        <w:rPr/>
      </w:pPr>
      <w:bookmarkEnd w:id="481"/>
      <w:r>
        <w:rPr>
          <w:rFonts w:ascii="Amiri" w:hAnsi="Amiri" w:eastAsia="Amiri" w:cs="Amiri"/>
          <w:color w:val="111111"/>
          <w:sz w:val="28"/>
          <w:sz w:val="28"/>
          <w:szCs w:val="28"/>
          <w:rtl w:val="true"/>
          <w:lang w:bidi="ar-SA"/>
        </w:rPr>
        <w:t xml:space="preserve">والعامَّة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كابنَي قُدامَة قدس سرهما</w:t>
      </w:r>
      <w:r>
        <w:rPr>
          <w:rStyle w:val="FootnoteAnchor"/>
          <w:rtl w:val="true"/>
        </w:rPr>
        <w:footnoteReference w:id="1198"/>
      </w:r>
      <w:r>
        <w:rPr>
          <w:rFonts w:ascii="Amiri" w:hAnsi="Amiri" w:eastAsia="Amiri" w:cs="Amiri"/>
          <w:color w:val="111111"/>
          <w:sz w:val="28"/>
          <w:sz w:val="28"/>
          <w:szCs w:val="28"/>
          <w:rtl w:val="true"/>
          <w:lang w:bidi="ar-SA"/>
        </w:rPr>
        <w:t>، والماوُردِيِّ قدس سره</w:t>
      </w:r>
      <w:r>
        <w:rPr>
          <w:rStyle w:val="FootnoteAnchor"/>
          <w:rtl w:val="true"/>
        </w:rPr>
        <w:footnoteReference w:id="1199"/>
      </w:r>
      <w:r>
        <w:rPr>
          <w:rFonts w:ascii="Amiri" w:hAnsi="Amiri" w:eastAsia="Amiri" w:cs="Amiri"/>
          <w:color w:val="111111"/>
          <w:sz w:val="28"/>
          <w:sz w:val="28"/>
          <w:szCs w:val="28"/>
          <w:rtl w:val="true"/>
          <w:lang w:bidi="ar-SA"/>
        </w:rPr>
        <w:t>، وابنِرشدٍ قدس سره</w:t>
      </w:r>
      <w:r>
        <w:rPr>
          <w:rStyle w:val="FootnoteAnchor"/>
          <w:rtl w:val="true"/>
        </w:rPr>
        <w:footnoteReference w:id="1200"/>
      </w:r>
      <w:r>
        <w:rPr>
          <w:rFonts w:ascii="Amiri" w:hAnsi="Amiri" w:eastAsia="Amiri" w:cs="Amiri"/>
          <w:color w:val="111111"/>
          <w:sz w:val="28"/>
          <w:sz w:val="28"/>
          <w:szCs w:val="28"/>
          <w:rtl w:val="true"/>
          <w:lang w:bidi="ar-SA"/>
        </w:rPr>
        <w:t>، والجَزَريِّ قدس سره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المذمَّة وأنَّ النَّاس يذُمُّونه علىٰ ما فعل، أمرٌ آخر غير المعاقبة الشَّرعيَّة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1979382_1280447820"/>
      <w:bookmarkStart w:id="483" w:name="_Toc180"/>
      <w:bookmarkEnd w:id="482"/>
      <w:r>
        <w:rPr>
          <w:rtl w:val="true"/>
        </w:rPr>
        <w:t>مدركُ القاعدة</w:t>
      </w:r>
      <w:bookmarkEnd w:id="483"/>
    </w:p>
    <w:p>
      <w:pPr>
        <w:pStyle w:val="Heading4"/>
        <w:numPr>
          <w:ilvl w:val="3"/>
          <w:numId w:val="1"/>
        </w:numPr>
        <w:rPr/>
      </w:pPr>
      <w:bookmarkStart w:id="484" w:name="__RefHeading___Toc11979384_1280447820"/>
      <w:bookmarkStart w:id="485" w:name="_Toc181"/>
      <w:bookmarkEnd w:id="484"/>
      <w:r>
        <w:rPr>
          <w:rtl w:val="true"/>
        </w:rPr>
        <w:t>أوَّلًا</w:t>
      </w:r>
      <w:r>
        <w:rPr>
          <w:rtl w:val="true"/>
        </w:rPr>
        <w:t xml:space="preserve">: </w:t>
      </w:r>
      <w:r>
        <w:rPr>
          <w:rtl w:val="true"/>
        </w:rPr>
        <w:t>عموم الأدلَّة كتابًا وسنَّةً‌</w:t>
      </w:r>
      <w:bookmarkEnd w:id="485"/>
    </w:p>
    <w:p>
      <w:pPr>
        <w:pStyle w:val="BookText"/>
        <w:rPr/>
      </w:pPr>
      <w:r>
        <w:rPr>
          <w:rFonts w:ascii="Amiri" w:hAnsi="Amiri" w:eastAsia="Amiri" w:cs="Amiri"/>
          <w:color w:val="111111"/>
          <w:sz w:val="28"/>
          <w:sz w:val="28"/>
          <w:szCs w:val="28"/>
          <w:rtl w:val="true"/>
          <w:lang w:bidi="ar-SA"/>
        </w:rPr>
        <w:t xml:space="preserve">بما قلنا ظهر أنَّ مدرك القاعدة هو شمول أدلَّة الأحكام للصِّبيان وغير البالغين، كما تشمل البالغين أيضًا؛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يشمل جميعَ مَن يمكن أن يُخاطَب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يُتُوَهَّم في المقام أنَّ حديث الرَّفع وأمثاله يُخصِّص هذا الإطلاق؛</w:t>
      </w:r>
    </w:p>
    <w:p>
      <w:pPr>
        <w:pStyle w:val="BookText"/>
        <w:rPr/>
      </w:pPr>
      <w:r>
        <w:rPr>
          <w:rFonts w:ascii="Amiri" w:hAnsi="Amiri" w:eastAsia="Amiri" w:cs="Amiri"/>
          <w:color w:val="111111"/>
          <w:sz w:val="28"/>
          <w:sz w:val="28"/>
          <w:szCs w:val="28"/>
          <w:rtl w:val="true"/>
          <w:lang w:bidi="ar-SA"/>
        </w:rPr>
        <w:t>وهذا وهمٌ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وسنبحث عنه في التَّنبيه الأوَّل من تنبيهات القاعدة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فهذا العموم والشُّمول هو المدرك الوحيد الَّذي لانحتاج معه إلى مدركٍ آخر في المسألة</w:t>
      </w:r>
      <w:r>
        <w:rPr>
          <w:rFonts w:eastAsia="Amiri" w:cs="Amiri" w:ascii="Amiri" w:hAnsi="Amiri"/>
          <w:color w:val="111111"/>
          <w:sz w:val="28"/>
          <w:szCs w:val="28"/>
          <w:rtl w:val="true"/>
          <w:lang w:bidi="ar-SA"/>
        </w:rPr>
        <w:t xml:space="preserve">. </w:t>
      </w:r>
      <w:bookmarkStart w:id="486" w:name="pg20339_220507"/>
    </w:p>
    <w:p>
      <w:pPr>
        <w:pStyle w:val="Heading3"/>
        <w:numPr>
          <w:ilvl w:val="2"/>
          <w:numId w:val="1"/>
        </w:numPr>
        <w:rPr/>
      </w:pPr>
      <w:bookmarkStart w:id="487" w:name="__RefHeading___Toc11979386_1280447820"/>
      <w:bookmarkStart w:id="488" w:name="_Toc182"/>
      <w:bookmarkEnd w:id="486"/>
      <w:bookmarkEnd w:id="487"/>
      <w:r>
        <w:rPr>
          <w:rtl w:val="true"/>
        </w:rPr>
        <w:t>تنبيهاتٌ‌</w:t>
      </w:r>
      <w:r>
        <w:rPr>
          <w:rtl w:val="true"/>
        </w:rPr>
        <w:t>:</w:t>
      </w:r>
      <w:bookmarkEnd w:id="488"/>
    </w:p>
    <w:p>
      <w:pPr>
        <w:pStyle w:val="Heading4"/>
        <w:numPr>
          <w:ilvl w:val="3"/>
          <w:numId w:val="1"/>
        </w:numPr>
        <w:rPr/>
      </w:pPr>
      <w:bookmarkStart w:id="489" w:name="__RefHeading___Toc11979388_1280447820"/>
      <w:bookmarkStart w:id="490" w:name="_Toc183"/>
      <w:bookmarkEnd w:id="489"/>
      <w:r>
        <w:rPr>
          <w:rtl w:val="true"/>
        </w:rPr>
        <w:t>التَّنبيه الأوَّل</w:t>
      </w:r>
      <w:r>
        <w:rPr>
          <w:rtl w:val="true"/>
        </w:rPr>
        <w:t>:</w:t>
      </w:r>
      <w:bookmarkEnd w:id="490"/>
    </w:p>
    <w:p>
      <w:pPr>
        <w:pStyle w:val="BookText"/>
        <w:rPr/>
      </w:pPr>
      <w:r>
        <w:rPr>
          <w:rFonts w:ascii="Amiri" w:hAnsi="Amiri" w:eastAsia="Amiri" w:cs="Amiri"/>
          <w:color w:val="111111"/>
          <w:sz w:val="28"/>
          <w:sz w:val="28"/>
          <w:szCs w:val="28"/>
          <w:rtl w:val="true"/>
          <w:lang w:bidi="ar-SA"/>
        </w:rPr>
        <w:t>قد اشتهر بين الأصحاب أنَّ حديث الرَّفع يُخصِّص التَّكاليف؛ فلاتكليف علىٰ غير البالغ وغير العاقل وغير العالِم وغير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به الصَّبيُّ من التَّكليف المطلوب ليس إلَّاتمرينًا له ومثوبةً لوالِدَيه؛ وإن أتىٰ بالمبغوضِ فليس عليه ولا علىٰ والِدَيه شيءٌ‌، لقاعدة رفع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الأصحاب جعلوا الصَّبيَّ كالحَيَوان الَّذي لا تكليف عليه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عبَّر عنه الفقيه الهمدانيُّ قدس سره بقوله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ملحوظيَّة الصَّبيِّ والمجنون رأسًا في مقام شرع التَّكاليف، فلاأثر للتَّكاليف بالنِّسبة إليهم أصلًا</w:t>
      </w:r>
      <w:r>
        <w:rPr>
          <w:rFonts w:eastAsia="Amiri" w:cs="Amiri" w:ascii="Amiri" w:hAnsi="Amiri"/>
          <w:color w:val="111111"/>
          <w:sz w:val="28"/>
          <w:szCs w:val="28"/>
          <w:rtl w:val="true"/>
          <w:lang w:bidi="ar-SA"/>
        </w:rPr>
        <w:t>»</w:t>
      </w:r>
      <w:r>
        <w:rPr>
          <w:rStyle w:val="FootnoteAnchor"/>
          <w:rtl w:val="true"/>
        </w:rPr>
        <w:footnoteReference w:id="120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عنه، وقد أشار إليه كثيرٌ من الأصحاب، كالشَّيخ محمَّدحسين آل كاشف الغطاء قدس سره</w:t>
      </w:r>
      <w:r>
        <w:rPr>
          <w:rStyle w:val="FootnoteAnchor"/>
          <w:rtl w:val="true"/>
        </w:rPr>
        <w:footnoteReference w:id="1204"/>
      </w:r>
      <w:r>
        <w:rPr>
          <w:rFonts w:ascii="Amiri" w:hAnsi="Amiri" w:eastAsia="Amiri" w:cs="Amiri"/>
          <w:color w:val="111111"/>
          <w:sz w:val="28"/>
          <w:sz w:val="28"/>
          <w:szCs w:val="28"/>
          <w:rtl w:val="true"/>
          <w:lang w:bidi="ar-SA"/>
        </w:rPr>
        <w:t>، وشُبَّر الحسينيِّ قدس سره</w:t>
      </w:r>
      <w:r>
        <w:rPr>
          <w:rStyle w:val="FootnoteAnchor"/>
          <w:rtl w:val="true"/>
        </w:rPr>
        <w:footnoteReference w:id="1205"/>
      </w:r>
      <w:r>
        <w:rPr>
          <w:rFonts w:ascii="Amiri" w:hAnsi="Amiri" w:eastAsia="Amiri" w:cs="Amiri"/>
          <w:color w:val="111111"/>
          <w:sz w:val="28"/>
          <w:sz w:val="28"/>
          <w:szCs w:val="28"/>
          <w:rtl w:val="true"/>
          <w:lang w:bidi="ar-SA"/>
        </w:rPr>
        <w:t>، والعلَّامة الشَّيخ حسين الحلِّي قدس سره</w:t>
      </w:r>
      <w:r>
        <w:rPr>
          <w:rStyle w:val="FootnoteAnchor"/>
          <w:rtl w:val="true"/>
        </w:rPr>
        <w:footnoteReference w:id="1206"/>
      </w:r>
      <w:r>
        <w:rPr>
          <w:rFonts w:ascii="Amiri" w:hAnsi="Amiri" w:eastAsia="Amiri" w:cs="Amiri"/>
          <w:color w:val="111111"/>
          <w:sz w:val="28"/>
          <w:sz w:val="28"/>
          <w:szCs w:val="28"/>
          <w:rtl w:val="true"/>
          <w:lang w:bidi="ar-SA"/>
        </w:rPr>
        <w:t>، والعلَّامة الشَّيخ الآملي قدس سره</w:t>
      </w:r>
      <w:r>
        <w:rPr>
          <w:rStyle w:val="FootnoteAnchor"/>
          <w:rtl w:val="true"/>
        </w:rPr>
        <w:footnoteReference w:id="1207"/>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1208"/>
      </w:r>
      <w:r>
        <w:rPr>
          <w:rFonts w:ascii="Amiri" w:hAnsi="Amiri" w:eastAsia="Amiri" w:cs="Amiri"/>
          <w:color w:val="111111"/>
          <w:sz w:val="28"/>
          <w:sz w:val="28"/>
          <w:szCs w:val="28"/>
          <w:rtl w:val="true"/>
          <w:lang w:bidi="ar-SA"/>
        </w:rPr>
        <w:t>، وغيرهم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الكلام أصلٌ لا أصل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يختَصُّ بباب القصاص والدِّيات، ولايشمل مطلقَ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الصِّبيان غير مكلَّفين واضحٌ‌، نصًّا وفتوىً‌، من غير حاجةٍ إلى حديث الرَّفع؛ أمَّا دلالة الحديث علىٰ عدم التَّكليف عليهم مطلقًا بحيث إنْ جاؤوا بعبادةٍ فليستْ إلَّاتمرينًا لهم، فلايدلُّ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ونحوَه كما قلنا مربوطٌ بمرتبة التَّنجُّز، من غير تعرُّضٍ له إلى مرتبة المِلاك والإنشاء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هامَّةٌ‌</w:t>
      </w:r>
    </w:p>
    <w:p>
      <w:pPr>
        <w:pStyle w:val="BookText"/>
        <w:rPr/>
      </w:pPr>
      <w:r>
        <w:rPr>
          <w:rFonts w:ascii="Amiri" w:hAnsi="Amiri" w:eastAsia="Amiri" w:cs="Amiri"/>
          <w:color w:val="111111"/>
          <w:sz w:val="28"/>
          <w:sz w:val="28"/>
          <w:szCs w:val="28"/>
          <w:rtl w:val="true"/>
          <w:lang w:bidi="ar-SA"/>
        </w:rPr>
        <w:t>حديث الرَّفع ورد في صورٍ شتيتةٍ عن جملةٍ من المعصومين عليهم السلام؛</w:t>
      </w:r>
    </w:p>
    <w:p>
      <w:pPr>
        <w:pStyle w:val="BookText"/>
        <w:rPr/>
      </w:pPr>
      <w:r>
        <w:rPr>
          <w:rFonts w:ascii="Amiri" w:hAnsi="Amiri" w:eastAsia="Amiri" w:cs="Amiri"/>
          <w:color w:val="111111"/>
          <w:sz w:val="28"/>
          <w:sz w:val="28"/>
          <w:szCs w:val="28"/>
          <w:rtl w:val="true"/>
          <w:lang w:bidi="ar-SA"/>
        </w:rPr>
        <w:t>فعن النَّبيِّ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الصُّورة وإن لم تختلف مع غيرها من صُوَره في المضمون، لكنَّ الظَّاهر أنَّها لم ترد في مصادرنا، إلَّاما ذكره أبوحنيفة المغربي قدس سره</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وإلَّا ما ذكره ابنُ أبي جمهورٍ قدس سره في عواليه</w:t>
      </w:r>
      <w:r>
        <w:rPr>
          <w:rStyle w:val="FootnoteAnchor"/>
          <w:rtl w:val="true"/>
        </w:rPr>
        <w:footnoteReference w:id="1211"/>
      </w:r>
      <w:r>
        <w:rPr>
          <w:rFonts w:ascii="Amiri" w:hAnsi="Amiri" w:eastAsia="Amiri" w:cs="Amiri"/>
          <w:color w:val="111111"/>
          <w:sz w:val="28"/>
          <w:sz w:val="28"/>
          <w:szCs w:val="28"/>
          <w:rtl w:val="true"/>
          <w:lang w:bidi="ar-SA"/>
        </w:rPr>
        <w:t>، لكنَّها توجد كثيرًا عند أهل السُّنَّة والجماعة، كأحمد</w:t>
      </w:r>
      <w:r>
        <w:rPr>
          <w:rStyle w:val="FootnoteAnchor"/>
          <w:rtl w:val="true"/>
        </w:rPr>
        <w:footnoteReference w:id="1212"/>
      </w:r>
      <w:r>
        <w:rPr>
          <w:rFonts w:ascii="Amiri" w:hAnsi="Amiri" w:eastAsia="Amiri" w:cs="Amiri"/>
          <w:color w:val="111111"/>
          <w:sz w:val="28"/>
          <w:sz w:val="28"/>
          <w:szCs w:val="28"/>
          <w:rtl w:val="true"/>
          <w:lang w:bidi="ar-SA"/>
        </w:rPr>
        <w:t>، وأبي داودٍ قدس سره</w:t>
      </w:r>
      <w:r>
        <w:rPr>
          <w:rStyle w:val="FootnoteAnchor"/>
          <w:rtl w:val="true"/>
        </w:rPr>
        <w:footnoteReference w:id="1213"/>
      </w:r>
      <w:r>
        <w:rPr>
          <w:rFonts w:ascii="Amiri" w:hAnsi="Amiri" w:eastAsia="Amiri" w:cs="Amiri"/>
          <w:color w:val="111111"/>
          <w:sz w:val="28"/>
          <w:sz w:val="28"/>
          <w:szCs w:val="28"/>
          <w:rtl w:val="true"/>
          <w:lang w:bidi="ar-SA"/>
        </w:rPr>
        <w:t>، والبيهقيِّ قدس سره</w:t>
      </w:r>
      <w:r>
        <w:rPr>
          <w:rStyle w:val="FootnoteAnchor"/>
          <w:rtl w:val="true"/>
        </w:rPr>
        <w:footnoteReference w:id="1214"/>
      </w:r>
      <w:r>
        <w:rPr>
          <w:rFonts w:ascii="Amiri" w:hAnsi="Amiri" w:eastAsia="Amiri" w:cs="Amiri"/>
          <w:color w:val="111111"/>
          <w:sz w:val="28"/>
          <w:sz w:val="28"/>
          <w:szCs w:val="28"/>
          <w:rtl w:val="true"/>
          <w:lang w:bidi="ar-SA"/>
        </w:rPr>
        <w:t>، والبُخاريِّ‌</w:t>
      </w:r>
      <w:r>
        <w:rPr>
          <w:rStyle w:val="FootnoteAnchor"/>
          <w:rtl w:val="true"/>
        </w:rPr>
        <w:footnoteReference w:id="1215"/>
      </w:r>
      <w:r>
        <w:rPr>
          <w:rFonts w:ascii="Amiri" w:hAnsi="Amiri" w:eastAsia="Amiri" w:cs="Amiri"/>
          <w:color w:val="111111"/>
          <w:sz w:val="28"/>
          <w:sz w:val="28"/>
          <w:szCs w:val="28"/>
          <w:rtl w:val="true"/>
          <w:lang w:bidi="ar-SA"/>
        </w:rPr>
        <w:t>، وغيرهم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الفقهاء فقد تمسَّكوا بها كثيرًا، كالمرتضىٰ قدس سره</w:t>
      </w:r>
      <w:r>
        <w:rPr>
          <w:rStyle w:val="FootnoteAnchor"/>
          <w:rtl w:val="true"/>
        </w:rPr>
        <w:footnoteReference w:id="1217"/>
      </w:r>
      <w:r>
        <w:rPr>
          <w:rFonts w:ascii="Amiri" w:hAnsi="Amiri" w:eastAsia="Amiri" w:cs="Amiri"/>
          <w:color w:val="111111"/>
          <w:sz w:val="28"/>
          <w:sz w:val="28"/>
          <w:szCs w:val="28"/>
          <w:rtl w:val="true"/>
          <w:lang w:bidi="ar-SA"/>
        </w:rPr>
        <w:t>، والشَّيخ قدس سره في خلافه</w:t>
      </w:r>
      <w:r>
        <w:rPr>
          <w:rStyle w:val="FootnoteAnchor"/>
          <w:rtl w:val="true"/>
        </w:rPr>
        <w:footnoteReference w:id="1218"/>
      </w:r>
      <w:r>
        <w:rPr>
          <w:rFonts w:ascii="IRNazanin" w:hAnsi="IRNazanin" w:eastAsia="IRNazanin"/>
          <w:color w:val="111111"/>
          <w:sz w:val="28"/>
          <w:sz w:val="28"/>
          <w:szCs w:val="28"/>
          <w:rtl w:val="true"/>
          <w:lang w:bidi="fa-IR"/>
        </w:rPr>
        <w:t>، ومبسوطه</w:t>
      </w:r>
      <w:r>
        <w:rPr>
          <w:rStyle w:val="FootnoteAnchor"/>
          <w:rtl w:val="true"/>
        </w:rPr>
        <w:footnoteReference w:id="1219"/>
      </w:r>
      <w:r>
        <w:rPr>
          <w:rFonts w:ascii="Amiri" w:hAnsi="Amiri" w:eastAsia="Amiri" w:cs="Amiri"/>
          <w:color w:val="111111"/>
          <w:sz w:val="28"/>
          <w:sz w:val="28"/>
          <w:szCs w:val="28"/>
          <w:rtl w:val="true"/>
          <w:lang w:bidi="ar-SA"/>
        </w:rPr>
        <w:t>، وابن البرَّاج قدس سره</w:t>
      </w:r>
      <w:r>
        <w:rPr>
          <w:rStyle w:val="FootnoteAnchor"/>
          <w:rtl w:val="true"/>
        </w:rPr>
        <w:footnoteReference w:id="1220"/>
      </w:r>
      <w:r>
        <w:rPr>
          <w:rFonts w:ascii="Amiri" w:hAnsi="Amiri" w:eastAsia="Amiri" w:cs="Amiri"/>
          <w:color w:val="111111"/>
          <w:sz w:val="28"/>
          <w:sz w:val="28"/>
          <w:szCs w:val="28"/>
          <w:rtl w:val="true"/>
          <w:lang w:bidi="ar-SA"/>
        </w:rPr>
        <w:t>، وابن زهرة قدس سره</w:t>
      </w:r>
      <w:r>
        <w:rPr>
          <w:rStyle w:val="FootnoteAnchor"/>
          <w:rtl w:val="true"/>
        </w:rPr>
        <w:footnoteReference w:id="1221"/>
      </w:r>
      <w:r>
        <w:rPr>
          <w:rFonts w:ascii="Amiri" w:hAnsi="Amiri" w:eastAsia="Amiri" w:cs="Amiri"/>
          <w:color w:val="111111"/>
          <w:sz w:val="28"/>
          <w:sz w:val="28"/>
          <w:szCs w:val="28"/>
          <w:rtl w:val="true"/>
          <w:lang w:bidi="ar-SA"/>
        </w:rPr>
        <w:t>، وابن إدريس قدس سره</w:t>
      </w:r>
      <w:r>
        <w:rPr>
          <w:rStyle w:val="FootnoteAnchor"/>
          <w:rtl w:val="true"/>
        </w:rPr>
        <w:footnoteReference w:id="1222"/>
      </w:r>
      <w:r>
        <w:rPr>
          <w:rFonts w:ascii="Amiri" w:hAnsi="Amiri" w:eastAsia="Amiri" w:cs="Amiri"/>
          <w:color w:val="111111"/>
          <w:sz w:val="28"/>
          <w:sz w:val="28"/>
          <w:szCs w:val="28"/>
          <w:rtl w:val="true"/>
          <w:lang w:bidi="ar-SA"/>
        </w:rPr>
        <w:t>، والمحقِّق قدس سره</w:t>
      </w:r>
      <w:r>
        <w:rPr>
          <w:rStyle w:val="FootnoteAnchor"/>
          <w:rtl w:val="true"/>
        </w:rPr>
        <w:footnoteReference w:id="122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أمَّا الصُّورة المشهورة منه بيننا فهي ما رُوِي عن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وقد رواه الصَّدوق قدس سره</w:t>
      </w:r>
      <w:r>
        <w:rPr>
          <w:rStyle w:val="FootnoteAnchor"/>
          <w:rtl w:val="true"/>
        </w:rPr>
        <w:footnoteReference w:id="1224"/>
      </w:r>
      <w:r>
        <w:rPr>
          <w:rFonts w:ascii="Amiri" w:hAnsi="Amiri" w:eastAsia="Amiri" w:cs="Amiri"/>
          <w:color w:val="111111"/>
          <w:sz w:val="28"/>
          <w:sz w:val="28"/>
          <w:szCs w:val="28"/>
          <w:rtl w:val="true"/>
          <w:lang w:bidi="ar-SA"/>
        </w:rPr>
        <w:t>، والشَّيخ الحرُّ قدس سره</w:t>
      </w:r>
      <w:r>
        <w:rPr>
          <w:rStyle w:val="FootnoteAnchor"/>
          <w:rtl w:val="true"/>
        </w:rPr>
        <w:footnoteReference w:id="1225"/>
      </w:r>
      <w:r>
        <w:rPr>
          <w:rFonts w:ascii="Amiri" w:hAnsi="Amiri" w:eastAsia="Amiri" w:cs="Amiri"/>
          <w:color w:val="111111"/>
          <w:sz w:val="28"/>
          <w:sz w:val="28"/>
          <w:szCs w:val="28"/>
          <w:rtl w:val="true"/>
          <w:lang w:bidi="ar-SA"/>
        </w:rPr>
        <w:t>وقد أوردها من الفقهاء السَّيِّد المجاهد قدس سره</w:t>
      </w:r>
      <w:r>
        <w:rPr>
          <w:rStyle w:val="FootnoteAnchor"/>
          <w:rtl w:val="true"/>
        </w:rPr>
        <w:footnoteReference w:id="1226"/>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227"/>
      </w:r>
      <w:r>
        <w:rPr>
          <w:rFonts w:ascii="Amiri" w:hAnsi="Amiri" w:eastAsia="Amiri" w:cs="Amiri"/>
          <w:color w:val="111111"/>
          <w:sz w:val="28"/>
          <w:sz w:val="28"/>
          <w:szCs w:val="28"/>
          <w:rtl w:val="true"/>
          <w:lang w:bidi="ar-SA"/>
        </w:rPr>
        <w:t>، والفقيه الآملي قدس سره</w:t>
      </w:r>
      <w:r>
        <w:rPr>
          <w:rStyle w:val="FootnoteAnchor"/>
          <w:rtl w:val="true"/>
        </w:rPr>
        <w:footnoteReference w:id="122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صورٌ أُخرىٰ لاحاجة إلى ذكرها بعد اشتراك الجميع في المضمون والمفاد؛ </w:t>
      </w:r>
      <w:bookmarkStart w:id="491" w:name="pg20339_220510"/>
    </w:p>
    <w:p>
      <w:pPr>
        <w:pStyle w:val="BookText"/>
        <w:rPr/>
      </w:pPr>
      <w:bookmarkEnd w:id="491"/>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1979390_1280447820"/>
      <w:bookmarkStart w:id="493" w:name="_Toc184"/>
      <w:bookmarkEnd w:id="492"/>
      <w:r>
        <w:rPr>
          <w:rtl w:val="true"/>
        </w:rPr>
        <w:t>التَّنبيه الثَّاني</w:t>
      </w:r>
      <w:r>
        <w:rPr>
          <w:rtl w:val="true"/>
        </w:rPr>
        <w:t>:</w:t>
      </w:r>
      <w:bookmarkEnd w:id="493"/>
    </w:p>
    <w:p>
      <w:pPr>
        <w:pStyle w:val="BookText"/>
        <w:rPr/>
      </w:pPr>
      <w:r>
        <w:rPr>
          <w:rFonts w:ascii="Amiri" w:hAnsi="Amiri" w:eastAsia="Amiri" w:cs="Amiri"/>
          <w:color w:val="111111"/>
          <w:sz w:val="28"/>
          <w:sz w:val="28"/>
          <w:szCs w:val="28"/>
          <w:rtl w:val="true"/>
          <w:lang w:bidi="ar-SA"/>
        </w:rPr>
        <w:t xml:space="preserve">إنَّ غير البالغ كما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مطلقَ الواجبات والمندوبات، كذلك شرَع له مطلقَ المعاملات؛ فيجوز له النِّيابة عن آخر، والوكالة عنه والمضاربة والمزارعة مع آخرين وأمثال ذلك؛ كما شرَعَ له أن يتملَّك بما يفعَلُ‌، أو بالهبة، أو بالصَّدَقة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لافرق بينه وبين المكلَّفين من هذه النَّواحي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مطلقُ تصرُّفاته إلى إذن وليِّه؛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ولامجال ههينا للبحث عن فقه الآية الكريمة، فانظر عنه إلى ما ذكره القُرطُبيُّ قدس سره</w:t>
      </w:r>
      <w:r>
        <w:rPr>
          <w:rStyle w:val="FootnoteAnchor"/>
          <w:rtl w:val="true"/>
        </w:rPr>
        <w:footnoteReference w:id="1230"/>
      </w:r>
      <w:r>
        <w:rPr>
          <w:rFonts w:ascii="Amiri" w:hAnsi="Amiri" w:eastAsia="Amiri" w:cs="Amiri"/>
          <w:color w:val="111111"/>
          <w:sz w:val="28"/>
          <w:sz w:val="28"/>
          <w:szCs w:val="28"/>
          <w:rtl w:val="true"/>
          <w:lang w:bidi="ar-SA"/>
        </w:rPr>
        <w:t>، والشَّيخ قدس سره</w:t>
      </w:r>
      <w:r>
        <w:rPr>
          <w:rStyle w:val="FootnoteAnchor"/>
          <w:rtl w:val="true"/>
        </w:rPr>
        <w:footnoteReference w:id="1231"/>
      </w:r>
      <w:r>
        <w:rPr>
          <w:rFonts w:ascii="Amiri" w:hAnsi="Amiri" w:eastAsia="Amiri" w:cs="Amiri"/>
          <w:color w:val="111111"/>
          <w:sz w:val="28"/>
          <w:sz w:val="28"/>
          <w:szCs w:val="28"/>
          <w:rtl w:val="true"/>
          <w:lang w:bidi="ar-SA"/>
        </w:rPr>
        <w:t>، والطَّبرسيُّ قدس سره</w:t>
      </w:r>
      <w:r>
        <w:rPr>
          <w:rStyle w:val="FootnoteAnchor"/>
          <w:rtl w:val="true"/>
        </w:rPr>
        <w:footnoteReference w:id="1232"/>
      </w:r>
      <w:r>
        <w:rPr>
          <w:rFonts w:ascii="IRNazanin" w:hAnsi="IRNazanin" w:eastAsia="IRNazanin"/>
          <w:color w:val="111111"/>
          <w:sz w:val="28"/>
          <w:sz w:val="28"/>
          <w:szCs w:val="28"/>
          <w:rtl w:val="true"/>
          <w:lang w:bidi="fa-IR"/>
        </w:rPr>
        <w:t>، والفاضل الجواد قدس سره</w:t>
      </w:r>
      <w:r>
        <w:rPr>
          <w:rStyle w:val="FootnoteAnchor"/>
          <w:rtl w:val="true"/>
        </w:rPr>
        <w:footnoteReference w:id="1233"/>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234"/>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وللرِّوايات الكثيرةِ الواردة في هذا المضمار في مواضع كثيرةٍ من علم الفقه</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وللإجماع المحقَّق نقلًا</w:t>
      </w:r>
      <w:r>
        <w:rPr>
          <w:rStyle w:val="FootnoteAnchor"/>
          <w:rtl w:val="true"/>
        </w:rPr>
        <w:footnoteReference w:id="1237"/>
      </w:r>
      <w:r>
        <w:rPr>
          <w:rFonts w:ascii="Amiri" w:hAnsi="Amiri" w:eastAsia="Amiri" w:cs="Amiri"/>
          <w:color w:val="111111"/>
          <w:sz w:val="28"/>
          <w:sz w:val="28"/>
          <w:szCs w:val="28"/>
          <w:rtl w:val="true"/>
          <w:lang w:bidi="ar-SA"/>
        </w:rPr>
        <w:t>وتحصيلًا؛</w:t>
      </w:r>
    </w:p>
    <w:p>
      <w:pPr>
        <w:pStyle w:val="BookText"/>
        <w:rPr/>
      </w:pPr>
      <w:r>
        <w:rPr>
          <w:rFonts w:ascii="Amiri" w:hAnsi="Amiri" w:eastAsia="Amiri" w:cs="Amiri"/>
          <w:color w:val="111111"/>
          <w:sz w:val="28"/>
          <w:sz w:val="28"/>
          <w:szCs w:val="28"/>
          <w:rtl w:val="true"/>
          <w:lang w:bidi="ar-SA"/>
        </w:rPr>
        <w:t>خلافًا لآخرين، حيث نصُّوا علىٰ بطلان تصرُّفات الصَّبيِّ ولوكانت بإذن وليِّه؛ قال الفاضل المقداد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السَّفيه في المال مع نظر الوليِّ أو أذنه فيه مع موافقته للمصلحة جائزٌ ماضٍ‌؛ بخلاف الصَّبيِّ والمجنون، فإنَّ تصرُّفهما باطلٌ ولو أَذِن الوليُّ ووافَقَ المصلحةَ‌</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وهذا مختار العلَّامة قدس سره في تذكرته</w:t>
      </w:r>
      <w:r>
        <w:rPr>
          <w:rStyle w:val="FootnoteAnchor"/>
          <w:rtl w:val="true"/>
        </w:rPr>
        <w:footnoteReference w:id="1239"/>
      </w:r>
      <w:r>
        <w:rPr>
          <w:rFonts w:ascii="Amiri" w:hAnsi="Amiri" w:eastAsia="Amiri" w:cs="Amiri"/>
          <w:color w:val="111111"/>
          <w:sz w:val="28"/>
          <w:sz w:val="28"/>
          <w:szCs w:val="28"/>
          <w:rtl w:val="true"/>
          <w:lang w:bidi="ar-SA"/>
        </w:rPr>
        <w:t>، وتحريره</w:t>
      </w:r>
      <w:r>
        <w:rPr>
          <w:rStyle w:val="FootnoteAnchor"/>
          <w:rtl w:val="true"/>
        </w:rPr>
        <w:footnoteReference w:id="1240"/>
      </w:r>
      <w:r>
        <w:rPr>
          <w:rFonts w:ascii="IRNazanin" w:hAnsi="IRNazanin" w:eastAsia="IRNazanin"/>
          <w:color w:val="111111"/>
          <w:sz w:val="28"/>
          <w:sz w:val="28"/>
          <w:szCs w:val="28"/>
          <w:rtl w:val="true"/>
          <w:lang w:bidi="fa-IR"/>
        </w:rPr>
        <w:t>ونسب صاحب الحدائق قدس سره هذا القول إلى المشهور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الآيات والرِّوايات والإجماعات بأجمَعِها لمَّا لم يكن لها إطلاقٌ‌، بل إنَّها بصدد تشريع أصل الحكم، فتُخَصَّص بالقَدْر المتيَقَّن منها؛ وكلَّما شككنا في موردٍ هل هو مخصَّصٌ بهذه الأدلَّة، فالمرجع إلى جواز التَّصرُّف في المورد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هذا الأصل ما ذكرناه من دلالة العمومات، بل استقلال العقل بذلك؛ فيجوز له الَّتمليك بعَمَله، أو بالهِبَة؛ ويجوز له المبايَعات الجزئيَّة وإجراء العقد لغيره ونحو ذلك؛ بل له أن يجعل نفسه أجيرًا للقيام بواجبٍ نيابةً عن آخر، كالصَّلوة والحجِّ‌ </w:t>
      </w:r>
      <w:bookmarkStart w:id="494" w:name="pg20339_220512"/>
    </w:p>
    <w:p>
      <w:pPr>
        <w:pStyle w:val="BookText"/>
        <w:rPr/>
      </w:pPr>
      <w:bookmarkEnd w:id="494"/>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Heading3"/>
        <w:numPr>
          <w:ilvl w:val="2"/>
          <w:numId w:val="1"/>
        </w:numPr>
        <w:rPr/>
      </w:pPr>
      <w:bookmarkStart w:id="495" w:name="__RefHeading___Toc11979392_1280447820"/>
      <w:bookmarkStart w:id="496" w:name="_Toc185"/>
      <w:bookmarkEnd w:id="495"/>
      <w:r>
        <w:rPr>
          <w:rtl w:val="true"/>
        </w:rPr>
        <w:t>أمثلةٌ لاستعمال القاعدة في الفقه</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الشَّرائع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الصَّبيِّ المميِّز صحيحةٌ وصومه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صاحب المدارك قدس سره</w:t>
      </w:r>
      <w:r>
        <w:rPr>
          <w:rStyle w:val="FootnoteAnchor"/>
          <w:rtl w:val="true"/>
        </w:rPr>
        <w:footnoteReference w:id="1242"/>
      </w:r>
      <w:r>
        <w:rPr>
          <w:rFonts w:ascii="Amiri" w:hAnsi="Amiri" w:eastAsia="Amiri" w:cs="Amiri"/>
          <w:color w:val="111111"/>
          <w:sz w:val="28"/>
          <w:sz w:val="28"/>
          <w:szCs w:val="28"/>
          <w:rtl w:val="true"/>
          <w:lang w:bidi="ar-SA"/>
        </w:rPr>
        <w:t>، ورضي الدِّين الخوانساري قدس سره</w:t>
      </w:r>
      <w:r>
        <w:rPr>
          <w:rStyle w:val="FootnoteAnchor"/>
          <w:rtl w:val="true"/>
        </w:rPr>
        <w:footnoteReference w:id="1243"/>
      </w:r>
      <w:r>
        <w:rPr>
          <w:rFonts w:ascii="Amiri" w:hAnsi="Amiri" w:eastAsia="Amiri" w:cs="Amiri"/>
          <w:color w:val="111111"/>
          <w:sz w:val="28"/>
          <w:sz w:val="28"/>
          <w:szCs w:val="28"/>
          <w:rtl w:val="true"/>
          <w:lang w:bidi="ar-SA"/>
        </w:rPr>
        <w:t>، والمحقِّق النَّجفي قدس سره</w:t>
      </w:r>
      <w:r>
        <w:rPr>
          <w:rStyle w:val="FootnoteAnchor"/>
          <w:rtl w:val="true"/>
        </w:rPr>
        <w:footnoteReference w:id="1244"/>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1245"/>
      </w:r>
      <w:r>
        <w:rPr>
          <w:rFonts w:ascii="Amiri" w:hAnsi="Amiri" w:eastAsia="Amiri" w:cs="Amiri"/>
          <w:color w:val="111111"/>
          <w:sz w:val="28"/>
          <w:sz w:val="28"/>
          <w:szCs w:val="28"/>
          <w:rtl w:val="true"/>
          <w:lang w:bidi="ar-SA"/>
        </w:rPr>
        <w:t>تائيدًا له؛</w:t>
      </w:r>
    </w:p>
    <w:p>
      <w:pPr>
        <w:pStyle w:val="BookText"/>
        <w:rPr/>
      </w:pPr>
      <w:r>
        <w:rPr>
          <w:rFonts w:ascii="Amiri" w:hAnsi="Amiri" w:eastAsia="Amiri" w:cs="Amiri"/>
          <w:color w:val="111111"/>
          <w:sz w:val="28"/>
          <w:sz w:val="28"/>
          <w:szCs w:val="28"/>
          <w:rtl w:val="true"/>
          <w:lang w:bidi="ar-SA"/>
        </w:rPr>
        <w:t>وما كتبه ثاني الشَّهيدَين قدس سرهما في حاشيته عليه</w:t>
      </w:r>
      <w:r>
        <w:rPr>
          <w:rStyle w:val="FootnoteAnchor"/>
          <w:rtl w:val="true"/>
        </w:rPr>
        <w:footnoteReference w:id="1246"/>
      </w:r>
      <w:r>
        <w:rPr>
          <w:rFonts w:ascii="IRNazanin" w:hAnsi="IRNazanin" w:eastAsia="IRNazanin"/>
          <w:color w:val="111111"/>
          <w:sz w:val="28"/>
          <w:sz w:val="28"/>
          <w:szCs w:val="28"/>
          <w:rtl w:val="true"/>
          <w:lang w:bidi="fa-IR"/>
        </w:rPr>
        <w:t>وشرحه</w:t>
      </w:r>
      <w:r>
        <w:rPr>
          <w:rStyle w:val="FootnoteAnchor"/>
          <w:rtl w:val="true"/>
        </w:rPr>
        <w:footnoteReference w:id="1247"/>
      </w:r>
      <w:r>
        <w:rPr>
          <w:rFonts w:ascii="Amiri" w:hAnsi="Amiri" w:eastAsia="Amiri" w:cs="Amiri"/>
          <w:color w:val="111111"/>
          <w:sz w:val="28"/>
          <w:sz w:val="28"/>
          <w:szCs w:val="28"/>
          <w:rtl w:val="true"/>
          <w:lang w:bidi="ar-SA"/>
        </w:rPr>
        <w:t>أيضًا، نقدًا وردًّا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تذكرته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لاتجب عليه الصَّلاة ما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صلاته شرعيَّةٌ معتدٌّ بها؟، المشهور ذلك</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صحَّة صلاة الصَّبيِّ المميِّز، لكن في إجزائها عن المكلَّفين البالغين إشكالٌ‌</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وانظر إلى ما ذكره شُرَّاح عبارته، كالسَّيِّد الحكيم قدس سره</w:t>
      </w:r>
      <w:r>
        <w:rPr>
          <w:rStyle w:val="FootnoteAnchor"/>
          <w:rtl w:val="true"/>
        </w:rPr>
        <w:footnoteReference w:id="1250"/>
      </w:r>
      <w:r>
        <w:rPr>
          <w:rFonts w:ascii="Amiri" w:hAnsi="Amiri" w:eastAsia="Amiri" w:cs="Amiri"/>
          <w:color w:val="111111"/>
          <w:sz w:val="28"/>
          <w:sz w:val="28"/>
          <w:szCs w:val="28"/>
          <w:rtl w:val="true"/>
          <w:lang w:bidi="ar-SA"/>
        </w:rPr>
        <w:t>، والفقيه الآملي قدس سره</w:t>
      </w:r>
      <w:r>
        <w:rPr>
          <w:rStyle w:val="FootnoteAnchor"/>
          <w:rtl w:val="true"/>
        </w:rPr>
        <w:footnoteReference w:id="1251"/>
      </w:r>
      <w:r>
        <w:rPr>
          <w:rFonts w:ascii="Amiri" w:hAnsi="Amiri" w:eastAsia="Amiri" w:cs="Amiri"/>
          <w:color w:val="111111"/>
          <w:sz w:val="28"/>
          <w:sz w:val="28"/>
          <w:szCs w:val="28"/>
          <w:rtl w:val="true"/>
          <w:lang w:bidi="ar-SA"/>
        </w:rPr>
        <w:t>، والمحقِّق الخوئيِّ قدس سره</w:t>
      </w:r>
      <w:r>
        <w:rPr>
          <w:rStyle w:val="FootnoteAnchor"/>
          <w:rtl w:val="true"/>
        </w:rPr>
        <w:footnoteReference w:id="1252"/>
      </w:r>
      <w:r>
        <w:rPr>
          <w:rFonts w:ascii="Amiri" w:hAnsi="Amiri" w:eastAsia="Amiri" w:cs="Amiri"/>
          <w:color w:val="111111"/>
          <w:sz w:val="28"/>
          <w:sz w:val="28"/>
          <w:szCs w:val="28"/>
          <w:rtl w:val="true"/>
          <w:lang w:bidi="ar-SA"/>
        </w:rPr>
        <w:t>، والفقيه السَّبزاوري قدس سره</w:t>
      </w:r>
      <w:r>
        <w:rPr>
          <w:rStyle w:val="FootnoteAnchor"/>
          <w:rtl w:val="true"/>
        </w:rPr>
        <w:footnoteReference w:id="1253"/>
      </w:r>
      <w:r>
        <w:rPr>
          <w:rFonts w:ascii="Amiri" w:hAnsi="Amiri" w:eastAsia="Amiri" w:cs="Amiri"/>
          <w:color w:val="111111"/>
          <w:sz w:val="28"/>
          <w:sz w:val="28"/>
          <w:szCs w:val="28"/>
          <w:rtl w:val="true"/>
          <w:lang w:bidi="ar-SA"/>
        </w:rPr>
        <w:t>، وغيرهم</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الصَّافي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العقبىٰ‌،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السَّنَد؛</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العروة الوثقىٰ‌،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الفقيه الفيَّاض؛</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مبسوطة علىٰ العروة الوثقىٰ‌،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20339_220514"/>
    </w:p>
    <w:p>
      <w:pPr>
        <w:pStyle w:val="Heading2"/>
        <w:numPr>
          <w:ilvl w:val="1"/>
          <w:numId w:val="1"/>
        </w:numPr>
        <w:rPr/>
      </w:pPr>
      <w:bookmarkStart w:id="498" w:name="__RefHeading___Toc11979394_1280447820"/>
      <w:bookmarkStart w:id="499" w:name="_Toc186"/>
      <w:bookmarkEnd w:id="497"/>
      <w:bookmarkEnd w:id="498"/>
      <w:r>
        <w:rPr>
          <w:rtl w:val="true"/>
        </w:rPr>
        <w:t>[</w:t>
      </w:r>
      <w:r>
        <w:rPr/>
        <w:t>58</w:t>
      </w:r>
      <w:r>
        <w:rPr>
          <w:rtl w:val="true"/>
        </w:rPr>
        <w:t xml:space="preserve">:] </w:t>
      </w:r>
      <w:r>
        <w:rPr>
          <w:rtl w:val="true"/>
        </w:rPr>
        <w:t>قاعدة من ملِكَ شيئًا ملِكَ الإقرار به</w:t>
      </w:r>
      <w:bookmarkEnd w:id="499"/>
    </w:p>
    <w:p>
      <w:pPr>
        <w:pStyle w:val="Heading3"/>
        <w:numPr>
          <w:ilvl w:val="2"/>
          <w:numId w:val="1"/>
        </w:numPr>
        <w:rPr/>
      </w:pPr>
      <w:bookmarkStart w:id="500" w:name="__RefHeading___Toc11979396_1280447820"/>
      <w:bookmarkStart w:id="501" w:name="_Toc187"/>
      <w:bookmarkEnd w:id="500"/>
      <w:r>
        <w:rPr>
          <w:rtl w:val="true"/>
        </w:rPr>
        <w:t>عناوين أُخرىٰ للقاعدة</w:t>
      </w:r>
      <w:r>
        <w:rPr>
          <w:rtl w:val="true"/>
        </w:rPr>
        <w:t>:</w:t>
      </w:r>
      <w:bookmarkEnd w:id="501"/>
    </w:p>
    <w:p>
      <w:pPr>
        <w:pStyle w:val="BookText"/>
        <w:rPr/>
      </w:pPr>
      <w:r>
        <w:rPr>
          <w:rFonts w:ascii="Amiri" w:hAnsi="Amiri" w:eastAsia="Amiri" w:cs="Amiri"/>
          <w:color w:val="111111"/>
          <w:sz w:val="28"/>
          <w:sz w:val="28"/>
          <w:szCs w:val="28"/>
          <w:rtl w:val="true"/>
          <w:lang w:bidi="ar-SA"/>
        </w:rPr>
        <w:t>من قدر علىٰ شيءٍ ملك الإقرار به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1979398_1280447820"/>
      <w:bookmarkStart w:id="503" w:name="_Toc188"/>
      <w:bookmarkEnd w:id="502"/>
      <w:r>
        <w:rPr>
          <w:rtl w:val="true"/>
        </w:rPr>
        <w:t>توضيح مفاد القاعدة</w:t>
      </w:r>
      <w:r>
        <w:rPr>
          <w:rtl w:val="true"/>
        </w:rPr>
        <w:t>:</w:t>
      </w:r>
      <w:bookmarkEnd w:id="503"/>
    </w:p>
    <w:p>
      <w:pPr>
        <w:pStyle w:val="BookText"/>
        <w:rPr/>
      </w:pPr>
      <w:r>
        <w:rPr>
          <w:rFonts w:ascii="Amiri" w:hAnsi="Amiri" w:eastAsia="Amiri" w:cs="Amiri"/>
          <w:color w:val="111111"/>
          <w:sz w:val="28"/>
          <w:sz w:val="28"/>
          <w:szCs w:val="28"/>
          <w:rtl w:val="true"/>
          <w:lang w:bidi="ar-SA"/>
        </w:rPr>
        <w:t>المراد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ملِكَ شيئًا له الإقرار بما يملك، ثبوتًا وسلبًا؛ فله أنْ يسلِبَه عن نفسه بالإقرار بعدم ثبوت ملكه عليه؛ كما وله استدامةُ يده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الفقهاء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المفاد</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عن هذه القاعدة فيما </w:t>
      </w:r>
      <w:bookmarkStart w:id="504" w:name="pg20339_220515"/>
    </w:p>
    <w:p>
      <w:pPr>
        <w:pStyle w:val="BookText"/>
        <w:rPr/>
      </w:pPr>
      <w:bookmarkEnd w:id="504"/>
      <w:r>
        <w:rPr>
          <w:rFonts w:ascii="Amiri" w:hAnsi="Amiri" w:eastAsia="Amiri" w:cs="Amiri"/>
          <w:color w:val="111111"/>
          <w:sz w:val="28"/>
          <w:sz w:val="28"/>
          <w:szCs w:val="28"/>
          <w:rtl w:val="true"/>
          <w:lang w:bidi="ar-SA"/>
        </w:rPr>
        <w:t xml:space="preserve">يأتي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بينهما بحسب الدَّليل والدِّلالة؛ ولذلك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فلاوجه لما تخيَّله بعضٌ من استناد هذه القاعدة إلى قاعدة إقرار العُقلاء</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والفرق بينهما بحسب مواضع الاِستعمال فقط، حيث إنَّ الأولىٰ تختصُّ بالمنافع، بينما أنَّ الثَّانيَة تختصُّ بالمضارِّ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فبقاعدة الإقرار يُثبَت حدُّ السِّرقة لوأقرَّ بها، وحدُّ الزِّنا لوأقرَّتْ أو أقرَّ به، ولايُثبَت بها مِلكٌ للمُقِرِّ؛ بينما أنَّ قاعدة المِلك تُثبتُ دوامَ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ولاتُثبت حدًّا، علىٰ عكسٍ من قاعدة الإقرار في ذلك</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1979400_1280447820"/>
      <w:bookmarkStart w:id="506" w:name="_Toc189"/>
      <w:bookmarkEnd w:id="505"/>
      <w:r>
        <w:rPr>
          <w:rtl w:val="true"/>
        </w:rPr>
        <w:t>مدركُ القاعدة</w:t>
      </w:r>
      <w:r>
        <w:rPr>
          <w:rtl w:val="true"/>
        </w:rPr>
        <w:t>:</w:t>
      </w:r>
      <w:bookmarkEnd w:id="506"/>
    </w:p>
    <w:p>
      <w:pPr>
        <w:pStyle w:val="Heading4"/>
        <w:numPr>
          <w:ilvl w:val="3"/>
          <w:numId w:val="1"/>
        </w:numPr>
        <w:rPr/>
      </w:pPr>
      <w:bookmarkStart w:id="507" w:name="__RefHeading___Toc11979402_1280447820"/>
      <w:bookmarkStart w:id="508" w:name="_Toc190"/>
      <w:bookmarkEnd w:id="507"/>
      <w:r>
        <w:rPr>
          <w:rtl w:val="true"/>
        </w:rPr>
        <w:t>أوَّلًا</w:t>
      </w:r>
      <w:r>
        <w:rPr>
          <w:rtl w:val="true"/>
        </w:rPr>
        <w:t xml:space="preserve">: </w:t>
      </w:r>
      <w:r>
        <w:rPr>
          <w:rtl w:val="true"/>
        </w:rPr>
        <w:t>سيرة العقلاء</w:t>
      </w:r>
      <w:bookmarkEnd w:id="508"/>
    </w:p>
    <w:p>
      <w:pPr>
        <w:pStyle w:val="BookText"/>
        <w:rPr/>
      </w:pPr>
      <w:r>
        <w:rPr>
          <w:rFonts w:ascii="Amiri" w:hAnsi="Amiri" w:eastAsia="Amiri" w:cs="Amiri"/>
          <w:color w:val="111111"/>
          <w:sz w:val="28"/>
          <w:sz w:val="28"/>
          <w:szCs w:val="28"/>
          <w:rtl w:val="true"/>
          <w:lang w:bidi="ar-SA"/>
        </w:rPr>
        <w:t xml:space="preserve">مدرك القاعدة ودليلُها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كأختِها</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سيرة العقلاء وبنائهم المستمرَّة الثَّابتة بينهم؛ فالسِّيرة هذه استقرَّتْ على ثبوت القاعدة، وعلى ثبوت قاعدة اليد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عندنا من مصاديق قاعدة مَن ملِك، وسوف نشرح هذا الأمر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والسِّيرة تؤيِّدُها طائفةٌ من مرويَّات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قاعدة مَن ملِك تُعادِل قاعدةَ الحَلف أيضًا، إلَّاأنَّ الثَّانيَة تختصُّ بوقوع الحَلف عند القاضي وبمحضرٍ منه، بينما أنَّ قاعدة الإقرار لاتختصُّ بأن يقع بمحضرٍ منه، بل هي أعمٌّ من الإقرار عنده أو عند مَن ليس له منصب القضاء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قاعدة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سيرة العقلاء المؤيَّدَة من قِبَل </w:t>
      </w:r>
      <w:bookmarkStart w:id="509" w:name="pg20339_220516"/>
    </w:p>
    <w:p>
      <w:pPr>
        <w:pStyle w:val="BookText"/>
        <w:rPr/>
      </w:pPr>
      <w:bookmarkEnd w:id="509"/>
      <w:r>
        <w:rPr>
          <w:rFonts w:ascii="Amiri" w:hAnsi="Amiri" w:eastAsia="Amiri" w:cs="Amiri"/>
          <w:color w:val="111111"/>
          <w:sz w:val="28"/>
          <w:sz w:val="28"/>
          <w:szCs w:val="28"/>
          <w:rtl w:val="true"/>
          <w:lang w:bidi="ar-SA"/>
        </w:rPr>
        <w:t>الشَّارع؛ وهذا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اشتبَه على كثيرٍ من كبراء القوم، فتمسَّكُوا لاثباتها بأدلَّةٍ‌؛</w:t>
      </w:r>
    </w:p>
    <w:p>
      <w:pPr>
        <w:pStyle w:val="Heading4"/>
        <w:numPr>
          <w:ilvl w:val="3"/>
          <w:numId w:val="1"/>
        </w:numPr>
        <w:rPr/>
      </w:pPr>
      <w:bookmarkStart w:id="510" w:name="__RefHeading___Toc11979404_1280447820"/>
      <w:bookmarkStart w:id="511" w:name="_Toc191"/>
      <w:bookmarkEnd w:id="510"/>
      <w:r>
        <w:rPr>
          <w:rtl w:val="true"/>
        </w:rPr>
        <w:t>ثانيًا</w:t>
      </w:r>
      <w:r>
        <w:rPr>
          <w:rtl w:val="true"/>
        </w:rPr>
        <w:t xml:space="preserve">: </w:t>
      </w:r>
      <w:r>
        <w:rPr>
          <w:rtl w:val="true"/>
        </w:rPr>
        <w:t>الإجماع</w:t>
      </w:r>
      <w:bookmarkEnd w:id="511"/>
    </w:p>
    <w:p>
      <w:pPr>
        <w:pStyle w:val="BookText"/>
        <w:rPr/>
      </w:pPr>
      <w:r>
        <w:rPr>
          <w:rFonts w:ascii="Amiri" w:hAnsi="Amiri" w:eastAsia="Amiri" w:cs="Amiri"/>
          <w:color w:val="111111"/>
          <w:sz w:val="28"/>
          <w:sz w:val="28"/>
          <w:szCs w:val="28"/>
          <w:rtl w:val="true"/>
          <w:lang w:bidi="ar-SA"/>
        </w:rPr>
        <w:t>المُدَّعىٰ مِن قِبَل جماعةٍ‌، منهم الشَّيخ الأعظم قدس سره، حيث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إلى كون القضيَّة في الجملة إجماعيَّةً‌</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ثمَّ ناقش فيه ثانيًا بقلَّة استعمال القاعدة بين متقدِّمي الفقهاء ومتأخِّريهم، فكيف يمكن استكشاف انعقاد الإجماع عليها من كلماتهم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ما سلكه المحقِّق البجنورديُّ قدس سره في المقام أيضًا، حيث وافق الشَّيخ قدس سره في ثبوت إجماعٍ هيهنا في الجملة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الآشتيانيِّ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قاعدةٌ إجماعيَّةٌ مسلَّمةٌ بينهم قد بنوا عليها فروعًا كثيرةً متفرَّقةً في أبواب الفقه</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كلام المحقِّق الحكيم قدس سره في موضعٍ‌</w:t>
      </w:r>
      <w:r>
        <w:rPr>
          <w:rStyle w:val="FootnoteAnchor"/>
          <w:rtl w:val="true"/>
        </w:rPr>
        <w:footnoteReference w:id="1262"/>
      </w:r>
      <w:r>
        <w:rPr>
          <w:rFonts w:ascii="Amiri" w:hAnsi="Amiri" w:eastAsia="Amiri" w:cs="Amiri"/>
          <w:color w:val="111111"/>
          <w:sz w:val="28"/>
          <w:sz w:val="28"/>
          <w:szCs w:val="28"/>
          <w:rtl w:val="true"/>
          <w:lang w:bidi="ar-SA"/>
        </w:rPr>
        <w:t>، ونصُّه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مَن ملك شيئًا ملك الإقرار به الَّتي يدلُّ عليها الإجماع القوليِّ والعمليِّ‌</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512" w:name="pg20339_220517"/>
    </w:p>
    <w:p>
      <w:pPr>
        <w:pStyle w:val="BookText"/>
        <w:rPr/>
      </w:pPr>
      <w:bookmarkEnd w:id="512"/>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الأصحاب في مواضع ذكرها يدلُّ علىٰ كونها إجماعيَّةً بينهم، كالشَّيخ قدس سره</w:t>
      </w:r>
      <w:r>
        <w:rPr>
          <w:rStyle w:val="FootnoteAnchor"/>
          <w:rtl w:val="true"/>
        </w:rPr>
        <w:footnoteReference w:id="1264"/>
      </w:r>
      <w:r>
        <w:rPr>
          <w:rFonts w:ascii="Amiri" w:hAnsi="Amiri" w:eastAsia="Amiri" w:cs="Amiri"/>
          <w:color w:val="111111"/>
          <w:sz w:val="28"/>
          <w:sz w:val="28"/>
          <w:szCs w:val="28"/>
          <w:rtl w:val="true"/>
          <w:lang w:bidi="ar-SA"/>
        </w:rPr>
        <w:t>، وابن إدريس قدس سره</w:t>
      </w:r>
      <w:r>
        <w:rPr>
          <w:rStyle w:val="FootnoteAnchor"/>
          <w:rtl w:val="true"/>
        </w:rPr>
        <w:footnoteReference w:id="1265"/>
      </w:r>
      <w:r>
        <w:rPr>
          <w:rFonts w:ascii="Amiri" w:hAnsi="Amiri" w:eastAsia="Amiri" w:cs="Amiri"/>
          <w:color w:val="111111"/>
          <w:sz w:val="28"/>
          <w:sz w:val="28"/>
          <w:szCs w:val="28"/>
          <w:rtl w:val="true"/>
          <w:lang w:bidi="ar-SA"/>
        </w:rPr>
        <w:t>، والعلَّامة قدس سره في تذكرته</w:t>
      </w:r>
      <w:r>
        <w:rPr>
          <w:rStyle w:val="FootnoteAnchor"/>
          <w:rtl w:val="true"/>
        </w:rPr>
        <w:footnoteReference w:id="1266"/>
      </w:r>
      <w:r>
        <w:rPr>
          <w:rFonts w:ascii="IRNazanin" w:hAnsi="IRNazanin" w:eastAsia="IRNazanin"/>
          <w:color w:val="111111"/>
          <w:sz w:val="28"/>
          <w:sz w:val="28"/>
          <w:szCs w:val="28"/>
          <w:rtl w:val="true"/>
          <w:lang w:bidi="fa-IR"/>
        </w:rPr>
        <w:t>، وقواعده</w:t>
      </w:r>
      <w:r>
        <w:rPr>
          <w:rStyle w:val="FootnoteAnchor"/>
          <w:rtl w:val="true"/>
        </w:rPr>
        <w:footnoteReference w:id="126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صحيحٌ لا نقاش فيه من حيث هو هو، لكن بناءُ العقلاء مقدَّمٌ على الإجماع بلاريبٍ وارتيابٍ‌</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979406_1280447820"/>
      <w:bookmarkStart w:id="514" w:name="_Toc192"/>
      <w:bookmarkEnd w:id="513"/>
      <w:r>
        <w:rPr>
          <w:rtl w:val="true"/>
        </w:rPr>
        <w:t>ثالثًا</w:t>
      </w:r>
      <w:r>
        <w:rPr>
          <w:rtl w:val="true"/>
        </w:rPr>
        <w:t xml:space="preserve">: </w:t>
      </w:r>
      <w:r>
        <w:rPr>
          <w:rtl w:val="true"/>
        </w:rPr>
        <w:t>روايات الباب</w:t>
      </w:r>
      <w:bookmarkEnd w:id="5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أنَّ هذه الرِّوايات تُرشِد إلى حكم العقل الَّذي استقرَّتْ عليه سيرةُ العقلاء، فلانحتاج إليها في ثبوتها أصلًا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1979408_1280447820"/>
      <w:bookmarkStart w:id="516" w:name="_Toc193"/>
      <w:bookmarkEnd w:id="515"/>
      <w:r>
        <w:rPr>
          <w:rtl w:val="true"/>
        </w:rPr>
        <w:t>تنبيهاتٌ‌</w:t>
      </w:r>
      <w:r>
        <w:rPr>
          <w:rtl w:val="true"/>
        </w:rPr>
        <w:t>:</w:t>
      </w:r>
      <w:bookmarkEnd w:id="516"/>
    </w:p>
    <w:p>
      <w:pPr>
        <w:pStyle w:val="Heading4"/>
        <w:numPr>
          <w:ilvl w:val="3"/>
          <w:numId w:val="1"/>
        </w:numPr>
        <w:rPr/>
      </w:pPr>
      <w:bookmarkStart w:id="517" w:name="__RefHeading___Toc11979410_1280447820"/>
      <w:bookmarkStart w:id="518" w:name="_Toc194"/>
      <w:bookmarkEnd w:id="517"/>
      <w:r>
        <w:rPr>
          <w:rtl w:val="true"/>
        </w:rPr>
        <w:t>التَّنبيه الأوَّل</w:t>
      </w:r>
      <w:r>
        <w:rPr>
          <w:rtl w:val="true"/>
        </w:rPr>
        <w:t>:</w:t>
      </w:r>
      <w:bookmarkEnd w:id="518"/>
    </w:p>
    <w:p>
      <w:pPr>
        <w:pStyle w:val="BookText"/>
        <w:rPr/>
      </w:pPr>
      <w:r>
        <w:rPr>
          <w:rFonts w:ascii="Amiri" w:hAnsi="Amiri" w:eastAsia="Amiri" w:cs="Amiri"/>
          <w:color w:val="111111"/>
          <w:sz w:val="28"/>
          <w:sz w:val="28"/>
          <w:szCs w:val="28"/>
          <w:rtl w:val="true"/>
          <w:lang w:bidi="ar-SA"/>
        </w:rPr>
        <w:t>مصاديق هذه القاعدة تقعُ في غالب الأحيان تحت قواعد أخرىٰ أيضًا، فالظَّاهر أنَّه ليس موردٌ يختصُّ بهذه القاعدة لاتشركُها فيه قاعدةٌ أخرىٰ‌، كقاعدَتَي أصالة الصِّحَّة، وحجِّيَّة قول الأمين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لوظهَر ممَّن ملك دارًا أنَّه يريد أن يبيعها، أو يهِبَها لأحدٍ، أو يقفها لأجل مصلحةٍ اختارها، فسيرة العقلاء مستقرَّةٌ على قبول قوله، بالنِّسبة إلى </w:t>
      </w:r>
      <w:bookmarkStart w:id="519" w:name="pg20339_220518"/>
    </w:p>
    <w:p>
      <w:pPr>
        <w:pStyle w:val="BookText"/>
        <w:rPr/>
      </w:pPr>
      <w:bookmarkEnd w:id="519"/>
      <w:r>
        <w:rPr>
          <w:rFonts w:ascii="Amiri" w:hAnsi="Amiri" w:eastAsia="Amiri" w:cs="Amiri"/>
          <w:color w:val="111111"/>
          <w:sz w:val="28"/>
          <w:sz w:val="28"/>
          <w:szCs w:val="28"/>
          <w:rtl w:val="true"/>
          <w:lang w:bidi="ar-SA"/>
        </w:rPr>
        <w:t>أصل ملكيَّة الدَّار، وبالنسبة إلى ما يريد أن يفعل بها أيضًا؛</w:t>
      </w:r>
    </w:p>
    <w:p>
      <w:pPr>
        <w:pStyle w:val="BookText"/>
        <w:rPr/>
      </w:pPr>
      <w:r>
        <w:rPr>
          <w:rFonts w:ascii="Amiri" w:hAnsi="Amiri" w:eastAsia="Amiri" w:cs="Amiri"/>
          <w:color w:val="111111"/>
          <w:sz w:val="28"/>
          <w:sz w:val="28"/>
          <w:szCs w:val="28"/>
          <w:rtl w:val="true"/>
          <w:lang w:bidi="ar-SA"/>
        </w:rPr>
        <w:t>ومستند السِّيرة في كِلَي الموردين الَّتمسُّك بقاعدة اليد؛</w:t>
      </w:r>
    </w:p>
    <w:p>
      <w:pPr>
        <w:pStyle w:val="BookText"/>
        <w:rPr/>
      </w:pPr>
      <w:r>
        <w:rPr>
          <w:rFonts w:ascii="Amiri" w:hAnsi="Amiri" w:eastAsia="Amiri" w:cs="Amiri"/>
          <w:color w:val="111111"/>
          <w:sz w:val="28"/>
          <w:sz w:val="28"/>
          <w:szCs w:val="28"/>
          <w:rtl w:val="true"/>
          <w:lang w:bidi="ar-SA"/>
        </w:rPr>
        <w:t>ثمَّ وكيل المالك لوادَّعىٰ قيامَه بعملٍ بالنِّسبة إلى نفس الدَّار طبقًا لما وكَّله المالك فيه، يُقبَل منه، مستندًا إلى قاعدة التَّأمين؛</w:t>
      </w:r>
    </w:p>
    <w:p>
      <w:pPr>
        <w:pStyle w:val="BookText"/>
        <w:rPr/>
      </w:pPr>
      <w:r>
        <w:rPr>
          <w:rFonts w:ascii="Amiri" w:hAnsi="Amiri" w:eastAsia="Amiri" w:cs="Amiri"/>
          <w:color w:val="111111"/>
          <w:sz w:val="28"/>
          <w:sz w:val="28"/>
          <w:szCs w:val="28"/>
          <w:rtl w:val="true"/>
          <w:lang w:bidi="ar-SA"/>
        </w:rPr>
        <w:t>والوليُّ لوادَّعاه مستندًا إلى ولايته عليها، يُقبَل منه أيضًا، مستندًا إلى قاعدة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فالتَّصرُّف في دارٍ واحدٍ من قِبَل ثلاثة أشخاص يصير مصداقًا لثلاث قواعد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غيره من الموارد</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979412_1280447820"/>
      <w:bookmarkStart w:id="521" w:name="_Toc195"/>
      <w:bookmarkEnd w:id="520"/>
      <w:r>
        <w:rPr>
          <w:rtl w:val="true"/>
        </w:rPr>
        <w:t>التَّنبيه الثَّاني</w:t>
      </w:r>
      <w:r>
        <w:rPr>
          <w:rtl w:val="true"/>
        </w:rPr>
        <w:t>:</w:t>
      </w:r>
      <w:bookmarkEnd w:id="521"/>
    </w:p>
    <w:p>
      <w:pPr>
        <w:pStyle w:val="BookText"/>
        <w:rPr/>
      </w:pPr>
      <w:r>
        <w:rPr>
          <w:rFonts w:ascii="Amiri" w:hAnsi="Amiri" w:eastAsia="Amiri" w:cs="Amiri"/>
          <w:color w:val="111111"/>
          <w:sz w:val="28"/>
          <w:sz w:val="28"/>
          <w:szCs w:val="28"/>
          <w:rtl w:val="true"/>
          <w:lang w:bidi="ar-SA"/>
        </w:rPr>
        <w:t xml:space="preserve">لاريب في جريان القاعدة بالنِّسبة إلى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الأعاظم قدس سره في فوائده</w:t>
      </w:r>
      <w:r>
        <w:rPr>
          <w:rStyle w:val="FootnoteAnchor"/>
          <w:rtl w:val="true"/>
        </w:rPr>
        <w:footnoteReference w:id="1268"/>
      </w:r>
      <w:r>
        <w:rPr>
          <w:rFonts w:ascii="Amiri" w:hAnsi="Amiri" w:eastAsia="Amiri" w:cs="Amiri"/>
          <w:color w:val="111111"/>
          <w:sz w:val="28"/>
          <w:sz w:val="28"/>
          <w:szCs w:val="28"/>
          <w:rtl w:val="true"/>
          <w:lang w:bidi="ar-SA"/>
        </w:rPr>
        <w:t>ومَنهَله</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على السِّواء؛</w:t>
      </w:r>
    </w:p>
    <w:p>
      <w:pPr>
        <w:pStyle w:val="BookText"/>
        <w:rPr/>
      </w:pPr>
      <w:r>
        <w:rPr>
          <w:rFonts w:ascii="Amiri" w:hAnsi="Amiri" w:eastAsia="Amiri" w:cs="Amiri"/>
          <w:color w:val="111111"/>
          <w:sz w:val="28"/>
          <w:sz w:val="28"/>
          <w:szCs w:val="28"/>
          <w:rtl w:val="true"/>
          <w:lang w:bidi="ar-SA"/>
        </w:rPr>
        <w:t>وكذلك في جريانها بالنِّسبة إلى الإخبارات والإنشاءات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الإخبارُ بتملُّكه الدَّار لنفسه، وله إنشاء تمليكِها لغيره، مستندًا في كليهما إلى القاعدة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تشمل الحقَّ في الأعيان، والأفعال، والإنشاءات، من العقود والإيقاعات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ولافرق في حجِّيَّتها بين المُضيِّ والحال؛ فله الإخبار عن تملُّكه لنفسه في الزَّمن </w:t>
      </w:r>
      <w:bookmarkStart w:id="522" w:name="pg20339_220519"/>
    </w:p>
    <w:p>
      <w:pPr>
        <w:pStyle w:val="BookText"/>
        <w:rPr/>
      </w:pPr>
      <w:bookmarkEnd w:id="522"/>
      <w:r>
        <w:rPr>
          <w:rFonts w:ascii="Amiri" w:hAnsi="Amiri" w:eastAsia="Amiri" w:cs="Amiri"/>
          <w:color w:val="111111"/>
          <w:sz w:val="28"/>
          <w:sz w:val="28"/>
          <w:szCs w:val="28"/>
          <w:rtl w:val="true"/>
          <w:lang w:bidi="ar-SA"/>
        </w:rPr>
        <w:t>الماضي، كما له الإخبار عن إنشاء تمليكه إيَّاها لغيره في نفس الزَّمن؛ وكذلك له نفسهما بالنِّسبة إلى الزَّمن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بعضهم باختصاص القاعدة بالحال، دون الماضي</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لاوجه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يُقبَل بحسب الملكيَّة، فلوانقضتْ ملكيَّته علىٰ الدَّار لايُقبَل قولُه فيها بالنِّسبة إلى بَعد زمن انقضائها، لكن يُقبَل منه ما أقرَّ به بالنِّسبة إلى ما فعَلَه في زمن ثبوت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لوادَّعى الوكيل بعد عزله عن الوكالة أنَّه قام بموجب الوكالة في الزَّمن الماضي، يُقبَل قوله، بقاعدة التَّأمين، ولاتختصُّ حجِّيَّة قوله وصحَّته بحال ثبوت الوكالة له؛ وقاعدة التَّأمين هيهنا تُثبَت مِن قِبَل قاعدة من ملك، لثبوت ملكِه عليه بحسب الوكالة وبالمقدار المُثبَت فيها؛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فلوعرض لك شكٌّ في هذا، فالعرف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خير دليلٍ على صحَّة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w:t>
      </w:r>
    </w:p>
    <w:p>
      <w:pPr>
        <w:pStyle w:val="Heading3"/>
        <w:numPr>
          <w:ilvl w:val="2"/>
          <w:numId w:val="1"/>
        </w:numPr>
        <w:rPr/>
      </w:pPr>
      <w:bookmarkStart w:id="523" w:name="__RefHeading___Toc11979414_1280447820"/>
      <w:bookmarkStart w:id="524" w:name="_Toc196"/>
      <w:bookmarkEnd w:id="523"/>
      <w:r>
        <w:rPr>
          <w:rtl w:val="true"/>
        </w:rPr>
        <w:t>أمثلةٌ لاستعمال القاعدة في الفقه</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اليزديُّ قدس سره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رجلٌ زوجيَّة امرأةٍ فصدَّقتْه أو ادَّعتْ امرأةٌ زوجيَّة رجلٍ فصدَّقَها حُكم لهما بذلك في ظاهر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w:t>
      </w:r>
    </w:p>
    <w:p>
      <w:pPr>
        <w:pStyle w:val="BookText"/>
        <w:rPr/>
      </w:pP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 إلى ما ذكره شرَّاح كلامه، كالسَّيِّد الحكيم قدس سره</w:t>
      </w:r>
      <w:r>
        <w:rPr>
          <w:rStyle w:val="FootnoteAnchor"/>
          <w:rtl w:val="true"/>
        </w:rPr>
        <w:footnoteReference w:id="1272"/>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273"/>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الشَّيخ محمَّدحسين كاشف الغطاء قدس سره في مسألة إذا تنازع البيِّعان في الفسخ والإجازة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المدَّة قُدِّم قول ذي الخيار، لقاعدة مَن ملك شيئًا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 في شرح قول المحقِّق نجم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ولولم يسمَّ لها مهرًا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المُتعة كالمطلَّقة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الاقرار</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20339_220522"/>
      <w:bookmarkStart w:id="526" w:name="pg20339_220522"/>
      <w:bookmarkEnd w:id="526"/>
    </w:p>
    <w:p>
      <w:pPr>
        <w:pStyle w:val="Heading2"/>
        <w:numPr>
          <w:ilvl w:val="1"/>
          <w:numId w:val="1"/>
        </w:numPr>
        <w:rPr/>
      </w:pPr>
      <w:bookmarkStart w:id="527" w:name="pg20339_220522"/>
      <w:bookmarkStart w:id="528" w:name="__RefHeading___Toc11979416_1280447820"/>
      <w:bookmarkStart w:id="529" w:name="_Toc197"/>
      <w:bookmarkEnd w:id="527"/>
      <w:bookmarkEnd w:id="528"/>
      <w:r>
        <w:rPr>
          <w:rtl w:val="true"/>
        </w:rPr>
        <w:t>[</w:t>
      </w:r>
      <w:r>
        <w:rPr/>
        <w:t>59</w:t>
      </w:r>
      <w:r>
        <w:rPr>
          <w:rtl w:val="true"/>
        </w:rPr>
        <w:t xml:space="preserve">:] </w:t>
      </w:r>
      <w:r>
        <w:rPr>
          <w:rtl w:val="true"/>
        </w:rPr>
        <w:t>قاعدة نفي السُّلطة</w:t>
      </w:r>
      <w:bookmarkEnd w:id="529"/>
    </w:p>
    <w:p>
      <w:pPr>
        <w:pStyle w:val="Heading3"/>
        <w:numPr>
          <w:ilvl w:val="2"/>
          <w:numId w:val="1"/>
        </w:numPr>
        <w:rPr/>
      </w:pPr>
      <w:bookmarkStart w:id="530" w:name="__RefHeading___Toc11979418_1280447820"/>
      <w:bookmarkStart w:id="531" w:name="_Toc198"/>
      <w:bookmarkEnd w:id="530"/>
      <w:r>
        <w:rPr>
          <w:rtl w:val="true"/>
        </w:rPr>
        <w:t>عناوين أُخرىٰ للقاعدة</w:t>
      </w:r>
      <w:bookmarkEnd w:id="531"/>
    </w:p>
    <w:p>
      <w:pPr>
        <w:pStyle w:val="BookText"/>
        <w:rPr/>
      </w:pP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الكفَّار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السَّبيل للكافرين علىٰ المُسلمين</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1979420_1280447820"/>
      <w:bookmarkStart w:id="533" w:name="_Toc199"/>
      <w:bookmarkEnd w:id="532"/>
      <w:r>
        <w:rPr>
          <w:rtl w:val="true"/>
        </w:rPr>
        <w:t>توضيح مفاد القاعدة</w:t>
      </w:r>
      <w:bookmarkEnd w:id="5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القاعدة قاعدةٌ عقلائيَّةٌ‌، لأنَّ العقلاء لايجوِّزون تدخُّل الغير في أمور حياتهم، من الأمور الرَّاجعة إلى البيت، أو المدينة، أو المملكة؛ بل لايقبلون تدخُّل الغير في تلك الأمور ولوبحسب القول فقط، لا بالعمل؛ ولاسيَّما إذا كان لحياتهم وجهٌ‌ </w:t>
      </w:r>
    </w:p>
    <w:p>
      <w:pPr>
        <w:pStyle w:val="BookText"/>
        <w:rPr/>
      </w:pPr>
      <w:r>
        <w:rPr>
          <w:rFonts w:ascii="Amiri" w:hAnsi="Amiri" w:eastAsia="Amiri" w:cs="Amiri"/>
          <w:color w:val="111111"/>
          <w:sz w:val="28"/>
          <w:sz w:val="28"/>
          <w:szCs w:val="28"/>
          <w:rtl w:val="true"/>
          <w:lang w:bidi="ar-SA"/>
        </w:rPr>
        <w:t xml:space="preserve">يقوِّي ذلك، كالغيرة علىٰ الشَّريعة البيضاء؛ فلايقبل أيُّ مسلمٍ تدخُّل غير المسلم في دار الإسلام،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البحرانيُّ قدس سره</w:t>
      </w:r>
      <w:r>
        <w:rPr>
          <w:rStyle w:val="FootnoteAnchor"/>
          <w:rtl w:val="true"/>
        </w:rPr>
        <w:footnoteReference w:id="1279"/>
      </w:r>
      <w:r>
        <w:rPr>
          <w:rFonts w:ascii="Amiri" w:hAnsi="Amiri" w:eastAsia="Amiri" w:cs="Amiri"/>
          <w:color w:val="111111"/>
          <w:sz w:val="28"/>
          <w:sz w:val="28"/>
          <w:szCs w:val="28"/>
          <w:rtl w:val="true"/>
          <w:lang w:bidi="ar-SA"/>
        </w:rPr>
        <w:t>عن الشَّيخ الكلينيِّ قدس سره</w:t>
      </w:r>
      <w:r>
        <w:rPr>
          <w:rStyle w:val="FootnoteAnchor"/>
          <w:rtl w:val="true"/>
        </w:rPr>
        <w:footnoteReference w:id="1280"/>
      </w:r>
      <w:r>
        <w:rPr>
          <w:rFonts w:ascii="Amiri" w:hAnsi="Amiri" w:eastAsia="Amiri" w:cs="Amiri"/>
          <w:color w:val="111111"/>
          <w:sz w:val="28"/>
          <w:sz w:val="28"/>
          <w:szCs w:val="28"/>
          <w:rtl w:val="true"/>
          <w:lang w:bidi="ar-SA"/>
        </w:rPr>
        <w:t>عن الصَّادق عليه السلام أنَّه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 إلى المؤمن أمورَه كلَّها ولم يفوِّض إليه أن يكون ذليلًا، أمَا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يكون عزيزًا ولايكون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رواه المشهديُّ قدس سره في كنز الدَّقائق</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وللقرآن الكريم لسانٌ واضحٌ يؤكِّد علىٰ عدم تقبُّلهم سلطة الكفَّار علىٰ نواحي حياتهم الشَّتيتة،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حيث فسَّره شيخُالطَّائفة قدس سره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للمؤمنين أن يتَّخذوا الكافرين أولياء، يعني أنصارًا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زاد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دلالةٌ علىٰ أنَّه لايجوز ملاطفةُ الكفار</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الأستاذ العلَّامة الطَّباطبائي أكثر من ذلك وأشدُّ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فسَّر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اتِّخاذ الكافرين أولياء هو الإمتزاج الروحيُّ بهم بحيث يؤدِّي إلى مطاوعتهم والتَّأثُّر منهم </w:t>
      </w:r>
      <w:bookmarkStart w:id="534" w:name="pg20339_220524"/>
    </w:p>
    <w:p>
      <w:pPr>
        <w:pStyle w:val="BookText"/>
        <w:rPr/>
      </w:pPr>
      <w:bookmarkEnd w:id="534"/>
      <w:r>
        <w:rPr>
          <w:rFonts w:ascii="Amiri" w:hAnsi="Amiri" w:eastAsia="Amiri" w:cs="Amiri"/>
          <w:color w:val="111111"/>
          <w:sz w:val="28"/>
          <w:sz w:val="28"/>
          <w:szCs w:val="28"/>
          <w:rtl w:val="true"/>
          <w:lang w:bidi="ar-SA"/>
        </w:rPr>
        <w:t>في الأخلاق وسائر شؤون الحيوة وتصرُّفهم في ذلك</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الكريمة وإن ورد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نظَرَ إليه الطَّبَرسيُّ قدس سره ففسَّرها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لاتتَّخذوا الكافرين أولياء وخواصَّ من دون المؤمنين تفشون إليهم أسراركم</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ليس المراد منها النَّهي عن إفشاء الأسرار عندهم فقط؛ بل لها عمومٌ يدلُّ علىٰ المنع عن اِتِّخاهم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يُرىٰ اليوم من ضعف المسلمين واستكانتهم قِبَل الكفَّار، ليس إلَّانتيجة عدم اِهتمامهم بهذه القاعدة العُقلائيَّة، الَّتي أكَّدتْ عليها الشَّريعة؛ فالنظر في أحوالهم هذه يكفي للإيمان بها وبمفادها الرَّاقي</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979422_1280447820"/>
      <w:bookmarkStart w:id="536" w:name="_Toc200"/>
      <w:bookmarkEnd w:id="535"/>
      <w:r>
        <w:rPr>
          <w:rtl w:val="true"/>
        </w:rPr>
        <w:t>مدركُ القاعدة</w:t>
      </w:r>
      <w:bookmarkEnd w:id="536"/>
    </w:p>
    <w:p>
      <w:pPr>
        <w:pStyle w:val="Heading4"/>
        <w:numPr>
          <w:ilvl w:val="3"/>
          <w:numId w:val="1"/>
        </w:numPr>
        <w:rPr/>
      </w:pPr>
      <w:bookmarkStart w:id="537" w:name="__RefHeading___Toc11979424_1280447820"/>
      <w:bookmarkStart w:id="538" w:name="_Toc201"/>
      <w:bookmarkEnd w:id="537"/>
      <w:r>
        <w:rPr>
          <w:rtl w:val="true"/>
        </w:rPr>
        <w:t>أوَّلًا</w:t>
      </w:r>
      <w:r>
        <w:rPr>
          <w:rtl w:val="true"/>
        </w:rPr>
        <w:t xml:space="preserve">: </w:t>
      </w:r>
      <w:r>
        <w:rPr>
          <w:rtl w:val="true"/>
        </w:rPr>
        <w:t>الكتاب</w:t>
      </w:r>
      <w:bookmarkEnd w:id="538"/>
    </w:p>
    <w:p>
      <w:pPr>
        <w:pStyle w:val="BookText"/>
        <w:rPr/>
      </w:pPr>
      <w:r>
        <w:rPr>
          <w:rFonts w:ascii="Amiri" w:hAnsi="Amiri" w:eastAsia="Amiri" w:cs="Amiri"/>
          <w:color w:val="111111"/>
          <w:sz w:val="28"/>
          <w:sz w:val="28"/>
          <w:szCs w:val="28"/>
          <w:rtl w:val="true"/>
          <w:lang w:bidi="ar-SA"/>
        </w:rPr>
        <w:t>فيدلُّ عليها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w:t>
      </w:r>
    </w:p>
    <w:p>
      <w:pPr>
        <w:pStyle w:val="BookText"/>
        <w:rPr/>
      </w:pPr>
      <w:r>
        <w:rPr>
          <w:rFonts w:ascii="Amiri" w:hAnsi="Amiri" w:eastAsia="Amiri" w:cs="Amiri"/>
          <w:color w:val="111111"/>
          <w:sz w:val="28"/>
          <w:sz w:val="28"/>
          <w:szCs w:val="28"/>
          <w:rtl w:val="true"/>
          <w:lang w:bidi="ar-SA"/>
        </w:rPr>
        <w:t xml:space="preserve">أسلوب النَّكرة الواقعة في سياق النَّفي، الَّذي يفيد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يشرِّع حكمًا يوجب سلطةً للكافرين علىٰ المسلمين؛</w:t>
      </w:r>
    </w:p>
    <w:p>
      <w:pPr>
        <w:pStyle w:val="BookText"/>
        <w:rPr/>
      </w:pPr>
      <w:r>
        <w:rPr>
          <w:rFonts w:ascii="Amiri" w:hAnsi="Amiri" w:eastAsia="Amiri" w:cs="Amiri"/>
          <w:color w:val="111111"/>
          <w:sz w:val="28"/>
          <w:sz w:val="28"/>
          <w:szCs w:val="28"/>
          <w:rtl w:val="true"/>
          <w:lang w:bidi="ar-SA"/>
        </w:rPr>
        <w:t>هذا بحسب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عالَم التَّكوين، فله دلالةٌ واضحةٌ علىٰ نهي المؤمنين عن تقبُّل سلطتهم، حذرًا عن ضعف الإسلام وقوَّة الكفر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قلنا ظهر 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مقام بيان نفي سلطة الكفَّار تكوينًا</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لها دلالةً علىٰ تحذير المسلمين عن تقبُّلها، فلها بالملازمة لسانٌ علىٰ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اختصاص القول بالمستقبل، بل الآية الكريمة تدلُّ علىٰ مدلولها بحسب عموم الأزمنة؛ شأن اللَّفظة هيهنا شأنُ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أزورك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المستفاد منه عدمُ زيارة المخاطب في جميع الأزمنة بين الحال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استعمال الجمع المحلَّىٰ بالألف واللَّام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أنَّ المراد به نفيُ سبيل جماعةِ الكفَّار علىٰ جماعة المؤمنين، لا آحادهم علىٰ آحادهم؛ لأنَّ المراد جنسُ الكفَّار وجنس المؤمنين؛ وهذا واضحٌ‌؛ فيشمل الجمع والمفرد معًا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ولايخالف ما قلنا ما رواه الطَّبريُّ عن أميرالمؤمنين عليه السلام حيث فسَّره بالحجَّة في </w:t>
      </w:r>
      <w:bookmarkStart w:id="539" w:name="pg20339_220526"/>
    </w:p>
    <w:p>
      <w:pPr>
        <w:pStyle w:val="BookText"/>
        <w:rPr/>
      </w:pPr>
      <w:bookmarkEnd w:id="539"/>
      <w:r>
        <w:rPr>
          <w:rFonts w:ascii="IRNazanin" w:hAnsi="IRNazanin" w:eastAsia="IRNazanin"/>
          <w:color w:val="111111"/>
          <w:sz w:val="28"/>
          <w:sz w:val="28"/>
          <w:szCs w:val="28"/>
          <w:rtl w:val="true"/>
          <w:lang w:bidi="fa-IR"/>
        </w:rPr>
        <w:t>دار القرار</w:t>
      </w:r>
      <w:r>
        <w:rPr>
          <w:rStyle w:val="FootnoteAnchor"/>
          <w:rtl w:val="true"/>
        </w:rPr>
        <w:footnoteReference w:id="1289"/>
      </w:r>
      <w:r>
        <w:rPr>
          <w:rFonts w:ascii="Amiri" w:hAnsi="Amiri" w:eastAsia="Amiri" w:cs="Amiri"/>
          <w:color w:val="111111"/>
          <w:sz w:val="28"/>
          <w:sz w:val="28"/>
          <w:szCs w:val="28"/>
          <w:rtl w:val="true"/>
          <w:lang w:bidi="ar-SA"/>
        </w:rPr>
        <w:t>، لأنَّ هذا طرَفٌ آخر من الآية الكريمة لايخالف المستفاد منها بحسب دلالتها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ولايخالفها أيضًا المرويُّ عن مولانا الرِّضا عليه السلام أنَّه قال في الآية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كفَّارٍ قتلوا نبيَّهم بغير الحقِّ‌، ومع قتلهم إيَّاهم لم يجعل اللَّه لهم علىٰ انبيائه عليهم السلام سبيلًا</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الظَّاهر من قوله عليه السلام كونه تفسيرًا لها وبيان بطنٍ من بطونها، ولا اِنحصار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الغلبة بالجحَّة أيضًا تُعدُّ من مصاديق العلوِّ، فنفاه الحديث</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979426_1280447820"/>
      <w:bookmarkStart w:id="541" w:name="_Toc202"/>
      <w:bookmarkEnd w:id="540"/>
      <w:r>
        <w:rPr>
          <w:rtl w:val="true"/>
        </w:rPr>
        <w:t>ثانيًا</w:t>
      </w:r>
      <w:r>
        <w:rPr>
          <w:rtl w:val="true"/>
        </w:rPr>
        <w:t xml:space="preserve">: </w:t>
      </w:r>
      <w:r>
        <w:rPr>
          <w:rtl w:val="true"/>
        </w:rPr>
        <w:t>السُّنَّة</w:t>
      </w:r>
      <w:bookmarkEnd w:id="5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ولايُعلىٰ عليه، والكفَّار بمنزلة الموتىٰ لايحجبون ولايُورَثُون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صدرَه الصَّدوق قدس سره مرسلًا</w:t>
      </w:r>
      <w:r>
        <w:rPr>
          <w:rStyle w:val="FootnoteAnchor"/>
          <w:rtl w:val="true"/>
        </w:rPr>
        <w:footnoteReference w:id="1291"/>
      </w:r>
      <w:r>
        <w:rPr>
          <w:rFonts w:ascii="Amiri" w:hAnsi="Amiri" w:eastAsia="Amiri" w:cs="Amiri"/>
          <w:color w:val="111111"/>
          <w:sz w:val="28"/>
          <w:sz w:val="28"/>
          <w:szCs w:val="28"/>
          <w:rtl w:val="true"/>
          <w:lang w:bidi="ar-SA"/>
        </w:rPr>
        <w:t>، والشَّيخ قدس سره في الخلاف</w:t>
      </w:r>
      <w:r>
        <w:rPr>
          <w:rStyle w:val="FootnoteAnchor"/>
          <w:rtl w:val="true"/>
        </w:rPr>
        <w:footnoteReference w:id="1292"/>
      </w:r>
      <w:r>
        <w:rPr>
          <w:rFonts w:ascii="Amiri" w:hAnsi="Amiri" w:eastAsia="Amiri" w:cs="Amiri"/>
          <w:color w:val="111111"/>
          <w:sz w:val="28"/>
          <w:sz w:val="28"/>
          <w:szCs w:val="28"/>
          <w:rtl w:val="true"/>
          <w:lang w:bidi="ar-SA"/>
        </w:rPr>
        <w:t>مرسلًا أيضًا، وصاحب الوسائل قدس سره</w:t>
      </w:r>
      <w:r>
        <w:rPr>
          <w:rStyle w:val="FootnoteAnchor"/>
          <w:rtl w:val="true"/>
        </w:rPr>
        <w:footnoteReference w:id="1293"/>
      </w:r>
      <w:r>
        <w:rPr>
          <w:rFonts w:ascii="Amiri" w:hAnsi="Amiri" w:eastAsia="Amiri" w:cs="Amiri"/>
          <w:color w:val="111111"/>
          <w:sz w:val="28"/>
          <w:sz w:val="28"/>
          <w:szCs w:val="28"/>
          <w:rtl w:val="true"/>
          <w:lang w:bidi="ar-SA"/>
        </w:rPr>
        <w:t>لكن لاضير في إرساله حيث يجبر ضعف سنده بعمل الأصحاب به، ومعاضدته بغيره من الآيات والرِّوايات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الحديث علىٰ المطلوب بحسب عالَمَي التَّشريع والتَّكوين واضحةٌ تامَّةٌ‌؛ </w:t>
      </w:r>
      <w:bookmarkStart w:id="542" w:name="pg20339_220527"/>
    </w:p>
    <w:p>
      <w:pPr>
        <w:pStyle w:val="BookText"/>
        <w:rPr/>
      </w:pPr>
      <w:bookmarkEnd w:id="542"/>
      <w:r>
        <w:rPr>
          <w:rFonts w:ascii="Amiri" w:hAnsi="Amiri" w:eastAsia="Amiri" w:cs="Amiri"/>
          <w:color w:val="111111"/>
          <w:sz w:val="28"/>
          <w:sz w:val="28"/>
          <w:szCs w:val="28"/>
          <w:rtl w:val="true"/>
          <w:lang w:bidi="ar-SA"/>
        </w:rPr>
        <w:t>حيث يدلُّ علىٰ أنَّ للإسلام بحسب ذاته علوًّا علىٰ غيره من المذاهب، كما أنَّ علىٰ المسلمين مراعاةَ هذا العلوِّ لئلَّا يقعوا فيما يوجب 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 الإسلام لايرتبط بعلوِّ المسلمين</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يُجاب عنه بأنَّ الحديث كما يُنبىءُ عن علوِّ الإسلام يُحذِّر المسلمين عن تقبُّل علوِّ الكفر والكفَّار في نفس الزَّمان، فله لسانٌ علىٰ المطلوب واضحٌ‌</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979428_1280447820"/>
      <w:bookmarkStart w:id="544" w:name="_Toc203"/>
      <w:bookmarkEnd w:id="543"/>
      <w:r>
        <w:rPr>
          <w:rtl w:val="true"/>
        </w:rPr>
        <w:t>ثالثًا</w:t>
      </w:r>
      <w:r>
        <w:rPr>
          <w:rtl w:val="true"/>
        </w:rPr>
        <w:t xml:space="preserve">: </w:t>
      </w:r>
      <w:r>
        <w:rPr>
          <w:rtl w:val="true"/>
        </w:rPr>
        <w:t>الإجماع</w:t>
      </w:r>
      <w:bookmarkEnd w:id="544"/>
    </w:p>
    <w:p>
      <w:pPr>
        <w:pStyle w:val="BookText"/>
        <w:rPr/>
      </w:pPr>
      <w:r>
        <w:rPr>
          <w:rFonts w:ascii="Amiri" w:hAnsi="Amiri" w:eastAsia="Amiri" w:cs="Amiri"/>
          <w:color w:val="111111"/>
          <w:sz w:val="28"/>
          <w:sz w:val="28"/>
          <w:szCs w:val="28"/>
          <w:rtl w:val="true"/>
          <w:lang w:bidi="ar-SA"/>
        </w:rPr>
        <w:t>فلاخلاف في أنَّه لم يُوجَد في الشَّريعة حكمٌ يوجب علوَّ الكفَّار بجماعتهم، أو الكافر بانفراده علىٰ جماعة المسلمين أو أفرادهم، كما سنشير إليه من عدم جواز بيع المصحف للكافر، أو بيع المسلم للكافر، أو تزويج الكافر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هذا وإن كان مستندًا إلى الأدلَّة السَّمعيَّة المُشار إليها أعلاه، لكن لاضير فيه، حيث نعلم علمًا قطعيًّا بثبوت هذا الرَّأي في الشِّيعة وصحَّة إسناده إلى أهل العصمة الكبرىٰ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هيهنا مؤيِّدٌ لغيره من الأدلَّة، وليس له مقام الحجِّيَّة برأسه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ولاخلاف بين الفقهاء في ذلك، وجيمع ما يُرىٰ من الرَّدِّ والإيراد فيه فهو في مصاديقه فقط، لا في أصله؛ حيث يمكن أن يرُدَّ أحدُهم علىٰ كون أمرٍ من مصاديق </w:t>
      </w:r>
      <w:bookmarkStart w:id="545" w:name="pg20339_220528"/>
    </w:p>
    <w:p>
      <w:pPr>
        <w:pStyle w:val="BookText"/>
        <w:rPr/>
      </w:pPr>
      <w:bookmarkEnd w:id="545"/>
      <w:r>
        <w:rPr>
          <w:rFonts w:ascii="Amiri" w:hAnsi="Amiri" w:eastAsia="Amiri" w:cs="Amiri"/>
          <w:color w:val="111111"/>
          <w:sz w:val="28"/>
          <w:sz w:val="28"/>
          <w:szCs w:val="28"/>
          <w:rtl w:val="true"/>
          <w:lang w:bidi="ar-SA"/>
        </w:rPr>
        <w:t>اِستيلاء الكافر علىٰ المسلم، ويثبته آخر، لكن الرَّادَّ والمثبِتَ يتَّفقان علىٰ الحكم لوثبت كون المورد من مصاديق القاعدة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1979430_1280447820"/>
      <w:bookmarkStart w:id="547" w:name="_Toc204"/>
      <w:bookmarkEnd w:id="546"/>
      <w:r>
        <w:rPr>
          <w:rtl w:val="true"/>
        </w:rPr>
        <w:t>تنبيهاتٌ‌</w:t>
      </w:r>
      <w:r>
        <w:rPr>
          <w:rtl w:val="true"/>
        </w:rPr>
        <w:t>:</w:t>
      </w:r>
      <w:bookmarkEnd w:id="547"/>
    </w:p>
    <w:p>
      <w:pPr>
        <w:pStyle w:val="Heading4"/>
        <w:numPr>
          <w:ilvl w:val="3"/>
          <w:numId w:val="1"/>
        </w:numPr>
        <w:rPr/>
      </w:pPr>
      <w:bookmarkStart w:id="548" w:name="__RefHeading___Toc11979432_1280447820"/>
      <w:bookmarkStart w:id="549" w:name="_Toc205"/>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إذا تقرَّر هذا، فيقع الكلامُ في تنبيهاتٍ تشير إلى مدىٰ سعة القاعدة ونواحيها؛ وهي</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979434_1280447820"/>
      <w:bookmarkStart w:id="551" w:name="_Toc206"/>
      <w:bookmarkEnd w:id="550"/>
      <w:r>
        <w:rPr>
          <w:rtl w:val="true"/>
        </w:rPr>
        <w:t>التَّنبيه الأوَّل</w:t>
      </w:r>
      <w:r>
        <w:rPr>
          <w:rtl w:val="true"/>
        </w:rPr>
        <w:t>:</w:t>
      </w:r>
      <w:bookmarkEnd w:id="551"/>
    </w:p>
    <w:p>
      <w:pPr>
        <w:pStyle w:val="BookText"/>
        <w:rPr/>
      </w:pPr>
      <w:r>
        <w:rPr>
          <w:rFonts w:ascii="Amiri" w:hAnsi="Amiri" w:eastAsia="Amiri" w:cs="Amiri"/>
          <w:color w:val="111111"/>
          <w:sz w:val="28"/>
          <w:sz w:val="28"/>
          <w:szCs w:val="28"/>
          <w:rtl w:val="true"/>
          <w:lang w:bidi="ar-SA"/>
        </w:rPr>
        <w:t>المناط كلُّ المناط في هذه القاعدة سيطرةُ الكافر علىٰ المسلم، أو الكفَّار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القاضي ابن برَّاجٍ ذهب إلى أنَّه لايجوز للذِّمِّي أن يرفع بيتَه فوق بيت المسلمين</w:t>
      </w:r>
      <w:r>
        <w:rPr>
          <w:rStyle w:val="FootnoteAnchor"/>
          <w:rtl w:val="true"/>
        </w:rPr>
        <w:footnoteReference w:id="1295"/>
      </w:r>
      <w:r>
        <w:rPr>
          <w:rFonts w:ascii="Amiri" w:hAnsi="Amiri" w:eastAsia="Amiri" w:cs="Amiri"/>
          <w:color w:val="111111"/>
          <w:sz w:val="28"/>
          <w:sz w:val="28"/>
          <w:szCs w:val="28"/>
          <w:rtl w:val="true"/>
          <w:lang w:bidi="ar-SA"/>
        </w:rPr>
        <w:t>فالقاعدة موسَّعةٌ عنده غاية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 هذا يدلُّنا علىٰ عدم جواز تولِّي الكافر أمورَ المسلمين، ككونه رئيسًا في أمرٍ من الأمور بيده ولايتهم، أو مشاورًا يُقدِّر لهم تقديرهم الفرديَّ والجماعيَّ‌؛ بل جعلُ الكافر مولىً لعبدٍ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العلَّامةُ‌</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استخدامِه العبدَ المسلمَ ليكون خادمًا له ينافي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ولاتستوحش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استخدام الكافر للمسلم كخادمٍ له ليس بعزيزٍ في هذا العصر؛ والعياذُ باللَّه من اِستكانة المسلمين قِبَل الكفَّار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استيجار المُسلمِ الكافرَ للقيام بأمرٍ، فلاضير فيه إذا لم يُوجِب سلطته علىٰ أمره</w:t>
      </w:r>
      <w:r>
        <w:rPr>
          <w:rFonts w:eastAsia="Amiri" w:cs="Amiri" w:ascii="Amiri" w:hAnsi="Amiri"/>
          <w:color w:val="111111"/>
          <w:sz w:val="28"/>
          <w:szCs w:val="28"/>
          <w:rtl w:val="true"/>
          <w:lang w:bidi="ar-SA"/>
        </w:rPr>
        <w:t xml:space="preserve">. </w:t>
      </w:r>
      <w:bookmarkStart w:id="552" w:name="pg20339_220529"/>
    </w:p>
    <w:p>
      <w:pPr>
        <w:pStyle w:val="Heading4"/>
        <w:numPr>
          <w:ilvl w:val="3"/>
          <w:numId w:val="1"/>
        </w:numPr>
        <w:rPr/>
      </w:pPr>
      <w:bookmarkStart w:id="553" w:name="__RefHeading___Toc11979436_1280447820"/>
      <w:bookmarkStart w:id="554" w:name="_Toc207"/>
      <w:bookmarkEnd w:id="552"/>
      <w:bookmarkEnd w:id="553"/>
      <w:r>
        <w:rPr>
          <w:rtl w:val="true"/>
        </w:rPr>
        <w:t>التَّنبيه الثَّاني</w:t>
      </w:r>
      <w:r>
        <w:rPr>
          <w:rtl w:val="true"/>
        </w:rPr>
        <w:t>:</w:t>
      </w:r>
      <w:bookmarkEnd w:id="554"/>
    </w:p>
    <w:p>
      <w:pPr>
        <w:pStyle w:val="BookText"/>
        <w:rPr/>
      </w:pPr>
      <w:r>
        <w:rPr>
          <w:rFonts w:ascii="Amiri" w:hAnsi="Amiri" w:eastAsia="Amiri" w:cs="Amiri"/>
          <w:color w:val="111111"/>
          <w:sz w:val="28"/>
          <w:sz w:val="28"/>
          <w:szCs w:val="28"/>
          <w:rtl w:val="true"/>
          <w:lang w:bidi="ar-SA"/>
        </w:rPr>
        <w:t xml:space="preserve">ليست القاعدةُ هذه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أدلَّتها ليست بصدد جعل الحجِّيَّة لمنطوقها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أخذ الشَّكِّ في مدلولها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حكمٌ شرعيٌّ كلِّيٌّ يُنبِىء عن إحدىٰ القواعد الحاكمة في كرسيِّ التَّشريع، وهي عدم جواز سلطة الكافر علىٰ المسلم؛ فلها تقدُّمٌ علىٰ 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فلوتعارضها سائرُ الأدلَّة فلها تقدُّمٌ عليه في مقام المعارضة، لكونه حكمًا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دليلٍ سعةٌ وضيقٌ يجب مراعاتها في مقام التَّرجيح، وهذا واضحٌ للمتدرِّب في الفقه</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979438_1280447820"/>
      <w:bookmarkStart w:id="556" w:name="_Toc208"/>
      <w:bookmarkEnd w:id="555"/>
      <w:r>
        <w:rPr>
          <w:rtl w:val="true"/>
        </w:rPr>
        <w:t>التَّنبيه الثَّالث</w:t>
      </w:r>
      <w:r>
        <w:rPr>
          <w:rtl w:val="true"/>
        </w:rPr>
        <w:t>:</w:t>
      </w:r>
      <w:bookmarkEnd w:id="556"/>
    </w:p>
    <w:p>
      <w:pPr>
        <w:pStyle w:val="BookText"/>
        <w:rPr/>
      </w:pPr>
      <w:r>
        <w:rPr>
          <w:rFonts w:ascii="Amiri" w:hAnsi="Amiri" w:eastAsia="Amiri" w:cs="Amiri"/>
          <w:color w:val="111111"/>
          <w:sz w:val="28"/>
          <w:sz w:val="28"/>
          <w:szCs w:val="28"/>
          <w:rtl w:val="true"/>
          <w:lang w:bidi="ar-SA"/>
        </w:rPr>
        <w:t>من أعلىٰ مصاديق الاستيجار في هذا العصر هو ما راج بين المسلمين من الذِّهاب إلى ديار الكفر تعلُّمًا لعلومهم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في ذلك، كما أشار إليه قولُ النَّبيِّ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العلمَ ولو بالصِّين</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وللزَّبيدي صاحب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حديث اطلُبوا العلم ولو بالصِّين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التَّعلُّم لايصدق عليه الاِستيلاء، بل لامناص من ذلك، وذلك تقويةً للحضارة الإسلاميَّة الَّتي لاشيء أعلىٰ منها قدرًا وأفضل منها ثمرًا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استشارة الكافر في الأمور الَّتي هم الأخصَّائيُّون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كالاِستشارة مع من له تخصُّصٌ في أمر اكتشافٍ‌، أو مسألةٍ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حرج فيها لولم تؤدِّي إلى مفسدةٍ‌ </w:t>
      </w:r>
      <w:bookmarkStart w:id="557" w:name="pg20339_220530"/>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سلطته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صدق السُّلطة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التِّجارة معهم ولو بما شاع في هذا العصر من كون رأس المال لأحدٍ والعمل بها لآخر، كأن يجعل الكافرُ رأسَ ماله في بلاد المسلمين لصُنع المعامل والمصانع ثمَّ تنصيف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أو تقسيمها بنحوٍ آخر، أو مطلق ما يدخل تحت أقسام المضاربة، فلاضير فيها قطعًا؛</w:t>
      </w:r>
    </w:p>
    <w:p>
      <w:pPr>
        <w:pStyle w:val="BookText"/>
        <w:rPr/>
      </w:pPr>
      <w:r>
        <w:rPr>
          <w:rFonts w:ascii="Amiri" w:hAnsi="Amiri" w:eastAsia="Amiri" w:cs="Amiri"/>
          <w:color w:val="111111"/>
          <w:sz w:val="28"/>
          <w:sz w:val="28"/>
          <w:szCs w:val="28"/>
          <w:rtl w:val="true"/>
          <w:lang w:bidi="ar-SA"/>
        </w:rPr>
        <w:t>لعدم صدق السُّلطة أوَّلًا؛</w:t>
      </w:r>
    </w:p>
    <w:p>
      <w:pPr>
        <w:pStyle w:val="BookText"/>
        <w:rPr/>
      </w:pPr>
      <w:r>
        <w:rPr>
          <w:rFonts w:ascii="Amiri" w:hAnsi="Amiri" w:eastAsia="Amiri" w:cs="Amiri"/>
          <w:color w:val="111111"/>
          <w:sz w:val="28"/>
          <w:sz w:val="28"/>
          <w:szCs w:val="28"/>
          <w:rtl w:val="true"/>
          <w:lang w:bidi="ar-SA"/>
        </w:rPr>
        <w:t>ولثبوت السِّيرة المُمضاة من قِبَل الشَّارع عليه ثانيًا، فالمسلمون في الصَّدر الأوَّل كانوا كثيرًا مَّا يتجرون مع اليهود في مدينة النَّبيِّ صلى الله عليه و آله وكان ذلك بمرأىً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الإلتفات إلى أنْ لايؤدِّي ذلك إلى سلطتهم علىٰ بلاد المسلمين وشؤون حياتهم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979440_1280447820"/>
      <w:bookmarkStart w:id="559" w:name="_Toc209"/>
      <w:bookmarkEnd w:id="558"/>
      <w:r>
        <w:rPr>
          <w:rtl w:val="true"/>
        </w:rPr>
        <w:t>التَّنبيه الرَّابع</w:t>
      </w:r>
      <w:r>
        <w:rPr>
          <w:rtl w:val="true"/>
        </w:rPr>
        <w:t>:</w:t>
      </w:r>
      <w:bookmarkEnd w:id="559"/>
    </w:p>
    <w:p>
      <w:pPr>
        <w:pStyle w:val="BookText"/>
        <w:rPr/>
      </w:pPr>
      <w:r>
        <w:rPr>
          <w:rFonts w:ascii="Amiri" w:hAnsi="Amiri" w:eastAsia="Amiri" w:cs="Amiri"/>
          <w:color w:val="111111"/>
          <w:sz w:val="28"/>
          <w:sz w:val="28"/>
          <w:szCs w:val="28"/>
          <w:rtl w:val="true"/>
          <w:lang w:bidi="ar-SA"/>
        </w:rPr>
        <w:t xml:space="preserve">كما أنَّ جميع المواصَلات الدَّارجة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جماعيَّةً كانت، أو سياسيَّةً‌، أو 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فيها مادام لم تكن مُوطِّئةً لنفوذهم وسلطتهم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المواصَلات تُعدُّ من ضروريَّات حياة البشر اليومَ‌، فلانحتاج في إثبات مشروعيَّتها إلى جعلها من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لايبعُد إنطباق هذا العنوان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نفس كونها من الضَّروريَّات في عصرنا الحاضر يدلُّ علىٰ جوازها ما لم تؤدِّي إلى تلك المفسدة المبحوث عنها الآن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11979442_1280447820"/>
      <w:bookmarkStart w:id="561" w:name="_Toc210"/>
      <w:bookmarkEnd w:id="560"/>
      <w:r>
        <w:rPr>
          <w:rtl w:val="true"/>
        </w:rPr>
        <w:t>التَّنبيه الخامس</w:t>
      </w:r>
      <w:r>
        <w:rPr>
          <w:rtl w:val="true"/>
        </w:rPr>
        <w:t>:</w:t>
      </w:r>
      <w:bookmarkEnd w:id="561"/>
    </w:p>
    <w:p>
      <w:pPr>
        <w:pStyle w:val="BookText"/>
        <w:rPr/>
      </w:pPr>
      <w:r>
        <w:rPr>
          <w:rFonts w:ascii="Amiri" w:hAnsi="Amiri" w:eastAsia="Amiri" w:cs="Amiri"/>
          <w:color w:val="111111"/>
          <w:sz w:val="28"/>
          <w:sz w:val="28"/>
          <w:szCs w:val="28"/>
          <w:rtl w:val="true"/>
          <w:lang w:bidi="ar-SA"/>
        </w:rPr>
        <w:t xml:space="preserve">وعليه فلابأس في المودَّة بهم والقِسط معهم، كما قد رغَّب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الكريمة وإن قيل بنسخها بآية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الطَّبرسيُّ قدس سره</w:t>
      </w:r>
      <w:r>
        <w:rPr>
          <w:rStyle w:val="FootnoteAnchor"/>
          <w:rtl w:val="true"/>
        </w:rPr>
        <w:footnoteReference w:id="1299"/>
      </w:r>
      <w:r>
        <w:rPr>
          <w:rFonts w:ascii="Amiri" w:hAnsi="Amiri" w:eastAsia="Amiri" w:cs="Amiri"/>
          <w:color w:val="111111"/>
          <w:sz w:val="28"/>
          <w:sz w:val="28"/>
          <w:szCs w:val="28"/>
          <w:rtl w:val="true"/>
          <w:lang w:bidi="ar-SA"/>
        </w:rPr>
        <w:t>والشَّيخ قدس سره</w:t>
      </w:r>
      <w:r>
        <w:rPr>
          <w:rStyle w:val="FootnoteAnchor"/>
          <w:rtl w:val="true"/>
        </w:rPr>
        <w:footnoteReference w:id="1300"/>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دلالتها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للحربيِّين حكمٌ آخر، فلايجوز الصِّلة بالصَّهيونيِّين ولوكانت لحاجةٍ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يَنْهٰاكُمُ اَللّٰهُ عَنِ اَلَّذِينَ قٰاتَلُوكُمْ فِي اَلدِّينِ وَ أَخْرَجُوكُمْ مِنْ دِيٰارِكُمْ‌</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المراودة مع الكفَّار وكذلك مع الفُجَّار والفُسَّاق من المسلمين،</w:t>
      </w:r>
    </w:p>
    <w:p>
      <w:pPr>
        <w:pStyle w:val="BookText"/>
        <w:rPr/>
      </w:pPr>
      <w:r>
        <w:rPr>
          <w:rFonts w:ascii="Amiri" w:hAnsi="Amiri" w:eastAsia="Amiri" w:cs="Amiri"/>
          <w:color w:val="111111"/>
          <w:sz w:val="28"/>
          <w:sz w:val="28"/>
          <w:szCs w:val="28"/>
          <w:rtl w:val="true"/>
          <w:lang w:bidi="ar-SA"/>
        </w:rPr>
        <w:t>لعدم صدق السُّلطة علىٰ الأوَّل؛</w:t>
      </w:r>
    </w:p>
    <w:p>
      <w:pPr>
        <w:pStyle w:val="BookText"/>
        <w:rPr/>
      </w:pPr>
      <w:r>
        <w:rPr>
          <w:rFonts w:ascii="Amiri" w:hAnsi="Amiri" w:eastAsia="Amiri" w:cs="Amiri"/>
          <w:color w:val="111111"/>
          <w:sz w:val="28"/>
          <w:sz w:val="28"/>
          <w:szCs w:val="28"/>
          <w:rtl w:val="true"/>
          <w:lang w:bidi="ar-SA"/>
        </w:rPr>
        <w:t>ولعدم حرمةٍ ذاتيَّةٍ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ما يرجع إلى قاعدة عدم سلطة الكافر علىٰ المسلم؛</w:t>
      </w:r>
    </w:p>
    <w:p>
      <w:pPr>
        <w:pStyle w:val="BookText"/>
        <w:rPr/>
      </w:pPr>
      <w:r>
        <w:rPr>
          <w:rFonts w:ascii="Amiri" w:hAnsi="Amiri" w:eastAsia="Amiri" w:cs="Amiri"/>
          <w:color w:val="111111"/>
          <w:sz w:val="28"/>
          <w:sz w:val="28"/>
          <w:szCs w:val="28"/>
          <w:rtl w:val="true"/>
          <w:lang w:bidi="ar-SA"/>
        </w:rPr>
        <w:t xml:space="preserve">أمَّا بحسب قاعدة الاِجتناب عن رفيق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المُرغَّب فيها من قِبَل العقل والشَّرع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فلايجوز هذه المراودة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هذه القاعدة واضحةٌ‌؛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يَعَضُّ اَلظّٰالِمُ عَلىٰ يَدَيْهِ يَقُولُ‌ </w:t>
      </w:r>
      <w:bookmarkStart w:id="562" w:name="pg20339_220532"/>
    </w:p>
    <w:p>
      <w:pPr>
        <w:pStyle w:val="BookText"/>
        <w:rPr/>
      </w:pPr>
      <w:bookmarkEnd w:id="562"/>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عنه إلى ما قاله الشَّيخ قدس سره</w:t>
      </w:r>
      <w:r>
        <w:rPr>
          <w:rStyle w:val="FootnoteAnchor"/>
          <w:rtl w:val="true"/>
        </w:rPr>
        <w:footnoteReference w:id="1303"/>
      </w:r>
      <w:r>
        <w:rPr>
          <w:rFonts w:ascii="Amiri" w:hAnsi="Amiri" w:eastAsia="Amiri" w:cs="Amiri"/>
          <w:color w:val="111111"/>
          <w:sz w:val="28"/>
          <w:sz w:val="28"/>
          <w:szCs w:val="28"/>
          <w:rtl w:val="true"/>
          <w:lang w:bidi="ar-SA"/>
        </w:rPr>
        <w:t>والطَّبَرسيُّ قدس سره</w:t>
      </w:r>
      <w:r>
        <w:rPr>
          <w:rStyle w:val="FootnoteAnchor"/>
          <w:rtl w:val="true"/>
        </w:rPr>
        <w:footnoteReference w:id="1304"/>
      </w:r>
      <w:r>
        <w:rPr>
          <w:rFonts w:ascii="Amiri" w:hAnsi="Amiri" w:eastAsia="Amiri" w:cs="Amiri"/>
          <w:color w:val="111111"/>
          <w:sz w:val="28"/>
          <w:sz w:val="28"/>
          <w:szCs w:val="28"/>
          <w:rtl w:val="true"/>
          <w:lang w:bidi="ar-SA"/>
        </w:rPr>
        <w:t>والسَّيِّد الأستاذ العلَّامة الطَّباطبائي قدس سره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1979444_1280447820"/>
      <w:bookmarkStart w:id="564" w:name="_Toc211"/>
      <w:bookmarkEnd w:id="563"/>
      <w:r>
        <w:rPr>
          <w:rtl w:val="true"/>
        </w:rPr>
        <w:t>التَّنبيه السَّادس</w:t>
      </w:r>
      <w:r>
        <w:rPr>
          <w:rtl w:val="true"/>
        </w:rPr>
        <w:t>:</w:t>
      </w:r>
      <w:bookmarkEnd w:id="564"/>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ولاخلاف في جواز مودَّة الوالِدَين بالنِّسبة إلى أولادهم، بل هذا أمرٌ عقليٌّ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جميع أبناء البشر؛</w:t>
      </w:r>
    </w:p>
    <w:p>
      <w:pPr>
        <w:pStyle w:val="BookText"/>
        <w:rPr/>
      </w:pPr>
      <w:r>
        <w:rPr>
          <w:rFonts w:ascii="Amiri" w:hAnsi="Amiri" w:eastAsia="Amiri" w:cs="Amiri"/>
          <w:color w:val="111111"/>
          <w:sz w:val="28"/>
          <w:sz w:val="28"/>
          <w:szCs w:val="28"/>
          <w:rtl w:val="true"/>
          <w:lang w:bidi="ar-SA"/>
        </w:rPr>
        <w:t xml:space="preserve">أمَّا المودَّة المؤدِّية إلى السُّلطة فلايجوز للكافر بالنِّسبة إلى ولده لوكان مُسلمًا، فليس للكافر أن يُسلِّط علىٰ مسلمٍ ولوكان وليًّا له بحسب الظَّاهر؛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الكريمة واضحة الدِّلالة علىٰ نفي ولاية الكافر علىٰ المسلم ولوكان ولدَه، للنَّهي الصَّريح عن طاعتهما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عدم اِستدلال الأصحاب بها، بل استدلالُهم بآية نفي السَّبيل فقط، كما عن العلَّامة قدس سره</w:t>
      </w:r>
      <w:r>
        <w:rPr>
          <w:rStyle w:val="FootnoteAnchor"/>
          <w:rtl w:val="true"/>
        </w:rPr>
        <w:footnoteReference w:id="1307"/>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308"/>
      </w:r>
      <w:r>
        <w:rPr>
          <w:rFonts w:ascii="Amiri" w:hAnsi="Amiri" w:eastAsia="Amiri" w:cs="Amiri"/>
          <w:color w:val="111111"/>
          <w:sz w:val="28"/>
          <w:sz w:val="28"/>
          <w:szCs w:val="28"/>
          <w:rtl w:val="true"/>
          <w:lang w:bidi="ar-SA"/>
        </w:rPr>
        <w:t>، وثاني الشَّهيدَين قدس سره</w:t>
      </w:r>
      <w:r>
        <w:rPr>
          <w:rStyle w:val="FootnoteAnchor"/>
          <w:rtl w:val="true"/>
        </w:rPr>
        <w:footnoteReference w:id="1309"/>
      </w:r>
      <w:r>
        <w:rPr>
          <w:rFonts w:ascii="IRNazanin" w:hAnsi="IRNazanin" w:eastAsia="IRNazanin"/>
          <w:color w:val="111111"/>
          <w:sz w:val="28"/>
          <w:sz w:val="28"/>
          <w:szCs w:val="28"/>
          <w:rtl w:val="true"/>
          <w:lang w:bidi="fa-IR"/>
        </w:rPr>
        <w:t xml:space="preserve">، والفاضل </w:t>
      </w:r>
    </w:p>
    <w:p>
      <w:pPr>
        <w:pStyle w:val="BookText"/>
        <w:rPr/>
      </w:pPr>
      <w:r>
        <w:rPr>
          <w:rFonts w:ascii="Amiri" w:hAnsi="Amiri" w:eastAsia="Amiri" w:cs="Amiri"/>
          <w:color w:val="111111"/>
          <w:sz w:val="28"/>
          <w:sz w:val="28"/>
          <w:szCs w:val="28"/>
          <w:rtl w:val="true"/>
          <w:lang w:bidi="ar-SA"/>
        </w:rPr>
        <w:t>الأصفهانيِّ قدس سره</w:t>
      </w:r>
      <w:r>
        <w:rPr>
          <w:rStyle w:val="FootnoteAnchor"/>
          <w:rtl w:val="true"/>
        </w:rPr>
        <w:footnoteReference w:id="1310"/>
      </w:r>
      <w:r>
        <w:rPr>
          <w:rFonts w:ascii="Amiri" w:hAnsi="Amiri" w:eastAsia="Amiri" w:cs="Amiri"/>
          <w:color w:val="111111"/>
          <w:sz w:val="28"/>
          <w:sz w:val="28"/>
          <w:szCs w:val="28"/>
          <w:rtl w:val="true"/>
          <w:lang w:bidi="ar-SA"/>
        </w:rPr>
        <w:t>، والمحدِّث البحرانيِّ قدس سره</w:t>
      </w:r>
      <w:r>
        <w:rPr>
          <w:rStyle w:val="FootnoteAnchor"/>
          <w:rtl w:val="true"/>
        </w:rPr>
        <w:footnoteReference w:id="1311"/>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312"/>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313"/>
      </w:r>
      <w:r>
        <w:rPr>
          <w:rFonts w:ascii="Amiri" w:hAnsi="Amiri" w:eastAsia="Amiri" w:cs="Amiri"/>
          <w:color w:val="111111"/>
          <w:sz w:val="28"/>
          <w:sz w:val="28"/>
          <w:szCs w:val="28"/>
          <w:rtl w:val="true"/>
          <w:lang w:bidi="ar-SA"/>
        </w:rPr>
        <w:t>، والسَّيِّد المحقِّق الخوئيِّ قدس سره</w:t>
      </w:r>
      <w:r>
        <w:rPr>
          <w:rStyle w:val="FootnoteAnchor"/>
          <w:rtl w:val="true"/>
        </w:rPr>
        <w:footnoteReference w:id="1314"/>
      </w:r>
      <w:r>
        <w:rPr>
          <w:rFonts w:ascii="Amiri" w:hAnsi="Amiri" w:eastAsia="Amiri" w:cs="Amiri"/>
          <w:color w:val="111111"/>
          <w:sz w:val="28"/>
          <w:sz w:val="28"/>
          <w:szCs w:val="28"/>
          <w:rtl w:val="true"/>
          <w:lang w:bidi="ar-SA"/>
        </w:rPr>
        <w:t>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فلاولاية للكافر علىٰ ولده المسلم ولوكان صغيرًا؛ وليس له أن يأمره بشيءٍ أو ينهاه عنه في أموره الدِّينيَّة، أو السِّياسيَّة، أو الجماعيَّة، لدلالة العقل علىٰ ذلك، مضافًا إلى نصوصٍ منها نفس الآية المذكورة أعلاه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مصباح الشَّريعة</w:t>
      </w:r>
      <w:r>
        <w:rPr>
          <w:rStyle w:val="FootnoteAnchor"/>
          <w:rtl w:val="true"/>
        </w:rPr>
        <w:footnoteReference w:id="1315"/>
      </w:r>
      <w:r>
        <w:rPr>
          <w:rFonts w:ascii="Amiri" w:hAnsi="Amiri" w:eastAsia="Amiri" w:cs="Amiri"/>
          <w:color w:val="111111"/>
          <w:sz w:val="28"/>
          <w:sz w:val="28"/>
          <w:szCs w:val="28"/>
          <w:rtl w:val="true"/>
          <w:lang w:bidi="ar-SA"/>
        </w:rPr>
        <w:t>منسوبًا إلى مولانا الصَّادق عليه السلام، ورواه في نورالثِّقلين</w:t>
      </w:r>
      <w:r>
        <w:rPr>
          <w:rStyle w:val="FootnoteAnchor"/>
          <w:rtl w:val="true"/>
        </w:rPr>
        <w:footnoteReference w:id="1316"/>
      </w:r>
      <w:r>
        <w:rPr>
          <w:rFonts w:ascii="Amiri" w:hAnsi="Amiri" w:eastAsia="Amiri" w:cs="Amiri"/>
          <w:color w:val="111111"/>
          <w:sz w:val="28"/>
          <w:sz w:val="28"/>
          <w:szCs w:val="28"/>
          <w:rtl w:val="true"/>
          <w:lang w:bidi="ar-SA"/>
        </w:rPr>
        <w:t>والمستدرك</w:t>
      </w:r>
      <w:r>
        <w:rPr>
          <w:rStyle w:val="FootnoteAnchor"/>
          <w:rtl w:val="true"/>
        </w:rPr>
        <w:footnoteReference w:id="1317"/>
      </w:r>
      <w:r>
        <w:rPr>
          <w:rFonts w:ascii="Amiri" w:hAnsi="Amiri" w:eastAsia="Amiri" w:cs="Amiri"/>
          <w:color w:val="111111"/>
          <w:sz w:val="28"/>
          <w:sz w:val="28"/>
          <w:szCs w:val="28"/>
          <w:rtl w:val="true"/>
          <w:lang w:bidi="ar-SA"/>
        </w:rPr>
        <w:t>أيضًا؛ والسَّند وإن كان مجهولًا إلَّاأنَّ الاِستشهاد بالحديث كمؤيِّدٍ، لادليلٍ‌، لاحرجَ فيه؛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الوالِدَين مشتقٌّ من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كانا علىٰ منهاج الدِّين والسُّنَّة، ولايكونان يمنعان الولد من طاعة اللَّه إلى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كذلك فمعصيتُهما طاعةٌ وطاعتُهُما معصيةٌ‌</w:t>
      </w:r>
      <w:r>
        <w:rPr>
          <w:rFonts w:eastAsia="Amiri" w:cs="Amiri" w:ascii="Amiri" w:hAnsi="Amiri"/>
          <w:color w:val="111111"/>
          <w:sz w:val="28"/>
          <w:szCs w:val="28"/>
          <w:rtl w:val="true"/>
          <w:lang w:bidi="ar-SA"/>
        </w:rPr>
        <w:t>».</w:t>
      </w:r>
      <w:r>
        <w:rPr>
          <w:rStyle w:val="FootnoteAnchor"/>
          <w:rtl w:val="true"/>
        </w:rPr>
        <w:footnoteReference w:id="1318"/>
      </w:r>
      <w:bookmarkStart w:id="565" w:name="pg20339_220534"/>
    </w:p>
    <w:p>
      <w:pPr>
        <w:pStyle w:val="Heading4"/>
        <w:numPr>
          <w:ilvl w:val="3"/>
          <w:numId w:val="1"/>
        </w:numPr>
        <w:rPr/>
      </w:pPr>
      <w:bookmarkStart w:id="566" w:name="__RefHeading___Toc11979446_1280447820"/>
      <w:bookmarkStart w:id="567" w:name="_Toc212"/>
      <w:bookmarkEnd w:id="565"/>
      <w:bookmarkEnd w:id="566"/>
      <w:r>
        <w:rPr>
          <w:rtl w:val="true"/>
        </w:rPr>
        <w:t>التَّنبيه السَّابع</w:t>
      </w:r>
      <w:r>
        <w:rPr>
          <w:rtl w:val="true"/>
        </w:rPr>
        <w:t>:</w:t>
      </w:r>
      <w:bookmarkEnd w:id="567"/>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ينكح الرَّجلُ الكافر مرأةً مسلمةً‌، لأنَّه من مصاديق السُّلطة بلا ريبٍ وارتيابٍ‌؛ كما عن قاطبة الفقهاء، منهم الشَّهيد الثَّاني قدس سره</w:t>
      </w:r>
      <w:r>
        <w:rPr>
          <w:rStyle w:val="FootnoteAnchor"/>
          <w:rtl w:val="true"/>
        </w:rPr>
        <w:footnoteReference w:id="1319"/>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320"/>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ما ورد فيه من الآيات والأخبار</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اَلرِّجٰالُ قَوّٰامُونَ عَلَى اَلنِّسٰاءِ بِمٰا فَضَّلَ اَللّٰهُ بَعْضَهُمْ عَلىٰ بَعْضٍ وَ بِمٰا أَنْفَقُوا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لايجوز للمرتدِّ أن ينكح المسلمة، كما عن المحقِّقَين الكركيِّ العامِلي قدس سره</w:t>
      </w:r>
      <w:r>
        <w:rPr>
          <w:rStyle w:val="FootnoteAnchor"/>
          <w:rtl w:val="true"/>
        </w:rPr>
        <w:footnoteReference w:id="1324"/>
      </w:r>
      <w:r>
        <w:rPr>
          <w:rFonts w:ascii="Amiri" w:hAnsi="Amiri" w:eastAsia="Amiri" w:cs="Amiri"/>
          <w:color w:val="111111"/>
          <w:sz w:val="28"/>
          <w:sz w:val="28"/>
          <w:szCs w:val="28"/>
          <w:rtl w:val="true"/>
          <w:lang w:bidi="ar-SA"/>
        </w:rPr>
        <w:t>، والحكيم قدس سره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للكافر أن يتمتَّع بمرأةٍ مسلمةٍ؟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ثاني المحقِّقَين قدس سره</w:t>
      </w:r>
      <w:r>
        <w:rPr>
          <w:rStyle w:val="FootnoteAnchor"/>
          <w:rtl w:val="true"/>
        </w:rPr>
        <w:footnoteReference w:id="1326"/>
      </w:r>
      <w:r>
        <w:rPr>
          <w:rFonts w:ascii="Amiri" w:hAnsi="Amiri" w:eastAsia="Amiri" w:cs="Amiri"/>
          <w:color w:val="111111"/>
          <w:sz w:val="28"/>
          <w:sz w:val="28"/>
          <w:szCs w:val="28"/>
          <w:rtl w:val="true"/>
          <w:lang w:bidi="ar-SA"/>
        </w:rPr>
        <w:t>، والمازندرانيِّ قدس سره</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علىٰ المُتعة عنوان السُّلطة والتَّسليط، وذلك نظرًا إلى رواياتٍ خاصَّةٍ‌ </w:t>
      </w:r>
      <w:bookmarkStart w:id="568" w:name="pg20339_220535"/>
    </w:p>
    <w:p>
      <w:pPr>
        <w:pStyle w:val="BookText"/>
        <w:rPr/>
      </w:pPr>
      <w:bookmarkEnd w:id="568"/>
      <w:r>
        <w:rPr>
          <w:rFonts w:ascii="Amiri" w:hAnsi="Amiri" w:eastAsia="Amiri" w:cs="Amiri"/>
          <w:color w:val="111111"/>
          <w:sz w:val="28"/>
          <w:sz w:val="28"/>
          <w:szCs w:val="28"/>
          <w:rtl w:val="true"/>
          <w:lang w:bidi="ar-SA"/>
        </w:rPr>
        <w:t>وردَتْ في الباب، بحيث لايشكُّ المستأنِس بالفقه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زواج المسلم بالمرأة الكافرة، فالقاعدة لاتُنفيه؛ وإن يظهر من بعضهم التَّردُّد فيه، كابن البرَّاج قدس سره</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وذهب العلَّامة قدس سره إلى تخصيص الجواز بالكتابيَّات دون الكافرات مرَّةً‌</w:t>
      </w:r>
      <w:r>
        <w:rPr>
          <w:rStyle w:val="FootnoteAnchor"/>
          <w:rtl w:val="true"/>
        </w:rPr>
        <w:footnoteReference w:id="1329"/>
      </w:r>
      <w:r>
        <w:rPr>
          <w:rFonts w:ascii="Amiri" w:hAnsi="Amiri" w:eastAsia="Amiri" w:cs="Amiri"/>
          <w:color w:val="111111"/>
          <w:sz w:val="28"/>
          <w:sz w:val="28"/>
          <w:szCs w:val="28"/>
          <w:rtl w:val="true"/>
          <w:lang w:bidi="ar-SA"/>
        </w:rPr>
        <w:t>، ومرَّةً أُخرىٰ إلى عدم الجواز مطلقًا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صدق السُّلطة حينئذٍ أصلًا؛</w:t>
      </w:r>
    </w:p>
    <w:p>
      <w:pPr>
        <w:pStyle w:val="BookText"/>
        <w:rPr/>
      </w:pPr>
      <w:r>
        <w:rPr>
          <w:rFonts w:ascii="Amiri" w:hAnsi="Amiri" w:eastAsia="Amiri" w:cs="Amiri"/>
          <w:color w:val="111111"/>
          <w:sz w:val="28"/>
          <w:sz w:val="28"/>
          <w:szCs w:val="28"/>
          <w:rtl w:val="true"/>
          <w:lang w:bidi="ar-SA"/>
        </w:rPr>
        <w:t>ولعدم ورود ما يدلُّ علىٰ النَّهي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لوترتَّب علىٰ ذلك مفسدةٌ أُخرىٰ غير ما نحن بصدده الآن، فلايبعد الذِّهاب إلى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الذِّهاب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العنوان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بين الأصحاب العدمُ‌، إلَّافي متعة أهل الكتاب؛ فللمُسلم الَّتمتُّع</w:t>
      </w:r>
      <w:r>
        <w:rPr>
          <w:rStyle w:val="FootnoteAnchor"/>
          <w:rtl w:val="true"/>
        </w:rPr>
        <w:footnoteReference w:id="1331"/>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عنه يستدعي مقامًا أوسع من هذا؛ فلتطلُبْه من مسفوراتنا في كتاب النِّكاح، وعن المفصِّلين فيه، كثاني المحقِّقَين قدس سره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1979448_1280447820"/>
      <w:bookmarkStart w:id="570" w:name="_Toc213"/>
      <w:bookmarkEnd w:id="569"/>
      <w:r>
        <w:rPr>
          <w:rtl w:val="true"/>
        </w:rPr>
        <w:t>التَّنبيه الثَّامن</w:t>
      </w:r>
      <w:r>
        <w:rPr>
          <w:rtl w:val="true"/>
        </w:rPr>
        <w:t>:</w:t>
      </w:r>
      <w:bookmarkEnd w:id="5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قلناه بحسب الكافر يأتي بحسب المسلم غير الإماميِّ أيضًا بلافرقٍ أصلًا؛ لأنَّ المناط في الأوَّل موجودٌ في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سلطة غير </w:t>
      </w:r>
      <w:bookmarkStart w:id="571" w:name="pg20339_220536"/>
    </w:p>
    <w:p>
      <w:pPr>
        <w:pStyle w:val="BookText"/>
        <w:rPr/>
      </w:pPr>
      <w:bookmarkEnd w:id="571"/>
      <w:r>
        <w:rPr>
          <w:rFonts w:ascii="Amiri" w:hAnsi="Amiri" w:eastAsia="Amiri" w:cs="Amiri"/>
          <w:color w:val="111111"/>
          <w:sz w:val="28"/>
          <w:sz w:val="28"/>
          <w:szCs w:val="28"/>
          <w:rtl w:val="true"/>
          <w:lang w:bidi="ar-SA"/>
        </w:rPr>
        <w:t xml:space="preserve">الشِّيعيِّ علىٰ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سُلطة الفُسَّاق والفُجَّار من الشِّيعة الإماميَّة علىٰ الصَّالحين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الأصحاب جواز نكاح المسلم وإن لم يكن إماميًّا المرأةَ الإماميَّة؛</w:t>
      </w:r>
    </w:p>
    <w:p>
      <w:pPr>
        <w:pStyle w:val="BookText"/>
        <w:rPr/>
      </w:pPr>
      <w:r>
        <w:rPr>
          <w:rFonts w:ascii="Amiri" w:hAnsi="Amiri" w:eastAsia="Amiri" w:cs="Amiri"/>
          <w:color w:val="111111"/>
          <w:sz w:val="28"/>
          <w:sz w:val="28"/>
          <w:szCs w:val="28"/>
          <w:rtl w:val="true"/>
          <w:lang w:bidi="ar-SA"/>
        </w:rPr>
        <w:t>وهذا عندي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ولوقلنا بجوازه وضعًا، ضرورةَ ثبوت تنقيح المناط في المقام ولولم نقل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علىٰ عدم الجواز؛</w:t>
      </w:r>
    </w:p>
    <w:p>
      <w:pPr>
        <w:pStyle w:val="BookText"/>
        <w:rPr/>
      </w:pPr>
      <w:r>
        <w:rPr>
          <w:rFonts w:ascii="Amiri" w:hAnsi="Amiri" w:eastAsia="Amiri" w:cs="Amiri"/>
          <w:color w:val="111111"/>
          <w:sz w:val="28"/>
          <w:sz w:val="28"/>
          <w:szCs w:val="28"/>
          <w:rtl w:val="true"/>
          <w:lang w:bidi="ar-SA"/>
        </w:rPr>
        <w:t>فبتنقيح المناط نعرف أن لاسبيل للرَّجل غير الإماميِّ علىٰ المرأة الإماميَّة</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معاصرينا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الجواز هذا علىٰ الإطلاق قولٌ لايوافقه فيه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في كتاب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1979450_1280447820"/>
      <w:bookmarkStart w:id="573" w:name="_Toc214"/>
      <w:bookmarkEnd w:id="572"/>
      <w:r>
        <w:rPr>
          <w:rtl w:val="true"/>
        </w:rPr>
        <w:t>التَّنبيه التَّاسع</w:t>
      </w:r>
      <w:r>
        <w:rPr>
          <w:rtl w:val="true"/>
        </w:rPr>
        <w:t>:</w:t>
      </w:r>
      <w:bookmarkEnd w:id="57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في تقدُّم بعض الأدلَّة علىٰ الأخرىٰ بحسب الشَّرع أو العقل، فلاإطلاق في دليلٍ فقهيٍّ لا تحديد فيه، كهذه القاعدة؛ فلايمكن القول بجواز اِستخدام الدَّولة الإسلاميَّة صنعةَ الذَّرِّية النَّوَويَّة في المقاصد العسكريَّة وتوليد الأسلحة النَّوَويَّة، بل </w:t>
      </w:r>
      <w:bookmarkStart w:id="574" w:name="pg20339_220537"/>
    </w:p>
    <w:p>
      <w:pPr>
        <w:pStyle w:val="BookText"/>
        <w:rPr/>
      </w:pPr>
      <w:bookmarkEnd w:id="574"/>
      <w:r>
        <w:rPr>
          <w:rFonts w:ascii="Amiri" w:hAnsi="Amiri" w:eastAsia="Amiri" w:cs="Amiri"/>
          <w:color w:val="111111"/>
          <w:sz w:val="28"/>
          <w:sz w:val="28"/>
          <w:szCs w:val="28"/>
          <w:rtl w:val="true"/>
          <w:lang w:bidi="ar-SA"/>
        </w:rPr>
        <w:t>كون الاِستخدام هذا من الواجبات الأكيدة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 اِقتدار النِّظام الإسلاميِّ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مستنِدًا إلى هذه القاعدة</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لايجوز اِستخدام ما لايجوِّزه الشَّرع للاِستعلاء علىٰ الكفَّار، وذلك للنَّهي الأوَّليِّ عن هذه الصَّنعة وأمثالها، كإلقاء السَّمِّ في الماء</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979452_1280447820"/>
      <w:bookmarkStart w:id="576" w:name="_Toc215"/>
      <w:bookmarkEnd w:id="575"/>
      <w:r>
        <w:rPr>
          <w:rtl w:val="true"/>
        </w:rPr>
        <w:t>أمثلةٌ لاستعمال القاعدة في الفقه</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بيع الكافر 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يشتري مسلمًا أو مُصحفًا، فيشترط إسلام المشتري، لأنَّ الرِّقَّ ذُلٌّ‌، فلايجوز إثباته للكافر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والَّتملُّك أعظم السَّبيل</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باب العِتق عن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عدم اِشتراط الإسلام، فلوكاتَبَ الذِّمِّي عبدَه يصحُّ‌؛ ولوكان العبد مسلمًا ففي صحَّة كتابته نظرٌ</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فقال السَّيِّد عميدالدِّين العميديُّ قدس سره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النَّظر أنَّ المانع إنَّما هو ثبوت السَّبيل للكافر علىٰ المسلم</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كاشف اللِّثام قدس سره</w:t>
      </w:r>
      <w:r>
        <w:rPr>
          <w:rStyle w:val="FootnoteAnchor"/>
          <w:rtl w:val="true"/>
        </w:rPr>
        <w:footnoteReference w:id="1339"/>
      </w:r>
      <w:r>
        <w:rPr>
          <w:rFonts w:ascii="Amiri" w:hAnsi="Amiri" w:eastAsia="Amiri" w:cs="Amiri"/>
          <w:color w:val="111111"/>
          <w:sz w:val="28"/>
          <w:sz w:val="28"/>
          <w:szCs w:val="28"/>
          <w:rtl w:val="true"/>
          <w:lang w:bidi="ar-SA"/>
        </w:rPr>
        <w:t>في المقام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نجم الدين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لواِبتاع الكافرُ أباه المسلمَ هل يصحُّ؟ فيه تردُّدٌ،</w:t>
      </w:r>
    </w:p>
    <w:p>
      <w:pPr>
        <w:pStyle w:val="BookText"/>
        <w:rPr/>
      </w:pPr>
      <w:r>
        <w:rPr>
          <w:rFonts w:ascii="Amiri" w:hAnsi="Amiri" w:eastAsia="Amiri" w:cs="Amiri"/>
          <w:color w:val="111111"/>
          <w:sz w:val="28"/>
          <w:sz w:val="28"/>
          <w:szCs w:val="28"/>
          <w:rtl w:val="true"/>
          <w:lang w:bidi="ar-SA"/>
        </w:rPr>
        <w:t>والأشبه الجواز، لانتفاء السَّبيل بالعتق</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ما ذكره سميُّه المحقِّق نجم الدين جعفر الحلِّي بن زهدري قدس سره</w:t>
      </w:r>
      <w:r>
        <w:rPr>
          <w:rStyle w:val="FootnoteAnchor"/>
          <w:rtl w:val="true"/>
        </w:rPr>
        <w:footnoteReference w:id="1341"/>
      </w:r>
      <w:r>
        <w:rPr>
          <w:rFonts w:ascii="Amiri" w:hAnsi="Amiri" w:eastAsia="Amiri" w:cs="Amiri"/>
          <w:color w:val="111111"/>
          <w:sz w:val="28"/>
          <w:sz w:val="28"/>
          <w:szCs w:val="28"/>
          <w:rtl w:val="true"/>
          <w:lang w:bidi="ar-SA"/>
        </w:rPr>
        <w:t>، والشَّيخ الصَّيمُريُّ قدس سره</w:t>
      </w:r>
      <w:r>
        <w:rPr>
          <w:rStyle w:val="FootnoteAnchor"/>
          <w:rtl w:val="true"/>
        </w:rPr>
        <w:footnoteReference w:id="1342"/>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1343"/>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20339_220540"/>
      <w:bookmarkStart w:id="578" w:name="pg20339_220540"/>
      <w:bookmarkEnd w:id="578"/>
    </w:p>
    <w:p>
      <w:pPr>
        <w:pStyle w:val="Heading2"/>
        <w:numPr>
          <w:ilvl w:val="1"/>
          <w:numId w:val="1"/>
        </w:numPr>
        <w:rPr/>
      </w:pPr>
      <w:bookmarkStart w:id="579" w:name="pg20339_220540"/>
      <w:bookmarkStart w:id="580" w:name="__RefHeading___Toc11979454_1280447820"/>
      <w:bookmarkStart w:id="581" w:name="_Toc216"/>
      <w:bookmarkEnd w:id="579"/>
      <w:bookmarkEnd w:id="580"/>
      <w:r>
        <w:rPr>
          <w:rtl w:val="true"/>
        </w:rPr>
        <w:t>[</w:t>
      </w:r>
      <w:r>
        <w:rPr/>
        <w:t>60</w:t>
      </w:r>
      <w:r>
        <w:rPr>
          <w:rtl w:val="true"/>
        </w:rPr>
        <w:t xml:space="preserve">:] </w:t>
      </w:r>
      <w:r>
        <w:rPr>
          <w:rtl w:val="true"/>
        </w:rPr>
        <w:t>قاعدة يحرُمُ من الرَّضاع ما يحرُمُ من النَّسَب</w:t>
      </w:r>
      <w:bookmarkEnd w:id="581"/>
    </w:p>
    <w:p>
      <w:pPr>
        <w:pStyle w:val="Heading3"/>
        <w:numPr>
          <w:ilvl w:val="2"/>
          <w:numId w:val="1"/>
        </w:numPr>
        <w:rPr/>
      </w:pPr>
      <w:bookmarkStart w:id="582" w:name="__RefHeading___Toc11979456_1280447820"/>
      <w:bookmarkStart w:id="583" w:name="_Toc217"/>
      <w:bookmarkEnd w:id="582"/>
      <w:r>
        <w:rPr>
          <w:rtl w:val="true"/>
        </w:rPr>
        <w:t>عناوين أُخرىٰ للقاعدة</w:t>
      </w:r>
      <w:bookmarkEnd w:id="583"/>
    </w:p>
    <w:p>
      <w:pPr>
        <w:pStyle w:val="BookText"/>
        <w:rPr/>
      </w:pPr>
      <w:r>
        <w:rPr>
          <w:rFonts w:ascii="Amiri" w:hAnsi="Amiri" w:eastAsia="Amiri" w:cs="Amiri"/>
          <w:color w:val="111111"/>
          <w:sz w:val="28"/>
          <w:sz w:val="28"/>
          <w:szCs w:val="28"/>
          <w:rtl w:val="true"/>
          <w:lang w:bidi="ar-SA"/>
        </w:rPr>
        <w:t>الرَّضاع يساوي النَّسب في تحريم النِّكاح</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 يَحرُم به ما يَحرُم بالنَّسَب</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بالرَّضاع ما يحرُم بالنَّسب</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584" w:name="pg20339_220541"/>
    </w:p>
    <w:p>
      <w:pPr>
        <w:pStyle w:val="BookText"/>
        <w:rPr/>
      </w:pPr>
      <w:bookmarkEnd w:id="584"/>
      <w:r>
        <w:rPr>
          <w:rFonts w:ascii="Amiri" w:hAnsi="Amiri" w:eastAsia="Amiri" w:cs="Amiri"/>
          <w:color w:val="111111"/>
          <w:sz w:val="28"/>
          <w:sz w:val="28"/>
          <w:szCs w:val="28"/>
          <w:rtl w:val="true"/>
          <w:lang w:bidi="ar-SA"/>
        </w:rPr>
        <w:t>يحرُم من الرَّضاع ما يحرُم من القَرابة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1979458_1280447820"/>
      <w:bookmarkStart w:id="586" w:name="_Toc218"/>
      <w:bookmarkEnd w:id="585"/>
      <w:r>
        <w:rPr>
          <w:rtl w:val="true"/>
        </w:rPr>
        <w:t>توضيح مفاد القاعدة</w:t>
      </w:r>
      <w:bookmarkEnd w:id="586"/>
    </w:p>
    <w:p>
      <w:pPr>
        <w:pStyle w:val="BookText"/>
        <w:rPr/>
      </w:pPr>
      <w:r>
        <w:rPr>
          <w:rFonts w:ascii="Amiri" w:hAnsi="Amiri" w:eastAsia="Amiri" w:cs="Amiri"/>
          <w:color w:val="111111"/>
          <w:sz w:val="28"/>
          <w:sz w:val="28"/>
          <w:szCs w:val="28"/>
          <w:rtl w:val="true"/>
          <w:lang w:bidi="ar-SA"/>
        </w:rPr>
        <w:t xml:space="preserve">المراد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أدلَّة الباب، وسنُشير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الغرَّاء نزَّلت الرَّضاعَ منزلة الولادة، فكما أنَّه تنشُرُ المحرميَّة بالولادة بين الولد وأُمِّه وأقربائها، فكذلك تحصل وتنشر بالرَّضاع؛ فبالرَّضاع تصير المُرضِعة أُمًّا للرَّضيع وبعلها يصيرُ أبًا له؛</w:t>
      </w:r>
    </w:p>
    <w:p>
      <w:pPr>
        <w:pStyle w:val="BookText"/>
        <w:rPr/>
      </w:pPr>
      <w:r>
        <w:rPr>
          <w:rFonts w:ascii="Amiri" w:hAnsi="Amiri" w:eastAsia="Amiri" w:cs="Amiri"/>
          <w:color w:val="111111"/>
          <w:sz w:val="28"/>
          <w:sz w:val="28"/>
          <w:szCs w:val="28"/>
          <w:rtl w:val="true"/>
          <w:lang w:bidi="ar-SA"/>
        </w:rPr>
        <w:t>وعمومُ المنزلة يُشير إلى أنَّهما أبواه حقيقةً‌، إلَّافي أحكامٍ أخرجها الدَّليل من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الأحكام كلُّها خارجةٌ إلَّاما يرجع إلى خصوص باب النِّكاح؛ هذا ما حكاه المحقِّق المراغيُّ قدس سره</w:t>
      </w:r>
      <w:r>
        <w:rPr>
          <w:rStyle w:val="FootnoteAnchor"/>
          <w:rtl w:val="true"/>
        </w:rPr>
        <w:footnoteReference w:id="1349"/>
      </w:r>
      <w:r>
        <w:rPr>
          <w:rFonts w:ascii="Amiri" w:hAnsi="Amiri" w:eastAsia="Amiri" w:cs="Amiri"/>
          <w:color w:val="111111"/>
          <w:sz w:val="28"/>
          <w:sz w:val="28"/>
          <w:szCs w:val="28"/>
          <w:rtl w:val="true"/>
          <w:lang w:bidi="ar-SA"/>
        </w:rPr>
        <w:t>عن شيخ المتأخِّرين كاشف الغطاء قدس سره، ولذلك قال في الفقه الرضوي بعد ذكر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وجه النِّكاح فقط</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التُّستَريُّ قدس سره بعد ذكرها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المُتَيَقَّن من مفاده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الكلام عن هذا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Heading3"/>
        <w:numPr>
          <w:ilvl w:val="2"/>
          <w:numId w:val="1"/>
        </w:numPr>
        <w:rPr/>
      </w:pPr>
      <w:bookmarkStart w:id="587" w:name="__RefHeading___Toc11979460_1280447820"/>
      <w:bookmarkStart w:id="588" w:name="_Toc219"/>
      <w:bookmarkEnd w:id="587"/>
      <w:r>
        <w:rPr>
          <w:rtl w:val="true"/>
        </w:rPr>
        <w:t>مدركُ القاعدة</w:t>
      </w:r>
      <w:bookmarkEnd w:id="5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11979462_1280447820"/>
      <w:bookmarkStart w:id="590" w:name="_Toc220"/>
      <w:bookmarkEnd w:id="589"/>
      <w:r>
        <w:rPr>
          <w:rtl w:val="true"/>
        </w:rPr>
        <w:t>اشارة</w:t>
      </w:r>
      <w:bookmarkStart w:id="591" w:name="pg20339_220542"/>
      <w:bookmarkEnd w:id="590"/>
    </w:p>
    <w:p>
      <w:pPr>
        <w:pStyle w:val="BookText"/>
        <w:rPr/>
      </w:pPr>
      <w:bookmarkEnd w:id="591"/>
      <w:r>
        <w:rPr>
          <w:rFonts w:ascii="Amiri" w:hAnsi="Amiri" w:eastAsia="Amiri" w:cs="Amiri"/>
          <w:color w:val="111111"/>
          <w:sz w:val="28"/>
          <w:sz w:val="28"/>
          <w:szCs w:val="28"/>
          <w:rtl w:val="true"/>
          <w:lang w:bidi="ar-SA"/>
        </w:rPr>
        <w:t>تدلُّ علىٰ القاعدة الشَّريفة جملةٌ من الأدلَّة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979464_1280447820"/>
      <w:bookmarkStart w:id="593" w:name="_Toc221"/>
      <w:bookmarkEnd w:id="592"/>
      <w:r>
        <w:rPr>
          <w:rtl w:val="true"/>
        </w:rPr>
        <w:t>أوَّلًا</w:t>
      </w:r>
      <w:r>
        <w:rPr>
          <w:rtl w:val="true"/>
        </w:rPr>
        <w:t xml:space="preserve">: </w:t>
      </w:r>
      <w:r>
        <w:rPr>
          <w:rtl w:val="true"/>
        </w:rPr>
        <w:t>الكتاب</w:t>
      </w:r>
      <w:bookmarkEnd w:id="593"/>
    </w:p>
    <w:p>
      <w:pPr>
        <w:pStyle w:val="BookText"/>
        <w:rPr/>
      </w:pPr>
      <w:r>
        <w:rPr>
          <w:rFonts w:ascii="Amiri" w:hAnsi="Amiri" w:eastAsia="Amiri" w:cs="Amiri"/>
          <w:color w:val="111111"/>
          <w:sz w:val="28"/>
          <w:sz w:val="28"/>
          <w:szCs w:val="28"/>
          <w:rtl w:val="true"/>
          <w:lang w:bidi="ar-SA"/>
        </w:rPr>
        <w:t xml:space="preserve">فمن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الشَّريفة وإن لم يُذكَر فيها جميعُ من يحرُم بالرَّضاع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كالعمَّة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بانضمام الرِّوايات إليها يُفهَمُ جليًّا أنَّها ليست بصدد بيان خصوصيَّة الأُمَّهات فقط، بل هي بصدد بيان القاعدة وإثباتها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ولتفصيل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موضوع الكتاب ووضعه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ذكره الشَّيخ قدس سره</w:t>
      </w:r>
      <w:r>
        <w:rPr>
          <w:rStyle w:val="FootnoteAnchor"/>
          <w:rtl w:val="true"/>
        </w:rPr>
        <w:footnoteReference w:id="1352"/>
      </w:r>
      <w:r>
        <w:rPr>
          <w:rFonts w:ascii="Amiri" w:hAnsi="Amiri" w:eastAsia="Amiri" w:cs="Amiri"/>
          <w:color w:val="111111"/>
          <w:sz w:val="28"/>
          <w:sz w:val="28"/>
          <w:szCs w:val="28"/>
          <w:rtl w:val="true"/>
          <w:lang w:bidi="ar-SA"/>
        </w:rPr>
        <w:t>، والطَّبرسيُّ قدس سره</w:t>
      </w:r>
      <w:r>
        <w:rPr>
          <w:rStyle w:val="FootnoteAnchor"/>
          <w:rtl w:val="true"/>
        </w:rPr>
        <w:footnoteReference w:id="1353"/>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1354"/>
      </w:r>
      <w:r>
        <w:rPr>
          <w:rFonts w:ascii="Amiri" w:hAnsi="Amiri" w:eastAsia="Amiri" w:cs="Amiri"/>
          <w:color w:val="111111"/>
          <w:sz w:val="28"/>
          <w:sz w:val="28"/>
          <w:szCs w:val="28"/>
          <w:rtl w:val="true"/>
          <w:lang w:bidi="ar-SA"/>
        </w:rPr>
        <w:t>، والرَّاونديُّ قدس سره</w:t>
      </w:r>
      <w:r>
        <w:rPr>
          <w:rStyle w:val="FootnoteAnchor"/>
          <w:rtl w:val="true"/>
        </w:rPr>
        <w:footnoteReference w:id="1355"/>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356"/>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357"/>
      </w:r>
      <w:r>
        <w:rPr>
          <w:rFonts w:ascii="Amiri" w:hAnsi="Amiri" w:eastAsia="Amiri" w:cs="Amiri"/>
          <w:color w:val="111111"/>
          <w:sz w:val="28"/>
          <w:sz w:val="28"/>
          <w:szCs w:val="28"/>
          <w:rtl w:val="true"/>
          <w:lang w:bidi="ar-SA"/>
        </w:rPr>
        <w:t>، وابنُالعربيِّ‌</w:t>
      </w:r>
      <w:r>
        <w:rPr>
          <w:rStyle w:val="FootnoteAnchor"/>
          <w:rtl w:val="true"/>
        </w:rPr>
        <w:footnoteReference w:id="1358"/>
      </w:r>
      <w:r>
        <w:rPr>
          <w:rFonts w:ascii="Amiri" w:hAnsi="Amiri" w:eastAsia="Amiri" w:cs="Amiri"/>
          <w:color w:val="111111"/>
          <w:sz w:val="28"/>
          <w:sz w:val="28"/>
          <w:szCs w:val="28"/>
          <w:rtl w:val="true"/>
          <w:lang w:bidi="ar-SA"/>
        </w:rPr>
        <w:t>، والجصَّاص قدس سره</w:t>
      </w:r>
      <w:r>
        <w:rPr>
          <w:rStyle w:val="FootnoteAnchor"/>
          <w:rtl w:val="true"/>
        </w:rPr>
        <w:footnoteReference w:id="1359"/>
      </w:r>
      <w:r>
        <w:rPr>
          <w:rFonts w:ascii="Amiri" w:hAnsi="Amiri" w:eastAsia="Amiri" w:cs="Amiri"/>
          <w:color w:val="111111"/>
          <w:sz w:val="28"/>
          <w:sz w:val="28"/>
          <w:szCs w:val="28"/>
          <w:rtl w:val="true"/>
          <w:lang w:bidi="ar-SA"/>
        </w:rPr>
        <w:t>، والكياهراسي قدس سره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11979466_1280447820"/>
      <w:bookmarkStart w:id="595" w:name="_Toc222"/>
      <w:bookmarkEnd w:id="594"/>
      <w:r>
        <w:rPr>
          <w:rtl w:val="true"/>
        </w:rPr>
        <w:t>ثانيًا</w:t>
      </w:r>
      <w:r>
        <w:rPr>
          <w:rtl w:val="true"/>
        </w:rPr>
        <w:t xml:space="preserve">: </w:t>
      </w:r>
      <w:r>
        <w:rPr>
          <w:rtl w:val="true"/>
        </w:rPr>
        <w:t>الرِّوايات</w:t>
      </w:r>
      <w:bookmarkEnd w:id="595"/>
    </w:p>
    <w:p>
      <w:pPr>
        <w:pStyle w:val="BookText"/>
        <w:rPr/>
      </w:pPr>
      <w:r>
        <w:rPr>
          <w:rFonts w:ascii="Amiri" w:hAnsi="Amiri" w:eastAsia="Amiri" w:cs="Amiri"/>
          <w:color w:val="111111"/>
          <w:sz w:val="28"/>
          <w:sz w:val="28"/>
          <w:szCs w:val="28"/>
          <w:rtl w:val="true"/>
          <w:lang w:bidi="ar-SA"/>
        </w:rPr>
        <w:t>وأمَّا الرِّوايات فهي متواترةٌ هيهنا، وقد أوردَها صاحبُ الوسائل قدس سره في أبوابٍ مختلفةٍ من كتاب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تزيد علىٰ مأة روايةٍ‌؛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عنهم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الكثيرون، كالكلينيِّ قدس سره</w:t>
      </w:r>
      <w:r>
        <w:rPr>
          <w:rStyle w:val="FootnoteAnchor"/>
          <w:rtl w:val="true"/>
        </w:rPr>
        <w:footnoteReference w:id="1361"/>
      </w:r>
      <w:r>
        <w:rPr>
          <w:rFonts w:ascii="Amiri" w:hAnsi="Amiri" w:eastAsia="Amiri" w:cs="Amiri"/>
          <w:color w:val="111111"/>
          <w:sz w:val="28"/>
          <w:sz w:val="28"/>
          <w:szCs w:val="28"/>
          <w:rtl w:val="true"/>
          <w:lang w:bidi="ar-SA"/>
        </w:rPr>
        <w:t>، والقاضي نعمان قدس سره</w:t>
      </w:r>
      <w:r>
        <w:rPr>
          <w:rStyle w:val="FootnoteAnchor"/>
          <w:rtl w:val="true"/>
        </w:rPr>
        <w:footnoteReference w:id="1362"/>
      </w:r>
      <w:r>
        <w:rPr>
          <w:rFonts w:ascii="Amiri" w:hAnsi="Amiri" w:eastAsia="Amiri" w:cs="Amiri"/>
          <w:color w:val="111111"/>
          <w:sz w:val="28"/>
          <w:sz w:val="28"/>
          <w:szCs w:val="28"/>
          <w:rtl w:val="true"/>
          <w:lang w:bidi="ar-SA"/>
        </w:rPr>
        <w:t>، والصَّدوق قدس سره</w:t>
      </w:r>
      <w:r>
        <w:rPr>
          <w:rStyle w:val="FootnoteAnchor"/>
          <w:rtl w:val="true"/>
        </w:rPr>
        <w:footnoteReference w:id="1363"/>
      </w:r>
      <w:r>
        <w:rPr>
          <w:rFonts w:ascii="Amiri" w:hAnsi="Amiri" w:eastAsia="Amiri" w:cs="Amiri"/>
          <w:color w:val="111111"/>
          <w:sz w:val="28"/>
          <w:sz w:val="28"/>
          <w:szCs w:val="28"/>
          <w:rtl w:val="true"/>
          <w:lang w:bidi="ar-SA"/>
        </w:rPr>
        <w:t>، وفي فقيهه</w:t>
      </w:r>
      <w:r>
        <w:rPr>
          <w:rStyle w:val="FootnoteAnchor"/>
          <w:rtl w:val="true"/>
        </w:rPr>
        <w:footnoteReference w:id="1364"/>
      </w:r>
      <w:r>
        <w:rPr>
          <w:rFonts w:ascii="Amiri" w:hAnsi="Amiri" w:eastAsia="Amiri" w:cs="Amiri"/>
          <w:color w:val="111111"/>
          <w:sz w:val="28"/>
          <w:sz w:val="28"/>
          <w:szCs w:val="28"/>
          <w:rtl w:val="true"/>
          <w:lang w:bidi="ar-SA"/>
        </w:rPr>
        <w:t>، وفي هدايته</w:t>
      </w:r>
      <w:r>
        <w:rPr>
          <w:rStyle w:val="FootnoteAnchor"/>
          <w:rtl w:val="true"/>
        </w:rPr>
        <w:footnoteReference w:id="1365"/>
      </w:r>
      <w:r>
        <w:rPr>
          <w:rFonts w:ascii="Amiri" w:hAnsi="Amiri" w:eastAsia="Amiri" w:cs="Amiri"/>
          <w:color w:val="111111"/>
          <w:sz w:val="28"/>
          <w:sz w:val="28"/>
          <w:szCs w:val="28"/>
          <w:rtl w:val="true"/>
          <w:lang w:bidi="ar-SA"/>
        </w:rPr>
        <w:t>أيضًا، والمفيدِ قدس سره</w:t>
      </w:r>
      <w:r>
        <w:rPr>
          <w:rStyle w:val="FootnoteAnchor"/>
          <w:rtl w:val="true"/>
        </w:rPr>
        <w:footnoteReference w:id="1366"/>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367"/>
      </w:r>
      <w:r>
        <w:rPr>
          <w:rFonts w:ascii="Amiri" w:hAnsi="Amiri" w:eastAsia="Amiri" w:cs="Amiri"/>
          <w:color w:val="111111"/>
          <w:sz w:val="28"/>
          <w:sz w:val="28"/>
          <w:szCs w:val="28"/>
          <w:rtl w:val="true"/>
          <w:lang w:bidi="ar-SA"/>
        </w:rPr>
        <w:t>، وتهذيبه</w:t>
      </w:r>
      <w:r>
        <w:rPr>
          <w:rStyle w:val="FootnoteAnchor"/>
          <w:rtl w:val="true"/>
        </w:rPr>
        <w:footnoteReference w:id="1368"/>
      </w:r>
      <w:r>
        <w:rPr>
          <w:rFonts w:ascii="IRNazanin" w:hAnsi="IRNazanin" w:eastAsia="IRNazanin"/>
          <w:color w:val="111111"/>
          <w:sz w:val="28"/>
          <w:sz w:val="28"/>
          <w:szCs w:val="28"/>
          <w:rtl w:val="true"/>
          <w:lang w:bidi="fa-IR"/>
        </w:rPr>
        <w:t>، وخلافه</w:t>
      </w:r>
      <w:r>
        <w:rPr>
          <w:rStyle w:val="FootnoteAnchor"/>
          <w:rtl w:val="true"/>
        </w:rPr>
        <w:footnoteReference w:id="1369"/>
      </w:r>
      <w:r>
        <w:rPr>
          <w:rFonts w:ascii="IRNazanin" w:hAnsi="IRNazanin" w:eastAsia="IRNazanin"/>
          <w:color w:val="111111"/>
          <w:sz w:val="28"/>
          <w:sz w:val="28"/>
          <w:szCs w:val="28"/>
          <w:rtl w:val="true"/>
          <w:lang w:bidi="fa-IR"/>
        </w:rPr>
        <w:t>، ومبسوطه</w:t>
      </w:r>
      <w:r>
        <w:rPr>
          <w:rStyle w:val="FootnoteAnchor"/>
          <w:rtl w:val="true"/>
        </w:rPr>
        <w:footnoteReference w:id="1370"/>
      </w:r>
      <w:r>
        <w:rPr>
          <w:rFonts w:ascii="Amiri" w:hAnsi="Amiri" w:eastAsia="Amiri" w:cs="Amiri"/>
          <w:color w:val="111111"/>
          <w:sz w:val="28"/>
          <w:sz w:val="28"/>
          <w:szCs w:val="28"/>
          <w:rtl w:val="true"/>
          <w:lang w:bidi="ar-SA"/>
        </w:rPr>
        <w:t>، والفيضِ قدس سره</w:t>
      </w:r>
      <w:r>
        <w:rPr>
          <w:rStyle w:val="FootnoteAnchor"/>
          <w:rtl w:val="true"/>
        </w:rPr>
        <w:footnoteReference w:id="1371"/>
      </w:r>
      <w:r>
        <w:rPr>
          <w:rFonts w:ascii="Amiri" w:hAnsi="Amiri" w:eastAsia="Amiri" w:cs="Amiri"/>
          <w:color w:val="111111"/>
          <w:sz w:val="28"/>
          <w:sz w:val="28"/>
          <w:szCs w:val="28"/>
          <w:rtl w:val="true"/>
          <w:lang w:bidi="ar-SA"/>
        </w:rPr>
        <w:t>، والحرِّ قدس سره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ولوادَّعىٰ أحدٌ تواترَ هذه الجملة عنهم، فليس ادِّعاؤه بعجيبٍ‌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أكثرنا من نقل مصادرها؛ وادِّعاء تواتُرها يُوجَد عند الفقيه السَّبزواريِّ قدس سره</w:t>
      </w:r>
      <w:r>
        <w:rPr>
          <w:rStyle w:val="FootnoteAnchor"/>
          <w:rtl w:val="true"/>
        </w:rPr>
        <w:footnoteReference w:id="1373"/>
      </w:r>
      <w:r>
        <w:rPr>
          <w:rFonts w:ascii="Amiri" w:hAnsi="Amiri" w:eastAsia="Amiri" w:cs="Amiri"/>
          <w:color w:val="111111"/>
          <w:sz w:val="28"/>
          <w:sz w:val="28"/>
          <w:szCs w:val="28"/>
          <w:rtl w:val="true"/>
          <w:lang w:bidi="ar-SA"/>
        </w:rPr>
        <w:t xml:space="preserve">، وثاني </w:t>
      </w:r>
      <w:bookmarkStart w:id="596" w:name="pg20339_220544"/>
    </w:p>
    <w:p>
      <w:pPr>
        <w:pStyle w:val="BookText"/>
        <w:rPr/>
      </w:pPr>
      <w:bookmarkEnd w:id="596"/>
      <w:r>
        <w:rPr>
          <w:rFonts w:ascii="Amiri" w:hAnsi="Amiri" w:eastAsia="Amiri" w:cs="Amiri"/>
          <w:color w:val="111111"/>
          <w:sz w:val="28"/>
          <w:sz w:val="28"/>
          <w:szCs w:val="28"/>
          <w:rtl w:val="true"/>
          <w:lang w:bidi="ar-SA"/>
        </w:rPr>
        <w:t>النَّراقِيَّين قدس سرهما</w:t>
      </w:r>
      <w:r>
        <w:rPr>
          <w:rStyle w:val="FootnoteAnchor"/>
          <w:rtl w:val="true"/>
        </w:rPr>
        <w:footnoteReference w:id="1374"/>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 بعض كبار معاصرينا؛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محلَّ للفحص عن صحَّة سندها بعد تواترها، ولاسيَّما أنَّها مرويَّةٌ عن النَّبيِّ الكريم صلى الله عليه و آله، وعن الصَّادق عليه السلام، وعن العسكريِّ عليه السلام، وعن غيرهم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سنشير في تنبيهات القاعدة إلى أنَّها قاعدةٌ تعبُّديَّةٌ‌</w:t>
      </w:r>
      <w:r>
        <w:rPr>
          <w:rStyle w:val="FootnoteAnchor"/>
          <w:rtl w:val="true"/>
        </w:rPr>
        <w:footnoteReference w:id="1376"/>
      </w:r>
      <w:r>
        <w:rPr>
          <w:rFonts w:ascii="Amiri" w:hAnsi="Amiri" w:eastAsia="Amiri" w:cs="Amiri"/>
          <w:color w:val="111111"/>
          <w:sz w:val="28"/>
          <w:sz w:val="28"/>
          <w:szCs w:val="28"/>
          <w:rtl w:val="true"/>
          <w:lang w:bidi="ar-SA"/>
        </w:rPr>
        <w:t>،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القاعدة قاعدةٌ تعبُّديَّةٌ لاإشكال و لا كلام لأحدٍ فيه؛ لكنَّها من حيث الشَّرائط والخصوصيَّات صارَتْ معركةً للآراء والأنظار، ولاسيَّما إذا انضُمَّت القاعدةُ إلى اختلافٍ واسعٍ يُوجَد في روايات المسألة؛ وسنأتي بتوضيح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Heading3"/>
        <w:numPr>
          <w:ilvl w:val="2"/>
          <w:numId w:val="1"/>
        </w:numPr>
        <w:rPr/>
      </w:pPr>
      <w:bookmarkStart w:id="597" w:name="__RefHeading___Toc11979468_1280447820"/>
      <w:bookmarkStart w:id="598" w:name="_Toc223"/>
      <w:bookmarkEnd w:id="597"/>
      <w:r>
        <w:rPr>
          <w:rtl w:val="true"/>
        </w:rPr>
        <w:t>تنبيهاتٌ‌</w:t>
      </w:r>
      <w:r>
        <w:rPr>
          <w:rtl w:val="true"/>
        </w:rPr>
        <w:t>:</w:t>
      </w:r>
      <w:bookmarkEnd w:id="598"/>
    </w:p>
    <w:p>
      <w:pPr>
        <w:pStyle w:val="Heading4"/>
        <w:numPr>
          <w:ilvl w:val="3"/>
          <w:numId w:val="1"/>
        </w:numPr>
        <w:rPr/>
      </w:pPr>
      <w:bookmarkStart w:id="599" w:name="__RefHeading___Toc11979470_1280447820"/>
      <w:bookmarkStart w:id="600" w:name="_Toc224"/>
      <w:bookmarkEnd w:id="599"/>
      <w:r>
        <w:rPr>
          <w:rtl w:val="true"/>
        </w:rPr>
        <w:t>التَّنبيه الأوَّل</w:t>
      </w:r>
      <w:r>
        <w:rPr>
          <w:rtl w:val="true"/>
        </w:rPr>
        <w:t>:</w:t>
      </w:r>
      <w:bookmarkEnd w:id="600"/>
    </w:p>
    <w:p>
      <w:pPr>
        <w:pStyle w:val="BookText"/>
        <w:rPr/>
      </w:pPr>
      <w:r>
        <w:rPr>
          <w:rFonts w:ascii="Amiri" w:hAnsi="Amiri" w:eastAsia="Amiri" w:cs="Amiri"/>
          <w:color w:val="111111"/>
          <w:sz w:val="28"/>
          <w:sz w:val="28"/>
          <w:szCs w:val="28"/>
          <w:rtl w:val="true"/>
          <w:lang w:bidi="ar-SA"/>
        </w:rPr>
        <w:t>إنَّ القاعدة من التَّعبُّديَّات، وليس بين العقلاء منها اسمٌ ولا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الدَّليل عليها منحصرًا فيما استفَدناه من الكتاب والسُّنَّة؛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من التَّعبُّديَّات المسلَّمة الَّتي لانِقاش فيها عند الجمهور من الخاصَّة </w:t>
      </w:r>
      <w:bookmarkStart w:id="601" w:name="pg20339_220545"/>
    </w:p>
    <w:p>
      <w:pPr>
        <w:pStyle w:val="BookText"/>
        <w:rPr/>
      </w:pPr>
      <w:bookmarkEnd w:id="601"/>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كثرة المُستَشهِدين بالحديث الشَّريف ورواتها بين أعلام العامَّة؛</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Style w:val="FootnoteAnchor"/>
          <w:rtl w:val="true"/>
        </w:rPr>
        <w:footnoteReference w:id="1377"/>
      </w:r>
      <w:r>
        <w:rPr>
          <w:rFonts w:ascii="Amiri" w:hAnsi="Amiri" w:eastAsia="Amiri" w:cs="Amiri"/>
          <w:color w:val="111111"/>
          <w:sz w:val="28"/>
          <w:sz w:val="28"/>
          <w:szCs w:val="28"/>
          <w:rtl w:val="true"/>
          <w:lang w:bidi="ar-SA"/>
        </w:rPr>
        <w:t>، والمُزَنيُّ‌</w:t>
      </w:r>
      <w:r>
        <w:rPr>
          <w:rStyle w:val="FootnoteAnchor"/>
          <w:rtl w:val="true"/>
        </w:rPr>
        <w:footnoteReference w:id="1378"/>
      </w:r>
      <w:r>
        <w:rPr>
          <w:rFonts w:ascii="Amiri" w:hAnsi="Amiri" w:eastAsia="Amiri" w:cs="Amiri"/>
          <w:color w:val="111111"/>
          <w:sz w:val="28"/>
          <w:sz w:val="28"/>
          <w:szCs w:val="28"/>
          <w:rtl w:val="true"/>
          <w:lang w:bidi="ar-SA"/>
        </w:rPr>
        <w:t>، والنَّوَوَيُّ‌</w:t>
      </w:r>
      <w:r>
        <w:rPr>
          <w:rStyle w:val="FootnoteAnchor"/>
          <w:rtl w:val="true"/>
        </w:rPr>
        <w:footnoteReference w:id="1379"/>
      </w:r>
      <w:r>
        <w:rPr>
          <w:rFonts w:ascii="Amiri" w:hAnsi="Amiri" w:eastAsia="Amiri" w:cs="Amiri"/>
          <w:color w:val="111111"/>
          <w:sz w:val="28"/>
          <w:sz w:val="28"/>
          <w:szCs w:val="28"/>
          <w:rtl w:val="true"/>
          <w:lang w:bidi="ar-SA"/>
        </w:rPr>
        <w:t>، وفي روضته</w:t>
      </w:r>
      <w:r>
        <w:rPr>
          <w:rStyle w:val="FootnoteAnchor"/>
          <w:rtl w:val="true"/>
        </w:rPr>
        <w:footnoteReference w:id="1380"/>
      </w:r>
      <w:r>
        <w:rPr>
          <w:rFonts w:ascii="Amiri" w:hAnsi="Amiri" w:eastAsia="Amiri" w:cs="Amiri"/>
          <w:color w:val="111111"/>
          <w:sz w:val="28"/>
          <w:sz w:val="28"/>
          <w:szCs w:val="28"/>
          <w:rtl w:val="true"/>
          <w:lang w:bidi="ar-SA"/>
        </w:rPr>
        <w:t>أيضًا، والشَّربينيُّ‌</w:t>
      </w:r>
      <w:r>
        <w:rPr>
          <w:rStyle w:val="FootnoteAnchor"/>
          <w:rtl w:val="true"/>
        </w:rPr>
        <w:footnoteReference w:id="1381"/>
      </w:r>
      <w:r>
        <w:rPr>
          <w:rFonts w:ascii="Amiri" w:hAnsi="Amiri" w:eastAsia="Amiri" w:cs="Amiri"/>
          <w:color w:val="111111"/>
          <w:sz w:val="28"/>
          <w:sz w:val="28"/>
          <w:szCs w:val="28"/>
          <w:rtl w:val="true"/>
          <w:lang w:bidi="ar-SA"/>
        </w:rPr>
        <w:t>، والدِّمياطيُّ‌</w:t>
      </w:r>
      <w:r>
        <w:rPr>
          <w:rStyle w:val="FootnoteAnchor"/>
          <w:rtl w:val="true"/>
        </w:rPr>
        <w:footnoteReference w:id="1382"/>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Style w:val="FootnoteAnchor"/>
          <w:rtl w:val="true"/>
        </w:rPr>
        <w:footnoteReference w:id="1383"/>
      </w:r>
      <w:r>
        <w:rPr>
          <w:rFonts w:ascii="Amiri" w:hAnsi="Amiri" w:eastAsia="Amiri" w:cs="Amiri"/>
          <w:color w:val="111111"/>
          <w:sz w:val="28"/>
          <w:sz w:val="28"/>
          <w:szCs w:val="28"/>
          <w:rtl w:val="true"/>
          <w:lang w:bidi="ar-SA"/>
        </w:rPr>
        <w:t>، والبخاريُّ‌</w:t>
      </w:r>
      <w:r>
        <w:rPr>
          <w:rStyle w:val="FootnoteAnchor"/>
          <w:rtl w:val="true"/>
        </w:rPr>
        <w:footnoteReference w:id="1384"/>
      </w:r>
      <w:r>
        <w:rPr>
          <w:rFonts w:ascii="Amiri" w:hAnsi="Amiri" w:eastAsia="Amiri" w:cs="Amiri"/>
          <w:color w:val="111111"/>
          <w:sz w:val="28"/>
          <w:sz w:val="28"/>
          <w:szCs w:val="28"/>
          <w:rtl w:val="true"/>
          <w:lang w:bidi="ar-SA"/>
        </w:rPr>
        <w:t>، وابنُماجَة</w:t>
      </w:r>
      <w:r>
        <w:rPr>
          <w:rStyle w:val="FootnoteAnchor"/>
          <w:rtl w:val="true"/>
        </w:rPr>
        <w:footnoteReference w:id="1385"/>
      </w:r>
      <w:r>
        <w:rPr>
          <w:rFonts w:ascii="Amiri" w:hAnsi="Amiri" w:eastAsia="Amiri" w:cs="Amiri"/>
          <w:color w:val="111111"/>
          <w:sz w:val="28"/>
          <w:sz w:val="28"/>
          <w:szCs w:val="28"/>
          <w:rtl w:val="true"/>
          <w:lang w:bidi="ar-SA"/>
        </w:rPr>
        <w:t>، والتِّرمِذِيُّ‌</w:t>
      </w:r>
      <w:r>
        <w:rPr>
          <w:rStyle w:val="FootnoteAnchor"/>
          <w:rtl w:val="true"/>
        </w:rPr>
        <w:footnoteReference w:id="1386"/>
      </w:r>
      <w:r>
        <w:rPr>
          <w:rFonts w:ascii="Amiri" w:hAnsi="Amiri" w:eastAsia="Amiri" w:cs="Amiri"/>
          <w:color w:val="111111"/>
          <w:sz w:val="28"/>
          <w:sz w:val="28"/>
          <w:szCs w:val="28"/>
          <w:rtl w:val="true"/>
          <w:lang w:bidi="ar-SA"/>
        </w:rPr>
        <w:t>، والنَّسَّائيُّ‌</w:t>
      </w:r>
      <w:r>
        <w:rPr>
          <w:rStyle w:val="FootnoteAnchor"/>
          <w:rtl w:val="true"/>
        </w:rPr>
        <w:footnoteReference w:id="1387"/>
      </w:r>
      <w:r>
        <w:rPr>
          <w:rFonts w:ascii="Amiri" w:hAnsi="Amiri" w:eastAsia="Amiri" w:cs="Amiri"/>
          <w:color w:val="111111"/>
          <w:sz w:val="28"/>
          <w:sz w:val="28"/>
          <w:szCs w:val="28"/>
          <w:rtl w:val="true"/>
          <w:lang w:bidi="ar-SA"/>
        </w:rPr>
        <w:t>، والبَيهقيُّ‌</w:t>
      </w:r>
      <w:r>
        <w:rPr>
          <w:rStyle w:val="FootnoteAnchor"/>
          <w:rtl w:val="true"/>
        </w:rPr>
        <w:footnoteReference w:id="138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1979472_1280447820"/>
      <w:bookmarkStart w:id="603" w:name="_Toc225"/>
      <w:bookmarkEnd w:id="602"/>
      <w:r>
        <w:rPr>
          <w:rtl w:val="true"/>
        </w:rPr>
        <w:t>التَّنبيه الثَّاني</w:t>
      </w:r>
      <w:r>
        <w:rPr>
          <w:rtl w:val="true"/>
        </w:rPr>
        <w:t>:</w:t>
      </w:r>
      <w:bookmarkEnd w:id="603"/>
    </w:p>
    <w:p>
      <w:pPr>
        <w:pStyle w:val="BookText"/>
        <w:rPr/>
      </w:pPr>
      <w:r>
        <w:rPr>
          <w:rFonts w:ascii="Amiri" w:hAnsi="Amiri" w:eastAsia="Amiri" w:cs="Amiri"/>
          <w:color w:val="111111"/>
          <w:sz w:val="28"/>
          <w:sz w:val="28"/>
          <w:szCs w:val="28"/>
          <w:rtl w:val="true"/>
          <w:lang w:bidi="ar-SA"/>
        </w:rPr>
        <w:t>في الشَّكِّ في انتشار الحرمة من قِبَل الرَّضاع هيهنا صورٌ، وهي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من جهة المفهوم؛ كما إذا شُكَّ في أنَّ الرَّضاع هل تحقَّق </w:t>
      </w:r>
    </w:p>
    <w:p>
      <w:pPr>
        <w:pStyle w:val="BookText"/>
        <w:rPr/>
      </w:pPr>
      <w:r>
        <w:rPr>
          <w:rFonts w:ascii="Amiri" w:hAnsi="Amiri" w:eastAsia="Amiri" w:cs="Amiri"/>
          <w:color w:val="111111"/>
          <w:sz w:val="28"/>
          <w:sz w:val="28"/>
          <w:szCs w:val="28"/>
          <w:rtl w:val="true"/>
          <w:lang w:bidi="ar-SA"/>
        </w:rPr>
        <w:t>أصلًا؟،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استحلبتْ المُرضعةُ لبنَها في كأسٍ فشرب الرَّضيعُ منه، ثمَّ شُكَّ في أنَّ الرَّضاع يتحقَّق بالشُّرب من الكأس‌؟، أم لا؟، بل لايتحقَّق إلَّابالاِمتصاص من الثَّدي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من جهة المصداق؛ كما إذا شُكَّ في العدد بعد العلم باشتراطه في ثبوت الرَّضاع، فإذا شكَّتْ المُرضعةُ في أنَّ الرَّضيع هل شرب عشرة أيَّام كاملةٍ من ثَديها؟، أم لا؟؛</w:t>
      </w:r>
    </w:p>
    <w:p>
      <w:pPr>
        <w:pStyle w:val="BookText"/>
        <w:rPr/>
      </w:pPr>
      <w:r>
        <w:rPr>
          <w:rFonts w:ascii="Amiri" w:hAnsi="Amiri" w:eastAsia="Amiri" w:cs="Amiri"/>
          <w:color w:val="111111"/>
          <w:sz w:val="28"/>
          <w:sz w:val="28"/>
          <w:szCs w:val="28"/>
          <w:rtl w:val="true"/>
          <w:lang w:bidi="ar-SA"/>
        </w:rPr>
        <w:t>فحينئذٍ تشُكُّ في ثبوت الرَّضاع وانتشار الحرمة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لاإشكال عندنا في جريان عدم تحقُّق الحرمة بينهما في كِلتَي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فلأنَّه لايمكن الَّتمسُّك بعمومات الباب فيها، ولوسُلِّم وجودُها، لأنَّه من قبيل الَّتمسُّك بالعامِّ في الشُّبهة المصداقيَّة، ضرورة أنَّ الَّتمسُّك بالعامِّ فرعُ إثبات موضوعه، ولايمكن إحراز الموضوع بنفس العامِّ‌؛ والأصل عدمُ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اِستصحاب العدم الأزليِّ في شيءٍ حتَّى يُشكَّ في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من باب اِستصحاب العدم، ولاإشكال في جريانه؛ كما عن جمعٍ من المعاصرين، كالسَّيِّد الخوئيِّ قدس سره</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العلَّامة التَّبريزي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الحدود والتَّعزيرات،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العلَّامة الفاضل اللَّنكرانيِّ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أبَيتَ عن ذلك، فأصالة الحلِّ جاريةٌ في المقام بلاإشكالٍ‌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فجريان أصالة الحلِّ فيها لاإشكال فيه</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مضافًا إلى جواز جريان الاِستصحاب فيها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الشُّبهَتَين المفهوميَّة والمصداقيَّة يكون من جهة الأصل من وادٍ واحدٍ، بلافرقٍ بينهما؛ كما أنَّه إذا شُكَّ في أصل تحقُّق الرَّضاع فجريان الاِستصحاب في المشكوك وجريانُ أصالة الحلِّ فيه لاإشكال فيهما قطعًا؛</w:t>
      </w:r>
    </w:p>
    <w:p>
      <w:pPr>
        <w:pStyle w:val="BookText"/>
        <w:rPr/>
      </w:pPr>
      <w:r>
        <w:rPr>
          <w:rFonts w:ascii="Amiri" w:hAnsi="Amiri" w:eastAsia="Amiri" w:cs="Amiri"/>
          <w:color w:val="111111"/>
          <w:sz w:val="28"/>
          <w:sz w:val="28"/>
          <w:szCs w:val="28"/>
          <w:rtl w:val="true"/>
          <w:lang w:bidi="ar-SA"/>
        </w:rPr>
        <w:t>كما يظهر هذا ممَّا جرىٰ عليه الإمام عليه السلام في صحيحة مَسْعَدَة بن صَدَقَة؛ وقد رواها الشَّيخ قدس سره</w:t>
      </w:r>
      <w:r>
        <w:rPr>
          <w:rStyle w:val="FootnoteAnchor"/>
          <w:rtl w:val="true"/>
        </w:rPr>
        <w:footnoteReference w:id="1392"/>
      </w:r>
      <w:r>
        <w:rPr>
          <w:rFonts w:ascii="Amiri" w:hAnsi="Amiri" w:eastAsia="Amiri" w:cs="Amiri"/>
          <w:color w:val="111111"/>
          <w:sz w:val="28"/>
          <w:sz w:val="28"/>
          <w:szCs w:val="28"/>
          <w:rtl w:val="true"/>
          <w:lang w:bidi="ar-SA"/>
        </w:rPr>
        <w:t>، والكلينيُّ قدس سره</w:t>
      </w:r>
      <w:r>
        <w:rPr>
          <w:rStyle w:val="FootnoteAnchor"/>
          <w:rtl w:val="true"/>
        </w:rPr>
        <w:footnoteReference w:id="1393"/>
      </w:r>
      <w:r>
        <w:rPr>
          <w:rFonts w:ascii="Amiri" w:hAnsi="Amiri" w:eastAsia="Amiri" w:cs="Amiri"/>
          <w:color w:val="111111"/>
          <w:sz w:val="28"/>
          <w:sz w:val="28"/>
          <w:szCs w:val="28"/>
          <w:rtl w:val="true"/>
          <w:lang w:bidi="ar-SA"/>
        </w:rPr>
        <w:t>، والفيض قدس سره</w:t>
      </w:r>
      <w:r>
        <w:rPr>
          <w:rStyle w:val="FootnoteAnchor"/>
          <w:rtl w:val="true"/>
        </w:rPr>
        <w:footnoteReference w:id="1394"/>
      </w:r>
      <w:r>
        <w:rPr>
          <w:rFonts w:ascii="Amiri" w:hAnsi="Amiri" w:eastAsia="Amiri" w:cs="Amiri"/>
          <w:color w:val="111111"/>
          <w:sz w:val="28"/>
          <w:sz w:val="28"/>
          <w:szCs w:val="28"/>
          <w:rtl w:val="true"/>
          <w:lang w:bidi="ar-SA"/>
        </w:rPr>
        <w:t>، والحرُّ قدس سره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وتصحيح السَّند لكون مسعدة مقبولًا عندنا، وفاقًا لأوَّل المجلسيَّين قدس سرهما</w:t>
      </w:r>
      <w:r>
        <w:rPr>
          <w:rStyle w:val="FootnoteAnchor"/>
          <w:rtl w:val="true"/>
        </w:rPr>
        <w:footnoteReference w:id="1396"/>
      </w:r>
      <w:r>
        <w:rPr>
          <w:rFonts w:ascii="Amiri" w:hAnsi="Amiri" w:eastAsia="Amiri" w:cs="Amiri"/>
          <w:color w:val="111111"/>
          <w:sz w:val="28"/>
          <w:sz w:val="28"/>
          <w:szCs w:val="28"/>
          <w:rtl w:val="true"/>
          <w:lang w:bidi="ar-SA"/>
        </w:rPr>
        <w:t>، وخلافًا لبعضهم، كثانيهما، حيث حكم قدس سره بضعف الحديث في المرآة مطلقًا</w:t>
      </w:r>
      <w:r>
        <w:rPr>
          <w:rStyle w:val="FootnoteAnchor"/>
          <w:rtl w:val="true"/>
        </w:rPr>
        <w:footnoteReference w:id="1397"/>
      </w:r>
      <w:r>
        <w:rPr>
          <w:rFonts w:ascii="Amiri" w:hAnsi="Amiri" w:eastAsia="Amiri" w:cs="Amiri"/>
          <w:color w:val="111111"/>
          <w:sz w:val="28"/>
          <w:sz w:val="28"/>
          <w:szCs w:val="28"/>
          <w:rtl w:val="true"/>
          <w:lang w:bidi="ar-SA"/>
        </w:rPr>
        <w:t>، ثمَّ فصَّل الكلام في الملاذ حول علَّة تضعيفه إيَّاها، فأشار إلى ضعفه عنده</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ووثَّقها البحرانيُّ قدس سره</w:t>
      </w:r>
      <w:r>
        <w:rPr>
          <w:rStyle w:val="FootnoteAnchor"/>
          <w:rtl w:val="true"/>
        </w:rPr>
        <w:footnoteReference w:id="1399"/>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1400"/>
      </w:r>
      <w:r>
        <w:rPr>
          <w:rFonts w:ascii="Amiri" w:hAnsi="Amiri" w:eastAsia="Amiri" w:cs="Amiri"/>
          <w:color w:val="111111"/>
          <w:sz w:val="28"/>
          <w:sz w:val="28"/>
          <w:szCs w:val="28"/>
          <w:rtl w:val="true"/>
          <w:lang w:bidi="ar-SA"/>
        </w:rPr>
        <w:t>وللمحقِّق التُّستري قدس سره كلامٌ آخر حول سندها</w:t>
      </w:r>
      <w:r>
        <w:rPr>
          <w:rStyle w:val="FootnoteAnchor"/>
          <w:rtl w:val="true"/>
        </w:rPr>
        <w:footnoteReference w:id="1401"/>
      </w:r>
      <w:r>
        <w:rPr>
          <w:rFonts w:ascii="Amiri" w:hAnsi="Amiri" w:eastAsia="Amiri" w:cs="Amiri"/>
          <w:color w:val="111111"/>
          <w:sz w:val="28"/>
          <w:sz w:val="28"/>
          <w:szCs w:val="28"/>
          <w:rtl w:val="true"/>
          <w:lang w:bidi="ar-SA"/>
        </w:rPr>
        <w:t>وهذا خارجٌ عمَّا نحن فيه وبصدده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فالسَّند لاشين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مطلقًا في المقام هو عدم تحقُّق الرَّضاع، وعدم تحقُّق الحرمة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فلوشُكَّ في نشرها فذلك الأصل هو المُعتَمَد بلاإشكالٍ‌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الفقيه الشَّيخ محمَّدحسين آل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تحقُّق الرَّضاع المحرِّم لشبهةٍ حكميَّةٍ أو موضوعيَّةٍ‌، فلاأثر له حتَّى يحصل اليقين بتحقُّقه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أشرنا إلى أنَّه لايمكن الَّتمسُّك بالعمومات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 وجودُ هذه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العمومات كلَّها في مقام بيان تشريع أصل الحكم، فليس لها عمومٌ أو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فرديًّا، أو حاليًّا، أو مقاميًّا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أن يُتَمسَّكَ بها في المقام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ويُعجِبني أن أذكُر هيهنا كلامًا للفقيه الخوانساريِّ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يقوي العدمَ لأصالة عدم وجود سبب التَّحريم المانع عن تأثير عقد النِّكاح حدوثًا وبقاءً‌، ولامجال للتَّمسُّك بالإطلاقات 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مسوقةً لبيان أنَّ الرَّضاع كالنَّسَب في السببيَّة، وأمَّا أنَّ السَّبب ما هو؟ فليس بصدد بيانه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604" w:name="pg20339_220549"/>
    </w:p>
    <w:p>
      <w:pPr>
        <w:pStyle w:val="Heading4"/>
        <w:numPr>
          <w:ilvl w:val="3"/>
          <w:numId w:val="1"/>
        </w:numPr>
        <w:rPr/>
      </w:pPr>
      <w:bookmarkStart w:id="605" w:name="__RefHeading___Toc11979474_1280447820"/>
      <w:bookmarkStart w:id="606" w:name="_Toc226"/>
      <w:bookmarkEnd w:id="604"/>
      <w:bookmarkEnd w:id="605"/>
      <w:r>
        <w:rPr>
          <w:rtl w:val="true"/>
        </w:rPr>
        <w:t>التَّنبيه الثَّالث</w:t>
      </w:r>
      <w:r>
        <w:rPr>
          <w:rtl w:val="true"/>
        </w:rPr>
        <w:t>:</w:t>
      </w:r>
      <w:bookmarkEnd w:id="606"/>
    </w:p>
    <w:p>
      <w:pPr>
        <w:pStyle w:val="BookText"/>
        <w:rPr/>
      </w:pPr>
      <w:r>
        <w:rPr>
          <w:rFonts w:ascii="Amiri" w:hAnsi="Amiri" w:eastAsia="Amiri" w:cs="Amiri"/>
          <w:color w:val="111111"/>
          <w:sz w:val="28"/>
          <w:sz w:val="28"/>
          <w:szCs w:val="28"/>
          <w:rtl w:val="true"/>
          <w:lang w:bidi="ar-SA"/>
        </w:rPr>
        <w:t>في شرائط انتشار الحُرمة بالرَّضاع قد اشتهر بين الأصحاب أنَّه يُشتَرَطُ في اِنتشار الحرمة من الرَّضاع شرائط؛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الشُّرب من اِمتصاص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فلاتنتشر الحرمةُ من غير الاِمتصاص؛ فلوشرب الرَّضيعُ من الكأس فلايتحقَّق الرَّضاع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الاِمتصاص من الثَّدْي ذكَرَه المحقِّق قدس سره في قيود كمِّيَّة الاِمتصاص</w:t>
      </w:r>
      <w:r>
        <w:rPr>
          <w:rStyle w:val="FootnoteAnchor"/>
          <w:rtl w:val="true"/>
        </w:rPr>
        <w:footnoteReference w:id="1404"/>
      </w:r>
      <w:r>
        <w:rPr>
          <w:rFonts w:ascii="Amiri" w:hAnsi="Amiri" w:eastAsia="Amiri" w:cs="Amiri"/>
          <w:color w:val="111111"/>
          <w:sz w:val="28"/>
          <w:sz w:val="28"/>
          <w:szCs w:val="28"/>
          <w:rtl w:val="true"/>
          <w:lang w:bidi="ar-SA"/>
        </w:rPr>
        <w:t>، ولابأس به؛ نفس ما فعله المحقِّق السَّبزواريُّ قدس سره</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مذكورٌ عند صاحب الجواهر قدس سره</w:t>
      </w:r>
      <w:r>
        <w:rPr>
          <w:rStyle w:val="FootnoteAnchor"/>
          <w:rtl w:val="true"/>
        </w:rPr>
        <w:footnoteReference w:id="1406"/>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407"/>
      </w:r>
      <w:r>
        <w:rPr>
          <w:rFonts w:ascii="Amiri" w:hAnsi="Amiri" w:eastAsia="Amiri" w:cs="Amiri"/>
          <w:color w:val="111111"/>
          <w:sz w:val="28"/>
          <w:sz w:val="28"/>
          <w:szCs w:val="28"/>
          <w:rtl w:val="true"/>
          <w:lang w:bidi="ar-SA"/>
        </w:rPr>
        <w:t>، وفي كتاب نكاحه</w:t>
      </w:r>
      <w:r>
        <w:rPr>
          <w:rStyle w:val="FootnoteAnchor"/>
          <w:rtl w:val="true"/>
        </w:rPr>
        <w:footnoteReference w:id="1408"/>
      </w:r>
      <w:r>
        <w:rPr>
          <w:rFonts w:ascii="Amiri" w:hAnsi="Amiri" w:eastAsia="Amiri" w:cs="Amiri"/>
          <w:color w:val="111111"/>
          <w:sz w:val="28"/>
          <w:sz w:val="28"/>
          <w:szCs w:val="28"/>
          <w:rtl w:val="true"/>
          <w:lang w:bidi="ar-SA"/>
        </w:rPr>
        <w:t>أيضًا، والفقيه السَّبزواريِّ قدس سره</w:t>
      </w:r>
      <w:r>
        <w:rPr>
          <w:rStyle w:val="FootnoteAnchor"/>
          <w:rtl w:val="true"/>
        </w:rPr>
        <w:footnoteReference w:id="1409"/>
      </w:r>
      <w:r>
        <w:rPr>
          <w:rFonts w:ascii="Amiri" w:hAnsi="Amiri" w:eastAsia="Amiri" w:cs="Amiri"/>
          <w:color w:val="111111"/>
          <w:sz w:val="28"/>
          <w:sz w:val="28"/>
          <w:szCs w:val="28"/>
          <w:rtl w:val="true"/>
          <w:lang w:bidi="ar-SA"/>
        </w:rPr>
        <w:t>، والمحقِّق النَّراقي قدس سره</w:t>
      </w:r>
      <w:r>
        <w:rPr>
          <w:rStyle w:val="FootnoteAnchor"/>
          <w:rtl w:val="true"/>
        </w:rPr>
        <w:footnoteReference w:id="1410"/>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1411"/>
      </w:r>
      <w:r>
        <w:rPr>
          <w:rFonts w:ascii="IRNazanin" w:hAnsi="IRNazanin" w:eastAsia="IRNazanin"/>
          <w:color w:val="111111"/>
          <w:sz w:val="28"/>
          <w:sz w:val="28"/>
          <w:szCs w:val="28"/>
          <w:rtl w:val="true"/>
          <w:lang w:bidi="fa-IR"/>
        </w:rPr>
        <w:t>، وقواعده</w:t>
      </w:r>
      <w:r>
        <w:rPr>
          <w:rStyle w:val="FootnoteAnchor"/>
          <w:rtl w:val="true"/>
        </w:rPr>
        <w:footnoteReference w:id="1412"/>
      </w:r>
      <w:r>
        <w:rPr>
          <w:rFonts w:ascii="Amiri" w:hAnsi="Amiri" w:eastAsia="Amiri" w:cs="Amiri"/>
          <w:color w:val="111111"/>
          <w:sz w:val="28"/>
          <w:sz w:val="28"/>
          <w:szCs w:val="28"/>
          <w:rtl w:val="true"/>
          <w:lang w:bidi="ar-SA"/>
        </w:rPr>
        <w:t>، وولده قدس سره في الإيضاح</w:t>
      </w:r>
      <w:r>
        <w:rPr>
          <w:rStyle w:val="FootnoteAnchor"/>
          <w:rtl w:val="true"/>
        </w:rPr>
        <w:footnoteReference w:id="1413"/>
      </w:r>
      <w:r>
        <w:rPr>
          <w:rFonts w:ascii="IRNazanin" w:hAnsi="IRNazanin" w:eastAsia="IRNazanin"/>
          <w:color w:val="111111"/>
          <w:sz w:val="28"/>
          <w:sz w:val="28"/>
          <w:szCs w:val="28"/>
          <w:rtl w:val="true"/>
          <w:lang w:bidi="fa-IR"/>
        </w:rPr>
        <w:t>، وابن فهدٍ قدس سره</w:t>
      </w:r>
      <w:r>
        <w:rPr>
          <w:rStyle w:val="FootnoteAnchor"/>
          <w:rtl w:val="true"/>
        </w:rPr>
        <w:footnoteReference w:id="1414"/>
      </w:r>
      <w:r>
        <w:rPr>
          <w:rFonts w:ascii="Amiri" w:hAnsi="Amiri" w:eastAsia="Amiri" w:cs="Amiri"/>
          <w:color w:val="111111"/>
          <w:sz w:val="28"/>
          <w:sz w:val="28"/>
          <w:szCs w:val="28"/>
          <w:rtl w:val="true"/>
          <w:lang w:bidi="ar-SA"/>
        </w:rPr>
        <w:t>، وغيرهم</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ومذهب أهل البيت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للأصحاب هيهنا دليلٌ إلَّاما رُوِي عن مولانا أبي عبداللَّه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إلَّاما ارتضَعَ من ثديٍ واحدٍ حولين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الصَّدوق قدس سره</w:t>
      </w:r>
      <w:r>
        <w:rPr>
          <w:rStyle w:val="FootnoteAnchor"/>
          <w:rtl w:val="true"/>
        </w:rPr>
        <w:footnoteReference w:id="1416"/>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417"/>
      </w:r>
      <w:r>
        <w:rPr>
          <w:rFonts w:ascii="Amiri" w:hAnsi="Amiri" w:eastAsia="Amiri" w:cs="Amiri"/>
          <w:color w:val="111111"/>
          <w:sz w:val="28"/>
          <w:sz w:val="28"/>
          <w:szCs w:val="28"/>
          <w:rtl w:val="true"/>
          <w:lang w:bidi="ar-SA"/>
        </w:rPr>
        <w:t>، وتهذيبه</w:t>
      </w:r>
      <w:r>
        <w:rPr>
          <w:rStyle w:val="FootnoteAnchor"/>
          <w:rtl w:val="true"/>
        </w:rPr>
        <w:footnoteReference w:id="1418"/>
      </w:r>
      <w:r>
        <w:rPr>
          <w:rFonts w:ascii="Amiri" w:hAnsi="Amiri" w:eastAsia="Amiri" w:cs="Amiri"/>
          <w:color w:val="111111"/>
          <w:sz w:val="28"/>
          <w:sz w:val="28"/>
          <w:szCs w:val="28"/>
          <w:rtl w:val="true"/>
          <w:lang w:bidi="ar-SA"/>
        </w:rPr>
        <w:t>، والفيض قدس سره</w:t>
      </w:r>
      <w:r>
        <w:rPr>
          <w:rStyle w:val="FootnoteAnchor"/>
          <w:rtl w:val="true"/>
        </w:rPr>
        <w:footnoteReference w:id="1419"/>
      </w:r>
      <w:r>
        <w:rPr>
          <w:rFonts w:ascii="Amiri" w:hAnsi="Amiri" w:eastAsia="Amiri" w:cs="Amiri"/>
          <w:color w:val="111111"/>
          <w:sz w:val="28"/>
          <w:sz w:val="28"/>
          <w:szCs w:val="28"/>
          <w:rtl w:val="true"/>
          <w:lang w:bidi="ar-SA"/>
        </w:rPr>
        <w:t>، والحرُّ قدس سره</w:t>
      </w:r>
      <w:r>
        <w:rPr>
          <w:rStyle w:val="FootnoteAnchor"/>
          <w:rtl w:val="true"/>
        </w:rPr>
        <w:footnoteReference w:id="142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بصدد بيان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وحدة الفعل؛</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الرَّضاع قبل بلوغ الرَّضيع حولَين كامِلَين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الثَّدي إذن ليس إلَّامن باب الغلبة، فلاخصوصيَّة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المحقِّق العلَّامة المجلسيُّ قدس سره بعد حكاية قول ابن الجنيد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أحوط وإن كان الأشهرُ أظهرَ</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وعن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 منه، لصدقه علىٰ كون اللَّبن منه كيف ما شرِبَ‌</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إنَّهم قد تمسَّكوا في المقام بالإجماع أيضًا، كما قال ثاني الشَّهيدَين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لانعلم خلافًا من أصحابنا غير ابن الجنيد</w:t>
      </w:r>
      <w:r>
        <w:rPr>
          <w:rStyle w:val="FootnoteAnchor"/>
          <w:rtl w:val="true"/>
        </w:rPr>
        <w:footnoteReference w:id="1423"/>
      </w:r>
      <w:r>
        <w:rPr>
          <w:rFonts w:ascii="Amiri" w:hAnsi="Amiri" w:eastAsia="Amiri" w:cs="Amiri"/>
          <w:color w:val="111111"/>
          <w:sz w:val="28"/>
          <w:sz w:val="28"/>
          <w:szCs w:val="28"/>
          <w:rtl w:val="true"/>
          <w:lang w:bidi="ar-SA"/>
        </w:rPr>
        <w:t>في اشتراط الإرتضاع من الثَّدْي في تحقُّق حكمه</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وحكاه أيضًا المحقِّق الخراسانيُّ قدس سره</w:t>
      </w:r>
      <w:r>
        <w:rPr>
          <w:rStyle w:val="FootnoteAnchor"/>
          <w:rtl w:val="true"/>
        </w:rPr>
        <w:footnoteReference w:id="1425"/>
      </w:r>
      <w:r>
        <w:rPr>
          <w:rFonts w:ascii="Amiri" w:hAnsi="Amiri" w:eastAsia="Amiri" w:cs="Amiri"/>
          <w:color w:val="111111"/>
          <w:sz w:val="28"/>
          <w:sz w:val="28"/>
          <w:szCs w:val="28"/>
          <w:rtl w:val="true"/>
          <w:lang w:bidi="ar-SA"/>
        </w:rPr>
        <w:t>وغيرهما؛ وعن المجلسيِّ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معظم الأصحاب، وخالف ابنُالجنيد</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لاشكَّ في انعقاده، فهو الحجَّة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اللَّبن من وطءٍ حلالٍ‌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الشَّرائع قدس سره</w:t>
      </w:r>
      <w:r>
        <w:rPr>
          <w:rStyle w:val="FootnoteAnchor"/>
          <w:rtl w:val="true"/>
        </w:rPr>
        <w:footnoteReference w:id="1427"/>
      </w:r>
      <w:r>
        <w:rPr>
          <w:rFonts w:ascii="Amiri" w:hAnsi="Amiri" w:eastAsia="Amiri" w:cs="Amiri"/>
          <w:color w:val="111111"/>
          <w:sz w:val="28"/>
          <w:sz w:val="28"/>
          <w:szCs w:val="28"/>
          <w:rtl w:val="true"/>
          <w:lang w:bidi="ar-SA"/>
        </w:rPr>
        <w:t>، والشَّيخ قدس سره</w:t>
      </w:r>
      <w:r>
        <w:rPr>
          <w:rStyle w:val="FootnoteAnchor"/>
          <w:rtl w:val="true"/>
        </w:rPr>
        <w:footnoteReference w:id="1428"/>
      </w:r>
      <w:r>
        <w:rPr>
          <w:rFonts w:ascii="Amiri" w:hAnsi="Amiri" w:eastAsia="Amiri" w:cs="Amiri"/>
          <w:color w:val="111111"/>
          <w:sz w:val="28"/>
          <w:sz w:val="28"/>
          <w:szCs w:val="28"/>
          <w:rtl w:val="true"/>
          <w:lang w:bidi="ar-SA"/>
        </w:rPr>
        <w:t>، وابن إدريسٍ قدس سره</w:t>
      </w:r>
      <w:r>
        <w:rPr>
          <w:rStyle w:val="FootnoteAnchor"/>
          <w:rtl w:val="true"/>
        </w:rPr>
        <w:footnoteReference w:id="1429"/>
      </w:r>
      <w:r>
        <w:rPr>
          <w:rFonts w:ascii="Amiri" w:hAnsi="Amiri" w:eastAsia="Amiri" w:cs="Amiri"/>
          <w:color w:val="111111"/>
          <w:sz w:val="28"/>
          <w:sz w:val="28"/>
          <w:szCs w:val="28"/>
          <w:rtl w:val="true"/>
          <w:lang w:bidi="ar-SA"/>
        </w:rPr>
        <w:t>، والعلَّامة قدس سره في القواعد</w:t>
      </w:r>
      <w:r>
        <w:rPr>
          <w:rStyle w:val="FootnoteAnchor"/>
          <w:rtl w:val="true"/>
        </w:rPr>
        <w:footnoteReference w:id="1430"/>
      </w:r>
      <w:r>
        <w:rPr>
          <w:rFonts w:ascii="Amiri" w:hAnsi="Amiri" w:eastAsia="Amiri" w:cs="Amiri"/>
          <w:color w:val="111111"/>
          <w:sz w:val="28"/>
          <w:sz w:val="28"/>
          <w:szCs w:val="28"/>
          <w:rtl w:val="true"/>
          <w:lang w:bidi="ar-SA"/>
        </w:rPr>
        <w:t>، والسَّيِّد العميديُّ قدس سره</w:t>
      </w:r>
      <w:r>
        <w:rPr>
          <w:rStyle w:val="FootnoteAnchor"/>
          <w:rtl w:val="true"/>
        </w:rPr>
        <w:footnoteReference w:id="1431"/>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432"/>
      </w:r>
      <w:r>
        <w:rPr>
          <w:rFonts w:ascii="Amiri" w:hAnsi="Amiri" w:eastAsia="Amiri" w:cs="Amiri"/>
          <w:color w:val="111111"/>
          <w:sz w:val="28"/>
          <w:sz w:val="28"/>
          <w:szCs w:val="28"/>
          <w:rtl w:val="true"/>
          <w:lang w:bidi="ar-SA"/>
        </w:rPr>
        <w:t>، و في نكاحه</w:t>
      </w:r>
      <w:r>
        <w:rPr>
          <w:rStyle w:val="FootnoteAnchor"/>
          <w:rtl w:val="true"/>
        </w:rPr>
        <w:footnoteReference w:id="1433"/>
      </w:r>
      <w:r>
        <w:rPr>
          <w:rFonts w:ascii="Amiri" w:hAnsi="Amiri" w:eastAsia="Amiri" w:cs="Amiri"/>
          <w:color w:val="111111"/>
          <w:sz w:val="28"/>
          <w:sz w:val="28"/>
          <w:szCs w:val="28"/>
          <w:rtl w:val="true"/>
          <w:lang w:bidi="ar-SA"/>
        </w:rPr>
        <w:t>، وفخر المحقِّقين قدس سره</w:t>
      </w:r>
      <w:r>
        <w:rPr>
          <w:rStyle w:val="FootnoteAnchor"/>
          <w:rtl w:val="true"/>
        </w:rPr>
        <w:footnoteReference w:id="1434"/>
      </w:r>
      <w:r>
        <w:rPr>
          <w:rFonts w:ascii="Amiri" w:hAnsi="Amiri" w:eastAsia="Amiri" w:cs="Amiri"/>
          <w:color w:val="111111"/>
          <w:sz w:val="28"/>
          <w:sz w:val="28"/>
          <w:szCs w:val="28"/>
          <w:rtl w:val="true"/>
          <w:lang w:bidi="ar-SA"/>
        </w:rPr>
        <w:t>، وثاني المحقِّقين قدس سره</w:t>
      </w:r>
      <w:r>
        <w:rPr>
          <w:rStyle w:val="FootnoteAnchor"/>
          <w:rtl w:val="true"/>
        </w:rPr>
        <w:footnoteReference w:id="1435"/>
      </w:r>
      <w:r>
        <w:rPr>
          <w:rFonts w:ascii="Amiri" w:hAnsi="Amiri" w:eastAsia="Amiri" w:cs="Amiri"/>
          <w:color w:val="111111"/>
          <w:sz w:val="28"/>
          <w:sz w:val="28"/>
          <w:szCs w:val="28"/>
          <w:rtl w:val="true"/>
          <w:lang w:bidi="ar-SA"/>
        </w:rPr>
        <w:t xml:space="preserve">، وغيرهم؛ بل </w:t>
      </w:r>
    </w:p>
    <w:p>
      <w:pPr>
        <w:pStyle w:val="BookText"/>
        <w:rPr/>
      </w:pPr>
      <w:r>
        <w:rPr>
          <w:rFonts w:ascii="Amiri" w:hAnsi="Amiri" w:eastAsia="Amiri" w:cs="Amiri"/>
          <w:color w:val="111111"/>
          <w:sz w:val="28"/>
          <w:sz w:val="28"/>
          <w:szCs w:val="28"/>
          <w:rtl w:val="true"/>
          <w:lang w:bidi="ar-SA"/>
        </w:rPr>
        <w:t>ادَّعىٰ غيرُ واحدٍ ثبوتَ الإجماع فيه بقسميه، منهم صاحب الجواهر</w:t>
      </w:r>
      <w:r>
        <w:rPr>
          <w:rStyle w:val="FootnoteAnchor"/>
          <w:rtl w:val="true"/>
        </w:rPr>
        <w:footnoteReference w:id="1436"/>
      </w:r>
      <w:r>
        <w:rPr>
          <w:rFonts w:ascii="Amiri" w:hAnsi="Amiri" w:eastAsia="Amiri" w:cs="Amiri"/>
          <w:color w:val="111111"/>
          <w:sz w:val="28"/>
          <w:sz w:val="28"/>
          <w:szCs w:val="28"/>
          <w:rtl w:val="true"/>
          <w:lang w:bidi="ar-SA"/>
        </w:rPr>
        <w:t>وثاني الشَّهيدَين قدس سرهما</w:t>
      </w:r>
      <w:r>
        <w:rPr>
          <w:rStyle w:val="FootnoteAnchor"/>
          <w:rtl w:val="true"/>
        </w:rPr>
        <w:footnoteReference w:id="1437"/>
      </w:r>
      <w:r>
        <w:rPr>
          <w:rFonts w:ascii="Amiri" w:hAnsi="Amiri" w:eastAsia="Amiri" w:cs="Amiri"/>
          <w:color w:val="111111"/>
          <w:sz w:val="28"/>
          <w:sz w:val="28"/>
          <w:szCs w:val="28"/>
          <w:rtl w:val="true"/>
          <w:lang w:bidi="ar-SA"/>
        </w:rPr>
        <w:t>، والمولىٰ الخراسانيِّ قدس سره</w:t>
      </w:r>
      <w:r>
        <w:rPr>
          <w:rStyle w:val="FootnoteAnchor"/>
          <w:rtl w:val="true"/>
        </w:rPr>
        <w:footnoteReference w:id="1438"/>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439"/>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اللَّبن من الحلال؛ أمَّا إذا لم يكن اللَّبنُ حاصلًا من الحلال، فلاتنتشر الحرمة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الجواهر قدس سره</w:t>
      </w:r>
      <w:r>
        <w:rPr>
          <w:rStyle w:val="FootnoteAnchor"/>
          <w:rtl w:val="true"/>
        </w:rPr>
        <w:footnoteReference w:id="1441"/>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1442"/>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الشَّرط بما رواه في الدَّعائم</w:t>
      </w:r>
      <w:r>
        <w:rPr>
          <w:rStyle w:val="FootnoteAnchor"/>
          <w:rtl w:val="true"/>
        </w:rPr>
        <w:footnoteReference w:id="1444"/>
      </w:r>
      <w:r>
        <w:rPr>
          <w:rFonts w:ascii="Amiri" w:hAnsi="Amiri" w:eastAsia="Amiri" w:cs="Amiri"/>
          <w:color w:val="111111"/>
          <w:sz w:val="28"/>
          <w:sz w:val="28"/>
          <w:szCs w:val="28"/>
          <w:rtl w:val="true"/>
          <w:lang w:bidi="ar-SA"/>
        </w:rPr>
        <w:t>مرسلًا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الحرام لايُحَرِّم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علىٰ المطلوب تامَّةٌ‌، لكن فيه ما يوجب التَّرديد فيه؛ وهو</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تكلَّموا في هذا الكتاب فلم يعتمدوا عليه كلَّ الاعتماد؛ ولذلك فإنَّ صاحب الوسائل قدس سره وكثيرًا من أضرابه لم يرووا عن هذا الكتاب </w:t>
      </w:r>
    </w:p>
    <w:p>
      <w:pPr>
        <w:pStyle w:val="BookText"/>
        <w:rPr/>
      </w:pPr>
      <w:r>
        <w:rPr>
          <w:rFonts w:ascii="Amiri" w:hAnsi="Amiri" w:eastAsia="Amiri" w:cs="Amiri"/>
          <w:color w:val="111111"/>
          <w:sz w:val="28"/>
          <w:sz w:val="28"/>
          <w:szCs w:val="28"/>
          <w:rtl w:val="true"/>
          <w:lang w:bidi="ar-SA"/>
        </w:rPr>
        <w:t>روايةً‌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المحدِّث النُّوري قدس سره قد بالغ في تصحيح الكتاب وحجِّيَّته</w:t>
      </w:r>
      <w:r>
        <w:rPr>
          <w:rStyle w:val="FootnoteAnchor"/>
          <w:rtl w:val="true"/>
        </w:rPr>
        <w:footnoteReference w:id="1446"/>
      </w:r>
      <w:r>
        <w:rPr>
          <w:rFonts w:ascii="Amiri" w:hAnsi="Amiri" w:eastAsia="Amiri" w:cs="Amiri"/>
          <w:color w:val="111111"/>
          <w:sz w:val="28"/>
          <w:sz w:val="28"/>
          <w:szCs w:val="28"/>
          <w:rtl w:val="true"/>
          <w:lang w:bidi="ar-SA"/>
        </w:rPr>
        <w:t>، بينما أنَّ كثيرًا من الأعلام لم يعتمدوا عليه، فإنَّ المتقدِّمين أضربوا عنه ضربًا، أمَّا المتأخِّرون فذهبوا إلى أنَّه لم تثبت حجِّيَّته، كالسَّيِّد الفقيه الميلانيِّ قدس سره</w:t>
      </w:r>
      <w:r>
        <w:rPr>
          <w:rStyle w:val="FootnoteAnchor"/>
          <w:rtl w:val="true"/>
        </w:rPr>
        <w:footnoteReference w:id="1447"/>
      </w:r>
      <w:r>
        <w:rPr>
          <w:rFonts w:ascii="Amiri" w:hAnsi="Amiri" w:eastAsia="Amiri" w:cs="Amiri"/>
          <w:color w:val="111111"/>
          <w:sz w:val="28"/>
          <w:sz w:val="28"/>
          <w:szCs w:val="28"/>
          <w:rtl w:val="true"/>
          <w:lang w:bidi="ar-SA"/>
        </w:rPr>
        <w:t>، وغيره؛</w:t>
      </w:r>
    </w:p>
    <w:p>
      <w:pPr>
        <w:pStyle w:val="BookText"/>
        <w:rPr/>
      </w:pPr>
      <w:r>
        <w:rPr>
          <w:rFonts w:ascii="Amiri" w:hAnsi="Amiri" w:eastAsia="Amiri" w:cs="Amiri"/>
          <w:color w:val="111111"/>
          <w:sz w:val="28"/>
          <w:sz w:val="28"/>
          <w:szCs w:val="28"/>
          <w:rtl w:val="true"/>
          <w:lang w:bidi="ar-SA"/>
        </w:rPr>
        <w:t>وانظر أيضًا إلى ما ذكره الشَّيخ الطَّهرانيُّ قدس سره</w:t>
      </w:r>
      <w:r>
        <w:rPr>
          <w:rStyle w:val="FootnoteAnchor"/>
          <w:rtl w:val="true"/>
        </w:rPr>
        <w:footnoteReference w:id="1448"/>
      </w:r>
      <w:r>
        <w:rPr>
          <w:rFonts w:ascii="Amiri" w:hAnsi="Amiri" w:eastAsia="Amiri" w:cs="Amiri"/>
          <w:color w:val="111111"/>
          <w:sz w:val="28"/>
          <w:sz w:val="28"/>
          <w:szCs w:val="28"/>
          <w:rtl w:val="true"/>
          <w:lang w:bidi="ar-SA"/>
        </w:rPr>
        <w:t>، والسَّيِّد حسن الأمين قدس سره</w:t>
      </w:r>
      <w:r>
        <w:rPr>
          <w:rStyle w:val="FootnoteAnchor"/>
          <w:rtl w:val="true"/>
        </w:rPr>
        <w:footnoteReference w:id="1449"/>
      </w:r>
      <w:r>
        <w:rPr>
          <w:rFonts w:ascii="Amiri" w:hAnsi="Amiri" w:eastAsia="Amiri" w:cs="Amiri"/>
          <w:color w:val="111111"/>
          <w:sz w:val="28"/>
          <w:sz w:val="28"/>
          <w:szCs w:val="28"/>
          <w:rtl w:val="true"/>
          <w:lang w:bidi="ar-SA"/>
        </w:rPr>
        <w:t>، والشَّيخ العلَّامة السُّبحاني</w:t>
      </w:r>
      <w:r>
        <w:rPr>
          <w:rStyle w:val="FootnoteAnchor"/>
          <w:rtl w:val="true"/>
        </w:rPr>
        <w:footnoteReference w:id="1450"/>
      </w:r>
      <w:r>
        <w:rPr>
          <w:rFonts w:ascii="Amiri" w:hAnsi="Amiri" w:eastAsia="Amiri" w:cs="Amiri"/>
          <w:color w:val="111111"/>
          <w:sz w:val="28"/>
          <w:sz w:val="28"/>
          <w:szCs w:val="28"/>
          <w:rtl w:val="true"/>
          <w:lang w:bidi="ar-SA"/>
        </w:rPr>
        <w:t>بشأن المؤلِّف والمؤلَّف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كون الحديث مرسلًا غير قابلٍ للإعتماد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القول باِنجبار ضعف السَّند بعمل الأصحاب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برواياتٍ تدلُّ علىٰ أنَّه يشترط في انتشار الحرمة أن يكون اللَّبن عن وطءٍ‌</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لايخفىٰ من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من يقول بحجِّيَّة القياس لايمكن له أن يقبل هذا الحديث في المسألة، لأنَّ الوطء عنوانٌ عامٌّ يشمل الحلال منه والحرام؛ </w:t>
      </w:r>
    </w:p>
    <w:p>
      <w:pPr>
        <w:pStyle w:val="BookText"/>
        <w:rPr/>
      </w:pPr>
      <w:r>
        <w:rPr>
          <w:rFonts w:ascii="Amiri" w:hAnsi="Amiri" w:eastAsia="Amiri" w:cs="Amiri"/>
          <w:color w:val="111111"/>
          <w:sz w:val="28"/>
          <w:sz w:val="28"/>
          <w:szCs w:val="28"/>
          <w:rtl w:val="true"/>
          <w:lang w:bidi="ar-SA"/>
        </w:rPr>
        <w:t>فلادلالة فيه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هذا الشَّرط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برواياتٍ تدلُّ علىٰ أنَّ المرضعة يجب أن تكون ذاتَ بعْلٍ حتَّى تنتشر الحرمةُ بلَبَنها، والزَّانيَّة لابَعلَ لها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صحيحٌ لوتمَّتْ دلالتُها علىٰ ذلك، لكنَّ الكلام في أنَّ الدِّلالة نفسَها مخدوشةٌ لاواقع لها؛ وسيأتي تبيين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فليس إذن في المسألة دليلٌ إلَّاالإجماع؛</w:t>
      </w:r>
    </w:p>
    <w:p>
      <w:pPr>
        <w:pStyle w:val="BookText"/>
        <w:rPr/>
      </w:pPr>
      <w:r>
        <w:rPr>
          <w:rFonts w:ascii="Amiri" w:hAnsi="Amiri" w:eastAsia="Amiri" w:cs="Amiri"/>
          <w:color w:val="111111"/>
          <w:sz w:val="28"/>
          <w:sz w:val="28"/>
          <w:szCs w:val="28"/>
          <w:rtl w:val="true"/>
          <w:lang w:bidi="ar-SA"/>
        </w:rPr>
        <w:t>وهو مدركيٌّ قطعًا، ولاحجيَّة لهذا النَّوع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يقتضي عدمَ نشر الحرمة إلَّابدليلٍ خاصٍّ‌، ولعلَّ الإجماع ناظرٌ إلى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لوقلنا باشتراط هذا الشَّرط في نشر الحُرمة، فهو مختصٌّ بالزِّنا والفجور؛ أمَّا الوطءُ في الحيض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فلايشمله الدَّليل؛</w:t>
      </w:r>
    </w:p>
    <w:p>
      <w:pPr>
        <w:pStyle w:val="BookText"/>
        <w:rPr/>
      </w:pPr>
      <w:r>
        <w:rPr>
          <w:rFonts w:ascii="Amiri" w:hAnsi="Amiri" w:eastAsia="Amiri" w:cs="Amiri"/>
          <w:color w:val="111111"/>
          <w:sz w:val="28"/>
          <w:sz w:val="28"/>
          <w:szCs w:val="28"/>
          <w:rtl w:val="true"/>
          <w:lang w:bidi="ar-SA"/>
        </w:rPr>
        <w:t>فتنشر الحرمةُ بلبنٍ حصل من الوطء في الحيض وفي شهر اللَّه المبارك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اللبن عن ولادةٍ‌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بل ادَّعىٰ غير واحدٍ من الأصحاب ثبوتَ الإجماع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صاحب المدارك قدس سره</w:t>
      </w:r>
      <w:r>
        <w:rPr>
          <w:rStyle w:val="FootnoteAnchor"/>
          <w:rtl w:val="true"/>
        </w:rPr>
        <w:footnoteReference w:id="1453"/>
      </w:r>
      <w:r>
        <w:rPr>
          <w:rFonts w:ascii="Amiri" w:hAnsi="Amiri" w:eastAsia="Amiri" w:cs="Amiri"/>
          <w:color w:val="111111"/>
          <w:sz w:val="28"/>
          <w:sz w:val="28"/>
          <w:szCs w:val="28"/>
          <w:rtl w:val="true"/>
          <w:lang w:bidi="ar-SA"/>
        </w:rPr>
        <w:t>، والشَّيخ قدس سره</w:t>
      </w:r>
      <w:r>
        <w:rPr>
          <w:rStyle w:val="FootnoteAnchor"/>
          <w:rtl w:val="true"/>
        </w:rPr>
        <w:footnoteReference w:id="1454"/>
      </w:r>
      <w:r>
        <w:rPr>
          <w:rFonts w:ascii="Amiri" w:hAnsi="Amiri" w:eastAsia="Amiri" w:cs="Amiri"/>
          <w:color w:val="111111"/>
          <w:sz w:val="28"/>
          <w:sz w:val="28"/>
          <w:szCs w:val="28"/>
          <w:rtl w:val="true"/>
          <w:lang w:bidi="ar-SA"/>
        </w:rPr>
        <w:t>، وابن إدريس قدس سره</w:t>
      </w:r>
      <w:r>
        <w:rPr>
          <w:rStyle w:val="FootnoteAnchor"/>
          <w:rtl w:val="true"/>
        </w:rPr>
        <w:footnoteReference w:id="14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زهرة قدس سره</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ونفىٰ البحرانيُّ قدس سره عنه الخلافَ‌</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النَّشر أن يكون اللَّبن عن ولادةٍ‌، فلوحصل اللَّبَن لإمرأةٍ من غير ولادة طفلٍ لها، فلاتنتشر الحرمةُ‌؛</w:t>
      </w:r>
    </w:p>
    <w:p>
      <w:pPr>
        <w:pStyle w:val="BookText"/>
        <w:rPr/>
      </w:pPr>
      <w:r>
        <w:rPr>
          <w:rFonts w:ascii="Amiri" w:hAnsi="Amiri" w:eastAsia="Amiri" w:cs="Amiri"/>
          <w:color w:val="111111"/>
          <w:sz w:val="28"/>
          <w:sz w:val="28"/>
          <w:szCs w:val="28"/>
          <w:rtl w:val="true"/>
          <w:lang w:bidi="ar-SA"/>
        </w:rPr>
        <w:t>كما نصَّ علىٰ الشَّرط العلَّامة قدس سره</w:t>
      </w:r>
      <w:r>
        <w:rPr>
          <w:rStyle w:val="FootnoteAnchor"/>
          <w:rtl w:val="true"/>
        </w:rPr>
        <w:footnoteReference w:id="1458"/>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459"/>
      </w:r>
      <w:r>
        <w:rPr>
          <w:rFonts w:ascii="Amiri" w:hAnsi="Amiri" w:eastAsia="Amiri" w:cs="Amiri"/>
          <w:color w:val="111111"/>
          <w:sz w:val="28"/>
          <w:sz w:val="28"/>
          <w:szCs w:val="28"/>
          <w:rtl w:val="true"/>
          <w:lang w:bidi="ar-SA"/>
        </w:rPr>
        <w:t>، وكاشف اللِّثام قدس سره</w:t>
      </w:r>
      <w:r>
        <w:rPr>
          <w:rStyle w:val="FootnoteAnchor"/>
          <w:rtl w:val="true"/>
        </w:rPr>
        <w:footnoteReference w:id="1460"/>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هذا الشرط برواياتٍ صحيحةٍ سندًا ودلالةً‌؛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يونس بن يعقوب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إمرأةٍ درَّ لبنُها من غير ولادةٍ فأرضَعَتْ جاريةً وغلامًا من ذلك اللَّبن، هل يحرمُ بذلك اللَّبن 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الصَّدوق قدس سره</w:t>
      </w:r>
      <w:r>
        <w:rPr>
          <w:rStyle w:val="FootnoteAnchor"/>
          <w:rtl w:val="true"/>
        </w:rPr>
        <w:footnoteReference w:id="1462"/>
      </w:r>
      <w:r>
        <w:rPr>
          <w:rFonts w:ascii="Amiri" w:hAnsi="Amiri" w:eastAsia="Amiri" w:cs="Amiri"/>
          <w:color w:val="111111"/>
          <w:sz w:val="28"/>
          <w:sz w:val="28"/>
          <w:szCs w:val="28"/>
          <w:rtl w:val="true"/>
          <w:lang w:bidi="ar-SA"/>
        </w:rPr>
        <w:t>، والفيض قدس سره</w:t>
      </w:r>
      <w:r>
        <w:rPr>
          <w:rStyle w:val="FootnoteAnchor"/>
          <w:rtl w:val="true"/>
        </w:rPr>
        <w:footnoteReference w:id="1463"/>
      </w:r>
      <w:r>
        <w:rPr>
          <w:rFonts w:ascii="Amiri" w:hAnsi="Amiri" w:eastAsia="Amiri" w:cs="Amiri"/>
          <w:color w:val="111111"/>
          <w:sz w:val="28"/>
          <w:sz w:val="28"/>
          <w:szCs w:val="28"/>
          <w:rtl w:val="true"/>
          <w:lang w:bidi="ar-SA"/>
        </w:rPr>
        <w:t>، والحرُّ قدس سره</w:t>
      </w:r>
      <w:r>
        <w:rPr>
          <w:rStyle w:val="FootnoteAnchor"/>
          <w:rtl w:val="true"/>
        </w:rPr>
        <w:footnoteReference w:id="1464"/>
      </w:r>
      <w:r>
        <w:rPr>
          <w:rFonts w:ascii="Amiri" w:hAnsi="Amiri" w:eastAsia="Amiri" w:cs="Amiri"/>
          <w:color w:val="111111"/>
          <w:sz w:val="28"/>
          <w:sz w:val="28"/>
          <w:szCs w:val="28"/>
          <w:rtl w:val="true"/>
          <w:lang w:bidi="ar-SA"/>
        </w:rPr>
        <w:t>والسَّند عند أوَّل المجلسيَّين قدس سرهما كالصَّحيح</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أصل المطلب لاإشكال فيه ولا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في مسألةٍ هامَّةٍ شاعَتْ في عصرنا هذا، وهو ما اصطُلِح عليه بالرَّحِم والرِّغس المستأجَر، حيث يمكن لأطبَّاء العصر أن يجعلوا نطفةَ الرَّجل في رحم إمرأةٍ اُستُجير رحمُها للحمل؛ فالنُّطفة لأحدٍ والرَّحِم لمَن ليس زوجته؛</w:t>
      </w:r>
    </w:p>
    <w:p>
      <w:pPr>
        <w:pStyle w:val="BookText"/>
        <w:rPr/>
      </w:pPr>
      <w:r>
        <w:rPr>
          <w:rFonts w:ascii="Amiri" w:hAnsi="Amiri" w:eastAsia="Amiri" w:cs="Amiri"/>
          <w:color w:val="111111"/>
          <w:sz w:val="28"/>
          <w:sz w:val="28"/>
          <w:szCs w:val="28"/>
          <w:rtl w:val="true"/>
          <w:lang w:bidi="ar-SA"/>
        </w:rPr>
        <w:t>فهل تُحكَم علىٰ المرأة هذه بكونها ذات بعلٍ‌، فإذا دار لبنُها يكون كلبن ذات البعل‌؟، أو هي محكومةٌ بأنَّها لازوج لها فلاتنتشر الحرمة بإدرار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كانت النُّطفة من غير فحلٍ مع كونها حلالًا، كامرأةٍ زُرِقتْ النُّطفةُ في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لوقلنا بحلِّيَّة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لبنُها فأَرضَعَتْ رضيعًا لإمرأةٍ أُخرىٰ‌، فهل تنتشر بهذا اللَّبن الحرمةُ؟،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هل توجب هذا الرَّضاع حلِّيَّة ذات اللَّبن لذِي النُّطفة‌؟،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المختارُ العدمُ‌، لعدم شمول الرِّوايات لمثل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شُكَّ في شمولها لها، فالأصل يقتضي العدمَ أيضًا؛ فإليه المسيرُ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اللَّبن لبَعل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أيضًا اشتراط أن يكون اللَّبن لبعل المرأة، أمَّا لو لم يكن لها بعلٌ فأرضعَتْ الطِّفلَ لاتنتشر الحرمة؛ كما في لبن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بين هذا الشَّرط والشَّرط الثَّاني الَّذي مضَتْ الإشارة إلى بعض القائلين به، فلانعيدها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الأصحاب برواياتٍ صحيحةٍ سندًا؛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 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إمرأتُك من لبنك ولبن ولدِك وَلَدَ امرأةٍ أخرىٰ‌،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الكلينيُّ قدس سره</w:t>
      </w:r>
      <w:r>
        <w:rPr>
          <w:rStyle w:val="FootnoteAnchor"/>
          <w:rtl w:val="true"/>
        </w:rPr>
        <w:footnoteReference w:id="1466"/>
      </w:r>
      <w:r>
        <w:rPr>
          <w:rFonts w:ascii="Amiri" w:hAnsi="Amiri" w:eastAsia="Amiri" w:cs="Amiri"/>
          <w:color w:val="111111"/>
          <w:sz w:val="28"/>
          <w:sz w:val="28"/>
          <w:szCs w:val="28"/>
          <w:rtl w:val="true"/>
          <w:lang w:bidi="ar-SA"/>
        </w:rPr>
        <w:t>، والشَّيخ قدس سره في الاِستبصار</w:t>
      </w:r>
      <w:r>
        <w:rPr>
          <w:rStyle w:val="FootnoteAnchor"/>
          <w:rtl w:val="true"/>
        </w:rPr>
        <w:footnoteReference w:id="1467"/>
      </w:r>
      <w:r>
        <w:rPr>
          <w:rFonts w:ascii="Amiri" w:hAnsi="Amiri" w:eastAsia="Amiri" w:cs="Amiri"/>
          <w:color w:val="111111"/>
          <w:sz w:val="28"/>
          <w:sz w:val="28"/>
          <w:szCs w:val="28"/>
          <w:rtl w:val="true"/>
          <w:lang w:bidi="ar-SA"/>
        </w:rPr>
        <w:t>، والتَّهذيب</w:t>
      </w:r>
      <w:r>
        <w:rPr>
          <w:rStyle w:val="FootnoteAnchor"/>
          <w:rtl w:val="true"/>
        </w:rPr>
        <w:footnoteReference w:id="1468"/>
      </w:r>
      <w:r>
        <w:rPr>
          <w:rFonts w:ascii="Amiri" w:hAnsi="Amiri" w:eastAsia="Amiri" w:cs="Amiri"/>
          <w:color w:val="111111"/>
          <w:sz w:val="28"/>
          <w:sz w:val="28"/>
          <w:szCs w:val="28"/>
          <w:rtl w:val="true"/>
          <w:lang w:bidi="ar-SA"/>
        </w:rPr>
        <w:t>، والفيض قدس سره</w:t>
      </w:r>
      <w:r>
        <w:rPr>
          <w:rStyle w:val="FootnoteAnchor"/>
          <w:rtl w:val="true"/>
        </w:rPr>
        <w:footnoteReference w:id="1469"/>
      </w:r>
      <w:r>
        <w:rPr>
          <w:rFonts w:ascii="Amiri" w:hAnsi="Amiri" w:eastAsia="Amiri" w:cs="Amiri"/>
          <w:color w:val="111111"/>
          <w:sz w:val="28"/>
          <w:sz w:val="28"/>
          <w:szCs w:val="28"/>
          <w:rtl w:val="true"/>
          <w:lang w:bidi="ar-SA"/>
        </w:rPr>
        <w:t>، والحرُّ قدس سره</w:t>
      </w:r>
      <w:r>
        <w:rPr>
          <w:rStyle w:val="FootnoteAnchor"/>
          <w:rtl w:val="true"/>
        </w:rPr>
        <w:footnoteReference w:id="1470"/>
      </w:r>
      <w:r>
        <w:rPr>
          <w:rFonts w:ascii="Amiri" w:hAnsi="Amiri" w:eastAsia="Amiri" w:cs="Amiri"/>
          <w:color w:val="111111"/>
          <w:sz w:val="28"/>
          <w:sz w:val="28"/>
          <w:szCs w:val="28"/>
          <w:rtl w:val="true"/>
          <w:lang w:bidi="ar-SA"/>
        </w:rPr>
        <w:t>وقد صحَّحه المجلسيُّ قدس سره في مرآته</w:t>
      </w:r>
      <w:r>
        <w:rPr>
          <w:rStyle w:val="FootnoteAnchor"/>
          <w:rtl w:val="true"/>
        </w:rPr>
        <w:footnoteReference w:id="1471"/>
      </w:r>
      <w:r>
        <w:rPr>
          <w:rFonts w:ascii="IRNazanin" w:hAnsi="IRNazanin" w:eastAsia="IRNazanin"/>
          <w:color w:val="111111"/>
          <w:sz w:val="28"/>
          <w:sz w:val="28"/>
          <w:szCs w:val="28"/>
          <w:rtl w:val="true"/>
          <w:lang w:bidi="fa-IR"/>
        </w:rPr>
        <w:t>، وملاذه</w:t>
      </w:r>
      <w:r>
        <w:rPr>
          <w:rStyle w:val="FootnoteAnchor"/>
          <w:rtl w:val="true"/>
        </w:rPr>
        <w:footnoteReference w:id="1472"/>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473"/>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47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نظرٌ واضحٌ‌،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ليس إلَّامن باب المثال، فلايمكن تقييدُ الحكم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 عليه السلام عن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فَسِّرْ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إمرأةٍ أرضعَتْ من لبن فحلِها ولدَ إمرأةٍ أُخرىٰ من جاريةٍ أو غلامٍ فذلك الَّذي قال رسولُاللَّه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عن الكلينيِّ قدس سره</w:t>
      </w:r>
      <w:r>
        <w:rPr>
          <w:rStyle w:val="FootnoteAnchor"/>
          <w:rtl w:val="true"/>
        </w:rPr>
        <w:footnoteReference w:id="1475"/>
      </w:r>
      <w:r>
        <w:rPr>
          <w:rFonts w:ascii="Amiri" w:hAnsi="Amiri" w:eastAsia="Amiri" w:cs="Amiri"/>
          <w:color w:val="111111"/>
          <w:sz w:val="28"/>
          <w:sz w:val="28"/>
          <w:szCs w:val="28"/>
          <w:rtl w:val="true"/>
          <w:lang w:bidi="ar-SA"/>
        </w:rPr>
        <w:t>، والصَّدوق قدس سره</w:t>
      </w:r>
      <w:r>
        <w:rPr>
          <w:rStyle w:val="FootnoteAnchor"/>
          <w:rtl w:val="true"/>
        </w:rPr>
        <w:footnoteReference w:id="1476"/>
      </w:r>
      <w:r>
        <w:rPr>
          <w:rFonts w:ascii="Amiri" w:hAnsi="Amiri" w:eastAsia="Amiri" w:cs="Amiri"/>
          <w:color w:val="111111"/>
          <w:sz w:val="28"/>
          <w:sz w:val="28"/>
          <w:szCs w:val="28"/>
          <w:rtl w:val="true"/>
          <w:lang w:bidi="ar-SA"/>
        </w:rPr>
        <w:t>، والفيض قدس سره</w:t>
      </w:r>
      <w:r>
        <w:rPr>
          <w:rStyle w:val="FootnoteAnchor"/>
          <w:rtl w:val="true"/>
        </w:rPr>
        <w:footnoteReference w:id="1477"/>
      </w:r>
      <w:r>
        <w:rPr>
          <w:rFonts w:ascii="Amiri" w:hAnsi="Amiri" w:eastAsia="Amiri" w:cs="Amiri"/>
          <w:color w:val="111111"/>
          <w:sz w:val="28"/>
          <w:sz w:val="28"/>
          <w:szCs w:val="28"/>
          <w:rtl w:val="true"/>
          <w:lang w:bidi="ar-SA"/>
        </w:rPr>
        <w:t>، والحرِّ قدس سره</w:t>
      </w:r>
      <w:r>
        <w:rPr>
          <w:rStyle w:val="FootnoteAnchor"/>
          <w:rtl w:val="true"/>
        </w:rPr>
        <w:footnoteReference w:id="1478"/>
      </w:r>
      <w:r>
        <w:rPr>
          <w:rFonts w:ascii="Amiri" w:hAnsi="Amiri" w:eastAsia="Amiri" w:cs="Amiri"/>
          <w:color w:val="111111"/>
          <w:sz w:val="28"/>
          <w:sz w:val="28"/>
          <w:szCs w:val="28"/>
          <w:rtl w:val="true"/>
          <w:lang w:bidi="ar-SA"/>
        </w:rPr>
        <w:t xml:space="preserve">وهو صحيحٌ عند </w:t>
      </w:r>
    </w:p>
    <w:p>
      <w:pPr>
        <w:pStyle w:val="BookText"/>
        <w:rPr/>
      </w:pPr>
      <w:r>
        <w:rPr>
          <w:rFonts w:ascii="Amiri" w:hAnsi="Amiri" w:eastAsia="Amiri" w:cs="Amiri"/>
          <w:color w:val="111111"/>
          <w:sz w:val="28"/>
          <w:sz w:val="28"/>
          <w:szCs w:val="28"/>
          <w:rtl w:val="true"/>
          <w:lang w:bidi="ar-SA"/>
        </w:rPr>
        <w:t>العلَّامة المجلسي قدس سره</w:t>
      </w:r>
      <w:r>
        <w:rPr>
          <w:rStyle w:val="FootnoteAnchor"/>
          <w:rtl w:val="true"/>
        </w:rPr>
        <w:footnoteReference w:id="1479"/>
      </w:r>
      <w:r>
        <w:rPr>
          <w:rFonts w:ascii="Amiri" w:hAnsi="Amiri" w:eastAsia="Amiri" w:cs="Amiri"/>
          <w:color w:val="111111"/>
          <w:sz w:val="28"/>
          <w:sz w:val="28"/>
          <w:szCs w:val="28"/>
          <w:rtl w:val="true"/>
          <w:lang w:bidi="ar-SA"/>
        </w:rPr>
        <w:t>، وأبيه المعظَّم قدس سره</w:t>
      </w:r>
      <w:r>
        <w:rPr>
          <w:rStyle w:val="FootnoteAnchor"/>
          <w:rtl w:val="true"/>
        </w:rPr>
        <w:footnoteReference w:id="148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مخدوشٌ أيضًا، لأنَّ ذكر الفَحل من باب المثال والغلبة، فلاتُقَيَّدُ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إجماع ولا أصل في المقام يُمكن الَّتمسُّك بهما؛</w:t>
      </w:r>
    </w:p>
    <w:p>
      <w:pPr>
        <w:pStyle w:val="BookText"/>
        <w:rPr/>
      </w:pPr>
      <w:r>
        <w:rPr>
          <w:rFonts w:ascii="Amiri" w:hAnsi="Amiri" w:eastAsia="Amiri" w:cs="Amiri"/>
          <w:color w:val="111111"/>
          <w:sz w:val="28"/>
          <w:sz w:val="28"/>
          <w:szCs w:val="28"/>
          <w:rtl w:val="true"/>
          <w:lang w:bidi="ar-SA"/>
        </w:rPr>
        <w:t>فإذن ظهَر أنَّ الشَّرط غير 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هل تنتشر الحرمةُ من لبن المُطَلَّقة‌؟، أو من لبن مَن مات زوجُها</w:t>
      </w:r>
      <w:r>
        <w:rPr>
          <w:rStyle w:val="FootnoteAnchor"/>
          <w:rtl w:val="true"/>
        </w:rPr>
        <w:footnoteReference w:id="14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ليست بذات بعلٍ‌؛</w:t>
      </w:r>
    </w:p>
    <w:p>
      <w:pPr>
        <w:pStyle w:val="BookText"/>
        <w:rPr/>
      </w:pPr>
      <w:r>
        <w:rPr>
          <w:rFonts w:ascii="Amiri" w:hAnsi="Amiri" w:eastAsia="Amiri" w:cs="Amiri"/>
          <w:color w:val="111111"/>
          <w:sz w:val="28"/>
          <w:sz w:val="28"/>
          <w:szCs w:val="28"/>
          <w:rtl w:val="true"/>
          <w:lang w:bidi="ar-SA"/>
        </w:rPr>
        <w:t>ومن أنَّ اللَّبن يكون من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الثَّاني، وإن كان الأصل يقتضي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اللَّبن من حيَّةٍ‌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أن يكون الرَّضاع من مرضعةٍ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p>
    <w:p>
      <w:pPr>
        <w:pStyle w:val="BookText"/>
        <w:rPr/>
      </w:pPr>
      <w:r>
        <w:rPr>
          <w:rFonts w:ascii="Amiri" w:hAnsi="Amiri" w:eastAsia="Amiri" w:cs="Amiri"/>
          <w:color w:val="111111"/>
          <w:sz w:val="28"/>
          <w:sz w:val="28"/>
          <w:szCs w:val="28"/>
          <w:rtl w:val="true"/>
          <w:lang w:bidi="ar-SA"/>
        </w:rPr>
        <w:t>العلَّامة قدس سره اتِّفاق الأصحاب علىٰ ذلك</w:t>
      </w:r>
      <w:r>
        <w:rPr>
          <w:rStyle w:val="FootnoteAnchor"/>
          <w:rtl w:val="true"/>
        </w:rPr>
        <w:footnoteReference w:id="1482"/>
      </w:r>
      <w:r>
        <w:rPr>
          <w:rFonts w:ascii="Amiri" w:hAnsi="Amiri" w:eastAsia="Amiri" w:cs="Amiri"/>
          <w:color w:val="111111"/>
          <w:sz w:val="28"/>
          <w:sz w:val="28"/>
          <w:szCs w:val="28"/>
          <w:rtl w:val="true"/>
          <w:lang w:bidi="ar-SA"/>
        </w:rPr>
        <w:t>، وقد حكم به في التَّحرير</w:t>
      </w:r>
      <w:r>
        <w:rPr>
          <w:rStyle w:val="FootnoteAnchor"/>
          <w:rtl w:val="true"/>
        </w:rPr>
        <w:footnoteReference w:id="1483"/>
      </w:r>
      <w:r>
        <w:rPr>
          <w:rFonts w:ascii="IRNazanin" w:hAnsi="IRNazanin" w:eastAsia="IRNazanin"/>
          <w:color w:val="111111"/>
          <w:sz w:val="28"/>
          <w:sz w:val="28"/>
          <w:szCs w:val="28"/>
          <w:rtl w:val="true"/>
          <w:lang w:bidi="fa-IR"/>
        </w:rPr>
        <w:t>، والقواعد</w:t>
      </w:r>
      <w:r>
        <w:rPr>
          <w:rStyle w:val="FootnoteAnchor"/>
          <w:rtl w:val="true"/>
        </w:rPr>
        <w:footnoteReference w:id="1484"/>
      </w:r>
      <w:r>
        <w:rPr>
          <w:rFonts w:ascii="Amiri" w:hAnsi="Amiri" w:eastAsia="Amiri" w:cs="Amiri"/>
          <w:color w:val="111111"/>
          <w:sz w:val="28"/>
          <w:sz w:val="28"/>
          <w:szCs w:val="28"/>
          <w:rtl w:val="true"/>
          <w:lang w:bidi="ar-SA"/>
        </w:rPr>
        <w:t>، وهذا ما يظهر من الفاضل الأصفهانيِّ قدس سره</w:t>
      </w:r>
      <w:r>
        <w:rPr>
          <w:rStyle w:val="FootnoteAnchor"/>
          <w:rtl w:val="true"/>
        </w:rPr>
        <w:footnoteReference w:id="1485"/>
      </w:r>
      <w:r>
        <w:rPr>
          <w:rFonts w:ascii="Amiri" w:hAnsi="Amiri" w:eastAsia="Amiri" w:cs="Amiri"/>
          <w:color w:val="111111"/>
          <w:sz w:val="28"/>
          <w:sz w:val="28"/>
          <w:szCs w:val="28"/>
          <w:rtl w:val="true"/>
          <w:lang w:bidi="ar-SA"/>
        </w:rPr>
        <w:t>، والفاضل القمِّي قدس سره</w:t>
      </w:r>
      <w:r>
        <w:rPr>
          <w:rStyle w:val="FootnoteAnchor"/>
          <w:rtl w:val="true"/>
        </w:rPr>
        <w:footnoteReference w:id="1486"/>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487"/>
      </w:r>
      <w:r>
        <w:rPr>
          <w:rFonts w:ascii="Amiri" w:hAnsi="Amiri" w:eastAsia="Amiri" w:cs="Amiri"/>
          <w:color w:val="111111"/>
          <w:sz w:val="28"/>
          <w:sz w:val="28"/>
          <w:szCs w:val="28"/>
          <w:rtl w:val="true"/>
          <w:lang w:bidi="ar-SA"/>
        </w:rPr>
        <w:t>، وفخر المحقِّقين قدس سره</w:t>
      </w:r>
      <w:r>
        <w:rPr>
          <w:rStyle w:val="FootnoteAnchor"/>
          <w:rtl w:val="true"/>
        </w:rPr>
        <w:footnoteReference w:id="1488"/>
      </w:r>
      <w:r>
        <w:rPr>
          <w:rFonts w:ascii="Amiri" w:hAnsi="Amiri" w:eastAsia="Amiri" w:cs="Amiri"/>
          <w:color w:val="111111"/>
          <w:sz w:val="28"/>
          <w:sz w:val="28"/>
          <w:szCs w:val="28"/>
          <w:rtl w:val="true"/>
          <w:lang w:bidi="ar-SA"/>
        </w:rPr>
        <w:t>، والقَطَّان قدس سره</w:t>
      </w:r>
      <w:r>
        <w:rPr>
          <w:rStyle w:val="FootnoteAnchor"/>
          <w:rtl w:val="true"/>
        </w:rPr>
        <w:footnoteReference w:id="1489"/>
      </w:r>
      <w:r>
        <w:rPr>
          <w:rFonts w:ascii="Amiri" w:hAnsi="Amiri" w:eastAsia="Amiri" w:cs="Amiri"/>
          <w:color w:val="111111"/>
          <w:sz w:val="28"/>
          <w:sz w:val="28"/>
          <w:szCs w:val="28"/>
          <w:rtl w:val="true"/>
          <w:lang w:bidi="ar-SA"/>
        </w:rPr>
        <w:t>، والسَّيِّد محمَّد بحرالعلوم قدس سره</w:t>
      </w:r>
      <w:r>
        <w:rPr>
          <w:rStyle w:val="FootnoteAnchor"/>
          <w:rtl w:val="true"/>
        </w:rPr>
        <w:footnoteReference w:id="1490"/>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فلااعتبار بما يرتَضِعُ الطِّفل من الميِّتة، كما إذا ارتَضَع الطِّفل من مرضعةٍ عشرة أيَّامٍ ثمَّ ماتَتْ المرضعةُ قبل إكمال العشرةَ‌، فهل تنتشر الحرمةُ بإكمال العدد من المرضعة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والمشهور المختارُ أنَّه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تنتشر الحرمةُ بإكمال العدد من الميِّتة، لأنَّ الموت كالنَّوم والغشوة الَّتي طالتْ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أنَّهما لايضرَّان بانتشار الحرمة من قِبَل الرَّضاع، فكذلك هيهنا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لمَن خالفَنا دليلٌ إلَّااِنصراف عنوان المُرضِعَة عن إمرأةٍ ماتَتْ قبل إكمالها </w:t>
      </w:r>
    </w:p>
    <w:p>
      <w:pPr>
        <w:pStyle w:val="BookText"/>
        <w:rPr/>
      </w:pPr>
      <w:r>
        <w:rPr>
          <w:rFonts w:ascii="Amiri" w:hAnsi="Amiri" w:eastAsia="Amiri" w:cs="Amiri"/>
          <w:color w:val="111111"/>
          <w:sz w:val="28"/>
          <w:sz w:val="28"/>
          <w:szCs w:val="28"/>
          <w:rtl w:val="true"/>
          <w:lang w:bidi="ar-SA"/>
        </w:rPr>
        <w:t>الرَّضاع؛ كما عن المحقِّق الكركيِّ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الميتةَ لاتُعَدُّ مرضِعةً‌</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والشَّيخ حسن آل كاشف الغطاء قدس سره</w:t>
      </w:r>
      <w:r>
        <w:rPr>
          <w:rStyle w:val="FootnoteAnchor"/>
          <w:rtl w:val="true"/>
        </w:rPr>
        <w:footnoteReference w:id="1492"/>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الإنصراف الغالبيَّ والبَدْويَّ الموجود في المقام ليس بحجَّةٍ قطعًا، إذ الحُجَّة منه هو الإنصراف العُرفيُّ الحاصل من اللَّفظ، وهو غير موجودٍ هيهنا، حيثُ يُطلَق في العرف علىٰ الميِّتة الَّتي شرب الطِّفلُ من ثَديِها أنَّها مرضعةٌ‌، ولا إنصراف في اللَّفظ عنها وإن كان الإنصرافُ الغالبيُّ والبَدْويُّ يحكم بخروجها عن عنوان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موجودٌ ليس بحجَّةٍ‌، وما هو حجَّةٌ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صدق الرَّضاع؛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الرَّضاع لايحتاج إلى الحياة وتَنَبُّه المرأة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الرَّضاع هو مناط انتشار الحرمة، وهو موجودٌ بلاريبٍ وارتيابٍ‌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الرَّضاع قبل إكمال الحَولَين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فخر المحقِّقين قدس سره</w:t>
      </w:r>
      <w:r>
        <w:rPr>
          <w:rStyle w:val="FootnoteAnchor"/>
          <w:rtl w:val="true"/>
        </w:rPr>
        <w:footnoteReference w:id="1493"/>
      </w:r>
      <w:r>
        <w:rPr>
          <w:rFonts w:ascii="Amiri" w:hAnsi="Amiri" w:eastAsia="Amiri" w:cs="Amiri"/>
          <w:color w:val="111111"/>
          <w:sz w:val="28"/>
          <w:sz w:val="28"/>
          <w:szCs w:val="28"/>
          <w:rtl w:val="true"/>
          <w:lang w:bidi="ar-SA"/>
        </w:rPr>
        <w:t>والكركيُّ قدس سره</w:t>
      </w:r>
      <w:r>
        <w:rPr>
          <w:rStyle w:val="FootnoteAnchor"/>
          <w:rtl w:val="true"/>
        </w:rPr>
        <w:footnoteReference w:id="1494"/>
      </w:r>
      <w:r>
        <w:rPr>
          <w:rFonts w:ascii="Amiri" w:hAnsi="Amiri" w:eastAsia="Amiri" w:cs="Amiri"/>
          <w:color w:val="111111"/>
          <w:sz w:val="28"/>
          <w:sz w:val="28"/>
          <w:szCs w:val="28"/>
          <w:rtl w:val="true"/>
          <w:lang w:bidi="ar-SA"/>
        </w:rPr>
        <w:t xml:space="preserve">ثبوتَ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يجب أن يكون قبلَ إكمال الرَّضيع حولَين كاملَين، أمَّا بعد تجاوز الطِّفل عن الحولين فالرَّضاع لايُوجِب نشرَ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المفيد قدس سره</w:t>
      </w:r>
      <w:r>
        <w:rPr>
          <w:rStyle w:val="FootnoteAnchor"/>
          <w:rtl w:val="true"/>
        </w:rPr>
        <w:footnoteReference w:id="1495"/>
      </w:r>
      <w:r>
        <w:rPr>
          <w:rFonts w:ascii="Amiri" w:hAnsi="Amiri" w:eastAsia="Amiri" w:cs="Amiri"/>
          <w:color w:val="111111"/>
          <w:sz w:val="28"/>
          <w:sz w:val="28"/>
          <w:szCs w:val="28"/>
          <w:rtl w:val="true"/>
          <w:lang w:bidi="ar-SA"/>
        </w:rPr>
        <w:t>، والشَّيخ قدس سره</w:t>
      </w:r>
      <w:r>
        <w:rPr>
          <w:rStyle w:val="FootnoteAnchor"/>
          <w:rtl w:val="true"/>
        </w:rPr>
        <w:footnoteReference w:id="1496"/>
      </w:r>
      <w:r>
        <w:rPr>
          <w:rFonts w:ascii="Amiri" w:hAnsi="Amiri" w:eastAsia="Amiri" w:cs="Amiri"/>
          <w:color w:val="111111"/>
          <w:sz w:val="28"/>
          <w:sz w:val="28"/>
          <w:szCs w:val="28"/>
          <w:rtl w:val="true"/>
          <w:lang w:bidi="ar-SA"/>
        </w:rPr>
        <w:t>، وابنُزهرة قدس سره</w:t>
      </w:r>
      <w:r>
        <w:rPr>
          <w:rStyle w:val="FootnoteAnchor"/>
          <w:rtl w:val="true"/>
        </w:rPr>
        <w:footnoteReference w:id="1497"/>
      </w:r>
      <w:r>
        <w:rPr>
          <w:rFonts w:ascii="Amiri" w:hAnsi="Amiri" w:eastAsia="Amiri" w:cs="Amiri"/>
          <w:color w:val="111111"/>
          <w:sz w:val="28"/>
          <w:sz w:val="28"/>
          <w:szCs w:val="28"/>
          <w:rtl w:val="true"/>
          <w:lang w:bidi="ar-SA"/>
        </w:rPr>
        <w:t>، وابنُإدريس قدس سره</w:t>
      </w:r>
      <w:r>
        <w:rPr>
          <w:rStyle w:val="FootnoteAnchor"/>
          <w:rtl w:val="true"/>
        </w:rPr>
        <w:footnoteReference w:id="1498"/>
      </w:r>
      <w:r>
        <w:rPr>
          <w:rFonts w:ascii="Amiri" w:hAnsi="Amiri" w:eastAsia="Amiri" w:cs="Amiri"/>
          <w:color w:val="111111"/>
          <w:sz w:val="28"/>
          <w:sz w:val="28"/>
          <w:szCs w:val="28"/>
          <w:rtl w:val="true"/>
          <w:lang w:bidi="ar-SA"/>
        </w:rPr>
        <w:t>، والمحقِّق قدس سره</w:t>
      </w:r>
      <w:r>
        <w:rPr>
          <w:rStyle w:val="FootnoteAnchor"/>
          <w:rtl w:val="true"/>
        </w:rPr>
        <w:footnoteReference w:id="1499"/>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1500"/>
      </w:r>
      <w:r>
        <w:rPr>
          <w:rFonts w:ascii="Amiri" w:hAnsi="Amiri" w:eastAsia="Amiri" w:cs="Amiri"/>
          <w:color w:val="111111"/>
          <w:sz w:val="28"/>
          <w:sz w:val="28"/>
          <w:szCs w:val="28"/>
          <w:rtl w:val="true"/>
          <w:lang w:bidi="ar-SA"/>
        </w:rPr>
        <w:t>، وتذكرته</w:t>
      </w:r>
      <w:r>
        <w:rPr>
          <w:rStyle w:val="FootnoteAnchor"/>
          <w:rtl w:val="true"/>
        </w:rPr>
        <w:footnoteReference w:id="1501"/>
      </w:r>
      <w:r>
        <w:rPr>
          <w:rFonts w:ascii="Amiri" w:hAnsi="Amiri" w:eastAsia="Amiri" w:cs="Amiri"/>
          <w:color w:val="111111"/>
          <w:sz w:val="28"/>
          <w:sz w:val="28"/>
          <w:szCs w:val="28"/>
          <w:rtl w:val="true"/>
          <w:lang w:bidi="ar-SA"/>
        </w:rPr>
        <w:t>، ومختَلَفه</w:t>
      </w:r>
      <w:r>
        <w:rPr>
          <w:rStyle w:val="FootnoteAnchor"/>
          <w:rtl w:val="true"/>
        </w:rPr>
        <w:footnoteReference w:id="1502"/>
      </w:r>
      <w:r>
        <w:rPr>
          <w:rFonts w:ascii="Amiri" w:hAnsi="Amiri" w:eastAsia="Amiri" w:cs="Amiri"/>
          <w:color w:val="111111"/>
          <w:sz w:val="28"/>
          <w:sz w:val="28"/>
          <w:szCs w:val="28"/>
          <w:rtl w:val="true"/>
          <w:lang w:bidi="ar-SA"/>
        </w:rPr>
        <w:t>، والشَّهيد قدس سره</w:t>
      </w:r>
      <w:r>
        <w:rPr>
          <w:rStyle w:val="FootnoteAnchor"/>
          <w:rtl w:val="true"/>
        </w:rPr>
        <w:footnoteReference w:id="1503"/>
      </w:r>
      <w:r>
        <w:rPr>
          <w:rFonts w:ascii="IRNazanin" w:hAnsi="IRNazanin" w:eastAsia="IRNazanin"/>
          <w:color w:val="111111"/>
          <w:sz w:val="28"/>
          <w:sz w:val="28"/>
          <w:szCs w:val="28"/>
          <w:rtl w:val="true"/>
          <w:lang w:bidi="fa-IR"/>
        </w:rPr>
        <w:t>، والمقداد قدس سره</w:t>
      </w:r>
      <w:r>
        <w:rPr>
          <w:rStyle w:val="FootnoteAnchor"/>
          <w:rtl w:val="true"/>
        </w:rPr>
        <w:footnoteReference w:id="1504"/>
      </w:r>
      <w:r>
        <w:rPr>
          <w:rFonts w:ascii="IRNazanin" w:hAnsi="IRNazanin" w:eastAsia="IRNazanin"/>
          <w:color w:val="111111"/>
          <w:sz w:val="28"/>
          <w:sz w:val="28"/>
          <w:szCs w:val="28"/>
          <w:rtl w:val="true"/>
          <w:lang w:bidi="fa-IR"/>
        </w:rPr>
        <w:t>، وابن فهدٍ قدس سره</w:t>
      </w:r>
      <w:r>
        <w:rPr>
          <w:rStyle w:val="FootnoteAnchor"/>
          <w:rtl w:val="true"/>
        </w:rPr>
        <w:footnoteReference w:id="1505"/>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506"/>
      </w:r>
      <w:r>
        <w:rPr>
          <w:rFonts w:ascii="Amiri" w:hAnsi="Amiri" w:eastAsia="Amiri" w:cs="Amiri"/>
          <w:color w:val="111111"/>
          <w:sz w:val="28"/>
          <w:sz w:val="28"/>
          <w:szCs w:val="28"/>
          <w:rtl w:val="true"/>
          <w:lang w:bidi="ar-SA"/>
        </w:rPr>
        <w:t>، والسَّيِّد العامِليُّ قدس سره</w:t>
      </w:r>
      <w:r>
        <w:rPr>
          <w:rStyle w:val="FootnoteAnchor"/>
          <w:rtl w:val="true"/>
        </w:rPr>
        <w:footnoteReference w:id="1507"/>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508"/>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509"/>
      </w:r>
      <w:r>
        <w:rPr>
          <w:rFonts w:ascii="Amiri" w:hAnsi="Amiri" w:eastAsia="Amiri" w:cs="Amiri"/>
          <w:color w:val="111111"/>
          <w:sz w:val="28"/>
          <w:sz w:val="28"/>
          <w:szCs w:val="28"/>
          <w:rtl w:val="true"/>
          <w:lang w:bidi="ar-SA"/>
        </w:rPr>
        <w:t>، وفي نكاحه</w:t>
      </w:r>
      <w:r>
        <w:rPr>
          <w:rStyle w:val="FootnoteAnchor"/>
          <w:rtl w:val="true"/>
        </w:rPr>
        <w:footnoteReference w:id="1510"/>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برواياتٍ صحيحةٍ سندًا ودلالةً‌؛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احمدُ بن محمَّد بن عيسىٰ الأشعريُّ قدس سره</w:t>
      </w:r>
      <w:r>
        <w:rPr>
          <w:rStyle w:val="FootnoteAnchor"/>
          <w:rtl w:val="true"/>
        </w:rPr>
        <w:footnoteReference w:id="1511"/>
      </w:r>
      <w:r>
        <w:rPr>
          <w:rFonts w:ascii="Amiri" w:hAnsi="Amiri" w:eastAsia="Amiri" w:cs="Amiri"/>
          <w:color w:val="111111"/>
          <w:sz w:val="28"/>
          <w:sz w:val="28"/>
          <w:szCs w:val="28"/>
          <w:rtl w:val="true"/>
          <w:lang w:bidi="ar-SA"/>
        </w:rPr>
        <w:t>، والكلينيُّ قدس سره</w:t>
      </w:r>
      <w:r>
        <w:rPr>
          <w:rStyle w:val="FootnoteAnchor"/>
          <w:rtl w:val="true"/>
        </w:rPr>
        <w:footnoteReference w:id="1512"/>
      </w:r>
      <w:r>
        <w:rPr>
          <w:rFonts w:ascii="Amiri" w:hAnsi="Amiri" w:eastAsia="Amiri" w:cs="Amiri"/>
          <w:color w:val="111111"/>
          <w:sz w:val="28"/>
          <w:sz w:val="28"/>
          <w:szCs w:val="28"/>
          <w:rtl w:val="true"/>
          <w:lang w:bidi="ar-SA"/>
        </w:rPr>
        <w:t>، والشَّيخ قدس سره</w:t>
      </w:r>
      <w:r>
        <w:rPr>
          <w:rStyle w:val="FootnoteAnchor"/>
          <w:rtl w:val="true"/>
        </w:rPr>
        <w:footnoteReference w:id="1513"/>
      </w:r>
      <w:r>
        <w:rPr>
          <w:rFonts w:ascii="Amiri" w:hAnsi="Amiri" w:eastAsia="Amiri" w:cs="Amiri"/>
          <w:color w:val="111111"/>
          <w:sz w:val="28"/>
          <w:sz w:val="28"/>
          <w:szCs w:val="28"/>
          <w:rtl w:val="true"/>
          <w:lang w:bidi="ar-SA"/>
        </w:rPr>
        <w:t>، والفيض قدس سره</w:t>
      </w:r>
      <w:r>
        <w:rPr>
          <w:rStyle w:val="FootnoteAnchor"/>
          <w:rtl w:val="true"/>
        </w:rPr>
        <w:footnoteReference w:id="1514"/>
      </w:r>
      <w:r>
        <w:rPr>
          <w:rFonts w:ascii="Amiri" w:hAnsi="Amiri" w:eastAsia="Amiri" w:cs="Amiri"/>
          <w:color w:val="111111"/>
          <w:sz w:val="28"/>
          <w:sz w:val="28"/>
          <w:szCs w:val="28"/>
          <w:rtl w:val="true"/>
          <w:lang w:bidi="ar-SA"/>
        </w:rPr>
        <w:t>، والحرُّ قدس سره</w:t>
      </w:r>
      <w:r>
        <w:rPr>
          <w:rStyle w:val="FootnoteAnchor"/>
          <w:rtl w:val="true"/>
        </w:rPr>
        <w:footnoteReference w:id="1515"/>
      </w:r>
      <w:r>
        <w:rPr>
          <w:rFonts w:ascii="Amiri" w:hAnsi="Amiri" w:eastAsia="Amiri" w:cs="Amiri"/>
          <w:color w:val="111111"/>
          <w:sz w:val="28"/>
          <w:sz w:val="28"/>
          <w:szCs w:val="28"/>
          <w:rtl w:val="true"/>
          <w:lang w:bidi="ar-SA"/>
        </w:rPr>
        <w:t>، وغيرهم؛ وقد صحَّحها آل عصفورٍ البحرانيُّ قدس سره</w:t>
      </w:r>
      <w:r>
        <w:rPr>
          <w:rStyle w:val="FootnoteAnchor"/>
          <w:rtl w:val="true"/>
        </w:rPr>
        <w:footnoteReference w:id="1516"/>
      </w:r>
      <w:r>
        <w:rPr>
          <w:rFonts w:ascii="Amiri" w:hAnsi="Amiri" w:eastAsia="Amiri" w:cs="Amiri"/>
          <w:color w:val="111111"/>
          <w:sz w:val="28"/>
          <w:sz w:val="28"/>
          <w:szCs w:val="28"/>
          <w:rtl w:val="true"/>
          <w:lang w:bidi="ar-SA"/>
        </w:rPr>
        <w:t>، والفقيه الخراسانيُّ قدس سره</w:t>
      </w:r>
      <w:r>
        <w:rPr>
          <w:rStyle w:val="FootnoteAnchor"/>
          <w:rtl w:val="true"/>
        </w:rPr>
        <w:footnoteReference w:id="1517"/>
      </w:r>
      <w:r>
        <w:rPr>
          <w:rFonts w:ascii="Amiri" w:hAnsi="Amiri" w:eastAsia="Amiri" w:cs="Amiri"/>
          <w:color w:val="111111"/>
          <w:sz w:val="28"/>
          <w:sz w:val="28"/>
          <w:szCs w:val="28"/>
          <w:rtl w:val="true"/>
          <w:lang w:bidi="ar-SA"/>
        </w:rPr>
        <w:t>، والنَّجفيُّ قدس سره</w:t>
      </w:r>
      <w:r>
        <w:rPr>
          <w:rStyle w:val="FootnoteAnchor"/>
          <w:rtl w:val="true"/>
        </w:rPr>
        <w:footnoteReference w:id="1518"/>
      </w:r>
      <w:r>
        <w:rPr>
          <w:rFonts w:ascii="Amiri" w:hAnsi="Amiri" w:eastAsia="Amiri" w:cs="Amiri"/>
          <w:color w:val="111111"/>
          <w:sz w:val="28"/>
          <w:sz w:val="28"/>
          <w:szCs w:val="28"/>
          <w:rtl w:val="true"/>
          <w:lang w:bidi="ar-SA"/>
        </w:rPr>
        <w:t>، وسيِّدنا الأستاذ المحقِّق الدَّاماد قدس سره</w:t>
      </w:r>
      <w:r>
        <w:rPr>
          <w:rStyle w:val="FootnoteAnchor"/>
          <w:rtl w:val="true"/>
        </w:rPr>
        <w:footnoteReference w:id="151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بمعنى الانقطاع عن اللَّبن فيشمل الإنقطاع عنه قبل بلوغ سنَتين كاملتين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الزَّبيديِّ‌</w:t>
      </w:r>
      <w:r>
        <w:rPr>
          <w:rStyle w:val="FootnoteAnchor"/>
          <w:rtl w:val="true"/>
        </w:rPr>
        <w:footnoteReference w:id="1520"/>
      </w:r>
      <w:r>
        <w:rPr>
          <w:rFonts w:ascii="Amiri" w:hAnsi="Amiri" w:eastAsia="Amiri" w:cs="Amiri"/>
          <w:color w:val="111111"/>
          <w:sz w:val="28"/>
          <w:sz w:val="28"/>
          <w:szCs w:val="28"/>
          <w:rtl w:val="true"/>
          <w:lang w:bidi="ar-SA"/>
        </w:rPr>
        <w:t>، وابن دُرَيدٍ</w:t>
      </w:r>
      <w:r>
        <w:rPr>
          <w:rStyle w:val="FootnoteAnchor"/>
          <w:rtl w:val="true"/>
        </w:rPr>
        <w:footnoteReference w:id="1521"/>
      </w:r>
      <w:r>
        <w:rPr>
          <w:rFonts w:ascii="Amiri" w:hAnsi="Amiri" w:eastAsia="Amiri" w:cs="Amiri"/>
          <w:color w:val="111111"/>
          <w:sz w:val="28"/>
          <w:sz w:val="28"/>
          <w:szCs w:val="28"/>
          <w:rtl w:val="true"/>
          <w:lang w:bidi="ar-SA"/>
        </w:rPr>
        <w:t>، والأزهريِّ‌</w:t>
      </w:r>
      <w:r>
        <w:rPr>
          <w:rStyle w:val="FootnoteAnchor"/>
          <w:rtl w:val="true"/>
        </w:rPr>
        <w:footnoteReference w:id="1522"/>
      </w:r>
      <w:r>
        <w:rPr>
          <w:rFonts w:ascii="Amiri" w:hAnsi="Amiri" w:eastAsia="Amiri" w:cs="Amiri"/>
          <w:color w:val="111111"/>
          <w:sz w:val="28"/>
          <w:sz w:val="28"/>
          <w:szCs w:val="28"/>
          <w:rtl w:val="true"/>
          <w:lang w:bidi="ar-SA"/>
        </w:rPr>
        <w:t>، والصَّاحب إسماعيل</w:t>
      </w:r>
      <w:r>
        <w:rPr>
          <w:rStyle w:val="FootnoteAnchor"/>
          <w:rtl w:val="true"/>
        </w:rPr>
        <w:footnoteReference w:id="1523"/>
      </w:r>
      <w:r>
        <w:rPr>
          <w:rFonts w:ascii="Amiri" w:hAnsi="Amiri" w:eastAsia="Amiri" w:cs="Amiri"/>
          <w:color w:val="111111"/>
          <w:sz w:val="28"/>
          <w:sz w:val="28"/>
          <w:szCs w:val="28"/>
          <w:rtl w:val="true"/>
          <w:lang w:bidi="ar-SA"/>
        </w:rPr>
        <w:t>، والجوهريِّ‌</w:t>
      </w:r>
      <w:r>
        <w:rPr>
          <w:rStyle w:val="FootnoteAnchor"/>
          <w:rtl w:val="true"/>
        </w:rPr>
        <w:footnoteReference w:id="152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خبر حمَّاد بن عثمان فسَّر الفِطام بما ذهَب إليه المشهور، بل انعقد عليه </w:t>
      </w:r>
    </w:p>
    <w:p>
      <w:pPr>
        <w:pStyle w:val="BookText"/>
        <w:rPr/>
      </w:pPr>
      <w:r>
        <w:rPr>
          <w:rFonts w:ascii="IRNazanin" w:hAnsi="IRNazanin" w:eastAsia="IRNazanin"/>
          <w:color w:val="111111"/>
          <w:sz w:val="28"/>
          <w:sz w:val="28"/>
          <w:szCs w:val="28"/>
          <w:rtl w:val="true"/>
          <w:lang w:bidi="fa-IR"/>
        </w:rPr>
        <w:t>الإجماع؛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اللَّذَين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526"/>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527"/>
      </w:r>
      <w:r>
        <w:rPr>
          <w:rFonts w:ascii="Amiri" w:hAnsi="Amiri" w:eastAsia="Amiri" w:cs="Amiri"/>
          <w:color w:val="111111"/>
          <w:sz w:val="28"/>
          <w:sz w:val="28"/>
          <w:szCs w:val="28"/>
          <w:rtl w:val="true"/>
          <w:lang w:bidi="ar-SA"/>
        </w:rPr>
        <w:t>، وتهذيبه</w:t>
      </w:r>
      <w:r>
        <w:rPr>
          <w:rStyle w:val="FootnoteAnchor"/>
          <w:rtl w:val="true"/>
        </w:rPr>
        <w:footnoteReference w:id="1528"/>
      </w:r>
      <w:r>
        <w:rPr>
          <w:rFonts w:ascii="Amiri" w:hAnsi="Amiri" w:eastAsia="Amiri" w:cs="Amiri"/>
          <w:color w:val="111111"/>
          <w:sz w:val="28"/>
          <w:sz w:val="28"/>
          <w:szCs w:val="28"/>
          <w:rtl w:val="true"/>
          <w:lang w:bidi="ar-SA"/>
        </w:rPr>
        <w:t>، والفيضُ قدس سره</w:t>
      </w:r>
      <w:r>
        <w:rPr>
          <w:rStyle w:val="FootnoteAnchor"/>
          <w:rtl w:val="true"/>
        </w:rPr>
        <w:footnoteReference w:id="1529"/>
      </w:r>
      <w:r>
        <w:rPr>
          <w:rFonts w:ascii="Amiri" w:hAnsi="Amiri" w:eastAsia="Amiri" w:cs="Amiri"/>
          <w:color w:val="111111"/>
          <w:sz w:val="28"/>
          <w:sz w:val="28"/>
          <w:szCs w:val="28"/>
          <w:rtl w:val="true"/>
          <w:lang w:bidi="ar-SA"/>
        </w:rPr>
        <w:t xml:space="preserve">، والحرُّ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والعلَّامة المجلسيُّ قدس سره وإن ضعَّفَ الحديثَ‌</w:t>
      </w:r>
      <w:r>
        <w:rPr>
          <w:rStyle w:val="FootnoteAnchor"/>
          <w:rtl w:val="true"/>
        </w:rPr>
        <w:footnoteReference w:id="1531"/>
      </w:r>
      <w:r>
        <w:rPr>
          <w:rFonts w:ascii="Amiri" w:hAnsi="Amiri" w:eastAsia="Amiri" w:cs="Amiri"/>
          <w:color w:val="111111"/>
          <w:sz w:val="28"/>
          <w:sz w:val="28"/>
          <w:szCs w:val="28"/>
          <w:rtl w:val="true"/>
          <w:lang w:bidi="ar-SA"/>
        </w:rPr>
        <w:t>لمكان سهل بن زيادٍ، إلَّا أنَّه لابأس به عندنا، فلابأس بالسَّند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ابن الجُنَيد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قطعَ اللَّبن من الطِّفل قبل الحولَين ثمَّ الرَّضاع بعده لايوجب النَّشر</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أو ما نُسِب إلى ابن أبي عقيلٍ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الرَّضاع الُمحَرِّم هو قبل الفطام، فمَن شرب بعد الطَّعام لم يُحرِّم ذلك الشُّرب</w:t>
      </w:r>
      <w:r>
        <w:rPr>
          <w:rFonts w:eastAsia="Amiri" w:cs="Amiri" w:ascii="Amiri" w:hAnsi="Amiri"/>
          <w:color w:val="111111"/>
          <w:sz w:val="28"/>
          <w:szCs w:val="28"/>
          <w:rtl w:val="true"/>
          <w:lang w:bidi="ar-SA"/>
        </w:rPr>
        <w:t>»</w:t>
      </w:r>
      <w:r>
        <w:rPr>
          <w:rStyle w:val="FootnoteAnchor"/>
          <w:rtl w:val="true"/>
        </w:rPr>
        <w:footnoteReference w:id="15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لاوجه 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استند إلى قوله عليه السلام في رواية الفضل بن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علىٰ ما رواها الكلينيُّ قدس سره</w:t>
      </w:r>
      <w:r>
        <w:rPr>
          <w:rStyle w:val="FootnoteAnchor"/>
          <w:rtl w:val="true"/>
        </w:rPr>
        <w:footnoteReference w:id="1535"/>
      </w:r>
      <w:r>
        <w:rPr>
          <w:rFonts w:ascii="Amiri" w:hAnsi="Amiri" w:eastAsia="Amiri" w:cs="Amiri"/>
          <w:color w:val="111111"/>
          <w:sz w:val="28"/>
          <w:sz w:val="28"/>
          <w:szCs w:val="28"/>
          <w:rtl w:val="true"/>
          <w:lang w:bidi="ar-SA"/>
        </w:rPr>
        <w:t>، والشَّيخُ قدس سره</w:t>
      </w:r>
      <w:r>
        <w:rPr>
          <w:rStyle w:val="FootnoteAnchor"/>
          <w:rtl w:val="true"/>
        </w:rPr>
        <w:footnoteReference w:id="1536"/>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1537"/>
      </w:r>
      <w:r>
        <w:rPr>
          <w:rFonts w:ascii="Amiri" w:hAnsi="Amiri" w:eastAsia="Amiri" w:cs="Amiri"/>
          <w:color w:val="111111"/>
          <w:sz w:val="28"/>
          <w:sz w:val="28"/>
          <w:szCs w:val="28"/>
          <w:rtl w:val="true"/>
          <w:lang w:bidi="ar-SA"/>
        </w:rPr>
        <w:t>، والفيضُ قدس سره</w:t>
      </w:r>
      <w:r>
        <w:rPr>
          <w:rStyle w:val="FootnoteAnchor"/>
          <w:rtl w:val="true"/>
        </w:rPr>
        <w:footnoteReference w:id="1538"/>
      </w:r>
      <w:r>
        <w:rPr>
          <w:rFonts w:ascii="Amiri" w:hAnsi="Amiri" w:eastAsia="Amiri" w:cs="Amiri"/>
          <w:color w:val="111111"/>
          <w:sz w:val="28"/>
          <w:sz w:val="28"/>
          <w:szCs w:val="28"/>
          <w:rtl w:val="true"/>
          <w:lang w:bidi="ar-SA"/>
        </w:rPr>
        <w:t>، والحرُّ قدس سره</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والاِستدلال ليس بسديدٍ،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لواُنضُمَّ إلى روايةِ حمَّاد يظهر أنَّه ليس إلَّاتفسيرًا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الحولين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الكلينيُّ قدس سره</w:t>
      </w:r>
      <w:r>
        <w:rPr>
          <w:rStyle w:val="FootnoteAnchor"/>
          <w:rtl w:val="true"/>
        </w:rPr>
        <w:footnoteReference w:id="1540"/>
      </w:r>
      <w:r>
        <w:rPr>
          <w:rFonts w:ascii="Amiri" w:hAnsi="Amiri" w:eastAsia="Amiri" w:cs="Amiri"/>
          <w:color w:val="111111"/>
          <w:sz w:val="28"/>
          <w:sz w:val="28"/>
          <w:szCs w:val="28"/>
          <w:rtl w:val="true"/>
          <w:lang w:bidi="ar-SA"/>
        </w:rPr>
        <w:t>، والصَّدوق قدس سره</w:t>
      </w:r>
      <w:r>
        <w:rPr>
          <w:rStyle w:val="FootnoteAnchor"/>
          <w:rtl w:val="true"/>
        </w:rPr>
        <w:footnoteReference w:id="1541"/>
      </w:r>
      <w:r>
        <w:rPr>
          <w:rFonts w:ascii="Amiri" w:hAnsi="Amiri" w:eastAsia="Amiri" w:cs="Amiri"/>
          <w:color w:val="111111"/>
          <w:sz w:val="28"/>
          <w:sz w:val="28"/>
          <w:szCs w:val="28"/>
          <w:rtl w:val="true"/>
          <w:lang w:bidi="ar-SA"/>
        </w:rPr>
        <w:t>، والشَّيخُ قدس سره</w:t>
      </w:r>
      <w:r>
        <w:rPr>
          <w:rStyle w:val="FootnoteAnchor"/>
          <w:rtl w:val="true"/>
        </w:rPr>
        <w:footnoteReference w:id="1542"/>
      </w:r>
      <w:r>
        <w:rPr>
          <w:rFonts w:ascii="Amiri" w:hAnsi="Amiri" w:eastAsia="Amiri" w:cs="Amiri"/>
          <w:color w:val="111111"/>
          <w:sz w:val="28"/>
          <w:sz w:val="28"/>
          <w:szCs w:val="28"/>
          <w:rtl w:val="true"/>
          <w:lang w:bidi="ar-SA"/>
        </w:rPr>
        <w:t>، والفيضُ قدس سره</w:t>
      </w:r>
      <w:r>
        <w:rPr>
          <w:rStyle w:val="FootnoteAnchor"/>
          <w:rtl w:val="true"/>
        </w:rPr>
        <w:footnoteReference w:id="1543"/>
      </w:r>
      <w:r>
        <w:rPr>
          <w:rFonts w:ascii="Amiri" w:hAnsi="Amiri" w:eastAsia="Amiri" w:cs="Amiri"/>
          <w:color w:val="111111"/>
          <w:sz w:val="28"/>
          <w:sz w:val="28"/>
          <w:szCs w:val="28"/>
          <w:rtl w:val="true"/>
          <w:lang w:bidi="ar-SA"/>
        </w:rPr>
        <w:t>، والحرُّ قدس سره</w:t>
      </w:r>
      <w:r>
        <w:rPr>
          <w:rStyle w:val="FootnoteAnchor"/>
          <w:rtl w:val="true"/>
        </w:rPr>
        <w:footnoteReference w:id="154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صحيحةً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السَّيِّد الفقيه الخوئيُّ قدس سره</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وتدلُّ علىٰ أنَّ المراد من الفِطام هو </w:t>
      </w:r>
    </w:p>
    <w:p>
      <w:pPr>
        <w:pStyle w:val="BookText"/>
        <w:rPr/>
      </w:pPr>
      <w:r>
        <w:rPr>
          <w:rFonts w:ascii="Amiri" w:hAnsi="Amiri" w:eastAsia="Amiri" w:cs="Amiri"/>
          <w:color w:val="111111"/>
          <w:sz w:val="28"/>
          <w:sz w:val="28"/>
          <w:szCs w:val="28"/>
          <w:rtl w:val="true"/>
          <w:lang w:bidi="ar-SA"/>
        </w:rPr>
        <w:t>الانقطاع لا بلوغ الحولين، إلَّاأنَّها معرضٌ عنها عند الأصحاب متروكةٌ لايُعبأ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اللَّبن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أنَّه يجب في اللَّبن أن يكون خالصًا غير مخلوطٍ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w:t>
      </w:r>
      <w:r>
        <w:rPr>
          <w:rStyle w:val="FootnoteAnchor"/>
          <w:rtl w:val="true"/>
        </w:rPr>
        <w:footnoteReference w:id="1546"/>
      </w:r>
      <w:r>
        <w:rPr>
          <w:rFonts w:ascii="Amiri" w:hAnsi="Amiri" w:eastAsia="Amiri" w:cs="Amiri"/>
          <w:color w:val="111111"/>
          <w:sz w:val="28"/>
          <w:sz w:val="28"/>
          <w:szCs w:val="28"/>
          <w:rtl w:val="true"/>
          <w:lang w:bidi="ar-SA"/>
        </w:rPr>
        <w:t>، وولده العظيم قدس سرهما</w:t>
      </w:r>
      <w:r>
        <w:rPr>
          <w:rStyle w:val="FootnoteAnchor"/>
          <w:rtl w:val="true"/>
        </w:rPr>
        <w:footnoteReference w:id="1547"/>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548"/>
      </w:r>
      <w:r>
        <w:rPr>
          <w:rFonts w:ascii="Amiri" w:hAnsi="Amiri" w:eastAsia="Amiri" w:cs="Amiri"/>
          <w:color w:val="111111"/>
          <w:sz w:val="28"/>
          <w:sz w:val="28"/>
          <w:szCs w:val="28"/>
          <w:rtl w:val="true"/>
          <w:lang w:bidi="ar-SA"/>
        </w:rPr>
        <w:t>، والسَّيِّد صدرالدِّين الأصفهانيِّ قدس سره</w:t>
      </w:r>
      <w:r>
        <w:rPr>
          <w:rStyle w:val="FootnoteAnchor"/>
          <w:rtl w:val="true"/>
        </w:rPr>
        <w:footnoteReference w:id="1549"/>
      </w:r>
      <w:r>
        <w:rPr>
          <w:rFonts w:ascii="Amiri" w:hAnsi="Amiri" w:eastAsia="Amiri" w:cs="Amiri"/>
          <w:color w:val="111111"/>
          <w:sz w:val="28"/>
          <w:sz w:val="28"/>
          <w:szCs w:val="28"/>
          <w:rtl w:val="true"/>
          <w:lang w:bidi="ar-SA"/>
        </w:rPr>
        <w:t>، والفقيه الخوئيِّ قدس سره</w:t>
      </w:r>
      <w:r>
        <w:rPr>
          <w:rStyle w:val="FootnoteAnchor"/>
          <w:rtl w:val="true"/>
        </w:rPr>
        <w:footnoteReference w:id="1550"/>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551"/>
      </w:r>
      <w:r>
        <w:rPr>
          <w:rFonts w:ascii="Amiri" w:hAnsi="Amiri" w:eastAsia="Amiri" w:cs="Amiri"/>
          <w:color w:val="111111"/>
          <w:sz w:val="28"/>
          <w:sz w:val="28"/>
          <w:szCs w:val="28"/>
          <w:rtl w:val="true"/>
          <w:lang w:bidi="ar-SA"/>
        </w:rPr>
        <w:t>، والآخوند الخراسانيِّ قدس سره</w:t>
      </w:r>
      <w:r>
        <w:rPr>
          <w:rStyle w:val="FootnoteAnchor"/>
          <w:rtl w:val="true"/>
        </w:rPr>
        <w:footnoteReference w:id="155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كلام العلَّامة قدس سره ادِّعاء ثبوت الإجماع عليه</w:t>
      </w:r>
      <w:r>
        <w:rPr>
          <w:rStyle w:val="FootnoteAnchor"/>
          <w:rtl w:val="true"/>
        </w:rPr>
        <w:footnoteReference w:id="1553"/>
      </w:r>
      <w:r>
        <w:rPr>
          <w:rFonts w:ascii="Amiri" w:hAnsi="Amiri" w:eastAsia="Amiri" w:cs="Amiri"/>
          <w:color w:val="111111"/>
          <w:sz w:val="28"/>
          <w:sz w:val="28"/>
          <w:szCs w:val="28"/>
          <w:rtl w:val="true"/>
          <w:lang w:bidi="ar-SA"/>
        </w:rPr>
        <w:t>، وعن ثاني المحقِّقين قدس سرهما</w:t>
      </w:r>
      <w:r>
        <w:rPr>
          <w:rStyle w:val="FootnoteAnchor"/>
          <w:rtl w:val="true"/>
        </w:rPr>
        <w:footnoteReference w:id="155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يجري لو لم نشترط الاِمتصاص من الثَّدي، وإلَّا فهو سالبةٌ بانتفاء الموضوع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إذا خرج اللَّبن عن صدق اللَّفظ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صار جُبنًا أو زبديًّا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فلايصدق بشُربه أنَّ الرَّضيع ارتَضَع من لبن المُرضِعة، فلاتنتشر الحرمةُ قطعًا؛ </w:t>
      </w:r>
    </w:p>
    <w:p>
      <w:pPr>
        <w:pStyle w:val="BookText"/>
        <w:rPr/>
      </w:pPr>
      <w:r>
        <w:rPr>
          <w:rFonts w:ascii="Amiri" w:hAnsi="Amiri" w:eastAsia="Amiri" w:cs="Amiri"/>
          <w:color w:val="111111"/>
          <w:sz w:val="28"/>
          <w:sz w:val="28"/>
          <w:szCs w:val="28"/>
          <w:rtl w:val="true"/>
          <w:lang w:bidi="ar-SA"/>
        </w:rPr>
        <w:t>وأمَّا إذا صدق عليه أنَّه لبنٌ وقد ارتضع منه، كما إذا خلطَت المرضعةُ اللَّبنَ بالسُّكَّر أو العسل، ثمَّ شربه الطِّفل فقد تحقَّق الإرتضاع من لبنها؛ فنشرت الحرمةُ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هو المعركة العُظمىٰ بين الأصحاب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كثيرٍ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تنتشر الحرمةُ بمثل ما يفطر به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اللَّيث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هو الَّذي أجمع عليه المسلمون؛ قال المحقِّق التُّستَريُّ قدس سره بعد نقله عنه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الغلط الواضح والإفتراء الفاضح</w:t>
      </w:r>
      <w:r>
        <w:rPr>
          <w:rFonts w:eastAsia="Amiri" w:cs="Amiri" w:ascii="Amiri" w:hAnsi="Amiri"/>
          <w:color w:val="111111"/>
          <w:sz w:val="28"/>
          <w:szCs w:val="28"/>
          <w:rtl w:val="true"/>
          <w:lang w:bidi="ar-SA"/>
        </w:rPr>
        <w:t>»</w:t>
      </w:r>
      <w:r>
        <w:rPr>
          <w:rStyle w:val="FootnoteAnchor"/>
          <w:rtl w:val="true"/>
        </w:rPr>
        <w:footnoteReference w:id="1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حكاه السَّيِّد محمَّد بحرالعلوم قدس سره</w:t>
      </w:r>
      <w:r>
        <w:rPr>
          <w:rStyle w:val="FootnoteAnchor"/>
          <w:rtl w:val="true"/>
        </w:rPr>
        <w:footnoteReference w:id="15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ووافقهم فيه صاحب الدَّعائم، وروىٰ في ذلك روايةً عن اميرالمؤمنين عليه السلام،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قليله وكثيره، والمصَّة الواحدة تحرِّم</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رواها الكوفيُّ قدس سره</w:t>
      </w:r>
      <w:r>
        <w:rPr>
          <w:rStyle w:val="FootnoteAnchor"/>
          <w:rtl w:val="true"/>
        </w:rPr>
        <w:footnoteReference w:id="1558"/>
      </w:r>
      <w:r>
        <w:rPr>
          <w:rFonts w:ascii="Amiri" w:hAnsi="Amiri" w:eastAsia="Amiri" w:cs="Amiri"/>
          <w:color w:val="111111"/>
          <w:sz w:val="28"/>
          <w:sz w:val="28"/>
          <w:szCs w:val="28"/>
          <w:rtl w:val="true"/>
          <w:lang w:bidi="ar-SA"/>
        </w:rPr>
        <w:t>، والنُّوريُّ قدس سره</w:t>
      </w:r>
      <w:r>
        <w:rPr>
          <w:rStyle w:val="FootnoteAnchor"/>
          <w:rtl w:val="true"/>
        </w:rPr>
        <w:footnoteReference w:id="1559"/>
      </w:r>
      <w:r>
        <w:rPr>
          <w:rFonts w:ascii="Amiri" w:hAnsi="Amiri" w:eastAsia="Amiri" w:cs="Amiri"/>
          <w:color w:val="111111"/>
          <w:sz w:val="28"/>
          <w:sz w:val="28"/>
          <w:szCs w:val="28"/>
          <w:rtl w:val="true"/>
          <w:lang w:bidi="ar-SA"/>
        </w:rPr>
        <w:t>وهي عند الفقيه النَّجفيِّ ومَن تابعه في 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كثيره وقليله حتَّى المصَّة الواحدة</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استدلاله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مستدِلًّا بأنَّ الرَّضاع يصدق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العلَّامة قدس سره</w:t>
      </w:r>
      <w:r>
        <w:rPr>
          <w:rStyle w:val="FootnoteAnchor"/>
          <w:rtl w:val="true"/>
        </w:rPr>
        <w:footnoteReference w:id="1562"/>
      </w:r>
      <w:r>
        <w:rPr>
          <w:rFonts w:ascii="IRNazanin" w:hAnsi="IRNazanin" w:eastAsia="IRNazanin"/>
          <w:color w:val="111111"/>
          <w:sz w:val="28"/>
          <w:sz w:val="28"/>
          <w:szCs w:val="28"/>
          <w:rtl w:val="true"/>
          <w:lang w:bidi="fa-IR"/>
        </w:rPr>
        <w:t>، والمقدادُ قدس سره</w:t>
      </w:r>
      <w:r>
        <w:rPr>
          <w:rStyle w:val="FootnoteAnchor"/>
          <w:rtl w:val="true"/>
        </w:rPr>
        <w:footnoteReference w:id="1563"/>
      </w:r>
      <w:r>
        <w:rPr>
          <w:rFonts w:ascii="Amiri" w:hAnsi="Amiri" w:eastAsia="Amiri" w:cs="Amiri"/>
          <w:color w:val="111111"/>
          <w:sz w:val="28"/>
          <w:sz w:val="28"/>
          <w:szCs w:val="28"/>
          <w:rtl w:val="true"/>
          <w:lang w:bidi="ar-SA"/>
        </w:rPr>
        <w:t>، وثاني الشَّهيدَين قدس سره</w:t>
      </w:r>
      <w:r>
        <w:rPr>
          <w:rStyle w:val="FootnoteAnchor"/>
          <w:rtl w:val="true"/>
        </w:rPr>
        <w:footnoteReference w:id="1564"/>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565"/>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56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رواها الشَّيخ قدس سره في اِستبصاره</w:t>
      </w:r>
      <w:r>
        <w:rPr>
          <w:rStyle w:val="FootnoteAnchor"/>
          <w:rtl w:val="true"/>
        </w:rPr>
        <w:footnoteReference w:id="1567"/>
      </w:r>
      <w:r>
        <w:rPr>
          <w:rFonts w:ascii="Amiri" w:hAnsi="Amiri" w:eastAsia="Amiri" w:cs="Amiri"/>
          <w:color w:val="111111"/>
          <w:sz w:val="28"/>
          <w:sz w:val="28"/>
          <w:szCs w:val="28"/>
          <w:rtl w:val="true"/>
          <w:lang w:bidi="ar-SA"/>
        </w:rPr>
        <w:t>، وتهذيبه</w:t>
      </w:r>
      <w:r>
        <w:rPr>
          <w:rStyle w:val="FootnoteAnchor"/>
          <w:rtl w:val="true"/>
        </w:rPr>
        <w:footnoteReference w:id="1568"/>
      </w:r>
      <w:r>
        <w:rPr>
          <w:rFonts w:ascii="Amiri" w:hAnsi="Amiri" w:eastAsia="Amiri" w:cs="Amiri"/>
          <w:color w:val="111111"/>
          <w:sz w:val="28"/>
          <w:sz w:val="28"/>
          <w:szCs w:val="28"/>
          <w:rtl w:val="true"/>
          <w:lang w:bidi="ar-SA"/>
        </w:rPr>
        <w:t>، والفيض قدس سره</w:t>
      </w:r>
      <w:r>
        <w:rPr>
          <w:rStyle w:val="FootnoteAnchor"/>
          <w:rtl w:val="true"/>
        </w:rPr>
        <w:footnoteReference w:id="1569"/>
      </w:r>
      <w:r>
        <w:rPr>
          <w:rFonts w:ascii="Amiri" w:hAnsi="Amiri" w:eastAsia="Amiri" w:cs="Amiri"/>
          <w:color w:val="111111"/>
          <w:sz w:val="28"/>
          <w:sz w:val="28"/>
          <w:szCs w:val="28"/>
          <w:rtl w:val="true"/>
          <w:lang w:bidi="ar-SA"/>
        </w:rPr>
        <w:t>، والحرُّ قدس سره</w:t>
      </w:r>
      <w:r>
        <w:rPr>
          <w:rStyle w:val="FootnoteAnchor"/>
          <w:rtl w:val="true"/>
        </w:rPr>
        <w:footnoteReference w:id="1570"/>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فلانحتاج إلى ما رواه شاذًّا عن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ودليله مطروحٌ لايُقبَل، لكونه مطروحًا عند الأصحاب لإعراضهم عنه</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المَصِّ بل الارتضاع مرَّةً واحدةً لايصدق عليه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ظاهرٌ في دوام الامتصاص</w:t>
      </w:r>
    </w:p>
    <w:p>
      <w:pPr>
        <w:pStyle w:val="BookText"/>
        <w:rPr/>
      </w:pPr>
      <w:r>
        <w:rPr>
          <w:rFonts w:ascii="Amiri" w:hAnsi="Amiri" w:eastAsia="Amiri" w:cs="Amiri"/>
          <w:color w:val="111111"/>
          <w:sz w:val="28"/>
          <w:sz w:val="28"/>
          <w:szCs w:val="28"/>
          <w:rtl w:val="true"/>
          <w:lang w:bidi="ar-SA"/>
        </w:rPr>
        <w:t>وتكراره، حتَّى يصدق علىٰ المرضِعة أنَّها أمُّ الرَّضيع بارتضاعه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البحرانيُّ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 الأصحابُ علىٰ أنَّ مجرَّد الرَّضاع كيف كان غير كافٍ في الحرمة، بل لابدَّ فيه من قدرٍ معيَّنٍ‌</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وعن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ولايكفي في التَّحريم مسمَّى الرَّضاع، إجماعًا بقسمَيه</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الإسكافي قدس سره تحقُّق الحرمة بالارتضاع مرَّةً كاملةً حتَّى يمتلأ بطن الرَّضيع؛ كما حكاه عنه العلَّامة قدس سره</w:t>
      </w:r>
      <w:r>
        <w:rPr>
          <w:rStyle w:val="FootnoteAnchor"/>
          <w:rtl w:val="true"/>
        </w:rPr>
        <w:footnoteReference w:id="1574"/>
      </w:r>
      <w:r>
        <w:rPr>
          <w:rFonts w:ascii="Amiri" w:hAnsi="Amiri" w:eastAsia="Amiri" w:cs="Amiri"/>
          <w:color w:val="111111"/>
          <w:sz w:val="28"/>
          <w:sz w:val="28"/>
          <w:szCs w:val="28"/>
          <w:rtl w:val="true"/>
          <w:lang w:bidi="ar-SA"/>
        </w:rPr>
        <w:t>، والبحرانيُّ قدس سره</w:t>
      </w:r>
      <w:r>
        <w:rPr>
          <w:rStyle w:val="FootnoteAnchor"/>
          <w:rtl w:val="true"/>
        </w:rPr>
        <w:footnoteReference w:id="1575"/>
      </w:r>
      <w:r>
        <w:rPr>
          <w:rFonts w:ascii="Amiri" w:hAnsi="Amiri" w:eastAsia="Amiri" w:cs="Amiri"/>
          <w:color w:val="111111"/>
          <w:sz w:val="28"/>
          <w:sz w:val="28"/>
          <w:szCs w:val="28"/>
          <w:rtl w:val="true"/>
          <w:lang w:bidi="ar-SA"/>
        </w:rPr>
        <w:t>، والتُّستَريُّ قدس سره</w:t>
      </w:r>
      <w:r>
        <w:rPr>
          <w:rStyle w:val="FootnoteAnchor"/>
          <w:rtl w:val="true"/>
        </w:rPr>
        <w:footnoteReference w:id="1576"/>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قوله ما رواه الشَّيخ الحرُّ قدس سره في الباب الرَّابع من أبواب الرَّضاع</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وهذه الطَّائفة من الرِّوايات لابأس بها سندًا ودلالةً‌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ووافقه في هذا القول فقيهُ أهل البيت عليهم السلام صاحب الجواهر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اختلفت الروايةُ من الوجهين جميعًا في قدر الرَّضاع المحرِّم، إلَّاأنَّ الَّذي أوجبَه الفقهُ عندي واحتاط المرءُ لنفسه أنَّ كلَّما وقع عليه اسم رضعةٍ وهو مِلؤُه بطن الصَّبيِّ إمَّا </w:t>
      </w:r>
    </w:p>
    <w:p>
      <w:pPr>
        <w:pStyle w:val="BookText"/>
        <w:rPr/>
      </w:pPr>
      <w:r>
        <w:rPr>
          <w:rFonts w:ascii="Amiri" w:hAnsi="Amiri" w:eastAsia="Amiri" w:cs="Amiri"/>
          <w:color w:val="111111"/>
          <w:sz w:val="28"/>
          <w:sz w:val="28"/>
          <w:szCs w:val="28"/>
          <w:rtl w:val="true"/>
          <w:lang w:bidi="ar-SA"/>
        </w:rPr>
        <w:t>بالمصِّ أو بالوجور محرِّمٌ للنِّكاح</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العبارة منقولةٌ من الإسكافي، ولاتدلُّ علىٰ رأي صاحب الجواهر</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ويؤيِّده أنَّ السَّيِّد محمَّد بحرالعلوم قدس سره أيضًا حكىٰ العبارة عن ابن جنيدٍ قدس سره بنفس اللَّفظ؛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إليها وتأمَّل فيها لعلَّك تجدُ فيها ما يدلُّ علىٰ مراد هذا الفقيه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واحتاط المرءُ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حرمة النِّكاح احتياطًا وحرمة النَّظر إليها أيضًا احتياطًا، وذلك لأنَّه قدس سره ذهب إلى أنَّ امتلاء بطن الصَّبيِّ من اللَّبن يُوجِب أن يحرم عليه ما يحرم بالنَّسَب، وهذا قد استفاده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لايصدق الرَّضاع بالمرَّة والمرَّتين، بل بالدَّوام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بالرِّوايات الدالَّة علىٰ اشتراط إنبات اللَّحم وشدِّ العظم من اللَّبن؛</w:t>
      </w:r>
    </w:p>
    <w:p>
      <w:pPr>
        <w:pStyle w:val="BookText"/>
        <w:rPr/>
      </w:pPr>
      <w:r>
        <w:rPr>
          <w:rFonts w:ascii="Amiri" w:hAnsi="Amiri" w:eastAsia="Amiri" w:cs="Amiri"/>
          <w:color w:val="111111"/>
          <w:sz w:val="28"/>
          <w:sz w:val="28"/>
          <w:szCs w:val="28"/>
          <w:rtl w:val="true"/>
          <w:lang w:bidi="ar-SA"/>
        </w:rPr>
        <w:t>وبالرِّوايات الدالَّة علىٰ اشتراط العشرة أو خمس عشرة أيَّام؛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وبالرِّوايات الدالَّة علىٰ اشتراط الإرتضاع يومًا وليلةً كاملةً‌</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فكيف يمكن أن يقول هذا الفقيهُ العظيمُ قدس سره بأنَّ الفقه يقتضي كفاية المرَّة مع إعراض الأصحاب عن هذه الطَّائفة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عجائب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قومٌ من الفقهاء أنَّه يتحقَّق الرَّضاع وتنتشر الحرمةُ برضاع يومٍ وليلةٍ كاملةٍ من غير الفصل بالارتضاع من امرءةٍ أُخرىٰ أو بالغذاء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عن هذا القول إلى ما ذكره البحرانيُّ قدس سره</w:t>
      </w:r>
      <w:r>
        <w:rPr>
          <w:rStyle w:val="FootnoteAnchor"/>
          <w:rtl w:val="true"/>
        </w:rPr>
        <w:footnoteReference w:id="1582"/>
      </w:r>
      <w:r>
        <w:rPr>
          <w:rFonts w:ascii="Amiri" w:hAnsi="Amiri" w:eastAsia="Amiri" w:cs="Amiri"/>
          <w:color w:val="111111"/>
          <w:sz w:val="28"/>
          <w:sz w:val="28"/>
          <w:szCs w:val="28"/>
          <w:rtl w:val="true"/>
          <w:lang w:bidi="ar-SA"/>
        </w:rPr>
        <w:t>، والعلَّامة قدس سره</w:t>
      </w:r>
      <w:r>
        <w:rPr>
          <w:rStyle w:val="FootnoteAnchor"/>
          <w:rtl w:val="true"/>
        </w:rPr>
        <w:footnoteReference w:id="1583"/>
      </w:r>
      <w:r>
        <w:rPr>
          <w:rFonts w:ascii="IRNazanin" w:hAnsi="IRNazanin" w:eastAsia="IRNazanin"/>
          <w:color w:val="111111"/>
          <w:sz w:val="28"/>
          <w:sz w:val="28"/>
          <w:szCs w:val="28"/>
          <w:rtl w:val="true"/>
          <w:lang w:bidi="fa-IR"/>
        </w:rPr>
        <w:t>، وولده قدس سره</w:t>
      </w:r>
      <w:r>
        <w:rPr>
          <w:rStyle w:val="FootnoteAnchor"/>
          <w:rtl w:val="true"/>
        </w:rPr>
        <w:footnoteReference w:id="1584"/>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585"/>
      </w:r>
      <w:r>
        <w:rPr>
          <w:rFonts w:ascii="Amiri" w:hAnsi="Amiri" w:eastAsia="Amiri" w:cs="Amiri"/>
          <w:color w:val="111111"/>
          <w:sz w:val="28"/>
          <w:sz w:val="28"/>
          <w:szCs w:val="28"/>
          <w:rtl w:val="true"/>
          <w:lang w:bidi="ar-SA"/>
        </w:rPr>
        <w:t>، والتُّستَريُّ قدس سره</w:t>
      </w:r>
      <w:r>
        <w:rPr>
          <w:rStyle w:val="FootnoteAnchor"/>
          <w:rtl w:val="true"/>
        </w:rPr>
        <w:footnoteReference w:id="1586"/>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بصحيحة زياد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لاتقلُّ عن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لايُحَرِّم الرَّضاع أقلَّ من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الشَّيخُ قدس سره</w:t>
      </w:r>
      <w:r>
        <w:rPr>
          <w:rStyle w:val="FootnoteAnchor"/>
          <w:rtl w:val="true"/>
        </w:rPr>
        <w:footnoteReference w:id="1588"/>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1589"/>
      </w:r>
      <w:r>
        <w:rPr>
          <w:rFonts w:ascii="Amiri" w:hAnsi="Amiri" w:eastAsia="Amiri" w:cs="Amiri"/>
          <w:color w:val="111111"/>
          <w:sz w:val="28"/>
          <w:sz w:val="28"/>
          <w:szCs w:val="28"/>
          <w:rtl w:val="true"/>
          <w:lang w:bidi="ar-SA"/>
        </w:rPr>
        <w:t>، والفيضُ قدس سره</w:t>
      </w:r>
      <w:r>
        <w:rPr>
          <w:rStyle w:val="FootnoteAnchor"/>
          <w:rtl w:val="true"/>
        </w:rPr>
        <w:footnoteReference w:id="1590"/>
      </w:r>
      <w:r>
        <w:rPr>
          <w:rFonts w:ascii="Amiri" w:hAnsi="Amiri" w:eastAsia="Amiri" w:cs="Amiri"/>
          <w:color w:val="111111"/>
          <w:sz w:val="28"/>
          <w:sz w:val="28"/>
          <w:szCs w:val="28"/>
          <w:rtl w:val="true"/>
          <w:lang w:bidi="ar-SA"/>
        </w:rPr>
        <w:t>، والحرُّ قدس سره</w:t>
      </w:r>
      <w:r>
        <w:rPr>
          <w:rStyle w:val="FootnoteAnchor"/>
          <w:rtl w:val="true"/>
        </w:rPr>
        <w:footnoteReference w:id="159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رواه الصَّدوق قدس سره في جازماته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لايُحَرِّم من الرَّضاع إلَّا </w:t>
      </w:r>
    </w:p>
    <w:p>
      <w:pPr>
        <w:pStyle w:val="BookText"/>
        <w:rPr/>
      </w:pPr>
      <w:r>
        <w:rPr>
          <w:rFonts w:ascii="Amiri" w:hAnsi="Amiri" w:eastAsia="Amiri" w:cs="Amiri"/>
          <w:color w:val="111111"/>
          <w:sz w:val="28"/>
          <w:sz w:val="28"/>
          <w:szCs w:val="28"/>
          <w:rtl w:val="true"/>
          <w:lang w:bidi="ar-SA"/>
        </w:rPr>
        <w:t>رَضاع يومٍ وليلةٍ‌</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 وقد رواه أيضًا الشَّيخ الحرُّ قدس سره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وإن كان مشهورًا ودلالة الرِّواية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لاإشكال فيها، إلَّاأنَّ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رضعةً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يجعلها مجملةً‌،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لايرتضع في اليوم واللَّيلة خمس عشرة مرَّاةٍ‌، بل الغالب لايتجاوز الإرتضاع عن سبع مرَّاةٍ‌، إلَّاأن يرتضع ناقصًا بحيث لايمتلأ بطنه من اللَّبن، وهو لايوجب نشر الحرمة إجماعًا، بل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فلوارتضع الصَّبيُّ مأةَ مرَّاتٍ ارتضاعًا ناقصًا لايكون بحكم ولدِ المرضعة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لوتمَّ اليوم واللَّيلة وقد ارتضع الصَّبيُّ عشر مرَّاتٍ كاملةٍ‌، فذِكْرُ الخمسة عشر يكون لغوًا؛ ولوتمَّ الخمسة عشر قبل تمام اليوم واللَّيلة يكون ذكر اليوم واللَّيلة لغوًا؛</w:t>
      </w:r>
    </w:p>
    <w:p>
      <w:pPr>
        <w:pStyle w:val="BookText"/>
        <w:rPr/>
      </w:pPr>
      <w:r>
        <w:rPr>
          <w:rFonts w:ascii="Amiri" w:hAnsi="Amiri" w:eastAsia="Amiri" w:cs="Amiri"/>
          <w:color w:val="111111"/>
          <w:sz w:val="28"/>
          <w:sz w:val="28"/>
          <w:szCs w:val="28"/>
          <w:rtl w:val="true"/>
          <w:lang w:bidi="ar-SA"/>
        </w:rPr>
        <w:t>فالجمع بين الزَّمان والعدد غير ممكنٍ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قومٌ آخر من الفقهاء أنَّ الحرمة تتحقَّق بالعشرة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قد نسَبَه البحرانيُّ قدس سره إلى كثيرٍ من الأصحاب المُتَقدِّمين</w:t>
      </w:r>
      <w:r>
        <w:rPr>
          <w:rStyle w:val="FootnoteAnchor"/>
          <w:rtl w:val="true"/>
        </w:rPr>
        <w:footnoteReference w:id="1594"/>
      </w:r>
      <w:r>
        <w:rPr>
          <w:rFonts w:ascii="Amiri" w:hAnsi="Amiri" w:eastAsia="Amiri" w:cs="Amiri"/>
          <w:color w:val="111111"/>
          <w:sz w:val="28"/>
          <w:sz w:val="28"/>
          <w:szCs w:val="28"/>
          <w:rtl w:val="true"/>
          <w:lang w:bidi="ar-SA"/>
        </w:rPr>
        <w:t>، واختاره ابن أبي عقيلٍ قدس سره</w:t>
      </w:r>
      <w:r>
        <w:rPr>
          <w:rStyle w:val="FootnoteAnchor"/>
          <w:rtl w:val="true"/>
        </w:rPr>
        <w:footnoteReference w:id="1595"/>
      </w:r>
      <w:r>
        <w:rPr>
          <w:rFonts w:ascii="Amiri" w:hAnsi="Amiri" w:eastAsia="Amiri" w:cs="Amiri"/>
          <w:color w:val="111111"/>
          <w:sz w:val="28"/>
          <w:sz w:val="28"/>
          <w:szCs w:val="28"/>
          <w:rtl w:val="true"/>
          <w:lang w:bidi="ar-SA"/>
        </w:rPr>
        <w:t>، والمفيد قدس سره</w:t>
      </w:r>
      <w:r>
        <w:rPr>
          <w:rStyle w:val="FootnoteAnchor"/>
          <w:rtl w:val="true"/>
        </w:rPr>
        <w:footnoteReference w:id="1596"/>
      </w:r>
      <w:r>
        <w:rPr>
          <w:rFonts w:ascii="IRNazanin" w:hAnsi="IRNazanin" w:eastAsia="IRNazanin"/>
          <w:color w:val="111111"/>
          <w:sz w:val="28"/>
          <w:sz w:val="28"/>
          <w:szCs w:val="28"/>
          <w:rtl w:val="true"/>
          <w:lang w:bidi="fa-IR"/>
        </w:rPr>
        <w:t>، والمرتضىٰ قدس سره</w:t>
      </w:r>
      <w:r>
        <w:rPr>
          <w:rStyle w:val="FootnoteAnchor"/>
          <w:rtl w:val="true"/>
        </w:rPr>
        <w:footnoteReference w:id="1597"/>
      </w:r>
      <w:r>
        <w:rPr>
          <w:rFonts w:ascii="Amiri" w:hAnsi="Amiri" w:eastAsia="Amiri" w:cs="Amiri"/>
          <w:color w:val="111111"/>
          <w:sz w:val="28"/>
          <w:sz w:val="28"/>
          <w:szCs w:val="28"/>
          <w:rtl w:val="true"/>
          <w:lang w:bidi="ar-SA"/>
        </w:rPr>
        <w:t>، وسلَّارٌ قدس سره</w:t>
      </w:r>
      <w:r>
        <w:rPr>
          <w:rStyle w:val="FootnoteAnchor"/>
          <w:rtl w:val="true"/>
        </w:rPr>
        <w:footnoteReference w:id="1598"/>
      </w:r>
      <w:r>
        <w:rPr>
          <w:rFonts w:ascii="Amiri" w:hAnsi="Amiri" w:eastAsia="Amiri" w:cs="Amiri"/>
          <w:color w:val="111111"/>
          <w:sz w:val="28"/>
          <w:sz w:val="28"/>
          <w:szCs w:val="28"/>
          <w:rtl w:val="true"/>
          <w:lang w:bidi="ar-SA"/>
        </w:rPr>
        <w:t>، وابن البرَّاج قدس سره</w:t>
      </w:r>
      <w:r>
        <w:rPr>
          <w:rStyle w:val="FootnoteAnchor"/>
          <w:rtl w:val="true"/>
        </w:rPr>
        <w:footnoteReference w:id="15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وأبوالصَّلاح قدس سره</w:t>
      </w:r>
      <w:r>
        <w:rPr>
          <w:rStyle w:val="FootnoteAnchor"/>
          <w:rtl w:val="true"/>
        </w:rPr>
        <w:footnoteReference w:id="1600"/>
      </w:r>
      <w:r>
        <w:rPr>
          <w:rFonts w:ascii="Amiri" w:hAnsi="Amiri" w:eastAsia="Amiri" w:cs="Amiri"/>
          <w:color w:val="111111"/>
          <w:sz w:val="28"/>
          <w:sz w:val="28"/>
          <w:szCs w:val="28"/>
          <w:rtl w:val="true"/>
          <w:lang w:bidi="ar-SA"/>
        </w:rPr>
        <w:t>، وابن حمزة قدس سره</w:t>
      </w:r>
      <w:r>
        <w:rPr>
          <w:rStyle w:val="FootnoteAnchor"/>
          <w:rtl w:val="true"/>
        </w:rPr>
        <w:footnoteReference w:id="1601"/>
      </w:r>
      <w:r>
        <w:rPr>
          <w:rFonts w:ascii="Amiri" w:hAnsi="Amiri" w:eastAsia="Amiri" w:cs="Amiri"/>
          <w:color w:val="111111"/>
          <w:sz w:val="28"/>
          <w:sz w:val="28"/>
          <w:szCs w:val="28"/>
          <w:rtl w:val="true"/>
          <w:lang w:bidi="ar-SA"/>
        </w:rPr>
        <w:t>، والعلَّامة قدس سره</w:t>
      </w:r>
      <w:r>
        <w:rPr>
          <w:rStyle w:val="FootnoteAnchor"/>
          <w:rtl w:val="true"/>
        </w:rPr>
        <w:footnoteReference w:id="1602"/>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وذكر الفقيه النَّجفيُّ قدس سره هذا القولَ كأنَّه هي المعركة العظمىٰ بين الأقوال</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بما رواه الشَّيخ الحرُّ قدس سره في الخامسة</w:t>
      </w:r>
      <w:r>
        <w:rPr>
          <w:rStyle w:val="FootnoteAnchor"/>
          <w:rtl w:val="true"/>
        </w:rPr>
        <w:footnoteReference w:id="1604"/>
      </w:r>
      <w:r>
        <w:rPr>
          <w:rFonts w:ascii="Amiri" w:hAnsi="Amiri" w:eastAsia="Amiri" w:cs="Amiri"/>
          <w:color w:val="111111"/>
          <w:sz w:val="28"/>
          <w:sz w:val="28"/>
          <w:szCs w:val="28"/>
          <w:rtl w:val="true"/>
          <w:lang w:bidi="ar-SA"/>
        </w:rPr>
        <w:t>، والتَّاسعة</w:t>
      </w:r>
      <w:r>
        <w:rPr>
          <w:rStyle w:val="FootnoteAnchor"/>
          <w:rtl w:val="true"/>
        </w:rPr>
        <w:footnoteReference w:id="1605"/>
      </w:r>
      <w:r>
        <w:rPr>
          <w:rFonts w:ascii="Amiri" w:hAnsi="Amiri" w:eastAsia="Amiri" w:cs="Amiri"/>
          <w:color w:val="111111"/>
          <w:sz w:val="28"/>
          <w:sz w:val="28"/>
          <w:szCs w:val="28"/>
          <w:rtl w:val="true"/>
          <w:lang w:bidi="ar-SA"/>
        </w:rPr>
        <w:t>، والحادية عشرة</w:t>
      </w:r>
      <w:r>
        <w:rPr>
          <w:rStyle w:val="FootnoteAnchor"/>
          <w:rtl w:val="true"/>
        </w:rPr>
        <w:footnoteReference w:id="1606"/>
      </w:r>
      <w:r>
        <w:rPr>
          <w:rFonts w:ascii="Amiri" w:hAnsi="Amiri" w:eastAsia="Amiri" w:cs="Amiri"/>
          <w:color w:val="111111"/>
          <w:sz w:val="28"/>
          <w:sz w:val="28"/>
          <w:szCs w:val="28"/>
          <w:rtl w:val="true"/>
          <w:lang w:bidi="ar-SA"/>
        </w:rPr>
        <w:t>، والتَّاسعة عشرة</w:t>
      </w:r>
      <w:r>
        <w:rPr>
          <w:rStyle w:val="FootnoteAnchor"/>
          <w:rtl w:val="true"/>
        </w:rPr>
        <w:footnoteReference w:id="1607"/>
      </w:r>
      <w:r>
        <w:rPr>
          <w:rFonts w:ascii="Amiri" w:hAnsi="Amiri" w:eastAsia="Amiri" w:cs="Amiri"/>
          <w:color w:val="111111"/>
          <w:sz w:val="28"/>
          <w:sz w:val="28"/>
          <w:szCs w:val="28"/>
          <w:rtl w:val="true"/>
          <w:lang w:bidi="ar-SA"/>
        </w:rPr>
        <w:t>، والحادية والعشرين</w:t>
      </w:r>
      <w:r>
        <w:rPr>
          <w:rStyle w:val="FootnoteAnchor"/>
          <w:rtl w:val="true"/>
        </w:rPr>
        <w:footnoteReference w:id="1608"/>
      </w:r>
      <w:r>
        <w:rPr>
          <w:rFonts w:ascii="Amiri" w:hAnsi="Amiri" w:eastAsia="Amiri" w:cs="Amiri"/>
          <w:color w:val="111111"/>
          <w:sz w:val="28"/>
          <w:sz w:val="28"/>
          <w:szCs w:val="28"/>
          <w:rtl w:val="true"/>
          <w:lang w:bidi="ar-SA"/>
        </w:rPr>
        <w:t>من الباب الثَّاني من أبواب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لهذه الدِّلالة ظهورٌ في مطلوبهم، إلَّافي الرِّواية التَّاسع عشرة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نفسها مشتملةٌ علىٰ شروطٍ لم يقُلْ به أحدٌ من الفقهاء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بما رواه الحسن بن محبوبٍ عن عليِّ بن رئابٍ عن </w:t>
      </w:r>
    </w:p>
    <w:p>
      <w:pPr>
        <w:pStyle w:val="BookText"/>
        <w:rPr/>
      </w:pPr>
      <w:r>
        <w:rPr>
          <w:rFonts w:ascii="Amiri" w:hAnsi="Amiri" w:eastAsia="Amiri" w:cs="Amiri"/>
          <w:color w:val="111111"/>
          <w:sz w:val="28"/>
          <w:sz w:val="28"/>
          <w:szCs w:val="28"/>
          <w:rtl w:val="true"/>
          <w:lang w:bidi="ar-SA"/>
        </w:rPr>
        <w:t>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لاتنبت اللَّحمَ ولاتشُدُّ العظمَ 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الشَّيخ قدس سره</w:t>
      </w:r>
      <w:r>
        <w:rPr>
          <w:rStyle w:val="FootnoteAnchor"/>
          <w:rtl w:val="true"/>
        </w:rPr>
        <w:footnoteReference w:id="1609"/>
      </w:r>
      <w:r>
        <w:rPr>
          <w:rFonts w:ascii="Amiri" w:hAnsi="Amiri" w:eastAsia="Amiri" w:cs="Amiri"/>
          <w:color w:val="111111"/>
          <w:sz w:val="28"/>
          <w:sz w:val="28"/>
          <w:szCs w:val="28"/>
          <w:rtl w:val="true"/>
          <w:lang w:bidi="ar-SA"/>
        </w:rPr>
        <w:t>، والفيض قدس سره</w:t>
      </w:r>
      <w:r>
        <w:rPr>
          <w:rStyle w:val="FootnoteAnchor"/>
          <w:rtl w:val="true"/>
        </w:rPr>
        <w:footnoteReference w:id="1610"/>
      </w:r>
      <w:r>
        <w:rPr>
          <w:rFonts w:ascii="Amiri" w:hAnsi="Amiri" w:eastAsia="Amiri" w:cs="Amiri"/>
          <w:color w:val="111111"/>
          <w:sz w:val="28"/>
          <w:sz w:val="28"/>
          <w:szCs w:val="28"/>
          <w:rtl w:val="true"/>
          <w:lang w:bidi="ar-SA"/>
        </w:rPr>
        <w:t>، والشَّيخ الحرُّ قدس سره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رُوِي عن الصَّادق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لايُحَرِّمْنَ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قدس سره في الاِستبصار</w:t>
      </w:r>
      <w:r>
        <w:rPr>
          <w:rStyle w:val="FootnoteAnchor"/>
          <w:rtl w:val="true"/>
        </w:rPr>
        <w:footnoteReference w:id="1612"/>
      </w:r>
      <w:r>
        <w:rPr>
          <w:rFonts w:ascii="Amiri" w:hAnsi="Amiri" w:eastAsia="Amiri" w:cs="Amiri"/>
          <w:color w:val="111111"/>
          <w:sz w:val="28"/>
          <w:sz w:val="28"/>
          <w:szCs w:val="28"/>
          <w:rtl w:val="true"/>
          <w:lang w:bidi="ar-SA"/>
        </w:rPr>
        <w:t>، والتَّهذيب</w:t>
      </w:r>
      <w:r>
        <w:rPr>
          <w:rStyle w:val="FootnoteAnchor"/>
          <w:rtl w:val="true"/>
        </w:rPr>
        <w:footnoteReference w:id="1613"/>
      </w:r>
      <w:r>
        <w:rPr>
          <w:rFonts w:ascii="Amiri" w:hAnsi="Amiri" w:eastAsia="Amiri" w:cs="Amiri"/>
          <w:color w:val="111111"/>
          <w:sz w:val="28"/>
          <w:sz w:val="28"/>
          <w:szCs w:val="28"/>
          <w:rtl w:val="true"/>
          <w:lang w:bidi="ar-SA"/>
        </w:rPr>
        <w:t>، والحرِّ قدس سره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رواه ابنُبُكَيرٍ 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عنه الحِميَريُّ قدس سره</w:t>
      </w:r>
      <w:r>
        <w:rPr>
          <w:rStyle w:val="FootnoteAnchor"/>
          <w:rtl w:val="true"/>
        </w:rPr>
        <w:footnoteReference w:id="1615"/>
      </w:r>
      <w:r>
        <w:rPr>
          <w:rFonts w:ascii="Amiri" w:hAnsi="Amiri" w:eastAsia="Amiri" w:cs="Amiri"/>
          <w:color w:val="111111"/>
          <w:sz w:val="28"/>
          <w:sz w:val="28"/>
          <w:szCs w:val="28"/>
          <w:rtl w:val="true"/>
          <w:lang w:bidi="ar-SA"/>
        </w:rPr>
        <w:t>، والشَّيخ قدس سره</w:t>
      </w:r>
      <w:r>
        <w:rPr>
          <w:rStyle w:val="FootnoteAnchor"/>
          <w:rtl w:val="true"/>
        </w:rPr>
        <w:footnoteReference w:id="1616"/>
      </w:r>
      <w:r>
        <w:rPr>
          <w:rFonts w:ascii="Amiri" w:hAnsi="Amiri" w:eastAsia="Amiri" w:cs="Amiri"/>
          <w:color w:val="111111"/>
          <w:sz w:val="28"/>
          <w:sz w:val="28"/>
          <w:szCs w:val="28"/>
          <w:rtl w:val="true"/>
          <w:lang w:bidi="ar-SA"/>
        </w:rPr>
        <w:t>، والفيض قدس سره</w:t>
      </w:r>
      <w:r>
        <w:rPr>
          <w:rStyle w:val="FootnoteAnchor"/>
          <w:rtl w:val="true"/>
        </w:rPr>
        <w:footnoteReference w:id="1617"/>
      </w:r>
      <w:r>
        <w:rPr>
          <w:rFonts w:ascii="Amiri" w:hAnsi="Amiri" w:eastAsia="Amiri" w:cs="Amiri"/>
          <w:color w:val="111111"/>
          <w:sz w:val="28"/>
          <w:sz w:val="28"/>
          <w:szCs w:val="28"/>
          <w:rtl w:val="true"/>
          <w:lang w:bidi="ar-SA"/>
        </w:rPr>
        <w:t>، والحرُّ قدس سره</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وبغيرها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كالنَّصِّ في عدم الاِكتفاء بالعشرة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آخر من الفقهاء إلى أنَّ الإرتضاع يتحقُّق بخمس عشرة مرَّةً من غير تقييد العدد بزمانٍ خاصٍّ‌، كوقوعه في يومٍ وليلةٍ واحدةٍ‌ </w:t>
      </w:r>
    </w:p>
    <w:p>
      <w:pPr>
        <w:pStyle w:val="BookText"/>
        <w:rPr/>
      </w:pPr>
      <w:r>
        <w:rPr>
          <w:rFonts w:ascii="Amiri" w:hAnsi="Amiri" w:eastAsia="Amiri" w:cs="Amiri"/>
          <w:color w:val="111111"/>
          <w:sz w:val="28"/>
          <w:sz w:val="28"/>
          <w:szCs w:val="28"/>
          <w:rtl w:val="true"/>
          <w:lang w:bidi="ar-SA"/>
        </w:rPr>
        <w:t>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ابنُإدريس قدس سره</w:t>
      </w:r>
      <w:r>
        <w:rPr>
          <w:rStyle w:val="FootnoteAnchor"/>
          <w:rtl w:val="true"/>
        </w:rPr>
        <w:footnoteReference w:id="1619"/>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620"/>
      </w:r>
      <w:r>
        <w:rPr>
          <w:rFonts w:ascii="Amiri" w:hAnsi="Amiri" w:eastAsia="Amiri" w:cs="Amiri"/>
          <w:color w:val="111111"/>
          <w:sz w:val="28"/>
          <w:sz w:val="28"/>
          <w:szCs w:val="28"/>
          <w:rtl w:val="true"/>
          <w:lang w:bidi="ar-SA"/>
        </w:rPr>
        <w:t>، والمقدَّسُ الأردبيليُّ قدس سره</w:t>
      </w:r>
      <w:r>
        <w:rPr>
          <w:rStyle w:val="FootnoteAnchor"/>
          <w:rtl w:val="true"/>
        </w:rPr>
        <w:footnoteReference w:id="1621"/>
      </w:r>
      <w:r>
        <w:rPr>
          <w:rFonts w:ascii="Amiri" w:hAnsi="Amiri" w:eastAsia="Amiri" w:cs="Amiri"/>
          <w:color w:val="111111"/>
          <w:sz w:val="28"/>
          <w:sz w:val="28"/>
          <w:szCs w:val="28"/>
          <w:rtl w:val="true"/>
          <w:lang w:bidi="ar-SA"/>
        </w:rPr>
        <w:t>إجماعَ الأصحاب علىٰ أنَّه أكثر العدد، فلايجب إجماعًا أكثر من خمس عشرة رَضَعاتٍ‌؛ والبحرانيُّ قدس سره بعد أن حكىٰ هذا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المتأخِّرين</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ونسبه ثاني الشَّهيدَين قدس سرهما إلى أكثر المتأخِّرين</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والقول اختارَه الشَّيخُ قدس سره في مبسوطه</w:t>
      </w:r>
      <w:r>
        <w:rPr>
          <w:rStyle w:val="FootnoteAnchor"/>
          <w:rtl w:val="true"/>
        </w:rPr>
        <w:footnoteReference w:id="1624"/>
      </w:r>
      <w:r>
        <w:rPr>
          <w:rFonts w:ascii="Amiri" w:hAnsi="Amiri" w:eastAsia="Amiri" w:cs="Amiri"/>
          <w:color w:val="111111"/>
          <w:sz w:val="28"/>
          <w:sz w:val="28"/>
          <w:szCs w:val="28"/>
          <w:rtl w:val="true"/>
          <w:lang w:bidi="ar-SA"/>
        </w:rPr>
        <w:t>، ونهايته</w:t>
      </w:r>
      <w:r>
        <w:rPr>
          <w:rStyle w:val="FootnoteAnchor"/>
          <w:rtl w:val="true"/>
        </w:rPr>
        <w:footnoteReference w:id="1625"/>
      </w:r>
      <w:r>
        <w:rPr>
          <w:rFonts w:ascii="IRNazanin" w:hAnsi="IRNazanin" w:eastAsia="IRNazanin"/>
          <w:color w:val="111111"/>
          <w:sz w:val="28"/>
          <w:sz w:val="28"/>
          <w:szCs w:val="28"/>
          <w:rtl w:val="true"/>
          <w:lang w:bidi="fa-IR"/>
        </w:rPr>
        <w:t>، وخلافه</w:t>
      </w:r>
      <w:r>
        <w:rPr>
          <w:rStyle w:val="FootnoteAnchor"/>
          <w:rtl w:val="true"/>
        </w:rPr>
        <w:footnoteReference w:id="1626"/>
      </w:r>
      <w:r>
        <w:rPr>
          <w:rFonts w:ascii="IRNazanin" w:hAnsi="IRNazanin" w:eastAsia="IRNazanin"/>
          <w:color w:val="111111"/>
          <w:sz w:val="28"/>
          <w:sz w:val="28"/>
          <w:szCs w:val="28"/>
          <w:rtl w:val="true"/>
          <w:lang w:bidi="fa-IR"/>
        </w:rPr>
        <w:t>، واستبصاره</w:t>
      </w:r>
      <w:r>
        <w:rPr>
          <w:rStyle w:val="FootnoteAnchor"/>
          <w:rtl w:val="true"/>
        </w:rPr>
        <w:footnoteReference w:id="1627"/>
      </w:r>
      <w:r>
        <w:rPr>
          <w:rFonts w:ascii="Amiri" w:hAnsi="Amiri" w:eastAsia="Amiri" w:cs="Amiri"/>
          <w:color w:val="111111"/>
          <w:sz w:val="28"/>
          <w:sz w:val="28"/>
          <w:szCs w:val="28"/>
          <w:rtl w:val="true"/>
          <w:lang w:bidi="ar-SA"/>
        </w:rPr>
        <w:t>، والعلَّامة قدس سره في تذكرته</w:t>
      </w:r>
      <w:r>
        <w:rPr>
          <w:rStyle w:val="FootnoteAnchor"/>
          <w:rtl w:val="true"/>
        </w:rPr>
        <w:footnoteReference w:id="1628"/>
      </w:r>
      <w:r>
        <w:rPr>
          <w:rFonts w:ascii="Amiri" w:hAnsi="Amiri" w:eastAsia="Amiri" w:cs="Amiri"/>
          <w:color w:val="111111"/>
          <w:sz w:val="28"/>
          <w:sz w:val="28"/>
          <w:szCs w:val="28"/>
          <w:rtl w:val="true"/>
          <w:lang w:bidi="ar-SA"/>
        </w:rPr>
        <w:t>، وتحريره</w:t>
      </w:r>
      <w:r>
        <w:rPr>
          <w:rStyle w:val="FootnoteAnchor"/>
          <w:rtl w:val="true"/>
        </w:rPr>
        <w:footnoteReference w:id="1629"/>
      </w:r>
      <w:r>
        <w:rPr>
          <w:rFonts w:ascii="Amiri" w:hAnsi="Amiri" w:eastAsia="Amiri" w:cs="Amiri"/>
          <w:color w:val="111111"/>
          <w:sz w:val="28"/>
          <w:sz w:val="28"/>
          <w:szCs w:val="28"/>
          <w:rtl w:val="true"/>
          <w:lang w:bidi="ar-SA"/>
        </w:rPr>
        <w:t>، والمحقِّق</w:t>
      </w:r>
      <w:r>
        <w:rPr>
          <w:rStyle w:val="FootnoteAnchor"/>
          <w:rtl w:val="true"/>
        </w:rPr>
        <w:footnoteReference w:id="1630"/>
      </w:r>
      <w:r>
        <w:rPr>
          <w:rFonts w:ascii="Amiri" w:hAnsi="Amiri" w:eastAsia="Amiri" w:cs="Amiri"/>
          <w:color w:val="111111"/>
          <w:sz w:val="28"/>
          <w:sz w:val="28"/>
          <w:szCs w:val="28"/>
          <w:rtl w:val="true"/>
          <w:lang w:bidi="ar-SA"/>
        </w:rPr>
        <w:t>، وثانيهما قدس سرهما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ذلك بحديثَين ذكرناهما في القول الثَّالث القائل بنشر الحُرمة </w:t>
      </w:r>
    </w:p>
    <w:p>
      <w:pPr>
        <w:pStyle w:val="BookText"/>
        <w:rPr/>
      </w:pPr>
      <w:r>
        <w:rPr>
          <w:rFonts w:ascii="Amiri" w:hAnsi="Amiri" w:eastAsia="Amiri" w:cs="Amiri"/>
          <w:color w:val="111111"/>
          <w:sz w:val="28"/>
          <w:sz w:val="28"/>
          <w:szCs w:val="28"/>
          <w:rtl w:val="true"/>
          <w:lang w:bidi="ar-SA"/>
        </w:rPr>
        <w:t>برَضاع يومٍ وليلةٍ كاملةٍ‌، حيث ورد في الأوَّل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خمس عشرة رضعةً متوالياتٍ‌</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خمس عشرة رضعةً متوالياتٍ‌</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هذين الحديثين من حيث جعل الزَّمان فيهما ظرفًا للعدد؛ وهما لايجتمعان قطعًا،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الحديثين هو العدد، فهو الَّذي يحرم ويُنشِرُ الحرمة، فذكْرُ الظَّرف لايُفهَم منه شيءٌ إلَّاعلىٰ سبيل الإحتياط؛ والأصل في المقام هو العدد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آخر من الفقهاء إلى أنَّ الحرمة تنتشر بما يَشُدُّ به العظم وينبت به اللَّحم والدَّمُ‌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ثاني الشَّهيدَين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في النَّشر به</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وعن الشَّيخ حسن آل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اِعتباره نقلًا، بل تحصيلًا</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وادَّعىٰ صاحب الجواهر قدس سره أيضًا ثبوتَ الإجماع عليه</w:t>
      </w:r>
      <w:r>
        <w:rPr>
          <w:rStyle w:val="FootnoteAnchor"/>
          <w:rtl w:val="true"/>
        </w:rPr>
        <w:footnoteReference w:id="1636"/>
      </w:r>
      <w:r>
        <w:rPr>
          <w:rFonts w:ascii="Amiri" w:hAnsi="Amiri" w:eastAsia="Amiri" w:cs="Amiri"/>
          <w:color w:val="111111"/>
          <w:sz w:val="28"/>
          <w:sz w:val="28"/>
          <w:szCs w:val="28"/>
          <w:rtl w:val="true"/>
          <w:lang w:bidi="ar-SA"/>
        </w:rPr>
        <w:t>، والقولُ حكاه البحرانيُّ قدس سره</w:t>
      </w:r>
      <w:r>
        <w:rPr>
          <w:rStyle w:val="FootnoteAnchor"/>
          <w:rtl w:val="true"/>
        </w:rPr>
        <w:footnoteReference w:id="1637"/>
      </w:r>
      <w:r>
        <w:rPr>
          <w:rFonts w:ascii="Amiri" w:hAnsi="Amiri" w:eastAsia="Amiri" w:cs="Amiri"/>
          <w:color w:val="111111"/>
          <w:sz w:val="28"/>
          <w:sz w:val="28"/>
          <w:szCs w:val="28"/>
          <w:rtl w:val="true"/>
          <w:lang w:bidi="ar-SA"/>
        </w:rPr>
        <w:t>، واختاره المحقِّق قدس سره في شرائعه</w:t>
      </w:r>
      <w:r>
        <w:rPr>
          <w:rStyle w:val="FootnoteAnchor"/>
          <w:rtl w:val="true"/>
        </w:rPr>
        <w:footnoteReference w:id="1638"/>
      </w:r>
      <w:r>
        <w:rPr>
          <w:rFonts w:ascii="IRNazanin" w:hAnsi="IRNazanin" w:eastAsia="IRNazanin"/>
          <w:color w:val="111111"/>
          <w:sz w:val="28"/>
          <w:sz w:val="28"/>
          <w:szCs w:val="28"/>
          <w:rtl w:val="true"/>
          <w:lang w:bidi="fa-IR"/>
        </w:rPr>
        <w:t>، ومختصره</w:t>
      </w:r>
      <w:r>
        <w:rPr>
          <w:rStyle w:val="FootnoteAnchor"/>
          <w:rtl w:val="true"/>
        </w:rPr>
        <w:footnoteReference w:id="1639"/>
      </w:r>
      <w:r>
        <w:rPr>
          <w:rFonts w:ascii="Amiri" w:hAnsi="Amiri" w:eastAsia="Amiri" w:cs="Amiri"/>
          <w:color w:val="111111"/>
          <w:sz w:val="28"/>
          <w:sz w:val="28"/>
          <w:szCs w:val="28"/>
          <w:rtl w:val="true"/>
          <w:lang w:bidi="ar-SA"/>
        </w:rPr>
        <w:t>، ونُكَته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القول هو الَّذي تدلُّ عليه رواياتٌ مستفيضةٌ‌، بل متواترةٌ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آنفًا في الرَّدِّ علىٰ القول الرَّابع عن عليِّ بن رئابٍ‌؛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بن زيادٍ العَبدِيُّ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إلَّاما شدَّ العَظْمَ وأنبَتَ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الحرُّ قدس سره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عن الصَّدوق قدس سره في القول الثَّالث،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 ما أنبت اللَّحم وشدَّ العَظمَ‌</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الكلينيُّ قدس سره</w:t>
      </w:r>
      <w:r>
        <w:rPr>
          <w:rStyle w:val="FootnoteAnchor"/>
          <w:rtl w:val="true"/>
        </w:rPr>
        <w:footnoteReference w:id="1643"/>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644"/>
      </w:r>
      <w:r>
        <w:rPr>
          <w:rFonts w:ascii="Amiri" w:hAnsi="Amiri" w:eastAsia="Amiri" w:cs="Amiri"/>
          <w:color w:val="111111"/>
          <w:sz w:val="28"/>
          <w:sz w:val="28"/>
          <w:szCs w:val="28"/>
          <w:rtl w:val="true"/>
          <w:lang w:bidi="ar-SA"/>
        </w:rPr>
        <w:t>، وتهذيبه</w:t>
      </w:r>
      <w:r>
        <w:rPr>
          <w:rStyle w:val="FootnoteAnchor"/>
          <w:rtl w:val="true"/>
        </w:rPr>
        <w:footnoteReference w:id="1645"/>
      </w:r>
      <w:r>
        <w:rPr>
          <w:rFonts w:ascii="Amiri" w:hAnsi="Amiri" w:eastAsia="Amiri" w:cs="Amiri"/>
          <w:color w:val="111111"/>
          <w:sz w:val="28"/>
          <w:sz w:val="28"/>
          <w:szCs w:val="28"/>
          <w:rtl w:val="true"/>
          <w:lang w:bidi="ar-SA"/>
        </w:rPr>
        <w:t>، والفيضُ قدس سره</w:t>
      </w:r>
      <w:r>
        <w:rPr>
          <w:rStyle w:val="FootnoteAnchor"/>
          <w:rtl w:val="true"/>
        </w:rPr>
        <w:footnoteReference w:id="1646"/>
      </w:r>
      <w:r>
        <w:rPr>
          <w:rFonts w:ascii="Amiri" w:hAnsi="Amiri" w:eastAsia="Amiri" w:cs="Amiri"/>
          <w:color w:val="111111"/>
          <w:sz w:val="28"/>
          <w:sz w:val="28"/>
          <w:szCs w:val="28"/>
          <w:rtl w:val="true"/>
          <w:lang w:bidi="ar-SA"/>
        </w:rPr>
        <w:t>، والحرُّ قدس سره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إلَّاما شدَّ العَظمَ وأنبتَ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الكلينيُّ قدس سره</w:t>
      </w:r>
      <w:r>
        <w:rPr>
          <w:rStyle w:val="FootnoteAnchor"/>
          <w:rtl w:val="true"/>
        </w:rPr>
        <w:footnoteReference w:id="1648"/>
      </w:r>
      <w:r>
        <w:rPr>
          <w:rFonts w:ascii="Amiri" w:hAnsi="Amiri" w:eastAsia="Amiri" w:cs="Amiri"/>
          <w:color w:val="111111"/>
          <w:sz w:val="28"/>
          <w:sz w:val="28"/>
          <w:szCs w:val="28"/>
          <w:rtl w:val="true"/>
          <w:lang w:bidi="ar-SA"/>
        </w:rPr>
        <w:t>، والشَّيخ قدس سره</w:t>
      </w:r>
      <w:r>
        <w:rPr>
          <w:rStyle w:val="FootnoteAnchor"/>
          <w:rtl w:val="true"/>
        </w:rPr>
        <w:footnoteReference w:id="1649"/>
      </w:r>
      <w:r>
        <w:rPr>
          <w:rFonts w:ascii="Amiri" w:hAnsi="Amiri" w:eastAsia="Amiri" w:cs="Amiri"/>
          <w:color w:val="111111"/>
          <w:sz w:val="28"/>
          <w:sz w:val="28"/>
          <w:szCs w:val="28"/>
          <w:rtl w:val="true"/>
          <w:lang w:bidi="ar-SA"/>
        </w:rPr>
        <w:t>، والفيض قدس سره</w:t>
      </w:r>
      <w:r>
        <w:rPr>
          <w:rStyle w:val="FootnoteAnchor"/>
          <w:rtl w:val="true"/>
        </w:rPr>
        <w:footnoteReference w:id="16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والحرُّ قدس سره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عن عُبَيد بن زرارة في القول الرَّابع،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الرَّضاع ما أدنىٰ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اللَّحمَ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الكلينيُّ قدس سره</w:t>
      </w:r>
      <w:r>
        <w:rPr>
          <w:rStyle w:val="FootnoteAnchor"/>
          <w:rtl w:val="true"/>
        </w:rPr>
        <w:footnoteReference w:id="1652"/>
      </w:r>
      <w:r>
        <w:rPr>
          <w:rFonts w:ascii="Amiri" w:hAnsi="Amiri" w:eastAsia="Amiri" w:cs="Amiri"/>
          <w:color w:val="111111"/>
          <w:sz w:val="28"/>
          <w:sz w:val="28"/>
          <w:szCs w:val="28"/>
          <w:rtl w:val="true"/>
          <w:lang w:bidi="ar-SA"/>
        </w:rPr>
        <w:t>، والفيض قدس سره</w:t>
      </w:r>
      <w:r>
        <w:rPr>
          <w:rStyle w:val="FootnoteAnchor"/>
          <w:rtl w:val="true"/>
        </w:rPr>
        <w:footnoteReference w:id="1653"/>
      </w:r>
      <w:r>
        <w:rPr>
          <w:rFonts w:ascii="Amiri" w:hAnsi="Amiri" w:eastAsia="Amiri" w:cs="Amiri"/>
          <w:color w:val="111111"/>
          <w:sz w:val="28"/>
          <w:sz w:val="28"/>
          <w:szCs w:val="28"/>
          <w:rtl w:val="true"/>
          <w:lang w:bidi="ar-SA"/>
        </w:rPr>
        <w:t>، والحرُّ قدس سره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غيرُها،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كما أشرنا إليه صحيحةُ السَّند ظاهرةُ الدِّلالة، وأجمعت الأصحاب عليها؛</w:t>
      </w:r>
    </w:p>
    <w:p>
      <w:pPr>
        <w:pStyle w:val="BookText"/>
        <w:rPr/>
      </w:pPr>
      <w:r>
        <w:rPr>
          <w:rFonts w:ascii="Amiri" w:hAnsi="Amiri" w:eastAsia="Amiri" w:cs="Amiri"/>
          <w:color w:val="111111"/>
          <w:sz w:val="28"/>
          <w:sz w:val="28"/>
          <w:szCs w:val="28"/>
          <w:rtl w:val="true"/>
          <w:lang w:bidi="ar-SA"/>
        </w:rPr>
        <w:t>فلاإشكال و لا كلام فيها، إذ هذه الرِّوايات تشتمل علىٰ أصلٍ هو الأصل في المقام، بل جميعُ ما في غيرها من روايات الباب أماراتٌ تشير إلى هذا الأصل؛ فمِلؤُ البطن من اللَّبن، وشدُّ العظم به، وإنبات اللَّحم والدَّم منه أماراتٌ إلى أصلٍ في المقام، وهو تأثير اللَّبن في جسم الرَّضيع تأثيرًا يُنبِىء عن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فالعدد المُشيرُ إلى خمس عشرة إرتضاعٍ وإن كان تعبُّدًا، إلَّاأنَّه هو المناطُ في البين، إذ الإمام عليه السلام بعد ذكر هذا العدد نفىٰ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رضَعاتٍ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الرِّوايات يقتضي الذِّهاب إلى هذا العدد فقط، من دون تقييده بزمانٍ‌، أو شيءٍ 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باب التَّعبُّد الَّذي </w:t>
      </w:r>
      <w:bookmarkStart w:id="607" w:name="pg20339_220578"/>
    </w:p>
    <w:p>
      <w:pPr>
        <w:pStyle w:val="BookText"/>
        <w:rPr/>
      </w:pPr>
      <w:bookmarkEnd w:id="607"/>
      <w:r>
        <w:rPr>
          <w:rFonts w:ascii="Amiri" w:hAnsi="Amiri" w:eastAsia="Amiri" w:cs="Amiri"/>
          <w:color w:val="111111"/>
          <w:sz w:val="28"/>
          <w:sz w:val="28"/>
          <w:szCs w:val="28"/>
          <w:rtl w:val="true"/>
          <w:lang w:bidi="ar-SA"/>
        </w:rPr>
        <w:t>ليس للعقل والعُرف دخلٌ فيه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979476_1280447820"/>
      <w:bookmarkStart w:id="609" w:name="_Toc227"/>
      <w:bookmarkEnd w:id="608"/>
      <w:r>
        <w:rPr>
          <w:rtl w:val="true"/>
        </w:rPr>
        <w:t>التَّنبيه الرَّابع</w:t>
      </w:r>
      <w:r>
        <w:rPr>
          <w:rtl w:val="true"/>
        </w:rPr>
        <w:t>:</w:t>
      </w:r>
      <w:bookmarkEnd w:id="609"/>
    </w:p>
    <w:p>
      <w:pPr>
        <w:pStyle w:val="BookText"/>
        <w:rPr/>
      </w:pPr>
      <w:r>
        <w:rPr>
          <w:rFonts w:ascii="Amiri" w:hAnsi="Amiri" w:eastAsia="Amiri" w:cs="Amiri"/>
          <w:color w:val="111111"/>
          <w:sz w:val="28"/>
          <w:sz w:val="28"/>
          <w:szCs w:val="28"/>
          <w:rtl w:val="true"/>
          <w:lang w:bidi="ar-SA"/>
        </w:rPr>
        <w:t>يظهر من روايات الباب واتِّفاق الأصحاب عليها</w:t>
      </w:r>
      <w:r>
        <w:rPr>
          <w:rStyle w:val="FootnoteAnchor"/>
          <w:rtl w:val="true"/>
        </w:rPr>
        <w:footnoteReference w:id="1655"/>
      </w:r>
      <w:r>
        <w:rPr>
          <w:rFonts w:ascii="Amiri" w:hAnsi="Amiri" w:eastAsia="Amiri" w:cs="Amiri"/>
          <w:color w:val="111111"/>
          <w:sz w:val="28"/>
          <w:sz w:val="28"/>
          <w:szCs w:val="28"/>
          <w:rtl w:val="true"/>
          <w:lang w:bidi="ar-SA"/>
        </w:rPr>
        <w:t>، أنَّه يشترط في نشر الحرمة أن يكون الإرتضاع كاملًا؛ فلوارتَضَع الصَّبيُّ من المرضِعَة ارتضاعًا ناقصًا بحيث يشتهي بعده إلى اللَّبن، لاتنتشر الحرمةُ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قدس سره في حدِّ كمال الإرتضاع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كماليَّة الرَّضعة فالمرجعُ فيه إلى العُرف، إذ الشَّارع لم يُعيِّن لها قدرًا مضبوطًا</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ذكره كثيرٌ منهم، منهم العلَّامةُ قدس سره في تلخيصه</w:t>
      </w:r>
      <w:r>
        <w:rPr>
          <w:rStyle w:val="FootnoteAnchor"/>
          <w:rtl w:val="true"/>
        </w:rPr>
        <w:footnoteReference w:id="1657"/>
      </w:r>
      <w:r>
        <w:rPr>
          <w:rFonts w:ascii="Amiri" w:hAnsi="Amiri" w:eastAsia="Amiri" w:cs="Amiri"/>
          <w:color w:val="111111"/>
          <w:sz w:val="28"/>
          <w:sz w:val="28"/>
          <w:szCs w:val="28"/>
          <w:rtl w:val="true"/>
          <w:lang w:bidi="ar-SA"/>
        </w:rPr>
        <w:t>، وتحريره</w:t>
      </w:r>
      <w:r>
        <w:rPr>
          <w:rStyle w:val="FootnoteAnchor"/>
          <w:rtl w:val="true"/>
        </w:rPr>
        <w:footnoteReference w:id="1658"/>
      </w:r>
      <w:r>
        <w:rPr>
          <w:rFonts w:ascii="Amiri" w:hAnsi="Amiri" w:eastAsia="Amiri" w:cs="Amiri"/>
          <w:color w:val="111111"/>
          <w:sz w:val="28"/>
          <w:sz w:val="28"/>
          <w:szCs w:val="28"/>
          <w:rtl w:val="true"/>
          <w:lang w:bidi="ar-SA"/>
        </w:rPr>
        <w:t>، والمحقِّق قدس سره</w:t>
      </w:r>
      <w:r>
        <w:rPr>
          <w:rStyle w:val="FootnoteAnchor"/>
          <w:rtl w:val="true"/>
        </w:rPr>
        <w:footnoteReference w:id="1659"/>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660"/>
      </w:r>
      <w:r>
        <w:rPr>
          <w:rFonts w:ascii="Amiri" w:hAnsi="Amiri" w:eastAsia="Amiri" w:cs="Amiri"/>
          <w:color w:val="111111"/>
          <w:sz w:val="28"/>
          <w:sz w:val="28"/>
          <w:szCs w:val="28"/>
          <w:rtl w:val="true"/>
          <w:lang w:bidi="ar-SA"/>
        </w:rPr>
        <w:t>، والفيض قدس سره</w:t>
      </w:r>
      <w:r>
        <w:rPr>
          <w:rStyle w:val="FootnoteAnchor"/>
          <w:rtl w:val="true"/>
        </w:rPr>
        <w:footnoteReference w:id="1661"/>
      </w:r>
      <w:r>
        <w:rPr>
          <w:rFonts w:ascii="Amiri" w:hAnsi="Amiri" w:eastAsia="Amiri" w:cs="Amiri"/>
          <w:color w:val="111111"/>
          <w:sz w:val="28"/>
          <w:sz w:val="28"/>
          <w:szCs w:val="28"/>
          <w:rtl w:val="true"/>
          <w:lang w:bidi="ar-SA"/>
        </w:rPr>
        <w:t>، والبحرانيُّ قدس سره</w:t>
      </w:r>
      <w:r>
        <w:rPr>
          <w:rStyle w:val="FootnoteAnchor"/>
          <w:rtl w:val="true"/>
        </w:rPr>
        <w:footnoteReference w:id="1662"/>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1663"/>
      </w:r>
      <w:r>
        <w:rPr>
          <w:rFonts w:ascii="Amiri" w:hAnsi="Amiri" w:eastAsia="Amiri" w:cs="Amiri"/>
          <w:color w:val="111111"/>
          <w:sz w:val="28"/>
          <w:sz w:val="28"/>
          <w:szCs w:val="28"/>
          <w:rtl w:val="true"/>
          <w:lang w:bidi="ar-SA"/>
        </w:rPr>
        <w:t>، والنَّراقيُّ قدس سره</w:t>
      </w:r>
      <w:r>
        <w:rPr>
          <w:rStyle w:val="FootnoteAnchor"/>
          <w:rtl w:val="true"/>
        </w:rPr>
        <w:footnoteReference w:id="1664"/>
      </w:r>
      <w:r>
        <w:rPr>
          <w:rFonts w:ascii="Amiri" w:hAnsi="Amiri" w:eastAsia="Amiri" w:cs="Amiri"/>
          <w:color w:val="111111"/>
          <w:sz w:val="28"/>
          <w:sz w:val="28"/>
          <w:szCs w:val="28"/>
          <w:rtl w:val="true"/>
          <w:lang w:bidi="ar-SA"/>
        </w:rPr>
        <w:t>، والآخوند الخراسانيُّ قدس سره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الَّتي أوردها الشَّيخ الحُرُّ قدس سره في الباب الرَّابع من أبواب الرَّضاع</w:t>
      </w:r>
      <w:r>
        <w:rPr>
          <w:rStyle w:val="FootnoteAnchor"/>
          <w:rtl w:val="true"/>
        </w:rPr>
        <w:footnoteReference w:id="1666"/>
      </w:r>
      <w:r>
        <w:rPr>
          <w:rFonts w:ascii="Amiri" w:hAnsi="Amiri" w:eastAsia="Amiri" w:cs="Amiri"/>
          <w:color w:val="111111"/>
          <w:sz w:val="28"/>
          <w:sz w:val="28"/>
          <w:szCs w:val="28"/>
          <w:rtl w:val="true"/>
          <w:lang w:bidi="ar-SA"/>
        </w:rPr>
        <w:t>تدلُّ علىٰ هذا الشَّرط؛ فالنَّصُّ والفتوىٰ تطابقا علىٰ هذا الشَّرط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توالي الرَّضعات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اشتراطُ توالي الرَّضعات، بمعنىٰ عدم فصل الإرتضاع عن المرضعة بالإرتضاع عن إمرأةٍ أخرىٰ‌؛ فلوفصل فلاحكم للإرتضاع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ابن حمزة قدس سره</w:t>
      </w:r>
      <w:r>
        <w:rPr>
          <w:rStyle w:val="FootnoteAnchor"/>
          <w:rtl w:val="true"/>
        </w:rPr>
        <w:footnoteReference w:id="1667"/>
      </w:r>
      <w:r>
        <w:rPr>
          <w:rFonts w:ascii="Amiri" w:hAnsi="Amiri" w:eastAsia="Amiri" w:cs="Amiri"/>
          <w:color w:val="111111"/>
          <w:sz w:val="28"/>
          <w:sz w:val="28"/>
          <w:szCs w:val="28"/>
          <w:rtl w:val="true"/>
          <w:lang w:bidi="ar-SA"/>
        </w:rPr>
        <w:t>، والمحقِّق قدس سره</w:t>
      </w:r>
      <w:r>
        <w:rPr>
          <w:rStyle w:val="FootnoteAnchor"/>
          <w:rtl w:val="true"/>
        </w:rPr>
        <w:footnoteReference w:id="1668"/>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1669"/>
      </w:r>
      <w:r>
        <w:rPr>
          <w:rFonts w:ascii="Amiri" w:hAnsi="Amiri" w:eastAsia="Amiri" w:cs="Amiri"/>
          <w:color w:val="111111"/>
          <w:sz w:val="28"/>
          <w:sz w:val="28"/>
          <w:szCs w:val="28"/>
          <w:rtl w:val="true"/>
          <w:lang w:bidi="ar-SA"/>
        </w:rPr>
        <w:t>، وتذكرته</w:t>
      </w:r>
      <w:r>
        <w:rPr>
          <w:rStyle w:val="FootnoteAnchor"/>
          <w:rtl w:val="true"/>
        </w:rPr>
        <w:footnoteReference w:id="1670"/>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671"/>
      </w:r>
      <w:r>
        <w:rPr>
          <w:rFonts w:ascii="Amiri" w:hAnsi="Amiri" w:eastAsia="Amiri" w:cs="Amiri"/>
          <w:color w:val="111111"/>
          <w:sz w:val="28"/>
          <w:sz w:val="28"/>
          <w:szCs w:val="28"/>
          <w:rtl w:val="true"/>
          <w:lang w:bidi="ar-SA"/>
        </w:rPr>
        <w:t>، والنَّراقي قدس سره</w:t>
      </w:r>
      <w:r>
        <w:rPr>
          <w:rStyle w:val="FootnoteAnchor"/>
          <w:rtl w:val="true"/>
        </w:rPr>
        <w:footnoteReference w:id="1672"/>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673"/>
      </w:r>
      <w:r>
        <w:rPr>
          <w:rFonts w:ascii="Amiri" w:hAnsi="Amiri" w:eastAsia="Amiri" w:cs="Amiri"/>
          <w:color w:val="111111"/>
          <w:sz w:val="28"/>
          <w:sz w:val="28"/>
          <w:szCs w:val="28"/>
          <w:rtl w:val="true"/>
          <w:lang w:bidi="ar-SA"/>
        </w:rPr>
        <w:t>، والآخوند الخراسانيِّ قدس سره</w:t>
      </w:r>
      <w:r>
        <w:rPr>
          <w:rStyle w:val="FootnoteAnchor"/>
          <w:rtl w:val="true"/>
        </w:rPr>
        <w:footnoteReference w:id="1674"/>
      </w:r>
      <w:r>
        <w:rPr>
          <w:rFonts w:ascii="Amiri" w:hAnsi="Amiri" w:eastAsia="Amiri" w:cs="Amiri"/>
          <w:color w:val="111111"/>
          <w:sz w:val="28"/>
          <w:sz w:val="28"/>
          <w:szCs w:val="28"/>
          <w:rtl w:val="true"/>
          <w:lang w:bidi="ar-SA"/>
        </w:rPr>
        <w:t>، والتُّستَريِّ قدس سره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ذلك الشَّرط ما رويناه في القول الثَّالث عن زياد بن سُوقَة، وفيه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يَفْصِل بينَها رَضعةُ امرأةٍ غيرِها، فلو أنَّ امرأةً أرضعَتْ غلامًا أو جاريةً عشر رضَعاتٍ من لبن فحلٍ واحدٍ وأرضعَتهُما امرأةٌ أُخرىٰ من فحلٍ آخر عشر رَضَعاتٍ‌ </w:t>
      </w:r>
    </w:p>
    <w:p>
      <w:pPr>
        <w:pStyle w:val="BookText"/>
        <w:rPr/>
      </w:pPr>
      <w:r>
        <w:rPr>
          <w:rFonts w:ascii="Amiri" w:hAnsi="Amiri" w:eastAsia="Amiri" w:cs="Amiri"/>
          <w:color w:val="111111"/>
          <w:sz w:val="28"/>
          <w:sz w:val="28"/>
          <w:szCs w:val="28"/>
          <w:rtl w:val="true"/>
          <w:lang w:bidi="ar-SA"/>
        </w:rPr>
        <w:t>لم يَحْرُم نكاحُهُما</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وما رويناه عن الصَّدوق قدس سره في جازماته في نفس القول،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رضعةً متوالياتٍ لايُفْصَلُ بينهُنَّ‌</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وما رويناه في القول الرَّابع عن عمر بن يزيدَ،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وما رويناه في نفس القول عن مَسْعَدة بن زيادٍ العبدي</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وبما رويناه في نفس القول أيضًا عن مَسْعَدَة، وفيهما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 متفرَّقاتٍ فلابأس</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والظَّاهر اتِّحاد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الفصل بالغذاء ونحوه أيضًا يوجب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السَّيِّد الخوئيُّ قدس سره</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لاتشمل علىٰ ما إذا أنبَتَ اللَّحمُ وشدَّ العظمُ من الإرتضاع وإن وقع فيه الاِغتذاء بشيءٍ آخر غير لبن المُرضِعة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اللَّبن لفحلٍ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الأصحاب علىٰ أنَّه يشترط في نشر الحرمة كون اللَّبن لفحلٍ واحدٍ، فلوكان من فحلَين فلاتنتشر الحرمة أصلًا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نصَّ عليه سلَّار الدَّيلميُّ قدس سره</w:t>
      </w:r>
      <w:r>
        <w:rPr>
          <w:rStyle w:val="FootnoteAnchor"/>
          <w:rtl w:val="true"/>
        </w:rPr>
        <w:footnoteReference w:id="1682"/>
      </w:r>
      <w:r>
        <w:rPr>
          <w:rFonts w:ascii="Amiri" w:hAnsi="Amiri" w:eastAsia="Amiri" w:cs="Amiri"/>
          <w:color w:val="111111"/>
          <w:sz w:val="28"/>
          <w:sz w:val="28"/>
          <w:szCs w:val="28"/>
          <w:rtl w:val="true"/>
          <w:lang w:bidi="ar-SA"/>
        </w:rPr>
        <w:t>، والمحقِّق قدس سره في شرائعه</w:t>
      </w:r>
      <w:r>
        <w:rPr>
          <w:rStyle w:val="FootnoteAnchor"/>
          <w:rtl w:val="true"/>
        </w:rPr>
        <w:footnoteReference w:id="1683"/>
      </w:r>
      <w:r>
        <w:rPr>
          <w:rFonts w:ascii="IRNazanin" w:hAnsi="IRNazanin" w:eastAsia="IRNazanin"/>
          <w:color w:val="111111"/>
          <w:sz w:val="28"/>
          <w:sz w:val="28"/>
          <w:szCs w:val="28"/>
          <w:rtl w:val="true"/>
          <w:lang w:bidi="fa-IR"/>
        </w:rPr>
        <w:t>، ومختصره</w:t>
      </w:r>
      <w:r>
        <w:rPr>
          <w:rStyle w:val="FootnoteAnchor"/>
          <w:rtl w:val="true"/>
        </w:rPr>
        <w:footnoteReference w:id="1684"/>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1685"/>
      </w:r>
      <w:r>
        <w:rPr>
          <w:rFonts w:ascii="IRNazanin" w:hAnsi="IRNazanin" w:eastAsia="IRNazanin"/>
          <w:color w:val="111111"/>
          <w:sz w:val="28"/>
          <w:sz w:val="28"/>
          <w:szCs w:val="28"/>
          <w:rtl w:val="true"/>
          <w:lang w:bidi="fa-IR"/>
        </w:rPr>
        <w:t>، وتبصرته</w:t>
      </w:r>
      <w:r>
        <w:rPr>
          <w:rStyle w:val="FootnoteAnchor"/>
          <w:rtl w:val="true"/>
        </w:rPr>
        <w:footnoteReference w:id="1686"/>
      </w:r>
      <w:r>
        <w:rPr>
          <w:rFonts w:ascii="Amiri" w:hAnsi="Amiri" w:eastAsia="Amiri" w:cs="Amiri"/>
          <w:color w:val="111111"/>
          <w:sz w:val="28"/>
          <w:sz w:val="28"/>
          <w:szCs w:val="28"/>
          <w:rtl w:val="true"/>
          <w:lang w:bidi="ar-SA"/>
        </w:rPr>
        <w:t>، وتحريره</w:t>
      </w:r>
      <w:r>
        <w:rPr>
          <w:rStyle w:val="FootnoteAnchor"/>
          <w:rtl w:val="true"/>
        </w:rPr>
        <w:footnoteReference w:id="1687"/>
      </w:r>
      <w:r>
        <w:rPr>
          <w:rFonts w:ascii="Amiri" w:hAnsi="Amiri" w:eastAsia="Amiri" w:cs="Amiri"/>
          <w:color w:val="111111"/>
          <w:sz w:val="28"/>
          <w:sz w:val="28"/>
          <w:szCs w:val="28"/>
          <w:rtl w:val="true"/>
          <w:lang w:bidi="ar-SA"/>
        </w:rPr>
        <w:t>، وتذكرته</w:t>
      </w:r>
      <w:r>
        <w:rPr>
          <w:rStyle w:val="FootnoteAnchor"/>
          <w:rtl w:val="true"/>
        </w:rPr>
        <w:footnoteReference w:id="1688"/>
      </w:r>
      <w:r>
        <w:rPr>
          <w:rFonts w:ascii="Amiri" w:hAnsi="Amiri" w:eastAsia="Amiri" w:cs="Amiri"/>
          <w:color w:val="111111"/>
          <w:sz w:val="28"/>
          <w:sz w:val="28"/>
          <w:szCs w:val="28"/>
          <w:rtl w:val="true"/>
          <w:lang w:bidi="ar-SA"/>
        </w:rPr>
        <w:t>، وتلخيصه</w:t>
      </w:r>
      <w:r>
        <w:rPr>
          <w:rStyle w:val="FootnoteAnchor"/>
          <w:rtl w:val="true"/>
        </w:rPr>
        <w:footnoteReference w:id="1689"/>
      </w:r>
      <w:r>
        <w:rPr>
          <w:rFonts w:ascii="Amiri" w:hAnsi="Amiri" w:eastAsia="Amiri" w:cs="Amiri"/>
          <w:color w:val="111111"/>
          <w:sz w:val="28"/>
          <w:sz w:val="28"/>
          <w:szCs w:val="28"/>
          <w:rtl w:val="true"/>
          <w:lang w:bidi="ar-SA"/>
        </w:rPr>
        <w:t>، والشَّهيد قدس سره في غاية المراد</w:t>
      </w:r>
      <w:r>
        <w:rPr>
          <w:rStyle w:val="FootnoteAnchor"/>
          <w:rtl w:val="true"/>
        </w:rPr>
        <w:footnoteReference w:id="1690"/>
      </w:r>
      <w:r>
        <w:rPr>
          <w:rFonts w:ascii="Amiri" w:hAnsi="Amiri" w:eastAsia="Amiri" w:cs="Amiri"/>
          <w:color w:val="111111"/>
          <w:sz w:val="28"/>
          <w:sz w:val="28"/>
          <w:szCs w:val="28"/>
          <w:rtl w:val="true"/>
          <w:lang w:bidi="ar-SA"/>
        </w:rPr>
        <w:t>، واللُّمعة</w:t>
      </w:r>
      <w:r>
        <w:rPr>
          <w:rStyle w:val="FootnoteAnchor"/>
          <w:rtl w:val="true"/>
        </w:rPr>
        <w:footnoteReference w:id="1691"/>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692"/>
      </w:r>
      <w:r>
        <w:rPr>
          <w:rFonts w:ascii="Amiri" w:hAnsi="Amiri" w:eastAsia="Amiri" w:cs="Amiri"/>
          <w:color w:val="111111"/>
          <w:sz w:val="28"/>
          <w:sz w:val="28"/>
          <w:szCs w:val="28"/>
          <w:rtl w:val="true"/>
          <w:lang w:bidi="ar-SA"/>
        </w:rPr>
        <w:t>، وابنُفهدٍ قدس سره</w:t>
      </w:r>
      <w:r>
        <w:rPr>
          <w:rStyle w:val="FootnoteAnchor"/>
          <w:rtl w:val="true"/>
        </w:rPr>
        <w:footnoteReference w:id="1693"/>
      </w:r>
      <w:r>
        <w:rPr>
          <w:rFonts w:ascii="Amiri" w:hAnsi="Amiri" w:eastAsia="Amiri" w:cs="Amiri"/>
          <w:color w:val="111111"/>
          <w:sz w:val="28"/>
          <w:sz w:val="28"/>
          <w:szCs w:val="28"/>
          <w:rtl w:val="true"/>
          <w:lang w:bidi="ar-SA"/>
        </w:rPr>
        <w:t>، وابن طيٍّ الفَقْعانيُّ قدس سره</w:t>
      </w:r>
      <w:r>
        <w:rPr>
          <w:rStyle w:val="FootnoteAnchor"/>
          <w:rtl w:val="true"/>
        </w:rPr>
        <w:footnoteReference w:id="1694"/>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695"/>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696"/>
      </w:r>
      <w:r>
        <w:rPr>
          <w:rFonts w:ascii="Amiri" w:hAnsi="Amiri" w:eastAsia="Amiri" w:cs="Amiri"/>
          <w:color w:val="111111"/>
          <w:sz w:val="28"/>
          <w:sz w:val="28"/>
          <w:szCs w:val="28"/>
          <w:rtl w:val="true"/>
          <w:lang w:bidi="ar-SA"/>
        </w:rPr>
        <w:t>، والطَّباطبائيُّ قدس سره</w:t>
      </w:r>
      <w:r>
        <w:rPr>
          <w:rStyle w:val="FootnoteAnchor"/>
          <w:rtl w:val="true"/>
        </w:rPr>
        <w:footnoteReference w:id="1697"/>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698"/>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69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وادَّعىٰ المحقِّق الثَّاني قدس سرهما عدمَ الخلاف بين الأصحاب في هذ الشَّرط</w:t>
      </w:r>
      <w:r>
        <w:rPr>
          <w:rStyle w:val="FootnoteAnchor"/>
          <w:rtl w:val="true"/>
        </w:rPr>
        <w:footnoteReference w:id="1700"/>
      </w:r>
      <w:r>
        <w:rPr>
          <w:rFonts w:ascii="Amiri" w:hAnsi="Amiri" w:eastAsia="Amiri" w:cs="Amiri"/>
          <w:color w:val="111111"/>
          <w:sz w:val="28"/>
          <w:sz w:val="28"/>
          <w:szCs w:val="28"/>
          <w:rtl w:val="true"/>
          <w:lang w:bidi="ar-SA"/>
        </w:rPr>
        <w:t>، ثمَّ حكىٰ خلافَ الطَّبرسيِّ قدس سره في ذلك، وانحصره فيه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الرِّوايات الَّتي رواها القوم في ذلك؛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 عليه السلام عن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 وكلُّ امرأةٍ أرضعَتْ من لبن فحلَين كانا لها واحدًا بعد واحدٍ من جاريةٍ أو غلامٍ فإنَّ ذلك رضاعٌ ليس بالرَّضاع الَّذي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هو نسب ناحية الصِّهر رضاعٌ ولايحرِّم شيئًا، وليس هو سبب رضاعٍ من ناحية لبن الفحولة فيُحرِّمُ‌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الكلينيُّ قدس سره</w:t>
      </w:r>
      <w:r>
        <w:rPr>
          <w:rStyle w:val="FootnoteAnchor"/>
          <w:rtl w:val="true"/>
        </w:rPr>
        <w:footnoteReference w:id="1702"/>
      </w:r>
      <w:r>
        <w:rPr>
          <w:rFonts w:ascii="Amiri" w:hAnsi="Amiri" w:eastAsia="Amiri" w:cs="Amiri"/>
          <w:color w:val="111111"/>
          <w:sz w:val="28"/>
          <w:sz w:val="28"/>
          <w:szCs w:val="28"/>
          <w:rtl w:val="true"/>
          <w:lang w:bidi="ar-SA"/>
        </w:rPr>
        <w:t>، والفيض قدس سره</w:t>
      </w:r>
      <w:r>
        <w:rPr>
          <w:rStyle w:val="FootnoteAnchor"/>
          <w:rtl w:val="true"/>
        </w:rPr>
        <w:footnoteReference w:id="1703"/>
      </w:r>
      <w:r>
        <w:rPr>
          <w:rFonts w:ascii="Amiri" w:hAnsi="Amiri" w:eastAsia="Amiri" w:cs="Amiri"/>
          <w:color w:val="111111"/>
          <w:sz w:val="28"/>
          <w:sz w:val="28"/>
          <w:szCs w:val="28"/>
          <w:rtl w:val="true"/>
          <w:lang w:bidi="ar-SA"/>
        </w:rPr>
        <w:t>، والحرُّ قدس سره</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صحيحٌ‌، كما عن المحقِّق السَّبزواريِّ قدس سره</w:t>
      </w:r>
      <w:r>
        <w:rPr>
          <w:rStyle w:val="FootnoteAnchor"/>
          <w:rtl w:val="true"/>
        </w:rPr>
        <w:footnoteReference w:id="1705"/>
      </w:r>
      <w:r>
        <w:rPr>
          <w:rFonts w:ascii="Amiri" w:hAnsi="Amiri" w:eastAsia="Amiri" w:cs="Amiri"/>
          <w:color w:val="111111"/>
          <w:sz w:val="28"/>
          <w:sz w:val="28"/>
          <w:szCs w:val="28"/>
          <w:rtl w:val="true"/>
          <w:lang w:bidi="ar-SA"/>
        </w:rPr>
        <w:t>، والمجلسي الأوَّل</w:t>
      </w:r>
      <w:r>
        <w:rPr>
          <w:rStyle w:val="FootnoteAnchor"/>
          <w:rtl w:val="true"/>
        </w:rPr>
        <w:footnoteReference w:id="1706"/>
      </w:r>
      <w:r>
        <w:rPr>
          <w:rFonts w:ascii="Amiri" w:hAnsi="Amiri" w:eastAsia="Amiri" w:cs="Amiri"/>
          <w:color w:val="111111"/>
          <w:sz w:val="28"/>
          <w:sz w:val="28"/>
          <w:szCs w:val="28"/>
          <w:rtl w:val="true"/>
          <w:lang w:bidi="ar-SA"/>
        </w:rPr>
        <w:t>، وثانيهما قدس سرهما</w:t>
      </w:r>
      <w:r>
        <w:rPr>
          <w:rStyle w:val="FootnoteAnchor"/>
          <w:rtl w:val="true"/>
        </w:rPr>
        <w:footnoteReference w:id="1707"/>
      </w:r>
      <w:r>
        <w:rPr>
          <w:rFonts w:ascii="Amiri" w:hAnsi="Amiri" w:eastAsia="Amiri" w:cs="Amiri"/>
          <w:color w:val="111111"/>
          <w:sz w:val="28"/>
          <w:sz w:val="28"/>
          <w:szCs w:val="28"/>
          <w:rtl w:val="true"/>
          <w:lang w:bidi="ar-SA"/>
        </w:rPr>
        <w:t>أيضًا،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 عن غلامٍ رضَعَ من امرأةٍ أ 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رضَعا جميعًا من لبن فحلٍ واحدٍ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أُختَها الَّتي لم ترضعه كان فحلُها غير فحل الَّتي أرضعَتْ الغلامَ‌، فاختلف الفحلان، فلابأس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الكلينيُّ قدس سره</w:t>
      </w:r>
      <w:r>
        <w:rPr>
          <w:rStyle w:val="FootnoteAnchor"/>
          <w:rtl w:val="true"/>
        </w:rPr>
        <w:footnoteReference w:id="1708"/>
      </w:r>
      <w:r>
        <w:rPr>
          <w:rFonts w:ascii="Amiri" w:hAnsi="Amiri" w:eastAsia="Amiri" w:cs="Amiri"/>
          <w:color w:val="111111"/>
          <w:sz w:val="28"/>
          <w:sz w:val="28"/>
          <w:szCs w:val="28"/>
          <w:rtl w:val="true"/>
          <w:lang w:bidi="ar-SA"/>
        </w:rPr>
        <w:t>، والشَّيخ قدس سره</w:t>
      </w:r>
      <w:r>
        <w:rPr>
          <w:rStyle w:val="FootnoteAnchor"/>
          <w:rtl w:val="true"/>
        </w:rPr>
        <w:footnoteReference w:id="1709"/>
      </w:r>
      <w:r>
        <w:rPr>
          <w:rFonts w:ascii="Amiri" w:hAnsi="Amiri" w:eastAsia="Amiri" w:cs="Amiri"/>
          <w:color w:val="111111"/>
          <w:sz w:val="28"/>
          <w:sz w:val="28"/>
          <w:szCs w:val="28"/>
          <w:rtl w:val="true"/>
          <w:lang w:bidi="ar-SA"/>
        </w:rPr>
        <w:t>، والفيض قدس سره</w:t>
      </w:r>
      <w:r>
        <w:rPr>
          <w:rStyle w:val="FootnoteAnchor"/>
          <w:rtl w:val="true"/>
        </w:rPr>
        <w:footnoteReference w:id="1710"/>
      </w:r>
      <w:r>
        <w:rPr>
          <w:rFonts w:ascii="Amiri" w:hAnsi="Amiri" w:eastAsia="Amiri" w:cs="Amiri"/>
          <w:color w:val="111111"/>
          <w:sz w:val="28"/>
          <w:sz w:val="28"/>
          <w:szCs w:val="28"/>
          <w:rtl w:val="true"/>
          <w:lang w:bidi="ar-SA"/>
        </w:rPr>
        <w:t>، والحرُّ قدس سره</w:t>
      </w:r>
      <w:r>
        <w:rPr>
          <w:rStyle w:val="FootnoteAnchor"/>
          <w:rtl w:val="true"/>
        </w:rPr>
        <w:footnoteReference w:id="1711"/>
      </w:r>
      <w:r>
        <w:rPr>
          <w:rFonts w:ascii="Amiri" w:hAnsi="Amiri" w:eastAsia="Amiri" w:cs="Amiri"/>
          <w:color w:val="111111"/>
          <w:sz w:val="28"/>
          <w:sz w:val="28"/>
          <w:szCs w:val="28"/>
          <w:rtl w:val="true"/>
          <w:lang w:bidi="ar-SA"/>
        </w:rPr>
        <w:t>والسَّند وإن كان موثَّقًا بعمَّار بن موسىٰ السَّاباطي الفَطَحي، ولكن لابأس به، لعلُوِّ مرتبته أوَّلًا، ولاعتضاد الحديث بغيرها من أحاديث الباب ثانيًا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مالكُ بن عطيَّة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المرأةَ فتلِدُ منه ثمَّ ترضع من لبنه جاريةً أ يصلُحُ لولده من غيرها أن يتزوَّج تلك الجارية الَّتي أرضَعَتْها؟،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الأُختِ من الرَّضاعة، لأنَّ اللَّبن لفحلٍ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الصَّدوق قدس سره</w:t>
      </w:r>
      <w:r>
        <w:rPr>
          <w:rStyle w:val="FootnoteAnchor"/>
          <w:rtl w:val="true"/>
        </w:rPr>
        <w:footnoteReference w:id="1712"/>
      </w:r>
      <w:r>
        <w:rPr>
          <w:rFonts w:ascii="Amiri" w:hAnsi="Amiri" w:eastAsia="Amiri" w:cs="Amiri"/>
          <w:color w:val="111111"/>
          <w:sz w:val="28"/>
          <w:sz w:val="28"/>
          <w:szCs w:val="28"/>
          <w:rtl w:val="true"/>
          <w:lang w:bidi="ar-SA"/>
        </w:rPr>
        <w:t>، والفيض قدس سره</w:t>
      </w:r>
      <w:r>
        <w:rPr>
          <w:rStyle w:val="FootnoteAnchor"/>
          <w:rtl w:val="true"/>
        </w:rPr>
        <w:footnoteReference w:id="1713"/>
      </w:r>
      <w:r>
        <w:rPr>
          <w:rFonts w:ascii="Amiri" w:hAnsi="Amiri" w:eastAsia="Amiri" w:cs="Amiri"/>
          <w:color w:val="111111"/>
          <w:sz w:val="28"/>
          <w:sz w:val="28"/>
          <w:szCs w:val="28"/>
          <w:rtl w:val="true"/>
          <w:lang w:bidi="ar-SA"/>
        </w:rPr>
        <w:t>والحرُّ</w:t>
      </w:r>
      <w:r>
        <w:rPr>
          <w:rStyle w:val="FootnoteAnchor"/>
          <w:rtl w:val="true"/>
        </w:rPr>
        <w:footnoteReference w:id="17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صحَّحه صاحب المدارك قدس سره</w:t>
      </w:r>
      <w:r>
        <w:rPr>
          <w:rStyle w:val="FootnoteAnchor"/>
          <w:rtl w:val="true"/>
        </w:rPr>
        <w:footnoteReference w:id="1715"/>
      </w:r>
      <w:r>
        <w:rPr>
          <w:rFonts w:ascii="Amiri" w:hAnsi="Amiri" w:eastAsia="Amiri" w:cs="Amiri"/>
          <w:color w:val="111111"/>
          <w:sz w:val="28"/>
          <w:sz w:val="28"/>
          <w:szCs w:val="28"/>
          <w:rtl w:val="true"/>
          <w:lang w:bidi="ar-SA"/>
        </w:rPr>
        <w:t>مع تشديده في أمر تصحيح الأحاديث، والمحقِّق السَّبزواريُّ قدس سره</w:t>
      </w:r>
      <w:r>
        <w:rPr>
          <w:rStyle w:val="FootnoteAnchor"/>
          <w:rtl w:val="true"/>
        </w:rPr>
        <w:footnoteReference w:id="1716"/>
      </w:r>
      <w:r>
        <w:rPr>
          <w:rFonts w:ascii="Amiri" w:hAnsi="Amiri" w:eastAsia="Amiri" w:cs="Amiri"/>
          <w:color w:val="111111"/>
          <w:sz w:val="28"/>
          <w:sz w:val="28"/>
          <w:szCs w:val="28"/>
          <w:rtl w:val="true"/>
          <w:lang w:bidi="ar-SA"/>
        </w:rPr>
        <w:t>، والسَّيِّد صدرالدِّين العاملي قدس سره</w:t>
      </w:r>
      <w:r>
        <w:rPr>
          <w:rStyle w:val="FootnoteAnchor"/>
          <w:rtl w:val="true"/>
        </w:rPr>
        <w:footnoteReference w:id="171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غيرها، وقد جمعها الشَّيخ الحرُّ قدس سره في الباب السَّادس من أبواب الرَّضاع من جامعه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روايتان تدلَّانِ علىٰ الكراهة، جمعًا بينهما وبين غيرهما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أبوبصيرٍ عن أبي عبداللَّه عليه السلام في رجلٍ تزوَّج امرأةً فولدَتْ منه جاريةً‌، ثمَّ ماتَتْ المرأةُ فتزوَّج أُخرىٰ فولدَتْ منه ولدًا ثمَّ إنَّها أرضعَتْ من لبنها غلامًا، أ يحِلُّ لذلك الغُلامِ الَّذي أرضعَتْهُ أن يتزوَّجَ ابنةَ المرأة الَّتي كانتْ تحت الرَّجل قبلَ المرأة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1719"/>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720"/>
      </w:r>
      <w:r>
        <w:rPr>
          <w:rFonts w:ascii="Amiri" w:hAnsi="Amiri" w:eastAsia="Amiri" w:cs="Amiri"/>
          <w:color w:val="111111"/>
          <w:sz w:val="28"/>
          <w:sz w:val="28"/>
          <w:szCs w:val="28"/>
          <w:rtl w:val="true"/>
          <w:lang w:bidi="ar-SA"/>
        </w:rPr>
        <w:t>، وتهذيبه</w:t>
      </w:r>
      <w:r>
        <w:rPr>
          <w:rStyle w:val="FootnoteAnchor"/>
          <w:rtl w:val="true"/>
        </w:rPr>
        <w:footnoteReference w:id="1721"/>
      </w:r>
      <w:r>
        <w:rPr>
          <w:rFonts w:ascii="Amiri" w:hAnsi="Amiri" w:eastAsia="Amiri" w:cs="Amiri"/>
          <w:color w:val="111111"/>
          <w:sz w:val="28"/>
          <w:sz w:val="28"/>
          <w:szCs w:val="28"/>
          <w:rtl w:val="true"/>
          <w:lang w:bidi="ar-SA"/>
        </w:rPr>
        <w:t>، والفيض قدس سره</w:t>
      </w:r>
      <w:r>
        <w:rPr>
          <w:rStyle w:val="FootnoteAnchor"/>
          <w:rtl w:val="true"/>
        </w:rPr>
        <w:footnoteReference w:id="1722"/>
      </w:r>
      <w:r>
        <w:rPr>
          <w:rFonts w:ascii="Amiri" w:hAnsi="Amiri" w:eastAsia="Amiri" w:cs="Amiri"/>
          <w:color w:val="111111"/>
          <w:sz w:val="28"/>
          <w:sz w:val="28"/>
          <w:szCs w:val="28"/>
          <w:rtl w:val="true"/>
          <w:lang w:bidi="ar-SA"/>
        </w:rPr>
        <w:t>، والحرُّ قدس سره</w:t>
      </w:r>
      <w:r>
        <w:rPr>
          <w:rStyle w:val="FootnoteAnchor"/>
          <w:rtl w:val="true"/>
        </w:rPr>
        <w:footnoteReference w:id="1723"/>
      </w:r>
      <w:r>
        <w:rPr>
          <w:rFonts w:ascii="Amiri" w:hAnsi="Amiri" w:eastAsia="Amiri" w:cs="Amiri"/>
          <w:color w:val="111111"/>
          <w:sz w:val="28"/>
          <w:sz w:val="28"/>
          <w:szCs w:val="28"/>
          <w:rtl w:val="true"/>
          <w:lang w:bidi="ar-SA"/>
        </w:rPr>
        <w:t>بسندٍ صحيحٍ كما صحَّحها المجلسيُّ الأوَّل قدس سرهما</w:t>
      </w:r>
      <w:r>
        <w:rPr>
          <w:rStyle w:val="FootnoteAnchor"/>
          <w:rtl w:val="true"/>
        </w:rPr>
        <w:footnoteReference w:id="1724"/>
      </w:r>
      <w:r>
        <w:rPr>
          <w:rFonts w:ascii="Amiri" w:hAnsi="Amiri" w:eastAsia="Amiri" w:cs="Amiri"/>
          <w:color w:val="111111"/>
          <w:sz w:val="28"/>
          <w:sz w:val="28"/>
          <w:szCs w:val="28"/>
          <w:rtl w:val="true"/>
          <w:lang w:bidi="ar-SA"/>
        </w:rPr>
        <w:t>، والبحرانيُّ قدس سره</w:t>
      </w:r>
      <w:r>
        <w:rPr>
          <w:rStyle w:val="FootnoteAnchor"/>
          <w:rtl w:val="true"/>
        </w:rPr>
        <w:footnoteReference w:id="1725"/>
      </w:r>
      <w:r>
        <w:rPr>
          <w:rFonts w:ascii="Amiri" w:hAnsi="Amiri" w:eastAsia="Amiri" w:cs="Amiri"/>
          <w:color w:val="111111"/>
          <w:sz w:val="28"/>
          <w:sz w:val="28"/>
          <w:szCs w:val="28"/>
          <w:rtl w:val="true"/>
          <w:lang w:bidi="ar-SA"/>
        </w:rPr>
        <w:t xml:space="preserve">، والسَّيِّد </w:t>
      </w:r>
      <w:bookmarkStart w:id="610" w:name="pg20339_220585"/>
    </w:p>
    <w:p>
      <w:pPr>
        <w:pStyle w:val="BookText"/>
        <w:rPr/>
      </w:pPr>
      <w:bookmarkEnd w:id="610"/>
      <w:r>
        <w:rPr>
          <w:rFonts w:ascii="IRNazanin" w:hAnsi="IRNazanin" w:eastAsia="IRNazanin"/>
          <w:color w:val="111111"/>
          <w:sz w:val="28"/>
          <w:sz w:val="28"/>
          <w:szCs w:val="28"/>
          <w:rtl w:val="true"/>
          <w:lang w:bidi="fa-IR"/>
        </w:rPr>
        <w:t>محمَّد بحرالعلوم قدس سره</w:t>
      </w:r>
      <w:r>
        <w:rPr>
          <w:rStyle w:val="FootnoteAnchor"/>
          <w:rtl w:val="true"/>
        </w:rPr>
        <w:footnoteReference w:id="172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رجلٍ أرضعَتْ صبيًّا وله ابنةٌ من غيرها، أ يحلُّ لذلك الصَّبيِّ هذه الإبنةُ؟؛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ابنةَ رجلٍ قد رضعَتْ من لبن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1727"/>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728"/>
      </w:r>
      <w:r>
        <w:rPr>
          <w:rFonts w:ascii="Amiri" w:hAnsi="Amiri" w:eastAsia="Amiri" w:cs="Amiri"/>
          <w:color w:val="111111"/>
          <w:sz w:val="28"/>
          <w:sz w:val="28"/>
          <w:szCs w:val="28"/>
          <w:rtl w:val="true"/>
          <w:lang w:bidi="ar-SA"/>
        </w:rPr>
        <w:t>، وتهذيبه</w:t>
      </w:r>
      <w:r>
        <w:rPr>
          <w:rStyle w:val="FootnoteAnchor"/>
          <w:rtl w:val="true"/>
        </w:rPr>
        <w:footnoteReference w:id="1729"/>
      </w:r>
      <w:r>
        <w:rPr>
          <w:rFonts w:ascii="Amiri" w:hAnsi="Amiri" w:eastAsia="Amiri" w:cs="Amiri"/>
          <w:color w:val="111111"/>
          <w:sz w:val="28"/>
          <w:sz w:val="28"/>
          <w:szCs w:val="28"/>
          <w:rtl w:val="true"/>
          <w:lang w:bidi="ar-SA"/>
        </w:rPr>
        <w:t>، والفيض قدس سره</w:t>
      </w:r>
      <w:r>
        <w:rPr>
          <w:rStyle w:val="FootnoteAnchor"/>
          <w:rtl w:val="true"/>
        </w:rPr>
        <w:footnoteReference w:id="1730"/>
      </w:r>
      <w:r>
        <w:rPr>
          <w:rFonts w:ascii="Amiri" w:hAnsi="Amiri" w:eastAsia="Amiri" w:cs="Amiri"/>
          <w:color w:val="111111"/>
          <w:sz w:val="28"/>
          <w:sz w:val="28"/>
          <w:szCs w:val="28"/>
          <w:rtl w:val="true"/>
          <w:lang w:bidi="ar-SA"/>
        </w:rPr>
        <w:t>، والحرُّ قدس سره</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ووجه الجمع هو المرويُّ في الرِّواية الأولىٰ‌،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الكراهة، لا التَّحريم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979478_1280447820"/>
      <w:bookmarkStart w:id="612" w:name="_Toc228"/>
      <w:bookmarkEnd w:id="611"/>
      <w:r>
        <w:rPr>
          <w:rtl w:val="true"/>
        </w:rPr>
        <w:t>التَّنبيه الخامس</w:t>
      </w:r>
      <w:r>
        <w:rPr>
          <w:rtl w:val="true"/>
        </w:rPr>
        <w:t>:</w:t>
      </w:r>
      <w:bookmarkEnd w:id="612"/>
    </w:p>
    <w:p>
      <w:pPr>
        <w:pStyle w:val="BookText"/>
        <w:rPr/>
      </w:pPr>
      <w:r>
        <w:rPr>
          <w:rFonts w:ascii="Amiri" w:hAnsi="Amiri" w:eastAsia="Amiri" w:cs="Amiri"/>
          <w:color w:val="111111"/>
          <w:sz w:val="28"/>
          <w:sz w:val="28"/>
          <w:szCs w:val="28"/>
          <w:rtl w:val="true"/>
          <w:lang w:bidi="ar-SA"/>
        </w:rPr>
        <w:t>في عموم المنزلة قد اختلف الأصحاب في عموم المنزلة المستفادِّ من قوله صلى الله عليه و آله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بالرَّضاع ما يحرم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اتِّفاقهم علىٰ أنَّ عموم المنزلة يشمل السَّبعة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والبنتُ‌، والأختُ‌، والعمَّة، والخالةُ‌، وبنات الأخت، وبنات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المحرميَّة؛ أمَّا غيرها من الأحكام، كالنفقة والإرث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القدر المُتيَقَّن من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هذه السَّبعة، فالرَّضاع لايُوجِب الحرمةَ‌، وهذا هومقتضىٰ الأصل في المقام أيضًا، وهو عدم نشر الحرمة إلَّابدليلٍ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فالرَّضاع يوجب انتقال الرَّضيع حُكمًا إلى أُسرة المُرضِعة، فهي أمٌّ له وبعلُها أبٌ له وأولاده إخوةٌ وإخواتٌ له؛</w:t>
      </w:r>
    </w:p>
    <w:p>
      <w:pPr>
        <w:pStyle w:val="BookText"/>
        <w:rPr/>
      </w:pPr>
      <w:r>
        <w:rPr>
          <w:rFonts w:ascii="Amiri" w:hAnsi="Amiri" w:eastAsia="Amiri" w:cs="Amiri"/>
          <w:color w:val="111111"/>
          <w:sz w:val="28"/>
          <w:sz w:val="28"/>
          <w:szCs w:val="28"/>
          <w:rtl w:val="true"/>
          <w:lang w:bidi="ar-SA"/>
        </w:rPr>
        <w:t>أمَّا إنتقال المُرضِعة إلى أُسرة الرَّضيع، فلا؛ فليس أبوه زوجًا لها ولاإخوته وإخواته إخوةً وإخواتٍ لإخوته وإخواته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الإلحاق رواياتٌ ظاهرةٌ‌، صحيحةٌ سندًا ظاهرةٌ دلالةً‌، لكنَّ الأصحاب أعَرضُوا عنها فلم يعملوا بها؛ إلَّاأمين الإسلام الطَّبرسي قدس سره حيث ذهب إلى نشر الحرمة من قِبَل الأُمِّ مع عدم إتِّحاد الفَحل ولبنه</w:t>
      </w:r>
      <w:r>
        <w:rPr>
          <w:rStyle w:val="FootnoteAnchor"/>
          <w:rtl w:val="true"/>
        </w:rPr>
        <w:footnoteReference w:id="173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إلى قول ثاني المحقِّقين قدس سرهما بأنَّ الطَّبرسي قدس سره متفرِّدٌ بهذا القول بين أصحابنا</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أقوالٌ للقوم تشير إلى إعراضِهم عنها، فانظر إلى ما ذكره الفاضل الآبيُّ قدس سره</w:t>
      </w:r>
      <w:r>
        <w:rPr>
          <w:rStyle w:val="FootnoteAnchor"/>
          <w:rtl w:val="true"/>
        </w:rPr>
        <w:footnoteReference w:id="1734"/>
      </w:r>
      <w:r>
        <w:rPr>
          <w:rFonts w:ascii="Amiri" w:hAnsi="Amiri" w:eastAsia="Amiri" w:cs="Amiri"/>
          <w:color w:val="111111"/>
          <w:sz w:val="28"/>
          <w:sz w:val="28"/>
          <w:szCs w:val="28"/>
          <w:rtl w:val="true"/>
          <w:lang w:bidi="ar-SA"/>
        </w:rPr>
        <w:t>، والمحقِّق قدس سره</w:t>
      </w:r>
      <w:r>
        <w:rPr>
          <w:rStyle w:val="FootnoteAnchor"/>
          <w:rtl w:val="true"/>
        </w:rPr>
        <w:footnoteReference w:id="1735"/>
      </w:r>
      <w:r>
        <w:rPr>
          <w:rFonts w:ascii="Amiri" w:hAnsi="Amiri" w:eastAsia="Amiri" w:cs="Amiri"/>
          <w:color w:val="111111"/>
          <w:sz w:val="28"/>
          <w:sz w:val="28"/>
          <w:szCs w:val="28"/>
          <w:rtl w:val="true"/>
          <w:lang w:bidi="ar-SA"/>
        </w:rPr>
        <w:t>، والعلَّامة قدس سره</w:t>
      </w:r>
      <w:r>
        <w:rPr>
          <w:rStyle w:val="FootnoteAnchor"/>
          <w:rtl w:val="true"/>
        </w:rPr>
        <w:footnoteReference w:id="1736"/>
      </w:r>
      <w:r>
        <w:rPr>
          <w:rFonts w:ascii="Amiri" w:hAnsi="Amiri" w:eastAsia="Amiri" w:cs="Amiri"/>
          <w:color w:val="111111"/>
          <w:sz w:val="28"/>
          <w:sz w:val="28"/>
          <w:szCs w:val="28"/>
          <w:rtl w:val="true"/>
          <w:lang w:bidi="ar-SA"/>
        </w:rPr>
        <w:t xml:space="preserve">، وثاني المحقِّقين قدس سرهما </w:t>
      </w:r>
      <w:r>
        <w:rPr>
          <w:rStyle w:val="FootnoteAnchor"/>
          <w:rtl w:val="true"/>
        </w:rPr>
        <w:footnoteReference w:id="1737"/>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73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 أيضًا إلى الشَّيخ قدس سره</w:t>
      </w:r>
      <w:r>
        <w:rPr>
          <w:rStyle w:val="FootnoteAnchor"/>
          <w:rtl w:val="true"/>
        </w:rPr>
        <w:footnoteReference w:id="1739"/>
      </w:r>
      <w:r>
        <w:rPr>
          <w:rFonts w:ascii="Amiri" w:hAnsi="Amiri" w:eastAsia="Amiri" w:cs="Amiri"/>
          <w:color w:val="111111"/>
          <w:sz w:val="28"/>
          <w:sz w:val="28"/>
          <w:szCs w:val="28"/>
          <w:rtl w:val="true"/>
          <w:lang w:bidi="ar-SA"/>
        </w:rPr>
        <w:t>، وابن حمزة قدس سره</w:t>
      </w:r>
      <w:r>
        <w:rPr>
          <w:rStyle w:val="FootnoteAnchor"/>
          <w:rtl w:val="true"/>
        </w:rPr>
        <w:footnoteReference w:id="1740"/>
      </w:r>
      <w:r>
        <w:rPr>
          <w:rFonts w:ascii="Amiri" w:hAnsi="Amiri" w:eastAsia="Amiri" w:cs="Amiri"/>
          <w:color w:val="111111"/>
          <w:sz w:val="28"/>
          <w:sz w:val="28"/>
          <w:szCs w:val="28"/>
          <w:rtl w:val="true"/>
          <w:lang w:bidi="ar-SA"/>
        </w:rPr>
        <w:t>، وفخر المحقِّقين قدس سره</w:t>
      </w:r>
      <w:r>
        <w:rPr>
          <w:rStyle w:val="FootnoteAnchor"/>
          <w:rtl w:val="true"/>
        </w:rPr>
        <w:footnoteReference w:id="1741"/>
      </w:r>
      <w:r>
        <w:rPr>
          <w:rFonts w:ascii="Amiri" w:hAnsi="Amiri" w:eastAsia="Amiri" w:cs="Amiri"/>
          <w:color w:val="111111"/>
          <w:sz w:val="28"/>
          <w:sz w:val="28"/>
          <w:szCs w:val="28"/>
          <w:rtl w:val="true"/>
          <w:lang w:bidi="ar-SA"/>
        </w:rPr>
        <w:t>، لتتمَّ لك الفائدةُ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حملوها علىٰ التَّقيَّة، إذ اِستشمام رائحتها منها واضحٌ جدًّا؛</w:t>
      </w:r>
    </w:p>
    <w:p>
      <w:pPr>
        <w:pStyle w:val="BookText"/>
        <w:rPr/>
      </w:pPr>
      <w:r>
        <w:rPr>
          <w:rFonts w:ascii="Amiri" w:hAnsi="Amiri" w:eastAsia="Amiri" w:cs="Amiri"/>
          <w:color w:val="111111"/>
          <w:sz w:val="28"/>
          <w:sz w:val="28"/>
          <w:szCs w:val="28"/>
          <w:rtl w:val="true"/>
          <w:lang w:bidi="ar-SA"/>
        </w:rPr>
        <w:t xml:space="preserve">لأنَّ الأولىٰ والثَّانيَة منها مكاتَبَتان، ولذلك قال الشَّيخ قدس سره بعد نقل 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خرَجَ مخرجَ التَّقيَّة، لأنَّه موافقٌ لمذهب بعض العامَّة</w:t>
      </w:r>
      <w:r>
        <w:rPr>
          <w:rFonts w:eastAsia="Amiri" w:cs="Amiri" w:ascii="Amiri" w:hAnsi="Amiri"/>
          <w:color w:val="111111"/>
          <w:sz w:val="28"/>
          <w:szCs w:val="28"/>
          <w:rtl w:val="true"/>
          <w:lang w:bidi="ar-SA"/>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أبي الحسن عليه السلام امرأةٌ أرضَعَتْ بعض ولدي، هل يجوز لي أن أتزوَّجَ بعضَ ولدها؟، فكتب عليه السلام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ولدها صارَتْ بمنزلة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الصَّدوق قدس سره</w:t>
      </w:r>
      <w:r>
        <w:rPr>
          <w:rStyle w:val="FootnoteAnchor"/>
          <w:rtl w:val="true"/>
        </w:rPr>
        <w:footnoteReference w:id="1743"/>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1744"/>
      </w:r>
      <w:r>
        <w:rPr>
          <w:rFonts w:ascii="IRNazanin" w:hAnsi="IRNazanin" w:eastAsia="IRNazanin"/>
          <w:color w:val="111111"/>
          <w:sz w:val="28"/>
          <w:sz w:val="28"/>
          <w:szCs w:val="28"/>
          <w:rtl w:val="true"/>
          <w:lang w:bidi="fa-IR"/>
        </w:rPr>
        <w:t>، واِستبصاره</w:t>
      </w:r>
      <w:r>
        <w:rPr>
          <w:rStyle w:val="FootnoteAnchor"/>
          <w:rtl w:val="true"/>
        </w:rPr>
        <w:footnoteReference w:id="1745"/>
      </w:r>
      <w:r>
        <w:rPr>
          <w:rFonts w:ascii="Amiri" w:hAnsi="Amiri" w:eastAsia="Amiri" w:cs="Amiri"/>
          <w:color w:val="111111"/>
          <w:sz w:val="28"/>
          <w:sz w:val="28"/>
          <w:szCs w:val="28"/>
          <w:rtl w:val="true"/>
          <w:lang w:bidi="ar-SA"/>
        </w:rPr>
        <w:t>، والفيض قدس سره</w:t>
      </w:r>
      <w:r>
        <w:rPr>
          <w:rStyle w:val="FootnoteAnchor"/>
          <w:rtl w:val="true"/>
        </w:rPr>
        <w:footnoteReference w:id="1746"/>
      </w:r>
      <w:r>
        <w:rPr>
          <w:rFonts w:ascii="Amiri" w:hAnsi="Amiri" w:eastAsia="Amiri" w:cs="Amiri"/>
          <w:color w:val="111111"/>
          <w:sz w:val="28"/>
          <w:sz w:val="28"/>
          <w:szCs w:val="28"/>
          <w:rtl w:val="true"/>
          <w:lang w:bidi="ar-SA"/>
        </w:rPr>
        <w:t>، والحرُّ قدس سره</w:t>
      </w:r>
      <w:r>
        <w:rPr>
          <w:rStyle w:val="FootnoteAnchor"/>
          <w:rtl w:val="true"/>
        </w:rPr>
        <w:footnoteReference w:id="1747"/>
      </w:r>
      <w:r>
        <w:rPr>
          <w:rFonts w:ascii="Amiri" w:hAnsi="Amiri" w:eastAsia="Amiri" w:cs="Amiri"/>
          <w:color w:val="111111"/>
          <w:sz w:val="28"/>
          <w:sz w:val="28"/>
          <w:szCs w:val="28"/>
          <w:rtl w:val="true"/>
          <w:lang w:bidi="ar-SA"/>
        </w:rPr>
        <w:t>بسندٍ صحيحٍ كما صحَّحه المحقِّق السَّبزواريُّ قدس سره</w:t>
      </w:r>
      <w:r>
        <w:rPr>
          <w:rStyle w:val="FootnoteAnchor"/>
          <w:rtl w:val="true"/>
        </w:rPr>
        <w:footnoteReference w:id="1748"/>
      </w:r>
      <w:r>
        <w:rPr>
          <w:rFonts w:ascii="Amiri" w:hAnsi="Amiri" w:eastAsia="Amiri" w:cs="Amiri"/>
          <w:color w:val="111111"/>
          <w:sz w:val="28"/>
          <w:sz w:val="28"/>
          <w:szCs w:val="28"/>
          <w:rtl w:val="true"/>
          <w:lang w:bidi="ar-SA"/>
        </w:rPr>
        <w:t>، وأوَّل المجلسيَّين قدس سرهما</w:t>
      </w:r>
      <w:r>
        <w:rPr>
          <w:rStyle w:val="FootnoteAnchor"/>
          <w:rtl w:val="true"/>
        </w:rPr>
        <w:footnoteReference w:id="1749"/>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7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عبداللَّه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إمرأةٌ أرضعَتْ ولد الرَّجل، هل يحلُّ لذلك الرَّجل أن يتزوَّجَ ابنةَ هذه المُرضِعَة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1751"/>
      </w:r>
      <w:r>
        <w:rPr>
          <w:rFonts w:ascii="Amiri" w:hAnsi="Amiri" w:eastAsia="Amiri" w:cs="Amiri"/>
          <w:color w:val="111111"/>
          <w:sz w:val="28"/>
          <w:sz w:val="28"/>
          <w:szCs w:val="28"/>
          <w:rtl w:val="true"/>
          <w:lang w:bidi="ar-SA"/>
        </w:rPr>
        <w:t>، الصَّدوق قدس سره</w:t>
      </w:r>
      <w:r>
        <w:rPr>
          <w:rStyle w:val="FootnoteAnchor"/>
          <w:rtl w:val="true"/>
        </w:rPr>
        <w:footnoteReference w:id="1752"/>
      </w:r>
      <w:r>
        <w:rPr>
          <w:rFonts w:ascii="Amiri" w:hAnsi="Amiri" w:eastAsia="Amiri" w:cs="Amiri"/>
          <w:color w:val="111111"/>
          <w:sz w:val="28"/>
          <w:sz w:val="28"/>
          <w:szCs w:val="28"/>
          <w:rtl w:val="true"/>
          <w:lang w:bidi="ar-SA"/>
        </w:rPr>
        <w:t>، والفيض قدس سره</w:t>
      </w:r>
      <w:r>
        <w:rPr>
          <w:rStyle w:val="FootnoteAnchor"/>
          <w:rtl w:val="true"/>
        </w:rPr>
        <w:footnoteReference w:id="1753"/>
      </w:r>
      <w:r>
        <w:rPr>
          <w:rFonts w:ascii="Amiri" w:hAnsi="Amiri" w:eastAsia="Amiri" w:cs="Amiri"/>
          <w:color w:val="111111"/>
          <w:sz w:val="28"/>
          <w:sz w:val="28"/>
          <w:szCs w:val="28"/>
          <w:rtl w:val="true"/>
          <w:lang w:bidi="ar-SA"/>
        </w:rPr>
        <w:t>، والحرُّ قدس سره</w:t>
      </w:r>
      <w:r>
        <w:rPr>
          <w:rStyle w:val="FootnoteAnchor"/>
          <w:rtl w:val="true"/>
        </w:rPr>
        <w:footnoteReference w:id="1754"/>
      </w:r>
      <w:r>
        <w:rPr>
          <w:rFonts w:ascii="Amiri" w:hAnsi="Amiri" w:eastAsia="Amiri" w:cs="Amiri"/>
          <w:color w:val="111111"/>
          <w:sz w:val="28"/>
          <w:sz w:val="28"/>
          <w:szCs w:val="28"/>
          <w:rtl w:val="true"/>
          <w:lang w:bidi="ar-SA"/>
        </w:rPr>
        <w:t>بسندٍ صحيحٍ صحَّحه العلَّامة قدس سره</w:t>
      </w:r>
      <w:r>
        <w:rPr>
          <w:rStyle w:val="FootnoteAnchor"/>
          <w:rtl w:val="true"/>
        </w:rPr>
        <w:footnoteReference w:id="1755"/>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756"/>
      </w:r>
      <w:r>
        <w:rPr>
          <w:rFonts w:ascii="IRNazanin" w:hAnsi="IRNazanin" w:eastAsia="IRNazanin"/>
          <w:color w:val="111111"/>
          <w:sz w:val="28"/>
          <w:sz w:val="28"/>
          <w:szCs w:val="28"/>
          <w:rtl w:val="true"/>
          <w:lang w:bidi="fa-IR"/>
        </w:rPr>
        <w:t>، وصاحب الحدائق قدس سره</w:t>
      </w:r>
      <w:r>
        <w:rPr>
          <w:rStyle w:val="FootnoteAnchor"/>
          <w:rtl w:val="true"/>
        </w:rPr>
        <w:footnoteReference w:id="1757"/>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1758"/>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في القول الأوَّل من الأقوال الَّتي ذكرناها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رويناه في القول الرَّابع من الأقوال الَّتي ذكرناها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 الرَّضاع</w:t>
      </w:r>
      <w:r>
        <w:rPr>
          <w:rFonts w:eastAsia="Amiri" w:cs="Amiri" w:ascii="Amiri" w:hAnsi="Amiri"/>
          <w:color w:val="111111"/>
          <w:sz w:val="28"/>
          <w:szCs w:val="28"/>
          <w:rtl w:val="true"/>
          <w:lang w:bidi="ar-SA"/>
        </w:rPr>
        <w:t xml:space="preserve">» </w:t>
      </w:r>
      <w:bookmarkStart w:id="613" w:name="pg20339_220589"/>
    </w:p>
    <w:p>
      <w:pPr>
        <w:pStyle w:val="BookText"/>
        <w:rPr/>
      </w:pPr>
      <w:bookmarkEnd w:id="613"/>
      <w:r>
        <w:rPr>
          <w:rFonts w:ascii="Amiri" w:hAnsi="Amiri" w:eastAsia="Amiri" w:cs="Amiri"/>
          <w:color w:val="111111"/>
          <w:sz w:val="28"/>
          <w:sz w:val="28"/>
          <w:szCs w:val="28"/>
          <w:rtl w:val="true"/>
          <w:lang w:bidi="ar-SA"/>
        </w:rPr>
        <w:t>عن أبي بصيرٍ؛ وكذلك عن الحلبيِّ‌</w:t>
      </w:r>
      <w:r>
        <w:rPr>
          <w:rStyle w:val="FootnoteAnchor"/>
          <w:rtl w:val="true"/>
        </w:rPr>
        <w:footnoteReference w:id="1759"/>
      </w:r>
      <w:r>
        <w:rPr>
          <w:rFonts w:ascii="Amiri" w:hAnsi="Amiri" w:eastAsia="Amiri" w:cs="Amiri"/>
          <w:color w:val="111111"/>
          <w:sz w:val="28"/>
          <w:sz w:val="28"/>
          <w:szCs w:val="28"/>
          <w:rtl w:val="true"/>
          <w:lang w:bidi="ar-SA"/>
        </w:rPr>
        <w:t>يظهِران الكراهيَّة،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الشَّيخ الحرُّ العامِليُّ قدس سره بعد نقل 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سنأتي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الكراهيَّة</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وفي الثاني أيضًا 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نشرَ الحرمة يختصُّ بأسرة المُرضِعة، ولاتنتشر في أسرة الرَّضيع</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979480_1280447820"/>
      <w:bookmarkStart w:id="615" w:name="_Toc229"/>
      <w:bookmarkEnd w:id="614"/>
      <w:r>
        <w:rPr>
          <w:rtl w:val="true"/>
        </w:rPr>
        <w:t>التَّنبيه السَّادس</w:t>
      </w:r>
      <w:r>
        <w:rPr>
          <w:rtl w:val="true"/>
        </w:rPr>
        <w:t>:</w:t>
      </w:r>
      <w:bookmarkEnd w:id="615"/>
    </w:p>
    <w:p>
      <w:pPr>
        <w:pStyle w:val="BookText"/>
        <w:rPr/>
      </w:pPr>
      <w:r>
        <w:rPr>
          <w:rFonts w:ascii="Amiri" w:hAnsi="Amiri" w:eastAsia="Amiri" w:cs="Amiri"/>
          <w:color w:val="111111"/>
          <w:sz w:val="28"/>
          <w:sz w:val="28"/>
          <w:szCs w:val="28"/>
          <w:rtl w:val="true"/>
          <w:lang w:bidi="ar-SA"/>
        </w:rPr>
        <w:t xml:space="preserve">هل تنتشر الحرمةُ إلى ما يحرم من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 الزَّوجة، وكالرَّبيبة إذا دخل بأُمِّها، وكزوجة الإبن وزوجة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إنَّه كما يحرم بالرَّضاع ما يحرم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السَّبعة الَّتي ذكرناها أعلاه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بالرَّضاع ما يحرم بالسَّبَب لا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الزَّوجة، وزوجة الأب، وزوجة الإبن، والرَّبيبة إذا دخل بأُمِّها بعد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نشر الحرمة،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الأصل في أدلَّة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قد أشرنا إلى أنَّ صاحب الوسائل قدس سره قد أورَدَ كثيرًا منها في الباب الأوَّل من أبواب الرَّضاع</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بالرَّضاع ما يحرم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هذا الحديث النَّبويِّ صلى الله عليه و آله ولا في غيره من الأحاديث ذكرٌ عن نشر الحرمة </w:t>
      </w:r>
      <w:bookmarkStart w:id="616" w:name="pg20339_220590"/>
    </w:p>
    <w:p>
      <w:pPr>
        <w:pStyle w:val="BookText"/>
        <w:rPr/>
      </w:pPr>
      <w:bookmarkEnd w:id="61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ورد في جميعها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الذَّاهبين إلى نشر الحرمة والَمحْرميَّة بالسَّبَب أيضًا ذهبوا أوَّلًا إلى ما قلنا، من أنَّ الرَّضاع يُلحِق الرَّضيع بأسرة المُرضِعة؛ ثمَّ رتَّبوا علىٰ هذا الإلحاق ثانيًا ما يترتَّب علىٰ ولد المُرضعة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والإلحاقُ وإن كان صحيحًا، إلَّاأنَّ الكلام كلَّه في أنَّ إلحاقَ الرَّضيع إلى محارم المُرضِعة السَّببيَّة 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رواياتٍ يظهر منها خلافُ ما اخترناه، وسنُشيرُ إليها في تنبيهٍ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فقاعدة أصالة عدم الحرمة والَمحرميَّة محكمةٌ في المقام لايمكن العدول عنها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1979482_1280447820"/>
      <w:bookmarkStart w:id="618" w:name="_Toc230"/>
      <w:bookmarkEnd w:id="617"/>
      <w:r>
        <w:rPr>
          <w:rtl w:val="true"/>
        </w:rPr>
        <w:t>التَّنبيه السَّابع</w:t>
      </w:r>
      <w:r>
        <w:rPr>
          <w:rtl w:val="true"/>
        </w:rPr>
        <w:t>:</w:t>
      </w:r>
      <w:bookmarkEnd w:id="618"/>
    </w:p>
    <w:p>
      <w:pPr>
        <w:pStyle w:val="BookText"/>
        <w:rPr/>
      </w:pPr>
      <w:r>
        <w:rPr>
          <w:rFonts w:ascii="Amiri" w:hAnsi="Amiri" w:eastAsia="Amiri" w:cs="Amiri"/>
          <w:color w:val="111111"/>
          <w:sz w:val="28"/>
          <w:sz w:val="28"/>
          <w:szCs w:val="28"/>
          <w:rtl w:val="true"/>
          <w:lang w:bidi="ar-SA"/>
        </w:rPr>
        <w:t>المشهور بين الأصحاب أنَّ الرَّضاع بعد النِّكاح يُبطِل النِّكاح، كما أنَّه قبل النِّكاح أيضًا يُوجِب حرمتَه؛ فلوارتضعَتْ إحدىٰ محارم الرَّجل زوجَتَه الرَّضيعة تحرُمُ الرَّضيعة علىٰ هذا الرَّجل،</w:t>
      </w:r>
    </w:p>
    <w:p>
      <w:pPr>
        <w:pStyle w:val="BookText"/>
        <w:rPr/>
      </w:pPr>
      <w:r>
        <w:rPr>
          <w:rFonts w:ascii="Amiri" w:hAnsi="Amiri" w:eastAsia="Amiri" w:cs="Amiri"/>
          <w:color w:val="111111"/>
          <w:sz w:val="28"/>
          <w:sz w:val="28"/>
          <w:szCs w:val="28"/>
          <w:rtl w:val="true"/>
          <w:lang w:bidi="ar-SA"/>
        </w:rPr>
        <w:t>فلوارتضعَتْ أُمُّ الرَّجل زوجتَه الرَّضيعة تحرمُ عليه، لأنَّها صارتْ بهذا الرَّضاع أُختًا له؛</w:t>
      </w:r>
    </w:p>
    <w:p>
      <w:pPr>
        <w:pStyle w:val="BookText"/>
        <w:rPr/>
      </w:pPr>
      <w:r>
        <w:rPr>
          <w:rFonts w:ascii="Amiri" w:hAnsi="Amiri" w:eastAsia="Amiri" w:cs="Amiri"/>
          <w:color w:val="111111"/>
          <w:sz w:val="28"/>
          <w:sz w:val="28"/>
          <w:szCs w:val="28"/>
          <w:rtl w:val="true"/>
          <w:lang w:bidi="ar-SA"/>
        </w:rPr>
        <w:t>وكذلك إذا ارتضعَتْها أُختُها، لأنَّها صارتْ بنتَ أُخته؛</w:t>
      </w:r>
    </w:p>
    <w:p>
      <w:pPr>
        <w:pStyle w:val="BookText"/>
        <w:rPr/>
      </w:pPr>
      <w:r>
        <w:rPr>
          <w:rFonts w:ascii="Amiri" w:hAnsi="Amiri" w:eastAsia="Amiri" w:cs="Amiri"/>
          <w:color w:val="111111"/>
          <w:sz w:val="28"/>
          <w:sz w:val="28"/>
          <w:szCs w:val="28"/>
          <w:rtl w:val="true"/>
          <w:lang w:bidi="ar-SA"/>
        </w:rPr>
        <w:t>وكذلك إذا ارتضعَتْها زوجتُه الكبيرةُ‌، لأنَّها صارَتْ بنتًا له وصار أبًا لها</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وأمثلَةُ المقام كثيرةٌ جدًّا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 قال السَّيِّد صدرالدِّين العاملي الأصفهاني قدس سره في شرح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لوأرضَعَ الثَّلاثُ من ربائبه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انفسَخْنَ أو حَرُمنَ 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له زوجةٌ كبيرةٌ وثلاث صغارٍ وللكبيرة ثلاث بناتٍ مراضع، فأرضعن زوجاته لم يكن بدٌّ من وقوع فسخٍ في نكاحهنَّ‌</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الُمحرِّم يمنع من النِّكاح سابقًا، ويُبطِلُه لاحقًا</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وانظر أيضًا إلى ما ذكره البحرانيُّ قدس سره</w:t>
      </w:r>
      <w:r>
        <w:rPr>
          <w:rStyle w:val="FootnoteAnchor"/>
          <w:rtl w:val="true"/>
        </w:rPr>
        <w:footnoteReference w:id="1765"/>
      </w:r>
      <w:r>
        <w:rPr>
          <w:rFonts w:ascii="Amiri" w:hAnsi="Amiri" w:eastAsia="Amiri" w:cs="Amiri"/>
          <w:color w:val="111111"/>
          <w:sz w:val="28"/>
          <w:sz w:val="28"/>
          <w:szCs w:val="28"/>
          <w:rtl w:val="true"/>
          <w:lang w:bidi="ar-SA"/>
        </w:rPr>
        <w:t>، والنَّراقيُّ قدس سره</w:t>
      </w:r>
      <w:r>
        <w:rPr>
          <w:rStyle w:val="FootnoteAnchor"/>
          <w:rtl w:val="true"/>
        </w:rPr>
        <w:footnoteReference w:id="1766"/>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767"/>
      </w:r>
      <w:r>
        <w:rPr>
          <w:rFonts w:ascii="Amiri" w:hAnsi="Amiri" w:eastAsia="Amiri" w:cs="Amiri"/>
          <w:color w:val="111111"/>
          <w:sz w:val="28"/>
          <w:sz w:val="28"/>
          <w:szCs w:val="28"/>
          <w:rtl w:val="true"/>
          <w:lang w:bidi="ar-SA"/>
        </w:rPr>
        <w:t>وعن ثاني الشَّهيدَين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لاإشكال فيه</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وعن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فيه علىٰ الظَّاهر</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وأعلىٰ من الكلِّ أنَّ الفقيه السَّبزواريَّ قدس سره ادَّعىٰ ثبوتَ إجماع المسلمين عليه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واستدلَّت الأصحاب بما رواه الشَّيخ الحُرُّ في بابي العاشر والرَّابع عشر من أبواب الرَّضاع، وهذه الرِّوايات صحيحةٌ سندًا ودلالةً‌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الفحصَ في الفقه يدلُّنا علىٰ خلاف هذا الرَّأي لو لم يكن تعبُّدٌ في البين، لأنَّه لم نجد في فقهنا شيئًا يُفسِد عقدَ النِّكاح بعد وقوعه، وجميع الأسباب الَّتي ذكروها لفَساد العقد تقع قبل وقوعه، لابعده؛ فمن لاط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من جميع ما </w:t>
      </w:r>
    </w:p>
    <w:p>
      <w:pPr>
        <w:pStyle w:val="BookText"/>
        <w:rPr/>
      </w:pPr>
      <w:r>
        <w:rPr>
          <w:rFonts w:ascii="Amiri" w:hAnsi="Amiri" w:eastAsia="Amiri" w:cs="Amiri"/>
          <w:color w:val="111111"/>
          <w:sz w:val="28"/>
          <w:sz w:val="28"/>
          <w:szCs w:val="28"/>
          <w:rtl w:val="true"/>
          <w:lang w:bidi="ar-SA"/>
        </w:rPr>
        <w:t xml:space="preserve">يُبغِضُه ويكرهه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يتزوَّج بأُخته، فاللَّواط الواقع قبل العقد يمنع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كثيرين، منهم المفيد قدس سره</w:t>
      </w:r>
      <w:r>
        <w:rPr>
          <w:rStyle w:val="FootnoteAnchor"/>
          <w:rtl w:val="true"/>
        </w:rPr>
        <w:footnoteReference w:id="1771"/>
      </w:r>
      <w:r>
        <w:rPr>
          <w:rFonts w:ascii="Amiri" w:hAnsi="Amiri" w:eastAsia="Amiri" w:cs="Amiri"/>
          <w:color w:val="111111"/>
          <w:sz w:val="28"/>
          <w:sz w:val="28"/>
          <w:szCs w:val="28"/>
          <w:rtl w:val="true"/>
          <w:lang w:bidi="ar-SA"/>
        </w:rPr>
        <w:t>، وابنُزهرة قدس سره</w:t>
      </w:r>
      <w:r>
        <w:rPr>
          <w:rStyle w:val="FootnoteAnchor"/>
          <w:rtl w:val="true"/>
        </w:rPr>
        <w:footnoteReference w:id="1772"/>
      </w:r>
      <w:r>
        <w:rPr>
          <w:rFonts w:ascii="Amiri" w:hAnsi="Amiri" w:eastAsia="Amiri" w:cs="Amiri"/>
          <w:color w:val="111111"/>
          <w:sz w:val="28"/>
          <w:sz w:val="28"/>
          <w:szCs w:val="28"/>
          <w:rtl w:val="true"/>
          <w:lang w:bidi="ar-SA"/>
        </w:rPr>
        <w:t>، ويحيىٰ بن سعيدٍ قدس سره</w:t>
      </w:r>
      <w:r>
        <w:rPr>
          <w:rStyle w:val="FootnoteAnchor"/>
          <w:rtl w:val="true"/>
        </w:rPr>
        <w:footnoteReference w:id="1773"/>
      </w:r>
      <w:r>
        <w:rPr>
          <w:rFonts w:ascii="Amiri" w:hAnsi="Amiri" w:eastAsia="Amiri" w:cs="Amiri"/>
          <w:color w:val="111111"/>
          <w:sz w:val="28"/>
          <w:sz w:val="28"/>
          <w:szCs w:val="28"/>
          <w:rtl w:val="true"/>
          <w:lang w:bidi="ar-SA"/>
        </w:rPr>
        <w:t>، والعلَّامة قدس سره في تبصرته</w:t>
      </w:r>
      <w:r>
        <w:rPr>
          <w:rStyle w:val="FootnoteAnchor"/>
          <w:rtl w:val="true"/>
        </w:rPr>
        <w:footnoteReference w:id="1774"/>
      </w:r>
      <w:r>
        <w:rPr>
          <w:rFonts w:ascii="Amiri" w:hAnsi="Amiri" w:eastAsia="Amiri" w:cs="Amiri"/>
          <w:color w:val="111111"/>
          <w:sz w:val="28"/>
          <w:sz w:val="28"/>
          <w:szCs w:val="28"/>
          <w:rtl w:val="true"/>
          <w:lang w:bidi="ar-SA"/>
        </w:rPr>
        <w:t>، وتحريره</w:t>
      </w:r>
      <w:r>
        <w:rPr>
          <w:rStyle w:val="FootnoteAnchor"/>
          <w:rtl w:val="true"/>
        </w:rPr>
        <w:footnoteReference w:id="1775"/>
      </w:r>
      <w:r>
        <w:rPr>
          <w:rFonts w:ascii="Amiri" w:hAnsi="Amiri" w:eastAsia="Amiri" w:cs="Amiri"/>
          <w:color w:val="111111"/>
          <w:sz w:val="28"/>
          <w:sz w:val="28"/>
          <w:szCs w:val="28"/>
          <w:rtl w:val="true"/>
          <w:lang w:bidi="ar-SA"/>
        </w:rPr>
        <w:t>، والسَّيِّد الأعرجيُّ قدس سره</w:t>
      </w:r>
      <w:r>
        <w:rPr>
          <w:rStyle w:val="FootnoteAnchor"/>
          <w:rtl w:val="true"/>
        </w:rPr>
        <w:footnoteReference w:id="1776"/>
      </w:r>
      <w:r>
        <w:rPr>
          <w:rFonts w:ascii="Amiri" w:hAnsi="Amiri" w:eastAsia="Amiri" w:cs="Amiri"/>
          <w:color w:val="111111"/>
          <w:sz w:val="28"/>
          <w:sz w:val="28"/>
          <w:szCs w:val="28"/>
          <w:rtl w:val="true"/>
          <w:lang w:bidi="ar-SA"/>
        </w:rPr>
        <w:t>، والمحقِّق قدس سره</w:t>
      </w:r>
      <w:r>
        <w:rPr>
          <w:rStyle w:val="FootnoteAnchor"/>
          <w:rtl w:val="true"/>
        </w:rPr>
        <w:footnoteReference w:id="1777"/>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1778"/>
      </w:r>
      <w:r>
        <w:rPr>
          <w:rFonts w:ascii="Amiri" w:hAnsi="Amiri" w:eastAsia="Amiri" w:cs="Amiri"/>
          <w:color w:val="111111"/>
          <w:sz w:val="28"/>
          <w:sz w:val="28"/>
          <w:szCs w:val="28"/>
          <w:rtl w:val="true"/>
          <w:lang w:bidi="ar-SA"/>
        </w:rPr>
        <w:t>، والسَّيِّد الطَّباطبائيُّ قدس سره</w:t>
      </w:r>
      <w:r>
        <w:rPr>
          <w:rStyle w:val="FootnoteAnchor"/>
          <w:rtl w:val="true"/>
        </w:rPr>
        <w:footnoteReference w:id="1779"/>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لاط به بعد وقوع العقد فلايُفسِد النكاحَ قطعًا؛ وكذلك الزِّنا بالمرأة يُوجِب الحرمة الأبديَّة، فلايمكن للزَّاني أن يتزوَّج ببِنتها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لووقع الزِّنا بعد عقد النِّكاح فلايوجب فَساد العقد؛ كما عن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فلوزنىٰ بأمِّ امرأته بعد العقد أو بابنتها أو لاط بأخيها أو ابنتها أو ابيها، لم تحرم امرأتُه عليه</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ومثله ما عن غيره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619" w:name="pg20339_220593"/>
    </w:p>
    <w:p>
      <w:pPr>
        <w:pStyle w:val="BookText"/>
        <w:rPr/>
      </w:pPr>
      <w:bookmarkEnd w:id="619"/>
      <w:r>
        <w:rPr>
          <w:rFonts w:ascii="Amiri" w:hAnsi="Amiri" w:eastAsia="Amiri" w:cs="Amiri"/>
          <w:color w:val="111111"/>
          <w:sz w:val="28"/>
          <w:sz w:val="28"/>
          <w:szCs w:val="28"/>
          <w:rtl w:val="true"/>
          <w:lang w:bidi="ar-SA"/>
        </w:rPr>
        <w:t xml:space="preserve">فالقول بفساد العقد هيهنا يحتاجُ إلى دليلٍ تعبُّديٍّ خاصٍّ‌؛ وحيث إنَّ الرِّوايات الواردة في باب الرَّضاع متَشتَّتَةٌ وفيها الخلاف كثيرًا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بحرمة الزَّوجة الصَّغيرة بارتضاعها من محارم الرَّجل، قولٌ مجمَعٌ عليه بين العامَّة؛ كما تشهد به نصوصُ النَّوَويِّ‌</w:t>
      </w:r>
      <w:r>
        <w:rPr>
          <w:rStyle w:val="FootnoteAnchor"/>
          <w:rtl w:val="true"/>
        </w:rPr>
        <w:footnoteReference w:id="1782"/>
      </w:r>
      <w:r>
        <w:rPr>
          <w:rFonts w:ascii="Amiri" w:hAnsi="Amiri" w:eastAsia="Amiri" w:cs="Amiri"/>
          <w:color w:val="111111"/>
          <w:sz w:val="28"/>
          <w:sz w:val="28"/>
          <w:szCs w:val="28"/>
          <w:rtl w:val="true"/>
          <w:lang w:bidi="ar-SA"/>
        </w:rPr>
        <w:t>، والشَّربيني</w:t>
      </w:r>
      <w:r>
        <w:rPr>
          <w:rStyle w:val="FootnoteAnchor"/>
          <w:rtl w:val="true"/>
        </w:rPr>
        <w:footnoteReference w:id="1783"/>
      </w:r>
      <w:r>
        <w:rPr>
          <w:rFonts w:ascii="Amiri" w:hAnsi="Amiri" w:eastAsia="Amiri" w:cs="Amiri"/>
          <w:color w:val="111111"/>
          <w:sz w:val="28"/>
          <w:sz w:val="28"/>
          <w:szCs w:val="28"/>
          <w:rtl w:val="true"/>
          <w:lang w:bidi="ar-SA"/>
        </w:rPr>
        <w:t>، والشَّافعي الصَّغير</w:t>
      </w:r>
      <w:r>
        <w:rPr>
          <w:rStyle w:val="FootnoteAnchor"/>
          <w:rtl w:val="true"/>
        </w:rPr>
        <w:footnoteReference w:id="1784"/>
      </w:r>
      <w:r>
        <w:rPr>
          <w:rFonts w:ascii="Amiri" w:hAnsi="Amiri" w:eastAsia="Amiri" w:cs="Amiri"/>
          <w:color w:val="111111"/>
          <w:sz w:val="28"/>
          <w:sz w:val="28"/>
          <w:szCs w:val="28"/>
          <w:rtl w:val="true"/>
          <w:lang w:bidi="ar-SA"/>
        </w:rPr>
        <w:t>، والبهوتيِّ‌</w:t>
      </w:r>
      <w:r>
        <w:rPr>
          <w:rStyle w:val="FootnoteAnchor"/>
          <w:rtl w:val="true"/>
        </w:rPr>
        <w:footnoteReference w:id="1785"/>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فلايمكن الذِّهاب إلى مدلول هذه الرِّوايات الَّتي لاشكَّ في صدورها علىٰ سبيل التَّقيَّة؛ فهي متَّهَمَةٌ‌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لاسبيل إلَّاإلى الاِستصحاب، وهو يقتضي عدم الحرمة وعدم نشر التَّحريم؛</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وإبداءَ هذا الاحتمال ونظائره بعد ثبوت الإجماع علىٰ المسألة</w:t>
      </w:r>
      <w:r>
        <w:rPr>
          <w:rStyle w:val="FootnoteAnchor"/>
          <w:rtl w:val="true"/>
        </w:rPr>
        <w:footnoteReference w:id="1786"/>
      </w:r>
      <w:r>
        <w:rPr>
          <w:rFonts w:ascii="Amiri" w:hAnsi="Amiri" w:eastAsia="Amiri" w:cs="Amiri"/>
          <w:color w:val="111111"/>
          <w:sz w:val="28"/>
          <w:sz w:val="28"/>
          <w:szCs w:val="28"/>
          <w:rtl w:val="true"/>
          <w:lang w:bidi="ar-SA"/>
        </w:rPr>
        <w:t>وظهور الرِّوايات فيها ليس في محلِّه أصلًا</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979484_1280447820"/>
      <w:bookmarkStart w:id="621" w:name="_Toc231"/>
      <w:bookmarkEnd w:id="620"/>
      <w:r>
        <w:rPr>
          <w:rtl w:val="true"/>
        </w:rPr>
        <w:t>التَّنبيه الثَّامن</w:t>
      </w:r>
      <w:r>
        <w:rPr>
          <w:rtl w:val="true"/>
        </w:rPr>
        <w:t>:</w:t>
      </w:r>
      <w:bookmarkEnd w:id="6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الرَّضاع موضوعٌ كغيره من الموضوعات العُرفيَّة؛ فإذن يُثبَت بالعلم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وبالإقرار، وبالبيِّنة، بل بالعدل الواحد، بل بالواحدة، من غير فرقٍ بين الرِّجال والنِّساء في ذلك؛ </w:t>
      </w:r>
    </w:p>
    <w:p>
      <w:pPr>
        <w:pStyle w:val="BookText"/>
        <w:rPr/>
      </w:pPr>
      <w:r>
        <w:rPr>
          <w:rFonts w:ascii="Amiri" w:hAnsi="Amiri" w:eastAsia="Amiri" w:cs="Amiri"/>
          <w:color w:val="111111"/>
          <w:sz w:val="28"/>
          <w:sz w:val="28"/>
          <w:szCs w:val="28"/>
          <w:rtl w:val="true"/>
          <w:lang w:bidi="ar-SA"/>
        </w:rPr>
        <w:t xml:space="preserve">خلافًا للشَّيخ قدس سره حيث ذهب إلى أنَّ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في الرَّضاع أصلًا</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وعن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لايثبت الرَّضاع بقول المرضعة، بل يفتقر ثبوته إلى بيِّنةٍ عادلةٍ‌</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وعن ابن إدريس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لايثبت الرَّضاع بشهادة النِّساء، لاالمرضعة ولاغيرها، كثرن أو قَلَلنَ‌</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وعن ابن سعيدٍ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لايثبت الرَّضاع إلَّابشاهِدَي عدلٍ‌</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ونظير العبارات ما عن العلَّامة قدس سره</w:t>
      </w:r>
      <w:r>
        <w:rPr>
          <w:rStyle w:val="FootnoteAnchor"/>
          <w:rtl w:val="true"/>
        </w:rPr>
        <w:footnoteReference w:id="1791"/>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ابنُ حمزة قدس سره</w:t>
      </w:r>
      <w:r>
        <w:rPr>
          <w:rStyle w:val="FootnoteAnchor"/>
          <w:rtl w:val="true"/>
        </w:rPr>
        <w:footnoteReference w:id="1792"/>
      </w:r>
      <w:r>
        <w:rPr>
          <w:rFonts w:ascii="Amiri" w:hAnsi="Amiri" w:eastAsia="Amiri" w:cs="Amiri"/>
          <w:color w:val="111111"/>
          <w:sz w:val="28"/>
          <w:sz w:val="28"/>
          <w:szCs w:val="28"/>
          <w:rtl w:val="true"/>
          <w:lang w:bidi="ar-SA"/>
        </w:rPr>
        <w:t>، وسلَّار قدس سره</w:t>
      </w:r>
      <w:r>
        <w:rPr>
          <w:rStyle w:val="FootnoteAnchor"/>
          <w:rtl w:val="true"/>
        </w:rPr>
        <w:footnoteReference w:id="1793"/>
      </w:r>
      <w:r>
        <w:rPr>
          <w:rFonts w:ascii="Amiri" w:hAnsi="Amiri" w:eastAsia="Amiri" w:cs="Amiri"/>
          <w:color w:val="111111"/>
          <w:sz w:val="28"/>
          <w:sz w:val="28"/>
          <w:szCs w:val="28"/>
          <w:rtl w:val="true"/>
          <w:lang w:bidi="ar-SA"/>
        </w:rPr>
        <w:t>إلى أنَّه يثبت بشهادة رجلٍ وامرأتين، أو أربع نساءٍ‌، وعن القطَّان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تكون المُرضِعة إحداهنَّ‌</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لكنَّ القول متروكٌ بين الأصحاب؛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مع جمعٍ من المعاصرين حيث ذكروا اليقينَ والإطمئنان وشهادة النِّساء من طُرُق العلم بثبوت الرَّضاع، كالشَّيخ الفقيه الأراكيِّ قدس سره</w:t>
      </w:r>
      <w:r>
        <w:rPr>
          <w:rStyle w:val="FootnoteAnchor"/>
          <w:rtl w:val="true"/>
        </w:rPr>
        <w:footnoteReference w:id="1795"/>
      </w:r>
      <w:r>
        <w:rPr>
          <w:rFonts w:ascii="Amiri" w:hAnsi="Amiri" w:eastAsia="Amiri" w:cs="Amiri"/>
          <w:color w:val="111111"/>
          <w:sz w:val="28"/>
          <w:sz w:val="28"/>
          <w:szCs w:val="28"/>
          <w:rtl w:val="true"/>
          <w:lang w:bidi="ar-SA"/>
        </w:rPr>
        <w:t>، وغيره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اشتهر بين الأصحاب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العدل الواحد فضلًا عن الواحدة في الموضوعات، بل يحتاج إثبات الموضوعات إلى العلم أو البيِّنة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دليل حجِّيَّة خبر الثِّقة هو بناء العقلاء مع عدم الرَّدع عنه، وبناء العُقلاء استقرَّ علىٰ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إمرءةً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 وإن لم يذهبوا إلى حجِّيَّته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 هذا المطلب يُطلَب من مسفوراتنا في علم الأصول</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أقلَّ من كونها موثَّقةً‌، كما وثَّقها البحرانيُّ قدس سره</w:t>
      </w:r>
      <w:r>
        <w:rPr>
          <w:rStyle w:val="FootnoteAnchor"/>
          <w:rtl w:val="true"/>
        </w:rPr>
        <w:footnoteReference w:id="1798"/>
      </w:r>
      <w:r>
        <w:rPr>
          <w:rFonts w:ascii="Amiri" w:hAnsi="Amiri" w:eastAsia="Amiri" w:cs="Amiri"/>
          <w:color w:val="111111"/>
          <w:sz w:val="28"/>
          <w:sz w:val="28"/>
          <w:szCs w:val="28"/>
          <w:rtl w:val="true"/>
          <w:lang w:bidi="ar-SA"/>
        </w:rPr>
        <w:t>، وثاني النَّراقيَّين قدس سرهما</w:t>
      </w:r>
      <w:r>
        <w:rPr>
          <w:rStyle w:val="FootnoteAnchor"/>
          <w:rtl w:val="true"/>
        </w:rPr>
        <w:footnoteReference w:id="1799"/>
      </w:r>
      <w:r>
        <w:rPr>
          <w:rFonts w:ascii="Amiri" w:hAnsi="Amiri" w:eastAsia="Amiri" w:cs="Amiri"/>
          <w:color w:val="111111"/>
          <w:sz w:val="28"/>
          <w:sz w:val="28"/>
          <w:szCs w:val="28"/>
          <w:rtl w:val="true"/>
          <w:lang w:bidi="ar-SA"/>
        </w:rPr>
        <w:t>، وسيِّدُنا الأستاذ المحقِّق الدَّاماد قدس سره</w:t>
      </w:r>
      <w:r>
        <w:rPr>
          <w:rStyle w:val="FootnoteAnchor"/>
          <w:rtl w:val="true"/>
        </w:rPr>
        <w:footnoteReference w:id="1800"/>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هذا حتَّي يستبينَ لك غيرُ ذلك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801"/>
      </w:r>
      <w:r>
        <w:rPr>
          <w:rFonts w:ascii="Amiri" w:hAnsi="Amiri" w:eastAsia="Amiri" w:cs="Amiri"/>
          <w:color w:val="111111"/>
          <w:sz w:val="28"/>
          <w:sz w:val="28"/>
          <w:szCs w:val="28"/>
          <w:rtl w:val="true"/>
          <w:lang w:bidi="ar-SA"/>
        </w:rPr>
        <w:t>، والشَّيخ قدس سره</w:t>
      </w:r>
      <w:r>
        <w:rPr>
          <w:rStyle w:val="FootnoteAnchor"/>
          <w:rtl w:val="true"/>
        </w:rPr>
        <w:footnoteReference w:id="1802"/>
      </w:r>
      <w:r>
        <w:rPr>
          <w:rFonts w:ascii="Amiri" w:hAnsi="Amiri" w:eastAsia="Amiri" w:cs="Amiri"/>
          <w:color w:val="111111"/>
          <w:sz w:val="28"/>
          <w:sz w:val="28"/>
          <w:szCs w:val="28"/>
          <w:rtl w:val="true"/>
          <w:lang w:bidi="ar-SA"/>
        </w:rPr>
        <w:t>، والفيض قدس سره</w:t>
      </w:r>
      <w:r>
        <w:rPr>
          <w:rStyle w:val="FootnoteAnchor"/>
          <w:rtl w:val="true"/>
        </w:rPr>
        <w:footnoteReference w:id="1803"/>
      </w:r>
      <w:r>
        <w:rPr>
          <w:rFonts w:ascii="Amiri" w:hAnsi="Amiri" w:eastAsia="Amiri" w:cs="Amiri"/>
          <w:color w:val="111111"/>
          <w:sz w:val="28"/>
          <w:sz w:val="28"/>
          <w:szCs w:val="28"/>
          <w:rtl w:val="true"/>
          <w:lang w:bidi="ar-SA"/>
        </w:rPr>
        <w:t>، والحرُّ قدس سره</w:t>
      </w:r>
      <w:r>
        <w:rPr>
          <w:rStyle w:val="FootnoteAnchor"/>
          <w:rtl w:val="true"/>
        </w:rPr>
        <w:footnoteReference w:id="180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تقوم مقامَ ردعِ الشَّارع عنه‌؟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وأمثالَها ليس لها أن تردع عنه، إذ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شيءٍ إذن </w:t>
      </w:r>
    </w:p>
    <w:p>
      <w:pPr>
        <w:pStyle w:val="BookText"/>
        <w:rPr/>
      </w:pPr>
      <w:r>
        <w:rPr>
          <w:rFonts w:ascii="Amiri" w:hAnsi="Amiri" w:eastAsia="Amiri" w:cs="Amiri"/>
          <w:color w:val="111111"/>
          <w:sz w:val="28"/>
          <w:sz w:val="28"/>
          <w:szCs w:val="28"/>
          <w:rtl w:val="true"/>
          <w:lang w:bidi="ar-SA"/>
        </w:rPr>
        <w:t>يردَعُ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بالبيِّنة هو معناها اللُّغوي، لاالمصطلَح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يتبيَّن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كخبر الثِّقة رجلًا كان أو إمرءةً‌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المصطلَح عليها تنحصِرُ في باب القضاء والشَّهادات ولايُحتاج إليها في الأمور العادِّية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الموضوعات تثبت بقواعد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والسُّوق وأصالة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تُثبَت بخبر الثِّقة من غير فرقٍ بين أجناس الُمخبرين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الرَّضاع يثبت بالعلم والبيِّنة والإقرار، ويثبت بخبر العدل، بل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عندي لاسترة فيه أصلًا، وإن اشتهر بين الأصحاب أنَّ إثبات الموضوعات يحتاج إلى البيِّنة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منهم أنَّهم كيف ذهبوا إلى حجِّيَّة قول الثِّقة في الأحكام ونقل الرِّوايات الَّتي يتوقَّفُ أساسُ الشَّريعة عليها، مع قولهم بعدم حجِّيَّة قول الثِّقة في الموضوعات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20339_220598"/>
      <w:bookmarkStart w:id="623" w:name="pg20339_220598"/>
      <w:bookmarkEnd w:id="623"/>
    </w:p>
    <w:p>
      <w:pPr>
        <w:pStyle w:val="Heading2"/>
        <w:numPr>
          <w:ilvl w:val="1"/>
          <w:numId w:val="1"/>
        </w:numPr>
        <w:rPr/>
      </w:pPr>
      <w:bookmarkStart w:id="624" w:name="pg20339_220598"/>
      <w:bookmarkStart w:id="625" w:name="__RefHeading___Toc11979486_1280447820"/>
      <w:bookmarkStart w:id="626" w:name="_Toc232"/>
      <w:bookmarkEnd w:id="624"/>
      <w:bookmarkEnd w:id="625"/>
      <w:r>
        <w:rPr>
          <w:rtl w:val="true"/>
        </w:rPr>
        <w:t>الفهرس التَّفصيلي</w:t>
      </w:r>
      <w:bookmarkEnd w:id="626"/>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المقرَّر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عدم تداخُل الأسباب والمُسَبَّبات</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كثير الشَّكِّ‌</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 كافرٍ نجسٌ‌</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45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النَّظرُ في الأدلَّة المعارِضة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لهذه الطَّائفة من الرِّوايات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 ما تصحُّ إعارتُه تصحُّ إجارتُه</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78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 مبيعٍ تلف في زمنِ الخيار فهو ممَّن لاخيار له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الاِصطياديَّة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 مدَّعٍ يُسمَعُ قولُه بلابيِّنةٍ فعليه الحلفُ‌</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الاِصطياديَّة </w:t>
      </w:r>
      <w:r>
        <w:rPr>
          <w:rFonts w:eastAsia="Amiri" w:cs="Amiri" w:ascii="Amiri" w:hAnsi="Amiri"/>
          <w:color w:val="111111"/>
          <w:sz w:val="28"/>
          <w:szCs w:val="28"/>
          <w:lang w:bidi="ar-SA"/>
        </w:rPr>
        <w:t>94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 مسكرٍ مائعٍ بالأصالة نجسٌ‌</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لاتُعاد</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122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رهن إلَّامقبُوضًا</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142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لاشكَّ في النَّافلة</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القواعد الأُخَر الفقهيَّة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المفردات المُستَعمَلة في العنوان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هيئة العنوان التَّركيبيَّة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المطهَّرة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لاضِمانَ علىٰ المستعيرِ</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193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ما يُضمَن بصحيحه يُضمَنُ بفاسده</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الإقدام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حرمة مال المُسلم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208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مشروعيَّة عِبادات الصَّبيِّ‌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الأدلَّة كتابًا وسنَّةً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ملِكَ شيئًا ملِكَ الإقرار به</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229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السُّلطة</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248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يحرُمُ من الرَّضاع ما يحرُمُ من النَّسَب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309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والمنابع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627" w:name="pg20339_220610"/>
    </w:p>
    <w:p>
      <w:pPr>
        <w:pStyle w:val="Heading2"/>
        <w:numPr>
          <w:ilvl w:val="1"/>
          <w:numId w:val="1"/>
        </w:numPr>
        <w:rPr/>
      </w:pPr>
      <w:bookmarkStart w:id="628" w:name="__RefHeading___Toc11979488_1280447820"/>
      <w:bookmarkStart w:id="629" w:name="_Toc233"/>
      <w:bookmarkEnd w:id="627"/>
      <w:bookmarkEnd w:id="628"/>
      <w:r>
        <w:rPr>
          <w:rtl w:val="true"/>
        </w:rPr>
        <w:t>فهرس المصادر والمنابع</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آراؤنا في أصول الفقه</w:t>
      </w:r>
    </w:p>
    <w:p>
      <w:pPr>
        <w:pStyle w:val="BookText"/>
        <w:rPr/>
      </w:pPr>
      <w:r>
        <w:rPr>
          <w:rFonts w:ascii="Amiri" w:hAnsi="Amiri" w:eastAsia="Amiri" w:cs="Amiri"/>
          <w:color w:val="111111"/>
          <w:sz w:val="28"/>
          <w:sz w:val="28"/>
          <w:szCs w:val="28"/>
          <w:rtl w:val="true"/>
          <w:lang w:bidi="ar-SA"/>
        </w:rPr>
        <w:t xml:space="preserve">القمِّي السَّيِّد تقي الطَّباطبائي؛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محلَّاتى؛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 في تفسير كلام الملك العلَّام</w:t>
      </w:r>
    </w:p>
    <w:p>
      <w:pPr>
        <w:pStyle w:val="BookText"/>
        <w:rPr/>
      </w:pPr>
      <w:r>
        <w:rPr>
          <w:rFonts w:ascii="IRNazanin" w:hAnsi="IRNazanin" w:eastAsia="IRNazanin"/>
          <w:color w:val="111111"/>
          <w:sz w:val="28"/>
          <w:sz w:val="28"/>
          <w:szCs w:val="28"/>
          <w:rtl w:val="true"/>
          <w:lang w:bidi="fa-IR"/>
        </w:rPr>
        <w:t xml:space="preserve">الأسترآبادي محمَّد بن عليِّ بن إبراهيم، توفِّي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كتابفروشى معراجى؛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شريف زاده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p>
    <w:p>
      <w:pPr>
        <w:pStyle w:val="BookText"/>
        <w:rPr/>
      </w:pPr>
      <w:r>
        <w:rPr>
          <w:rFonts w:ascii="IRNazanin" w:hAnsi="IRNazanin" w:eastAsia="IRNazanin"/>
          <w:color w:val="111111"/>
          <w:sz w:val="28"/>
          <w:sz w:val="28"/>
          <w:szCs w:val="28"/>
          <w:rtl w:val="true"/>
          <w:lang w:bidi="fa-IR"/>
        </w:rPr>
        <w:t xml:space="preserve">الكشِّي ابوعمرو محمَّد بن عمر بن عبدالعزيز، توفِّي في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نشر دانشگاه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ايران؛ صحَّحه الدُّكتور حسن المصطفوي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الاذهان إلى أحكام الإيمان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العقول إلى مباحث الأصول</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امام صادق؛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الحاج محمَّدحسين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p>
    <w:p>
      <w:pPr>
        <w:pStyle w:val="BookText"/>
        <w:rPr/>
      </w:pPr>
      <w:r>
        <w:rPr>
          <w:rFonts w:ascii="Amiri" w:hAnsi="Amiri" w:eastAsia="Amiri" w:cs="Amiri"/>
          <w:color w:val="111111"/>
          <w:sz w:val="28"/>
          <w:sz w:val="28"/>
          <w:szCs w:val="28"/>
          <w:rtl w:val="true"/>
          <w:lang w:bidi="ar-SA"/>
        </w:rPr>
        <w:t xml:space="preserve">الزَّمخشري محمود بن عمر، توفِّي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إستقصاء الإعتبار في شرح الاستبصار</w:t>
      </w:r>
    </w:p>
    <w:p>
      <w:pPr>
        <w:pStyle w:val="BookText"/>
        <w:rPr/>
      </w:pPr>
      <w:r>
        <w:rPr>
          <w:rFonts w:ascii="Amiri" w:hAnsi="Amiri" w:eastAsia="Amiri" w:cs="Amiri"/>
          <w:color w:val="111111"/>
          <w:sz w:val="28"/>
          <w:sz w:val="28"/>
          <w:szCs w:val="28"/>
          <w:rtl w:val="true"/>
          <w:lang w:bidi="ar-SA"/>
        </w:rPr>
        <w:t xml:space="preserve">العاملي أبوجعفر محمَّد بن الحسن، توفِّي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السَّبق إلى معرفة الحقِّ‌</w:t>
      </w:r>
    </w:p>
    <w:p>
      <w:pPr>
        <w:pStyle w:val="BookText"/>
        <w:rPr/>
      </w:pPr>
      <w:r>
        <w:rPr>
          <w:rFonts w:ascii="Amiri" w:hAnsi="Amiri" w:eastAsia="Amiri" w:cs="Amiri"/>
          <w:color w:val="111111"/>
          <w:sz w:val="28"/>
          <w:sz w:val="28"/>
          <w:szCs w:val="28"/>
          <w:rtl w:val="true"/>
          <w:lang w:bidi="ar-SA"/>
        </w:rPr>
        <w:t xml:space="preserve">الحلبي ابن أبي المجد عليُّ بن الحسن، توفِّي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اصباح الشيعة بمصباح الشَّريعة</w:t>
      </w:r>
    </w:p>
    <w:p>
      <w:pPr>
        <w:pStyle w:val="BookText"/>
        <w:rPr/>
      </w:pPr>
      <w:r>
        <w:rPr>
          <w:rFonts w:ascii="Amiri" w:hAnsi="Amiri" w:eastAsia="Amiri" w:cs="Amiri"/>
          <w:color w:val="111111"/>
          <w:sz w:val="28"/>
          <w:sz w:val="28"/>
          <w:szCs w:val="28"/>
          <w:rtl w:val="true"/>
          <w:lang w:bidi="ar-SA"/>
        </w:rPr>
        <w:t xml:space="preserve">الكيدري قطب الدِّين محمَّد بن الحسين، توفِّي بعد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الإمام الصَّادق عليه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إبراهيم بهادري مراغي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الأصول ومعظم أبحاثها</w:t>
      </w:r>
    </w:p>
    <w:p>
      <w:pPr>
        <w:pStyle w:val="BookText"/>
        <w:rPr/>
      </w:pPr>
      <w:r>
        <w:rPr>
          <w:rFonts w:ascii="Amiri" w:hAnsi="Amiri" w:eastAsia="Amiri" w:cs="Amiri"/>
          <w:color w:val="111111"/>
          <w:sz w:val="28"/>
          <w:sz w:val="28"/>
          <w:szCs w:val="28"/>
          <w:rtl w:val="true"/>
          <w:lang w:bidi="ar-SA"/>
        </w:rPr>
        <w:t xml:space="preserve">المشكيني الميرزا علي، توفِّي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الهادي؛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السَّادسة؛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الحلِّي حسين، توفي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الفقه والأصول المختصَّة؛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الفوائد الغرويَّة </w:t>
      </w:r>
    </w:p>
    <w:p>
      <w:pPr>
        <w:pStyle w:val="BookText"/>
        <w:rPr/>
      </w:pPr>
      <w:r>
        <w:rPr>
          <w:rFonts w:ascii="Amiri" w:hAnsi="Amiri" w:eastAsia="Amiri" w:cs="Amiri"/>
          <w:color w:val="111111"/>
          <w:sz w:val="28"/>
          <w:sz w:val="28"/>
          <w:szCs w:val="28"/>
          <w:rtl w:val="true"/>
          <w:lang w:bidi="ar-SA"/>
        </w:rPr>
        <w:t xml:space="preserve">الكمره اي محمَّدباقر،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مطبعة فردوسى؛ الطَّبعة الأولىٰ‌؛ تهران؛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p>
    <w:p>
      <w:pPr>
        <w:pStyle w:val="BookText"/>
        <w:rPr/>
      </w:pPr>
      <w:r>
        <w:rPr>
          <w:rFonts w:ascii="Amiri" w:hAnsi="Amiri" w:eastAsia="Amiri" w:cs="Amiri"/>
          <w:color w:val="111111"/>
          <w:sz w:val="28"/>
          <w:sz w:val="28"/>
          <w:szCs w:val="28"/>
          <w:rtl w:val="true"/>
          <w:lang w:bidi="ar-SA"/>
        </w:rPr>
        <w:t xml:space="preserve">الطَّبرسي احمد بن عليٍّ‌، توفِّي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p>
    <w:p>
      <w:pPr>
        <w:pStyle w:val="BookText"/>
        <w:rPr/>
      </w:pPr>
      <w:r>
        <w:rPr>
          <w:rFonts w:ascii="Amiri" w:hAnsi="Amiri" w:eastAsia="Amiri" w:cs="Amiri"/>
          <w:color w:val="111111"/>
          <w:sz w:val="28"/>
          <w:sz w:val="28"/>
          <w:szCs w:val="28"/>
          <w:rtl w:val="true"/>
          <w:lang w:bidi="ar-SA"/>
        </w:rPr>
        <w:t xml:space="preserve">الطُّوسى أبوجعفر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الأصليَّة والقواعد الشَّرعيَّة</w:t>
      </w:r>
    </w:p>
    <w:p>
      <w:pPr>
        <w:pStyle w:val="BookText"/>
        <w:rPr/>
      </w:pPr>
      <w:r>
        <w:rPr>
          <w:rFonts w:ascii="Amiri" w:hAnsi="Amiri" w:eastAsia="Amiri" w:cs="Amiri"/>
          <w:color w:val="111111"/>
          <w:sz w:val="28"/>
          <w:sz w:val="28"/>
          <w:szCs w:val="28"/>
          <w:rtl w:val="true"/>
          <w:lang w:bidi="ar-SA"/>
        </w:rPr>
        <w:t xml:space="preserve">الكاظمي الشُّبَّر السَّيِّد عبداللَّه الحسيني، توفِّي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مفيد؛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 xml:space="preserve">النَّائيني محمَّدحسين، توفِّي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العراقي ضياءالدِّين،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آية اللَّه العظمىٰ البروجردي لنشر معالم أهل البيت عليهم السلام؛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بما اتَّفقت عليه الاماميَّة من الأحكام</w:t>
      </w:r>
    </w:p>
    <w:p>
      <w:pPr>
        <w:pStyle w:val="BookText"/>
        <w:rPr/>
      </w:pPr>
      <w:r>
        <w:rPr>
          <w:rFonts w:ascii="IRNazanin" w:hAnsi="IRNazanin" w:eastAsia="IRNazanin"/>
          <w:color w:val="111111"/>
          <w:sz w:val="28"/>
          <w:sz w:val="28"/>
          <w:szCs w:val="28"/>
          <w:rtl w:val="true"/>
          <w:lang w:bidi="fa-IR"/>
        </w:rPr>
        <w:t xml:space="preserve">البغدادي المفيد محمَّد بن محمَّد بن نعمان العكبري؛ توفِّي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هزارۀ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محمَّد حسُّون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الهادي إلى طريق الرَّشاد</w:t>
      </w:r>
    </w:p>
    <w:p>
      <w:pPr>
        <w:pStyle w:val="BookText"/>
        <w:rPr/>
      </w:pPr>
      <w:r>
        <w:rPr>
          <w:rFonts w:ascii="IRNazanin" w:hAnsi="IRNazanin" w:eastAsia="IRNazanin"/>
          <w:color w:val="111111"/>
          <w:sz w:val="28"/>
          <w:sz w:val="28"/>
          <w:szCs w:val="28"/>
          <w:rtl w:val="true"/>
          <w:lang w:bidi="fa-IR"/>
        </w:rPr>
        <w:t xml:space="preserve">الطُّوسي أبوجعفر محمَّد بن الحسن، 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كتابخانۀ جامع چهل ستون؛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الأقطاب الفقهيَّة علىٰ مذهب الإماميَّة </w:t>
      </w:r>
    </w:p>
    <w:p>
      <w:pPr>
        <w:pStyle w:val="BookText"/>
        <w:rPr/>
      </w:pPr>
      <w:r>
        <w:rPr>
          <w:rFonts w:ascii="Amiri" w:hAnsi="Amiri" w:eastAsia="Amiri" w:cs="Amiri"/>
          <w:color w:val="111111"/>
          <w:sz w:val="28"/>
          <w:sz w:val="28"/>
          <w:szCs w:val="28"/>
          <w:rtl w:val="true"/>
          <w:lang w:bidi="ar-SA"/>
        </w:rPr>
        <w:t xml:space="preserve">الأحسايي ابن أبي جمهورٍ محمَّد بن عليٍّ‌، توفِّي بعد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في فقه الصَّلاة اليوميَّة</w:t>
      </w:r>
    </w:p>
    <w:p>
      <w:pPr>
        <w:pStyle w:val="BookText"/>
        <w:rPr/>
      </w:pPr>
      <w:r>
        <w:rPr>
          <w:rFonts w:ascii="IRNazanin" w:hAnsi="IRNazanin" w:eastAsia="IRNazanin"/>
          <w:color w:val="111111"/>
          <w:sz w:val="28"/>
          <w:sz w:val="28"/>
          <w:szCs w:val="28"/>
          <w:rtl w:val="true"/>
          <w:lang w:bidi="fa-IR"/>
        </w:rPr>
        <w:t xml:space="preserve">العاملي الشَّهيد الاوَّل محمَّد بن مكِّيٍّ‌، استشهد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دفتر تبليغات اسلامى حوزۀ علميِّۀ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مركز پژوهش هاى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 xml:space="preserve">الطُّوسي أبوجعفرٍ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الإنتصار في انفرادات الإماميَّة</w:t>
      </w:r>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 في القواعد الفقهيَّة</w:t>
      </w:r>
    </w:p>
    <w:p>
      <w:pPr>
        <w:pStyle w:val="BookText"/>
        <w:rPr/>
      </w:pPr>
      <w:r>
        <w:rPr>
          <w:rFonts w:ascii="Amiri" w:hAnsi="Amiri" w:eastAsia="Amiri" w:cs="Amiri"/>
          <w:color w:val="111111"/>
          <w:sz w:val="28"/>
          <w:sz w:val="28"/>
          <w:szCs w:val="28"/>
          <w:rtl w:val="true"/>
          <w:lang w:bidi="ar-SA"/>
        </w:rPr>
        <w:t xml:space="preserve">القمِّي السَّيِّد تقي الطَّباطبايي؛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محلَّاتى؛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الحيرية والأقمار البدريَّة الأحمديَّة</w:t>
      </w:r>
    </w:p>
    <w:p>
      <w:pPr>
        <w:pStyle w:val="BookText"/>
        <w:rPr/>
      </w:pPr>
      <w:r>
        <w:rPr>
          <w:rFonts w:ascii="Amiri" w:hAnsi="Amiri" w:eastAsia="Amiri" w:cs="Amiri"/>
          <w:color w:val="111111"/>
          <w:sz w:val="28"/>
          <w:sz w:val="28"/>
          <w:szCs w:val="28"/>
          <w:rtl w:val="true"/>
          <w:lang w:bidi="ar-SA"/>
        </w:rPr>
        <w:t xml:space="preserve">البحراني آل عصفور يوسف بن احمد بن إبراهيم، 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شبكۀ جهانى آل 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اللَّوامع في شرح مفاتيح الشَّرائع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آل عصفور الحسين بن محمَّدٍ، توفِّي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البحوث </w:t>
      </w:r>
    </w:p>
    <w:p>
      <w:pPr>
        <w:pStyle w:val="BookText"/>
        <w:rPr/>
      </w:pPr>
      <w:r>
        <w:rPr>
          <w:rFonts w:ascii="Amiri" w:hAnsi="Amiri" w:eastAsia="Amiri" w:cs="Amiri"/>
          <w:color w:val="111111"/>
          <w:sz w:val="28"/>
          <w:sz w:val="28"/>
          <w:szCs w:val="28"/>
          <w:rtl w:val="true"/>
          <w:lang w:bidi="ar-SA"/>
        </w:rPr>
        <w:t>العلميَّة؛ الطَّبعة الأولىٰ‌؛ قم؛ ايران؛ صحَّحه محسن آل 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الواضحات</w:t>
      </w:r>
    </w:p>
    <w:p>
      <w:pPr>
        <w:pStyle w:val="BookText"/>
        <w:rPr/>
      </w:pPr>
      <w:r>
        <w:rPr>
          <w:rFonts w:ascii="IRNazanin" w:hAnsi="IRNazanin" w:eastAsia="IRNazanin"/>
          <w:color w:val="111111"/>
          <w:sz w:val="28"/>
          <w:sz w:val="28"/>
          <w:szCs w:val="28"/>
          <w:rtl w:val="true"/>
          <w:lang w:bidi="fa-IR"/>
        </w:rPr>
        <w:t xml:space="preserve">القمشه اي محمَّدعلي إسماعيل 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p>
    <w:p>
      <w:pPr>
        <w:pStyle w:val="BookText"/>
        <w:rPr/>
      </w:pPr>
      <w:r>
        <w:rPr>
          <w:rFonts w:ascii="Amiri" w:hAnsi="Amiri" w:eastAsia="Amiri" w:cs="Amiri"/>
          <w:color w:val="111111"/>
          <w:sz w:val="28"/>
          <w:sz w:val="28"/>
          <w:szCs w:val="28"/>
          <w:rtl w:val="true"/>
          <w:lang w:bidi="ar-SA"/>
        </w:rPr>
        <w:t xml:space="preserve">البحراني السَّيِّد هاشم التُّوبلي، توفِّي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قسم الدِّراسات الإسلاميَّة في مؤسَّسة البعثة؛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w:t>
      </w:r>
    </w:p>
    <w:p>
      <w:pPr>
        <w:pStyle w:val="BookText"/>
        <w:rPr/>
      </w:pPr>
      <w:r>
        <w:rPr>
          <w:rFonts w:ascii="Amiri" w:hAnsi="Amiri" w:eastAsia="Amiri" w:cs="Amiri"/>
          <w:color w:val="111111"/>
          <w:sz w:val="28"/>
          <w:sz w:val="28"/>
          <w:szCs w:val="28"/>
          <w:rtl w:val="true"/>
          <w:lang w:bidi="ar-SA"/>
        </w:rPr>
        <w:t xml:space="preserve">الصَّدر الشَّهيد السَّيِّد محمَّدباقر؛ استشهد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دارالتَّعارف للمطبوعات؛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السَّابعة؛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 xml:space="preserve">العاملي الشَّهيد الأولىٰ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والتَّنوير</w:t>
      </w:r>
    </w:p>
    <w:p>
      <w:pPr>
        <w:pStyle w:val="BookText"/>
        <w:rPr/>
      </w:pPr>
      <w:r>
        <w:rPr>
          <w:rFonts w:ascii="Amiri" w:hAnsi="Amiri" w:eastAsia="Amiri" w:cs="Amiri"/>
          <w:color w:val="111111"/>
          <w:sz w:val="28"/>
          <w:sz w:val="28"/>
          <w:szCs w:val="28"/>
          <w:rtl w:val="true"/>
          <w:lang w:bidi="ar-SA"/>
        </w:rPr>
        <w:t xml:space="preserve">ابن عاشور محمَّد الطَّاهر التُّونسي؛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التَّأريخ؛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السَّنيَّة في شرح النُّخبة المُحسنيَّة</w:t>
      </w:r>
    </w:p>
    <w:p>
      <w:pPr>
        <w:pStyle w:val="BookText"/>
        <w:rPr/>
      </w:pPr>
      <w:r>
        <w:rPr>
          <w:rFonts w:ascii="Amiri" w:hAnsi="Amiri" w:eastAsia="Amiri" w:cs="Amiri"/>
          <w:color w:val="111111"/>
          <w:sz w:val="28"/>
          <w:sz w:val="28"/>
          <w:szCs w:val="28"/>
          <w:rtl w:val="true"/>
          <w:lang w:bidi="ar-SA"/>
        </w:rPr>
        <w:t xml:space="preserve">الجزائري عبداللَّه بن نورالدين، توفِّي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 تهران؛ ايران؛ صحَّحه السَّيِّد عليرضا ريحان 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علىٰ الرَّوضة البهيَّة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الخوانساري آقا جمال الدِّين محمَّد بن آقا حسين بن محمَّد، توفِّي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منشورات المدرسة الرَّضوية؛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المكاسب</w:t>
      </w:r>
    </w:p>
    <w:p>
      <w:pPr>
        <w:pStyle w:val="BookText"/>
        <w:rPr/>
      </w:pPr>
      <w:r>
        <w:rPr>
          <w:rFonts w:ascii="Amiri" w:hAnsi="Amiri" w:eastAsia="Amiri" w:cs="Amiri"/>
          <w:color w:val="111111"/>
          <w:sz w:val="28"/>
          <w:sz w:val="28"/>
          <w:szCs w:val="28"/>
          <w:rtl w:val="true"/>
          <w:lang w:bidi="ar-SA"/>
        </w:rPr>
        <w:t xml:space="preserve">اللَّاري السَّيِّد عبدالحسين، توفِّي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المعارف الإسلاميَّة؛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معالم الأصول</w:t>
      </w:r>
    </w:p>
    <w:p>
      <w:pPr>
        <w:pStyle w:val="BookText"/>
        <w:rPr/>
      </w:pPr>
      <w:r>
        <w:rPr>
          <w:rFonts w:ascii="Amiri" w:hAnsi="Amiri" w:eastAsia="Amiri" w:cs="Amiri"/>
          <w:color w:val="111111"/>
          <w:sz w:val="28"/>
          <w:sz w:val="28"/>
          <w:szCs w:val="28"/>
          <w:rtl w:val="true"/>
          <w:lang w:bidi="ar-SA"/>
        </w:rPr>
        <w:t xml:space="preserve">القزويني السَّيِّد علي الموسوي، توفِّي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علي العلوي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p>
    <w:p>
      <w:pPr>
        <w:pStyle w:val="BookText"/>
        <w:rPr/>
      </w:pPr>
      <w:r>
        <w:rPr>
          <w:rFonts w:ascii="Amiri" w:hAnsi="Amiri" w:eastAsia="Amiri" w:cs="Amiri"/>
          <w:color w:val="111111"/>
          <w:sz w:val="28"/>
          <w:sz w:val="28"/>
          <w:szCs w:val="28"/>
          <w:rtl w:val="true"/>
          <w:lang w:bidi="ar-SA"/>
        </w:rPr>
        <w:t xml:space="preserve">الحلِّي مقداد بن عبد اللَّه السِّيوري، توفِّي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عبداللَّطيف الحسيني الكوه 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w:t>
      </w:r>
    </w:p>
    <w:p>
      <w:pPr>
        <w:pStyle w:val="BookText"/>
        <w:rPr/>
      </w:pPr>
      <w:r>
        <w:rPr>
          <w:rFonts w:ascii="Amiri" w:hAnsi="Amiri" w:eastAsia="Amiri" w:cs="Amiri"/>
          <w:color w:val="111111"/>
          <w:sz w:val="28"/>
          <w:sz w:val="28"/>
          <w:szCs w:val="28"/>
          <w:rtl w:val="true"/>
          <w:lang w:bidi="ar-SA"/>
        </w:rPr>
        <w:t xml:space="preserve">الخويي السَّيِّد أبوالقاسم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ميرزا علي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النَّافع في شرح تردُّدات صاحب الشَّرائع</w:t>
      </w:r>
    </w:p>
    <w:p>
      <w:pPr>
        <w:pStyle w:val="BookText"/>
        <w:rPr/>
      </w:pPr>
      <w:r>
        <w:rPr>
          <w:rFonts w:ascii="Amiri" w:hAnsi="Amiri" w:eastAsia="Amiri" w:cs="Amiri"/>
          <w:color w:val="111111"/>
          <w:sz w:val="28"/>
          <w:sz w:val="28"/>
          <w:szCs w:val="28"/>
          <w:rtl w:val="true"/>
          <w:lang w:bidi="ar-SA"/>
        </w:rPr>
        <w:t xml:space="preserve">الفرطوسي الحويزي الحسين، توفِّي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p>
    <w:p>
      <w:pPr>
        <w:pStyle w:val="BookText"/>
        <w:rPr/>
      </w:pPr>
      <w:r>
        <w:rPr>
          <w:rFonts w:ascii="Amiri" w:hAnsi="Amiri" w:eastAsia="Amiri" w:cs="Amiri"/>
          <w:color w:val="111111"/>
          <w:sz w:val="28"/>
          <w:sz w:val="28"/>
          <w:szCs w:val="28"/>
          <w:rtl w:val="true"/>
          <w:lang w:bidi="ar-SA"/>
        </w:rPr>
        <w:t xml:space="preserve">القُرطبي ابوعبداللَّه محمَّد بن احمد الأنصاري، توفِّي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اوفست انتشارات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w:t>
      </w:r>
    </w:p>
    <w:p>
      <w:pPr>
        <w:pStyle w:val="BookText"/>
        <w:rPr/>
      </w:pPr>
      <w:r>
        <w:rPr>
          <w:rFonts w:ascii="Amiri" w:hAnsi="Amiri" w:eastAsia="Amiri" w:cs="Amiri"/>
          <w:color w:val="111111"/>
          <w:sz w:val="28"/>
          <w:sz w:val="28"/>
          <w:szCs w:val="28"/>
          <w:rtl w:val="true"/>
          <w:lang w:bidi="ar-SA"/>
        </w:rPr>
        <w:t xml:space="preserve">الحلِّي يحيىٰ بن سعيدٍ، توفِّي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سيِّدالشُّهداء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p>
    <w:p>
      <w:pPr>
        <w:pStyle w:val="BookText"/>
        <w:rPr/>
      </w:pPr>
      <w:r>
        <w:rPr>
          <w:rFonts w:ascii="Amiri" w:hAnsi="Amiri" w:eastAsia="Amiri" w:cs="Amiri"/>
          <w:color w:val="111111"/>
          <w:sz w:val="28"/>
          <w:sz w:val="28"/>
          <w:szCs w:val="28"/>
          <w:rtl w:val="true"/>
          <w:lang w:bidi="ar-SA"/>
        </w:rPr>
        <w:t xml:space="preserve">الكوفي محمَّد بن محمَّد بن أشعث، توفِّي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مكتبة نينوىٰ الحديثة؛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والعقود في العبادات</w:t>
      </w:r>
    </w:p>
    <w:p>
      <w:pPr>
        <w:pStyle w:val="BookText"/>
        <w:rPr/>
      </w:pPr>
      <w:r>
        <w:rPr>
          <w:rFonts w:ascii="IRNazanin" w:hAnsi="IRNazanin" w:eastAsia="IRNazanin"/>
          <w:color w:val="111111"/>
          <w:sz w:val="28"/>
          <w:sz w:val="28"/>
          <w:szCs w:val="28"/>
          <w:rtl w:val="true"/>
          <w:lang w:bidi="fa-IR"/>
        </w:rPr>
        <w:t xml:space="preserve">الطُّوسي ابوجعفر محمَّد بن الحسن، 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نشر دانشگاه فردوسى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مشهد؛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في نظم التَّبصرة</w:t>
      </w:r>
    </w:p>
    <w:p>
      <w:pPr>
        <w:pStyle w:val="BookText"/>
        <w:rPr/>
      </w:pPr>
      <w:r>
        <w:rPr>
          <w:rFonts w:ascii="IRNazanin" w:hAnsi="IRNazanin" w:eastAsia="IRNazanin"/>
          <w:color w:val="111111"/>
          <w:sz w:val="28"/>
          <w:sz w:val="28"/>
          <w:szCs w:val="28"/>
          <w:rtl w:val="true"/>
          <w:lang w:bidi="fa-IR"/>
        </w:rPr>
        <w:t xml:space="preserve">الحلِّي الحسن بن عليِّ بن داود، توفِّي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چاپ و نشر وابسته به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 صحَّحه حسين الدرگاهي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p>
    <w:p>
      <w:pPr>
        <w:pStyle w:val="BookText"/>
        <w:rPr/>
      </w:pPr>
      <w:r>
        <w:rPr>
          <w:rFonts w:ascii="Amiri" w:hAnsi="Amiri" w:eastAsia="Amiri" w:cs="Amiri"/>
          <w:color w:val="111111"/>
          <w:sz w:val="28"/>
          <w:sz w:val="28"/>
          <w:szCs w:val="28"/>
          <w:rtl w:val="true"/>
          <w:lang w:bidi="ar-SA"/>
        </w:rPr>
        <w:t xml:space="preserve">البهبهاني محمَّدباقر بن محمَّد أكمل، 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أحكام الدِّين</w:t>
      </w:r>
    </w:p>
    <w:p>
      <w:pPr>
        <w:pStyle w:val="BookText"/>
        <w:rPr/>
      </w:pPr>
      <w:r>
        <w:rPr>
          <w:rFonts w:ascii="Amiri" w:hAnsi="Amiri" w:eastAsia="Amiri" w:cs="Amiri"/>
          <w:color w:val="111111"/>
          <w:sz w:val="28"/>
          <w:sz w:val="28"/>
          <w:szCs w:val="28"/>
          <w:rtl w:val="true"/>
          <w:lang w:bidi="ar-SA"/>
        </w:rPr>
        <w:t xml:space="preserve">العاملي بهاءالدِّين محمَّد بن الحسين، توفِّي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بصيرتى؛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مرتضىٰ الأحمديان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آل عصفور يوسف بن احمد بن إبراهيم، 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محمَّدتقي الإيرواني، السَّيِّد عبد الرزَّاق المقرِّم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p>
    <w:p>
      <w:pPr>
        <w:pStyle w:val="BookText"/>
        <w:rPr/>
      </w:pPr>
      <w:r>
        <w:rPr>
          <w:rFonts w:ascii="Amiri" w:hAnsi="Amiri" w:eastAsia="Amiri" w:cs="Amiri"/>
          <w:color w:val="111111"/>
          <w:sz w:val="28"/>
          <w:sz w:val="28"/>
          <w:szCs w:val="28"/>
          <w:rtl w:val="true"/>
          <w:lang w:bidi="ar-SA"/>
        </w:rPr>
        <w:t xml:space="preserve">الرَّاوندي قطب الدِّين سعيد بن عبد اللَّه، 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الإمام مهدي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الصَّلاة</w:t>
      </w:r>
    </w:p>
    <w:p>
      <w:pPr>
        <w:pStyle w:val="BookText"/>
        <w:rPr/>
      </w:pPr>
      <w:r>
        <w:rPr>
          <w:rFonts w:ascii="Amiri" w:hAnsi="Amiri" w:eastAsia="Amiri" w:cs="Amiri"/>
          <w:color w:val="111111"/>
          <w:sz w:val="28"/>
          <w:sz w:val="28"/>
          <w:szCs w:val="28"/>
          <w:rtl w:val="true"/>
          <w:lang w:bidi="ar-SA"/>
        </w:rPr>
        <w:t xml:space="preserve">الخميني الشَّهيد السَّيِّد مصطفىٰ الموسوي، توفِّي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المنضود في معرفة صيغ النِّيات و الإيقاعات و العقود</w:t>
      </w:r>
    </w:p>
    <w:p>
      <w:pPr>
        <w:pStyle w:val="BookText"/>
        <w:rPr/>
      </w:pPr>
      <w:r>
        <w:rPr>
          <w:rFonts w:ascii="Amiri" w:hAnsi="Amiri" w:eastAsia="Amiri" w:cs="Amiri"/>
          <w:color w:val="111111"/>
          <w:sz w:val="28"/>
          <w:sz w:val="28"/>
          <w:szCs w:val="28"/>
          <w:rtl w:val="true"/>
          <w:lang w:bidi="ar-SA"/>
        </w:rPr>
        <w:t xml:space="preserve">الفقعاني عليُّ بن عليِّ بن محمَّد بن طيٍّ‌، توفِّي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إمام العصر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النَّجفيَّة من المُلتَقطات اليوسفيَّة</w:t>
      </w:r>
    </w:p>
    <w:p>
      <w:pPr>
        <w:pStyle w:val="BookText"/>
        <w:rPr/>
      </w:pPr>
      <w:r>
        <w:rPr>
          <w:rFonts w:ascii="Amiri" w:hAnsi="Amiri" w:eastAsia="Amiri" w:cs="Amiri"/>
          <w:color w:val="111111"/>
          <w:sz w:val="28"/>
          <w:sz w:val="28"/>
          <w:szCs w:val="28"/>
          <w:rtl w:val="true"/>
          <w:lang w:bidi="ar-SA"/>
        </w:rPr>
        <w:t xml:space="preserve">البحراني آل عصفور يوسف بن احمد بن إبراهيم، 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المصطفىٰ لإحياء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p>
    <w:p>
      <w:pPr>
        <w:pStyle w:val="BookText"/>
        <w:rPr/>
      </w:pPr>
      <w:r>
        <w:rPr>
          <w:rFonts w:ascii="Amiri" w:hAnsi="Amiri" w:eastAsia="Amiri" w:cs="Amiri"/>
          <w:color w:val="111111"/>
          <w:sz w:val="28"/>
          <w:sz w:val="28"/>
          <w:szCs w:val="28"/>
          <w:rtl w:val="true"/>
          <w:lang w:bidi="ar-SA"/>
        </w:rPr>
        <w:t xml:space="preserve">العاملي الشَّهيد الأوَّل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في شرح منتخب المسائل</w:t>
      </w:r>
    </w:p>
    <w:p>
      <w:pPr>
        <w:pStyle w:val="BookText"/>
        <w:rPr/>
      </w:pPr>
      <w:r>
        <w:rPr>
          <w:rFonts w:ascii="Amiri" w:hAnsi="Amiri" w:eastAsia="Amiri" w:cs="Amiri"/>
          <w:color w:val="111111"/>
          <w:sz w:val="28"/>
          <w:sz w:val="28"/>
          <w:szCs w:val="28"/>
          <w:rtl w:val="true"/>
          <w:lang w:bidi="ar-SA"/>
        </w:rPr>
        <w:t xml:space="preserve">القمِّي السَّيِّد تقي الطَّباطبايي؛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محلَّاتى؛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الأحمديَّة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آل طعَّان احمد بن صالح، توفِّي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دارالمصطفىٰ لإحياء التُّراث؛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التِّسع</w:t>
      </w:r>
    </w:p>
    <w:p>
      <w:pPr>
        <w:pStyle w:val="BookText"/>
        <w:rPr/>
      </w:pPr>
      <w:r>
        <w:rPr>
          <w:rFonts w:ascii="Amiri" w:hAnsi="Amiri" w:eastAsia="Amiri" w:cs="Amiri"/>
          <w:color w:val="111111"/>
          <w:sz w:val="28"/>
          <w:sz w:val="28"/>
          <w:szCs w:val="28"/>
          <w:rtl w:val="true"/>
          <w:lang w:bidi="ar-SA"/>
        </w:rPr>
        <w:t xml:space="preserve">الآشتياني الميرزا محمَّدحسن بن جعفر، توفِّي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زهير؛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التِّسع</w:t>
      </w:r>
    </w:p>
    <w:p>
      <w:pPr>
        <w:pStyle w:val="BookText"/>
        <w:rPr/>
      </w:pPr>
      <w:r>
        <w:rPr>
          <w:rFonts w:ascii="Amiri" w:hAnsi="Amiri" w:eastAsia="Amiri" w:cs="Amiri"/>
          <w:color w:val="111111"/>
          <w:sz w:val="28"/>
          <w:sz w:val="28"/>
          <w:szCs w:val="28"/>
          <w:rtl w:val="true"/>
          <w:lang w:bidi="ar-SA"/>
        </w:rPr>
        <w:t xml:space="preserve">الحلِّي المحقِّق نجم الدِّين جعفر بن الحسن،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رضا الأستادي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p>
    <w:p>
      <w:pPr>
        <w:pStyle w:val="BookText"/>
        <w:rPr/>
      </w:pPr>
      <w:r>
        <w:rPr>
          <w:rFonts w:ascii="Amiri" w:hAnsi="Amiri" w:eastAsia="Amiri" w:cs="Amiri"/>
          <w:color w:val="111111"/>
          <w:sz w:val="28"/>
          <w:sz w:val="28"/>
          <w:szCs w:val="28"/>
          <w:rtl w:val="true"/>
          <w:lang w:bidi="ar-SA"/>
        </w:rPr>
        <w:t xml:space="preserve">الخميني السَّيِّد روح اللَّه الموسوي،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مؤسَّسۀ مطبوعاتى اسماعيليان؛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الفشاركيَّة</w:t>
      </w:r>
    </w:p>
    <w:p>
      <w:pPr>
        <w:pStyle w:val="BookText"/>
        <w:rPr/>
      </w:pPr>
      <w:r>
        <w:rPr>
          <w:rFonts w:ascii="Amiri" w:hAnsi="Amiri" w:eastAsia="Amiri" w:cs="Amiri"/>
          <w:color w:val="111111"/>
          <w:sz w:val="28"/>
          <w:sz w:val="28"/>
          <w:szCs w:val="28"/>
          <w:rtl w:val="true"/>
          <w:lang w:bidi="ar-SA"/>
        </w:rPr>
        <w:t xml:space="preserve">الفشاركي السَّيِّد محمَّد بن القاسم الطَّباطبائي، توفِّي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حواشي السَّيِّد الكلانتر</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داورى؛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حواشي سلطان العلماء</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ابن إدريس محمَّد بن منصور بن احمد، توفِّي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w:t>
      </w:r>
    </w:p>
    <w:p>
      <w:pPr>
        <w:pStyle w:val="BookText"/>
        <w:rPr/>
      </w:pPr>
      <w:r>
        <w:rPr>
          <w:rFonts w:ascii="Amiri" w:hAnsi="Amiri" w:eastAsia="Amiri" w:cs="Amiri"/>
          <w:color w:val="111111"/>
          <w:sz w:val="28"/>
          <w:sz w:val="28"/>
          <w:szCs w:val="28"/>
          <w:rtl w:val="true"/>
          <w:lang w:bidi="ar-SA"/>
        </w:rPr>
        <w:t xml:space="preserve">اسلامى وابسته به جامعۀ مدرِّسين حوزۀ علميِّۀ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العقائد و الأخلاق و الأحكام</w:t>
      </w:r>
    </w:p>
    <w:p>
      <w:pPr>
        <w:pStyle w:val="BookText"/>
        <w:rPr/>
      </w:pPr>
      <w:r>
        <w:rPr>
          <w:rFonts w:ascii="Amiri" w:hAnsi="Amiri" w:eastAsia="Amiri" w:cs="Amiri"/>
          <w:color w:val="111111"/>
          <w:sz w:val="28"/>
          <w:sz w:val="28"/>
          <w:szCs w:val="28"/>
          <w:rtl w:val="true"/>
          <w:lang w:bidi="ar-SA"/>
        </w:rPr>
        <w:t xml:space="preserve">الكاشاني الفيض محمَّدمحسن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نشر اللَّوح المحفوظ؛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مهدي الأنصاري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الصَّغير في شرح 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المؤمنين</w:t>
      </w:r>
    </w:p>
    <w:p>
      <w:pPr>
        <w:pStyle w:val="BookText"/>
        <w:rPr/>
      </w:pPr>
      <w:r>
        <w:rPr>
          <w:rFonts w:ascii="Amiri" w:hAnsi="Amiri" w:eastAsia="Amiri" w:cs="Amiri"/>
          <w:color w:val="111111"/>
          <w:sz w:val="28"/>
          <w:sz w:val="28"/>
          <w:szCs w:val="28"/>
          <w:rtl w:val="true"/>
          <w:lang w:bidi="ar-SA"/>
        </w:rPr>
        <w:t xml:space="preserve">الحائري السَّيِّد عليُّ بن محمَّدٍ الطَّباطبايي،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أو الإلزامات التَّبعيَّة في العقود</w:t>
      </w:r>
    </w:p>
    <w:p>
      <w:pPr>
        <w:pStyle w:val="BookText"/>
        <w:rPr/>
      </w:pPr>
      <w:r>
        <w:rPr>
          <w:rFonts w:ascii="Amiri" w:hAnsi="Amiri" w:eastAsia="Amiri" w:cs="Amiri"/>
          <w:color w:val="111111"/>
          <w:sz w:val="28"/>
          <w:sz w:val="28"/>
          <w:szCs w:val="28"/>
          <w:rtl w:val="true"/>
          <w:lang w:bidi="ar-SA"/>
        </w:rPr>
        <w:t xml:space="preserve">الخويي السَّيِّد محمَّدتقي الموسوي، 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دارالمؤرِّخ العربي؛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في وجوب صلاة الجمعة العيني</w:t>
      </w:r>
    </w:p>
    <w:p>
      <w:pPr>
        <w:pStyle w:val="BookText"/>
        <w:rPr/>
      </w:pPr>
      <w:r>
        <w:rPr>
          <w:rFonts w:ascii="Amiri" w:hAnsi="Amiri" w:eastAsia="Amiri" w:cs="Amiri"/>
          <w:color w:val="111111"/>
          <w:sz w:val="28"/>
          <w:sz w:val="28"/>
          <w:szCs w:val="28"/>
          <w:rtl w:val="true"/>
          <w:lang w:bidi="ar-SA"/>
        </w:rPr>
        <w:t xml:space="preserve">الكاشاني الفيض محمَّد 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الأعلمي للمطبوعات؛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 لبنان؛ صحَّحه رؤوف جمال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p>
    <w:p>
      <w:pPr>
        <w:pStyle w:val="BookText"/>
        <w:rPr/>
      </w:pPr>
      <w:r>
        <w:rPr>
          <w:rFonts w:ascii="Amiri" w:hAnsi="Amiri" w:eastAsia="Amiri" w:cs="Amiri"/>
          <w:color w:val="111111"/>
          <w:sz w:val="28"/>
          <w:sz w:val="28"/>
          <w:szCs w:val="28"/>
          <w:rtl w:val="true"/>
          <w:lang w:bidi="ar-SA"/>
        </w:rPr>
        <w:t xml:space="preserve">الكاشاني الفيض محمَّد 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حسين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رضي الدِّين عليِّ بن يوسف بن مطهَّر، توفِّي القرن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w:t>
      </w:r>
    </w:p>
    <w:p>
      <w:pPr>
        <w:pStyle w:val="BookText"/>
        <w:rPr/>
      </w:pPr>
      <w:r>
        <w:rPr>
          <w:rFonts w:ascii="Amiri" w:hAnsi="Amiri" w:eastAsia="Amiri" w:cs="Amiri"/>
          <w:color w:val="111111"/>
          <w:sz w:val="28"/>
          <w:sz w:val="28"/>
          <w:szCs w:val="28"/>
          <w:rtl w:val="true"/>
          <w:lang w:bidi="ar-SA"/>
        </w:rPr>
        <w:t xml:space="preserve">آية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فيما تعمُّ به البلوىٰ‌</w:t>
      </w:r>
    </w:p>
    <w:p>
      <w:pPr>
        <w:pStyle w:val="BookText"/>
        <w:rPr/>
      </w:pPr>
      <w:r>
        <w:rPr>
          <w:rFonts w:ascii="Amiri" w:hAnsi="Amiri" w:eastAsia="Amiri" w:cs="Amiri"/>
          <w:color w:val="111111"/>
          <w:sz w:val="28"/>
          <w:sz w:val="28"/>
          <w:szCs w:val="28"/>
          <w:rtl w:val="true"/>
          <w:lang w:bidi="ar-SA"/>
        </w:rPr>
        <w:t xml:space="preserve">اليزدي السَّيِّد محمَّدكاظم الطَّباطبائي، توفِّي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الأعلمي للمطبوعات؛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الأبقىٰ في شرح العروة الوثقىٰ‌</w:t>
      </w:r>
    </w:p>
    <w:p>
      <w:pPr>
        <w:pStyle w:val="BookText"/>
        <w:rPr/>
      </w:pPr>
      <w:r>
        <w:rPr>
          <w:rFonts w:ascii="Amiri" w:hAnsi="Amiri" w:eastAsia="Amiri" w:cs="Amiri"/>
          <w:color w:val="111111"/>
          <w:sz w:val="28"/>
          <w:sz w:val="28"/>
          <w:szCs w:val="28"/>
          <w:rtl w:val="true"/>
          <w:lang w:bidi="ar-SA"/>
        </w:rPr>
        <w:t xml:space="preserve">شبُّر السَّيِّد علي الحسيني، توفِّي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الفقهيَّة</w:t>
      </w:r>
    </w:p>
    <w:p>
      <w:pPr>
        <w:pStyle w:val="BookText"/>
        <w:rPr/>
      </w:pPr>
      <w:r>
        <w:rPr>
          <w:rFonts w:ascii="Amiri" w:hAnsi="Amiri" w:eastAsia="Amiri" w:cs="Amiri"/>
          <w:color w:val="111111"/>
          <w:sz w:val="28"/>
          <w:sz w:val="28"/>
          <w:szCs w:val="28"/>
          <w:rtl w:val="true"/>
          <w:lang w:bidi="ar-SA"/>
        </w:rPr>
        <w:t xml:space="preserve">المراغي السَّيِّد مير عبدالفتَّاح بن عليٍّ الحسيني، توفِّي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القصوىٰ في التَّعليق على العروة الوثقىٰ‌</w:t>
      </w:r>
    </w:p>
    <w:p>
      <w:pPr>
        <w:pStyle w:val="BookText"/>
        <w:rPr/>
      </w:pPr>
      <w:r>
        <w:rPr>
          <w:rFonts w:ascii="Amiri" w:hAnsi="Amiri" w:eastAsia="Amiri" w:cs="Amiri"/>
          <w:color w:val="111111"/>
          <w:sz w:val="28"/>
          <w:sz w:val="28"/>
          <w:szCs w:val="28"/>
          <w:rtl w:val="true"/>
          <w:lang w:bidi="ar-SA"/>
        </w:rPr>
        <w:t xml:space="preserve">القمِّي السَّيِّد تقي الطَّباطبائى؛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محلَّاتى؛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p>
    <w:p>
      <w:pPr>
        <w:pStyle w:val="BookText"/>
        <w:rPr/>
      </w:pPr>
      <w:r>
        <w:rPr>
          <w:rFonts w:ascii="Amiri" w:hAnsi="Amiri" w:eastAsia="Amiri" w:cs="Amiri"/>
          <w:color w:val="111111"/>
          <w:sz w:val="28"/>
          <w:sz w:val="28"/>
          <w:szCs w:val="28"/>
          <w:rtl w:val="true"/>
          <w:lang w:bidi="ar-SA"/>
        </w:rPr>
        <w:t xml:space="preserve">الزَّمخشري أبوالقاسم محمود بن عمر، توفِّي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إبراهيم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الفتاوي الواضحة وفقاً لمذهب أهل البيت عليهم السلام</w:t>
      </w:r>
    </w:p>
    <w:p>
      <w:pPr>
        <w:pStyle w:val="BookText"/>
        <w:rPr/>
      </w:pPr>
      <w:r>
        <w:rPr>
          <w:rFonts w:ascii="Amiri" w:hAnsi="Amiri" w:eastAsia="Amiri" w:cs="Amiri"/>
          <w:color w:val="111111"/>
          <w:sz w:val="28"/>
          <w:sz w:val="28"/>
          <w:szCs w:val="28"/>
          <w:rtl w:val="true"/>
          <w:lang w:bidi="ar-SA"/>
        </w:rPr>
        <w:t xml:space="preserve">الصَّدر الشَّهيد السَّيِّد محمَّدباقر، استشهد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الثَّامنة؛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في اللُّغة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الحسين بن عبداللَّه، توفِّي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دارالآفاق الجديدة؛ الطَّبعة </w:t>
      </w:r>
    </w:p>
    <w:p>
      <w:pPr>
        <w:pStyle w:val="BookText"/>
        <w:rPr/>
      </w:pPr>
      <w:r>
        <w:rPr>
          <w:rFonts w:ascii="Amiri" w:hAnsi="Amiri" w:eastAsia="Amiri" w:cs="Amiri"/>
          <w:color w:val="111111"/>
          <w:sz w:val="28"/>
          <w:sz w:val="28"/>
          <w:szCs w:val="28"/>
          <w:rtl w:val="true"/>
          <w:lang w:bidi="ar-SA"/>
        </w:rPr>
        <w:t>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 في الأصول الفقهيَّة</w:t>
      </w:r>
    </w:p>
    <w:p>
      <w:pPr>
        <w:pStyle w:val="BookText"/>
        <w:rPr/>
      </w:pPr>
      <w:r>
        <w:rPr>
          <w:rFonts w:ascii="Amiri" w:hAnsi="Amiri" w:eastAsia="Amiri" w:cs="Amiri"/>
          <w:color w:val="111111"/>
          <w:sz w:val="28"/>
          <w:sz w:val="28"/>
          <w:szCs w:val="28"/>
          <w:rtl w:val="true"/>
          <w:lang w:bidi="ar-SA"/>
        </w:rPr>
        <w:t xml:space="preserve">الأصفهاني محمَّد حسين بن عبدالرَّحيم الحائري، توفِّي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أصول الأئمَّة</w:t>
      </w:r>
    </w:p>
    <w:p>
      <w:pPr>
        <w:pStyle w:val="BookText"/>
        <w:rPr/>
      </w:pPr>
      <w:r>
        <w:rPr>
          <w:rFonts w:ascii="Amiri" w:hAnsi="Amiri" w:eastAsia="Amiri" w:cs="Amiri"/>
          <w:color w:val="111111"/>
          <w:sz w:val="28"/>
          <w:sz w:val="28"/>
          <w:szCs w:val="28"/>
          <w:rtl w:val="true"/>
          <w:lang w:bidi="ar-SA"/>
        </w:rPr>
        <w:t xml:space="preserve">العاملي الحرّ محمَّد بن الحسن، 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معارف اسلامى امام رضا؛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بن محمَّد حسين القائني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 ومذهب أهل البيت عليهم السلام</w:t>
      </w:r>
    </w:p>
    <w:p>
      <w:pPr>
        <w:pStyle w:val="BookText"/>
        <w:rPr/>
      </w:pPr>
      <w:r>
        <w:rPr>
          <w:rFonts w:ascii="Amiri" w:hAnsi="Amiri" w:eastAsia="Amiri" w:cs="Amiri"/>
          <w:color w:val="111111"/>
          <w:sz w:val="28"/>
          <w:sz w:val="28"/>
          <w:szCs w:val="28"/>
          <w:rtl w:val="true"/>
          <w:lang w:bidi="ar-SA"/>
        </w:rPr>
        <w:t xml:space="preserve">الجزيري عبد الرَّحمن، الغروي السَّيِّد محمَّد،؛ ياسر مازح؛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الثِّقلين؛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الخمسة</w:t>
      </w:r>
    </w:p>
    <w:p>
      <w:pPr>
        <w:pStyle w:val="BookText"/>
        <w:rPr/>
      </w:pPr>
      <w:r>
        <w:rPr>
          <w:rFonts w:ascii="Amiri" w:hAnsi="Amiri" w:eastAsia="Amiri" w:cs="Amiri"/>
          <w:color w:val="111111"/>
          <w:sz w:val="28"/>
          <w:sz w:val="28"/>
          <w:szCs w:val="28"/>
          <w:rtl w:val="true"/>
          <w:lang w:bidi="ar-SA"/>
        </w:rPr>
        <w:t xml:space="preserve">مغنيه محمَّد جواد، توفِّي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دارالتيَّار الجديد، دار الجواد؛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العاشرة؛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ومسائل طبِّيَّة</w:t>
      </w:r>
    </w:p>
    <w:p>
      <w:pPr>
        <w:pStyle w:val="BookText"/>
        <w:rPr/>
      </w:pPr>
      <w:r>
        <w:rPr>
          <w:rFonts w:ascii="Amiri" w:hAnsi="Amiri" w:eastAsia="Amiri" w:cs="Amiri"/>
          <w:color w:val="111111"/>
          <w:sz w:val="28"/>
          <w:sz w:val="28"/>
          <w:szCs w:val="28"/>
          <w:rtl w:val="true"/>
          <w:lang w:bidi="ar-SA"/>
        </w:rPr>
        <w:t xml:space="preserve">القندهاري محمَّد آصف المحسني؛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الجعفريَّة</w:t>
      </w:r>
    </w:p>
    <w:p>
      <w:pPr>
        <w:pStyle w:val="BookText"/>
        <w:rPr/>
      </w:pPr>
      <w:r>
        <w:rPr>
          <w:rFonts w:ascii="Amiri" w:hAnsi="Amiri" w:eastAsia="Amiri" w:cs="Amiri"/>
          <w:color w:val="111111"/>
          <w:sz w:val="28"/>
          <w:sz w:val="28"/>
          <w:szCs w:val="28"/>
          <w:rtl w:val="true"/>
          <w:lang w:bidi="ar-SA"/>
        </w:rPr>
        <w:t xml:space="preserve">النَّجفي كاشف الغطاء عبَّاس بن الحسن بن جعفر، توفِّي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كاشف الغطاء؛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الطُّوسيَّة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العاملي الحرّ محمَّد بن الحسن، توفِّي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علميِّه؛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مهدي اللاجوردي الحسيني، محمَّد الدُّرودي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 و بذيله الشَّواهد المكِّيَّة</w:t>
      </w:r>
    </w:p>
    <w:p>
      <w:pPr>
        <w:pStyle w:val="BookText"/>
        <w:rPr/>
      </w:pPr>
      <w:r>
        <w:rPr>
          <w:rFonts w:ascii="Amiri" w:hAnsi="Amiri" w:eastAsia="Amiri" w:cs="Amiri"/>
          <w:color w:val="111111"/>
          <w:sz w:val="28"/>
          <w:sz w:val="28"/>
          <w:szCs w:val="28"/>
          <w:rtl w:val="true"/>
          <w:lang w:bidi="ar-SA"/>
        </w:rPr>
        <w:t xml:space="preserve">الأسترآبادي محمَّد امين العاملي، الموسوي السَّيِّد نورالدِّين، توفِّي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رحمت اللَّه الرَّحمتي الأراكي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الرَّضوية؛ الطَّبعة الأولىٰ‌؛ النَّجف الأشرف؛ العراق؛ صحَّحه السَّيِّد محمَّدصادق آل بحرالعلوم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الفقهي لغةً واصطلاحًا</w:t>
      </w:r>
    </w:p>
    <w:p>
      <w:pPr>
        <w:pStyle w:val="BookText"/>
        <w:rPr/>
      </w:pPr>
      <w:r>
        <w:rPr>
          <w:rFonts w:ascii="Amiri" w:hAnsi="Amiri" w:eastAsia="Amiri" w:cs="Amiri"/>
          <w:color w:val="111111"/>
          <w:sz w:val="28"/>
          <w:sz w:val="28"/>
          <w:szCs w:val="28"/>
          <w:rtl w:val="true"/>
          <w:lang w:bidi="ar-SA"/>
        </w:rPr>
        <w:t xml:space="preserve">سعدي ابوجيب؛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الفيروزآبادي محمَّد بن يعقوب، توفِّي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دارالكتب العلميَّة؛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علىٰ ضوء القرآن و السُّنَّة</w:t>
      </w:r>
    </w:p>
    <w:p>
      <w:pPr>
        <w:pStyle w:val="BookText"/>
        <w:rPr/>
      </w:pPr>
      <w:r>
        <w:rPr>
          <w:rFonts w:ascii="Amiri" w:hAnsi="Amiri" w:eastAsia="Amiri" w:cs="Amiri"/>
          <w:color w:val="111111"/>
          <w:sz w:val="28"/>
          <w:sz w:val="28"/>
          <w:szCs w:val="28"/>
          <w:rtl w:val="true"/>
          <w:lang w:bidi="ar-SA"/>
        </w:rPr>
        <w:t xml:space="preserve">المرعشي النَّجفي السَّيِّد شهاب الدِّين، توفِّي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مقرِّر السَّيِّد عادل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والشَّهادات</w:t>
      </w:r>
    </w:p>
    <w:p>
      <w:pPr>
        <w:pStyle w:val="BookText"/>
        <w:rPr/>
      </w:pPr>
      <w:r>
        <w:rPr>
          <w:rFonts w:ascii="IRNazanin" w:hAnsi="IRNazanin" w:eastAsia="IRNazanin"/>
          <w:color w:val="111111"/>
          <w:sz w:val="28"/>
          <w:sz w:val="28"/>
          <w:szCs w:val="28"/>
          <w:rtl w:val="true"/>
          <w:lang w:bidi="fa-IR"/>
        </w:rPr>
        <w:t xml:space="preserve">الدِّزفولي مرتضىٰ بن محمد امين الأنصاري، 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اعظم انصارى؛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السِّتة عشر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النَّجفي كاشف الغطاء جعفر بن خضر المالكي، توفِّي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w:t>
      </w:r>
    </w:p>
    <w:p>
      <w:pPr>
        <w:pStyle w:val="BookText"/>
        <w:rPr/>
      </w:pPr>
      <w:r>
        <w:rPr>
          <w:rFonts w:ascii="Amiri" w:hAnsi="Amiri" w:eastAsia="Amiri" w:cs="Amiri"/>
          <w:color w:val="111111"/>
          <w:sz w:val="28"/>
          <w:sz w:val="28"/>
          <w:szCs w:val="28"/>
          <w:rtl w:val="true"/>
          <w:lang w:bidi="ar-SA"/>
        </w:rPr>
        <w:t>كاشف الغطاء؛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 xml:space="preserve">البروجردي السَّيِّد حسن بن آقابزرگ الموسوي، توفِّي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نشر الهادي؛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مهدي المهريزي، محمد حسن الدِّرايتي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p>
    <w:p>
      <w:pPr>
        <w:pStyle w:val="BookText"/>
        <w:rPr/>
      </w:pPr>
      <w:r>
        <w:rPr>
          <w:rFonts w:ascii="Amiri" w:hAnsi="Amiri" w:eastAsia="Amiri" w:cs="Amiri"/>
          <w:color w:val="111111"/>
          <w:sz w:val="28"/>
          <w:sz w:val="28"/>
          <w:szCs w:val="28"/>
          <w:rtl w:val="true"/>
          <w:lang w:bidi="ar-SA"/>
        </w:rPr>
        <w:t xml:space="preserve">الشِّيرازي ناصر مكارم؛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مدرسة امام اميرالمؤمنين؛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 xml:space="preserve">اللَّنكراني محمَّد الفاضل الموحِّدي، توفِّي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مهر؛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قاعدة فقهيَّة</w:t>
      </w:r>
    </w:p>
    <w:p>
      <w:pPr>
        <w:pStyle w:val="BookText"/>
        <w:rPr/>
      </w:pPr>
      <w:r>
        <w:rPr>
          <w:rFonts w:ascii="Amiri" w:hAnsi="Amiri" w:eastAsia="Amiri" w:cs="Amiri"/>
          <w:color w:val="111111"/>
          <w:sz w:val="28"/>
          <w:sz w:val="28"/>
          <w:szCs w:val="28"/>
          <w:rtl w:val="true"/>
          <w:lang w:bidi="ar-SA"/>
        </w:rPr>
        <w:t>المصطفوي السَّيِّد محمَّد كاظم، توفِّي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w:t>
      </w:r>
    </w:p>
    <w:p>
      <w:pPr>
        <w:pStyle w:val="BookText"/>
        <w:rPr/>
      </w:pPr>
      <w:r>
        <w:rPr>
          <w:rFonts w:ascii="Amiri" w:hAnsi="Amiri" w:eastAsia="Amiri" w:cs="Amiri"/>
          <w:color w:val="111111"/>
          <w:sz w:val="28"/>
          <w:sz w:val="28"/>
          <w:szCs w:val="28"/>
          <w:rtl w:val="true"/>
          <w:lang w:bidi="ar-SA"/>
        </w:rPr>
        <w:t xml:space="preserve">العاملي الشَّهيد الأوَّل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كتابفروشى مفيد؛ الطَّبعة الأولىٰ‌؛ قم؛ ايران؛ صحَّحه السَّيِّد عبدالهادي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الرَّشيد في الإجتهاد و التَّقليد</w:t>
      </w:r>
    </w:p>
    <w:p>
      <w:pPr>
        <w:pStyle w:val="BookText"/>
        <w:rPr/>
      </w:pPr>
      <w:r>
        <w:rPr>
          <w:rFonts w:ascii="Amiri" w:hAnsi="Amiri" w:eastAsia="Amiri" w:cs="Amiri"/>
          <w:color w:val="111111"/>
          <w:sz w:val="28"/>
          <w:sz w:val="28"/>
          <w:szCs w:val="28"/>
          <w:rtl w:val="true"/>
          <w:lang w:bidi="ar-SA"/>
        </w:rPr>
        <w:t xml:space="preserve">العلوي السَّيِّد عادل؛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أبوجعفرٍ محمَّد بن يعقوب، توفِّي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تهران؛ ايران؛ صحَّحه علي اكبر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p>
    <w:p>
      <w:pPr>
        <w:pStyle w:val="BookText"/>
        <w:rPr/>
      </w:pPr>
      <w:r>
        <w:rPr>
          <w:rFonts w:ascii="Amiri" w:hAnsi="Amiri" w:eastAsia="Amiri" w:cs="Amiri"/>
          <w:color w:val="111111"/>
          <w:sz w:val="28"/>
          <w:sz w:val="28"/>
          <w:szCs w:val="28"/>
          <w:rtl w:val="true"/>
          <w:lang w:bidi="ar-SA"/>
        </w:rPr>
        <w:t xml:space="preserve">الحلبي ابوالصَّلاح تقي الدِّين بن نجم الدِّين، توفِّي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كتابخانۀ عمومى امام اميرالمؤمنين؛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أصفهان؛ ايران؛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اللُّمعات النَّيِّرة في شرح تكملة التَّبصرة</w:t>
      </w:r>
    </w:p>
    <w:p>
      <w:pPr>
        <w:pStyle w:val="BookText"/>
        <w:rPr/>
      </w:pPr>
      <w:r>
        <w:rPr>
          <w:rFonts w:ascii="Amiri" w:hAnsi="Amiri" w:eastAsia="Amiri" w:cs="Amiri"/>
          <w:color w:val="111111"/>
          <w:sz w:val="28"/>
          <w:sz w:val="28"/>
          <w:szCs w:val="28"/>
          <w:rtl w:val="true"/>
          <w:lang w:bidi="ar-SA"/>
        </w:rPr>
        <w:t xml:space="preserve">الخراساني الآخوند محمَّدكاظم بن حسين، توفِّي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في فقه الإماميَّة</w:t>
      </w:r>
    </w:p>
    <w:p>
      <w:pPr>
        <w:pStyle w:val="BookText"/>
        <w:rPr/>
      </w:pPr>
      <w:r>
        <w:rPr>
          <w:rFonts w:ascii="Amiri" w:hAnsi="Amiri" w:eastAsia="Amiri" w:cs="Amiri"/>
          <w:color w:val="111111"/>
          <w:sz w:val="28"/>
          <w:sz w:val="28"/>
          <w:szCs w:val="28"/>
          <w:rtl w:val="true"/>
          <w:lang w:bidi="ar-SA"/>
        </w:rPr>
        <w:t xml:space="preserve">العاملي الشَّهيد الأوَّل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التُّراث، الدَّار الإسلاميَّة؛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محمَّدتقي مرواريد، علي اصغر مرواريد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المثلي و المال القيمي في الفقه الإسلامي</w:t>
      </w:r>
    </w:p>
    <w:p>
      <w:pPr>
        <w:pStyle w:val="BookText"/>
        <w:rPr/>
      </w:pPr>
      <w:r>
        <w:rPr>
          <w:rFonts w:ascii="Amiri" w:hAnsi="Amiri" w:eastAsia="Amiri" w:cs="Amiri"/>
          <w:color w:val="111111"/>
          <w:sz w:val="28"/>
          <w:sz w:val="28"/>
          <w:szCs w:val="28"/>
          <w:rtl w:val="true"/>
          <w:lang w:bidi="ar-SA"/>
        </w:rPr>
        <w:t xml:space="preserve">النَّجفي كاشف الغطاء عبَّاس بن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مؤسَّسه كاشف الغطاء؛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المرتضويَّة لإحياء الآثار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تهران؛ ايران؛ صحَّحه السَّيِّد محمَّدتقي الكشفي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البرقي أبوجعفرٍ احمد بن محمَّد بن خالد، توفِّي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المحاكمات بين الأعلام</w:t>
      </w:r>
    </w:p>
    <w:p>
      <w:pPr>
        <w:pStyle w:val="BookText"/>
        <w:rPr/>
      </w:pPr>
      <w:r>
        <w:rPr>
          <w:rFonts w:ascii="IRNazanin" w:hAnsi="IRNazanin" w:eastAsia="IRNazanin"/>
          <w:color w:val="111111"/>
          <w:sz w:val="28"/>
          <w:sz w:val="28"/>
          <w:szCs w:val="28"/>
          <w:rtl w:val="true"/>
          <w:lang w:bidi="fa-IR"/>
        </w:rPr>
        <w:t xml:space="preserve">العراقي عبدالنَّبي النَّجفي، توفِّي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چاپخانۀ قم؛ الطَّبعة الأولىٰ‌؛ قم؛ ايران؛ قرَّره السَّرابي مسلم التَّبريزي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الأصول</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امام صادق؛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المازندراني السَّيِّد محمود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أصول الفقه</w:t>
      </w:r>
    </w:p>
    <w:p>
      <w:pPr>
        <w:pStyle w:val="BookText"/>
        <w:rPr/>
      </w:pPr>
      <w:r>
        <w:rPr>
          <w:rFonts w:ascii="Amiri" w:hAnsi="Amiri" w:eastAsia="Amiri" w:cs="Amiri"/>
          <w:color w:val="111111"/>
          <w:sz w:val="28"/>
          <w:sz w:val="28"/>
          <w:szCs w:val="28"/>
          <w:rtl w:val="true"/>
          <w:lang w:bidi="ar-SA"/>
        </w:rPr>
        <w:t xml:space="preserve">الحكيم السَّيِّد محمَّد سعيد الطَّباطبائي؛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المنار؛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والمحيط الأعظم</w:t>
      </w:r>
    </w:p>
    <w:p>
      <w:pPr>
        <w:pStyle w:val="BookText"/>
        <w:rPr/>
      </w:pPr>
      <w:r>
        <w:rPr>
          <w:rFonts w:ascii="Amiri" w:hAnsi="Amiri" w:eastAsia="Amiri" w:cs="Amiri"/>
          <w:color w:val="111111"/>
          <w:sz w:val="28"/>
          <w:sz w:val="28"/>
          <w:szCs w:val="28"/>
          <w:rtl w:val="true"/>
          <w:lang w:bidi="ar-SA"/>
        </w:rPr>
        <w:t xml:space="preserve">ابن سيٖدة عليُّ بن إسماعيل، توفِّي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دارالكتب العلميَّة؛ الطَّبعة الأولىٰ‌؛ بيروت؛ لبنان؛ صحَّحه الهنداوي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w:t>
      </w:r>
    </w:p>
    <w:p>
      <w:pPr>
        <w:pStyle w:val="BookText"/>
        <w:rPr/>
      </w:pPr>
      <w:r>
        <w:rPr>
          <w:rFonts w:ascii="Amiri" w:hAnsi="Amiri" w:eastAsia="Amiri" w:cs="Amiri"/>
          <w:color w:val="111111"/>
          <w:sz w:val="28"/>
          <w:sz w:val="28"/>
          <w:szCs w:val="28"/>
          <w:rtl w:val="true"/>
          <w:lang w:bidi="ar-SA"/>
        </w:rPr>
        <w:t xml:space="preserve">صاحب بن عبَّاد كافى الكفاة إسماعيل بن عبَّاد، توفِّي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عالم الكتاب؛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محمَّدحسن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المختارات في الأصول</w:t>
      </w:r>
    </w:p>
    <w:p>
      <w:pPr>
        <w:pStyle w:val="BookText"/>
        <w:rPr/>
      </w:pPr>
      <w:r>
        <w:rPr>
          <w:rFonts w:ascii="Amiri" w:hAnsi="Amiri" w:eastAsia="Amiri" w:cs="Amiri"/>
          <w:color w:val="111111"/>
          <w:sz w:val="28"/>
          <w:sz w:val="28"/>
          <w:szCs w:val="28"/>
          <w:rtl w:val="true"/>
          <w:lang w:bidi="ar-SA"/>
        </w:rPr>
        <w:t xml:space="preserve">القمِّي محمَّد علي الحائري، توفِّي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المطبعة العلميَّة؛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المختصرالنافع في فقه الإماميَّة</w:t>
      </w:r>
    </w:p>
    <w:p>
      <w:pPr>
        <w:pStyle w:val="BookText"/>
        <w:rPr/>
      </w:pPr>
      <w:r>
        <w:rPr>
          <w:rFonts w:ascii="Amiri" w:hAnsi="Amiri" w:eastAsia="Amiri" w:cs="Amiri"/>
          <w:color w:val="111111"/>
          <w:sz w:val="28"/>
          <w:sz w:val="28"/>
          <w:szCs w:val="28"/>
          <w:rtl w:val="true"/>
          <w:lang w:bidi="ar-SA"/>
        </w:rPr>
        <w:t xml:space="preserve">الحلِّي المحقِّق نجم الدِّين جعفر بن الحسن،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المطبوعات الدِّينيَّة؛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السَّادسة؛ قم؛ ايران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p>
    <w:p>
      <w:pPr>
        <w:pStyle w:val="BookText"/>
        <w:rPr/>
      </w:pPr>
      <w:r>
        <w:rPr>
          <w:rFonts w:ascii="Amiri" w:hAnsi="Amiri" w:eastAsia="Amiri" w:cs="Amiri"/>
          <w:color w:val="111111"/>
          <w:sz w:val="28"/>
          <w:sz w:val="28"/>
          <w:szCs w:val="28"/>
          <w:rtl w:val="true"/>
          <w:lang w:bidi="ar-SA"/>
        </w:rPr>
        <w:t xml:space="preserve">ابن سيٖدة عليُّ بن إسماعيل، توفِّي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دارالكتب العلميَّة؛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 و الأحكام النَّبويَّة</w:t>
      </w:r>
    </w:p>
    <w:p>
      <w:pPr>
        <w:pStyle w:val="BookText"/>
        <w:rPr/>
      </w:pPr>
      <w:r>
        <w:rPr>
          <w:rFonts w:ascii="Amiri" w:hAnsi="Amiri" w:eastAsia="Amiri" w:cs="Amiri"/>
          <w:color w:val="111111"/>
          <w:sz w:val="28"/>
          <w:sz w:val="28"/>
          <w:szCs w:val="28"/>
          <w:rtl w:val="true"/>
          <w:lang w:bidi="ar-SA"/>
        </w:rPr>
        <w:t xml:space="preserve">الدَّيلمي السلَّار حمزة بن عبدالعزيز، توفِّي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المرتقىٰ إلى الفقه الأرقىٰ‌</w:t>
      </w:r>
    </w:p>
    <w:p>
      <w:pPr>
        <w:pStyle w:val="BookText"/>
        <w:rPr/>
      </w:pPr>
      <w:r>
        <w:rPr>
          <w:rFonts w:ascii="Amiri" w:hAnsi="Amiri" w:eastAsia="Amiri" w:cs="Amiri"/>
          <w:color w:val="111111"/>
          <w:sz w:val="28"/>
          <w:sz w:val="28"/>
          <w:szCs w:val="28"/>
          <w:rtl w:val="true"/>
          <w:lang w:bidi="ar-SA"/>
        </w:rPr>
        <w:t xml:space="preserve">القمِّي السَّيِّد محمَّد الحسيني الرَّوحاني، توفِّي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الجليل للتَّحقيقات الثِّقافيَّة، دار الجلي؛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إيران؛ قرَّره الحكيم الشَّهيد السَّيِّد عبدالصَّاحب بن السَّيِّد محسن الطَّباطبايي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الصَّاغانيَّة</w:t>
      </w:r>
    </w:p>
    <w:p>
      <w:pPr>
        <w:pStyle w:val="BookText"/>
        <w:rPr/>
      </w:pPr>
      <w:r>
        <w:rPr>
          <w:rFonts w:ascii="IRNazanin" w:hAnsi="IRNazanin" w:eastAsia="IRNazanin"/>
          <w:color w:val="111111"/>
          <w:sz w:val="28"/>
          <w:sz w:val="28"/>
          <w:szCs w:val="28"/>
          <w:rtl w:val="true"/>
          <w:lang w:bidi="fa-IR"/>
        </w:rPr>
        <w:t xml:space="preserve">البغدادي المفيد محمَّد بن محمَّد بن نعمان العكبري، توفِّي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هزارۀ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النَّاصريَّات</w:t>
      </w:r>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رابطة الثِّقافة والعلاقات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شرح العروة الوثقىٰ‌</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قرَّره مرتضى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w:t>
      </w:r>
    </w:p>
    <w:p>
      <w:pPr>
        <w:pStyle w:val="BookText"/>
        <w:rPr/>
      </w:pPr>
      <w:r>
        <w:rPr>
          <w:rFonts w:ascii="Amiri" w:hAnsi="Amiri" w:eastAsia="Amiri" w:cs="Amiri"/>
          <w:color w:val="111111"/>
          <w:sz w:val="28"/>
          <w:sz w:val="28"/>
          <w:szCs w:val="28"/>
          <w:rtl w:val="true"/>
          <w:lang w:bidi="ar-SA"/>
        </w:rPr>
        <w:t xml:space="preserve">الفيُّومي احمد بن محمَّد المقري، توفِّي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منشورات دارالرَّضي؛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الزُّلفىٰ في شرح العروة الوثقىٰ‌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عبدالنَّبي النَّجفي، توفِّي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المطبعة العلمية؛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المأثورة</w:t>
      </w:r>
    </w:p>
    <w:p>
      <w:pPr>
        <w:pStyle w:val="BookText"/>
        <w:rPr/>
      </w:pPr>
      <w:r>
        <w:rPr>
          <w:rFonts w:ascii="IRNazanin" w:hAnsi="IRNazanin" w:eastAsia="IRNazanin"/>
          <w:color w:val="111111"/>
          <w:sz w:val="28"/>
          <w:sz w:val="28"/>
          <w:szCs w:val="28"/>
          <w:rtl w:val="true"/>
          <w:lang w:bidi="fa-IR"/>
        </w:rPr>
        <w:t xml:space="preserve">الآملي الميرزا هاشم، توفِّي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مؤلِّف الكتاب؛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قرَّره محمَّدعلي اسماعيل پور القمشه 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p>
    <w:p>
      <w:pPr>
        <w:pStyle w:val="BookText"/>
        <w:rPr/>
      </w:pPr>
      <w:r>
        <w:rPr>
          <w:rFonts w:ascii="Amiri" w:hAnsi="Amiri" w:eastAsia="Amiri" w:cs="Amiri"/>
          <w:color w:val="111111"/>
          <w:sz w:val="28"/>
          <w:sz w:val="28"/>
          <w:szCs w:val="28"/>
          <w:rtl w:val="true"/>
          <w:lang w:bidi="ar-SA"/>
        </w:rPr>
        <w:t xml:space="preserve">الحلِّي المحقِّق نجم الدِّين جعفر بن الحسن،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سيِّدالشُّهداء؛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محمَّدعلي الحيدري، السَّيِّد مهدى شمس الدِّين، السَّيِّد ابومحمَّد المرتضوي، السَّيِّد علي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في شرح المناسك</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مدرسة دار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السَّيِّد رضا الموسوي الخلخالي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في ترتيب المعرب</w:t>
      </w:r>
    </w:p>
    <w:p>
      <w:pPr>
        <w:pStyle w:val="BookText"/>
        <w:rPr/>
      </w:pPr>
      <w:r>
        <w:rPr>
          <w:rFonts w:ascii="Amiri" w:hAnsi="Amiri" w:eastAsia="Amiri" w:cs="Amiri"/>
          <w:color w:val="111111"/>
          <w:sz w:val="28"/>
          <w:sz w:val="28"/>
          <w:szCs w:val="28"/>
          <w:rtl w:val="true"/>
          <w:lang w:bidi="ar-SA"/>
        </w:rPr>
        <w:t xml:space="preserve">المُطَرِّزي ناصر بن عبدالسَّيِّد الخوارزمي الحنفي، توفِّي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مكتبة أسامة بن زيد؛ الطَّبعة الأولىٰ‌؛ الحلب؛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في شرح الرِّسالة الألفيَّة</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توفِّي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من شرح المختصر</w:t>
      </w:r>
    </w:p>
    <w:p>
      <w:pPr>
        <w:pStyle w:val="BookText"/>
        <w:rPr/>
      </w:pPr>
      <w:r>
        <w:rPr>
          <w:rFonts w:ascii="Amiri" w:hAnsi="Amiri" w:eastAsia="Amiri" w:cs="Amiri"/>
          <w:color w:val="111111"/>
          <w:sz w:val="28"/>
          <w:sz w:val="28"/>
          <w:szCs w:val="28"/>
          <w:rtl w:val="true"/>
          <w:lang w:bidi="ar-SA"/>
        </w:rPr>
        <w:t xml:space="preserve">الحلُّي جمال الدِّين احمد بن محمَّد الأسدي، توفِّي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البحوث الإسلاميَّة؛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مشهد؛ ايران؛ صحَّحه السَّيِّد مهدى الرَّجائي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الصَّدوق محمَّد بن عليِّ بن بابويه،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إمام هادي؛ </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ascii="IRNazanin" w:hAnsi="IRNazanin" w:eastAsia="IRNazanin"/>
          <w:color w:val="111111"/>
          <w:sz w:val="28"/>
          <w:sz w:val="28"/>
          <w:szCs w:val="28"/>
          <w:rtl w:val="true"/>
          <w:lang w:bidi="fa-IR"/>
        </w:rPr>
        <w:t xml:space="preserve">البغدادي المفيد محمَّد بن محمَّد بن نعمان العُكبري، توفِّي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هزارۀ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p>
    <w:p>
      <w:pPr>
        <w:pStyle w:val="BookText"/>
        <w:rPr/>
      </w:pPr>
      <w:r>
        <w:rPr>
          <w:rFonts w:ascii="Amiri" w:hAnsi="Amiri" w:eastAsia="Amiri" w:cs="Amiri"/>
          <w:color w:val="111111"/>
          <w:sz w:val="28"/>
          <w:sz w:val="28"/>
          <w:szCs w:val="28"/>
          <w:rtl w:val="true"/>
          <w:lang w:bidi="ar-SA"/>
        </w:rPr>
        <w:t xml:space="preserve">الأراكي محمَّدعلي، 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در راه حق؛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p>
    <w:p>
      <w:pPr>
        <w:pStyle w:val="BookText"/>
        <w:rPr/>
      </w:pPr>
      <w:r>
        <w:rPr>
          <w:rFonts w:ascii="Amiri" w:hAnsi="Amiri" w:eastAsia="Amiri" w:cs="Amiri"/>
          <w:color w:val="111111"/>
          <w:sz w:val="28"/>
          <w:sz w:val="28"/>
          <w:szCs w:val="28"/>
          <w:rtl w:val="true"/>
          <w:lang w:bidi="ar-SA"/>
        </w:rPr>
        <w:t xml:space="preserve">الخميني السَّيِّد روح اللَّه الموسوي،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خمينى؛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والبيع</w:t>
      </w:r>
    </w:p>
    <w:p>
      <w:pPr>
        <w:pStyle w:val="BookText"/>
        <w:rPr/>
      </w:pPr>
      <w:r>
        <w:rPr>
          <w:rFonts w:ascii="Amiri" w:hAnsi="Amiri" w:eastAsia="Amiri" w:cs="Amiri"/>
          <w:color w:val="111111"/>
          <w:sz w:val="28"/>
          <w:sz w:val="28"/>
          <w:szCs w:val="28"/>
          <w:rtl w:val="true"/>
          <w:lang w:bidi="ar-SA"/>
        </w:rPr>
        <w:t xml:space="preserve">النَّائيني الميرزا محمَّدحسين الغروي، توفِّي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الآملي الميرزا محمَّدتقي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المِكْنَز العربي المعاصر</w:t>
      </w:r>
    </w:p>
    <w:p>
      <w:pPr>
        <w:pStyle w:val="BookText"/>
        <w:rPr/>
      </w:pPr>
      <w:r>
        <w:rPr>
          <w:rFonts w:ascii="Amiri" w:hAnsi="Amiri" w:eastAsia="Amiri" w:cs="Amiri"/>
          <w:color w:val="111111"/>
          <w:sz w:val="28"/>
          <w:sz w:val="28"/>
          <w:szCs w:val="28"/>
          <w:rtl w:val="true"/>
          <w:lang w:bidi="ar-SA"/>
        </w:rPr>
        <w:t xml:space="preserve">الصِّيني محمود إسماعيل، ناصف مصطفىٰ عبدالعزيز، مصطفىٰ احمد سليمان؛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مكتبة لبنان ناشرون؛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w:t>
      </w:r>
    </w:p>
    <w:p>
      <w:pPr>
        <w:pStyle w:val="BookText"/>
        <w:rPr/>
      </w:pPr>
      <w:r>
        <w:rPr>
          <w:rFonts w:ascii="Amiri" w:hAnsi="Amiri" w:eastAsia="Amiri" w:cs="Amiri"/>
          <w:color w:val="111111"/>
          <w:sz w:val="28"/>
          <w:sz w:val="28"/>
          <w:szCs w:val="28"/>
          <w:rtl w:val="true"/>
          <w:lang w:bidi="ar-SA"/>
        </w:rPr>
        <w:t>الخامنه اي السَّيِّد عليُّ بن الجواد الحسيني، توفِّي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دائرة المعارف فقه اسلامى بر مذهب اهل بيت؛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جمال الدِّين احمد بن محمَّد الأسدي، توفِّي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w:t>
      </w:r>
    </w:p>
    <w:p>
      <w:pPr>
        <w:pStyle w:val="BookText"/>
        <w:rPr/>
      </w:pPr>
      <w:r>
        <w:rPr>
          <w:rFonts w:ascii="Amiri" w:hAnsi="Amiri" w:eastAsia="Amiri" w:cs="Amiri"/>
          <w:color w:val="111111"/>
          <w:sz w:val="28"/>
          <w:sz w:val="28"/>
          <w:szCs w:val="28"/>
          <w:rtl w:val="true"/>
          <w:lang w:bidi="ar-SA"/>
        </w:rPr>
        <w:t xml:space="preserve">اسلامى وابسته به جامعۀ مدرِّسين حوزۀ علميِّۀ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مجتبىٰ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p>
    <w:p>
      <w:pPr>
        <w:pStyle w:val="BookText"/>
        <w:rPr/>
      </w:pPr>
      <w:r>
        <w:rPr>
          <w:rFonts w:ascii="Amiri" w:hAnsi="Amiri" w:eastAsia="Amiri" w:cs="Amiri"/>
          <w:color w:val="111111"/>
          <w:sz w:val="28"/>
          <w:sz w:val="28"/>
          <w:szCs w:val="28"/>
          <w:rtl w:val="true"/>
          <w:lang w:bidi="ar-SA"/>
        </w:rPr>
        <w:t xml:space="preserve">الطِّرابلسي ابن برَّاج، القاضي عبدالعزيز، توفِّي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p>
    <w:p>
      <w:pPr>
        <w:pStyle w:val="BookText"/>
        <w:rPr/>
      </w:pPr>
      <w:r>
        <w:rPr>
          <w:rFonts w:ascii="Amiri" w:hAnsi="Amiri" w:eastAsia="Amiri" w:cs="Amiri"/>
          <w:color w:val="111111"/>
          <w:sz w:val="28"/>
          <w:sz w:val="28"/>
          <w:szCs w:val="28"/>
          <w:rtl w:val="true"/>
          <w:lang w:bidi="ar-SA"/>
        </w:rPr>
        <w:t xml:space="preserve">التَّبريزي السَّيِّد محمَّدحسين الطَّباطبائي،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الخامسة؛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 في شرح اللُّمعة</w:t>
      </w:r>
    </w:p>
    <w:p>
      <w:pPr>
        <w:pStyle w:val="BookText"/>
        <w:rPr/>
      </w:pPr>
      <w:r>
        <w:rPr>
          <w:rFonts w:ascii="Amiri" w:hAnsi="Amiri" w:eastAsia="Amiri" w:cs="Amiri"/>
          <w:color w:val="111111"/>
          <w:sz w:val="28"/>
          <w:sz w:val="28"/>
          <w:szCs w:val="28"/>
          <w:rtl w:val="true"/>
          <w:lang w:bidi="ar-SA"/>
        </w:rPr>
        <w:t xml:space="preserve">الشُّوشتري محمَّد تقي، توفِّي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صدوق؛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الزَّاهر في صلاة المسافر</w:t>
      </w:r>
    </w:p>
    <w:p>
      <w:pPr>
        <w:pStyle w:val="BookText"/>
        <w:rPr/>
      </w:pPr>
      <w:r>
        <w:rPr>
          <w:rFonts w:ascii="Amiri" w:hAnsi="Amiri" w:eastAsia="Amiri" w:cs="Amiri"/>
          <w:color w:val="111111"/>
          <w:sz w:val="28"/>
          <w:sz w:val="28"/>
          <w:szCs w:val="28"/>
          <w:rtl w:val="true"/>
          <w:lang w:bidi="ar-SA"/>
        </w:rPr>
        <w:t xml:space="preserve">الكوه كمري السَّيِّد محمَّد بن علي الحجَّت، توفِّي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طلوع؛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تبريز؛ ايران؛ قرَّره السَّيِّد ابوالحسن الموسوي مولانا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في الحكمة العمليَّة والأحكام الشَّرعيَّة</w:t>
      </w:r>
    </w:p>
    <w:p>
      <w:pPr>
        <w:pStyle w:val="BookText"/>
        <w:rPr/>
      </w:pPr>
      <w:r>
        <w:rPr>
          <w:rFonts w:ascii="IRNazanin" w:hAnsi="IRNazanin" w:eastAsia="IRNazanin"/>
          <w:color w:val="111111"/>
          <w:sz w:val="28"/>
          <w:sz w:val="28"/>
          <w:szCs w:val="28"/>
          <w:rtl w:val="true"/>
          <w:lang w:bidi="fa-IR"/>
        </w:rPr>
        <w:t xml:space="preserve">الكاشاني الفيض محمَّد محسن ابن شاه مرتضىٰ‌، توفِّي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مركز چاپ و نشر سازمان تبليغات اسلامى؛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الثَّانية؛ تهران؛ ايران؛ صحَّحه مهدي انصاري القمِّي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النَّفليَّة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الشَّهيد الأوَّل محمَّد بن مكِّي، توفِّي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w:t>
      </w:r>
    </w:p>
    <w:p>
      <w:pPr>
        <w:pStyle w:val="BookText"/>
        <w:rPr/>
      </w:pPr>
      <w:r>
        <w:rPr>
          <w:rFonts w:ascii="Amiri" w:hAnsi="Amiri" w:eastAsia="Amiri" w:cs="Amiri"/>
          <w:color w:val="111111"/>
          <w:sz w:val="28"/>
          <w:sz w:val="28"/>
          <w:szCs w:val="28"/>
          <w:rtl w:val="true"/>
          <w:lang w:bidi="ar-SA"/>
        </w:rPr>
        <w:t xml:space="preserve">تبليغات اسلامى حوزۀ علميِّۀ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السَّاطع في الفقه النَّافع</w:t>
      </w:r>
    </w:p>
    <w:p>
      <w:pPr>
        <w:pStyle w:val="BookText"/>
        <w:rPr/>
      </w:pPr>
      <w:r>
        <w:rPr>
          <w:rFonts w:ascii="Amiri" w:hAnsi="Amiri" w:eastAsia="Amiri" w:cs="Amiri"/>
          <w:color w:val="111111"/>
          <w:sz w:val="28"/>
          <w:sz w:val="28"/>
          <w:szCs w:val="28"/>
          <w:rtl w:val="true"/>
          <w:lang w:bidi="ar-SA"/>
        </w:rPr>
        <w:t xml:space="preserve">النَّجفي كاشف الغطاء عليُّ بن محمَّدرضا بن هادي، توفِّي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الآداب؛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p>
    <w:p>
      <w:pPr>
        <w:pStyle w:val="BookText"/>
        <w:rPr/>
      </w:pPr>
      <w:r>
        <w:rPr>
          <w:rFonts w:ascii="Amiri" w:hAnsi="Amiri" w:eastAsia="Amiri" w:cs="Amiri"/>
          <w:color w:val="111111"/>
          <w:sz w:val="28"/>
          <w:sz w:val="28"/>
          <w:szCs w:val="28"/>
          <w:rtl w:val="true"/>
          <w:lang w:bidi="ar-SA"/>
        </w:rPr>
        <w:t xml:space="preserve">الجزري ابن الأثير مبارك بن محمَّد، 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مؤسَّسۀ مطبوعاتي اسماعيليان؛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الكتاب العربي؛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 xml:space="preserve">الكاشاني الفيض محمَّد 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كتابخانۀ امام اميرالمؤمنين علي؛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اصفهان؛ ايران؛ صحَّحه ضياءالدِّين الحسيني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الرِّجال</w:t>
      </w:r>
    </w:p>
    <w:p>
      <w:pPr>
        <w:pStyle w:val="BookText"/>
        <w:rPr/>
      </w:pPr>
      <w:r>
        <w:rPr>
          <w:rFonts w:ascii="IRNazanin" w:hAnsi="IRNazanin" w:eastAsia="IRNazanin"/>
          <w:color w:val="111111"/>
          <w:sz w:val="28"/>
          <w:sz w:val="28"/>
          <w:szCs w:val="28"/>
          <w:rtl w:val="true"/>
          <w:lang w:bidi="fa-IR"/>
        </w:rPr>
        <w:t xml:space="preserve">الأصفهاني المجلسي الثَّاني محمَّدباقر بن محمَّدتقي،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وزارت فرهنگ و ارشاد اسلامى؛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 صحَّحه محمَّدكاظم رحمان ستايش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علم الدَّراية</w:t>
      </w:r>
    </w:p>
    <w:p>
      <w:pPr>
        <w:pStyle w:val="BookText"/>
        <w:rPr/>
      </w:pPr>
      <w:r>
        <w:rPr>
          <w:rFonts w:ascii="Amiri" w:hAnsi="Amiri" w:eastAsia="Amiri" w:cs="Amiri"/>
          <w:color w:val="111111"/>
          <w:sz w:val="28"/>
          <w:sz w:val="28"/>
          <w:szCs w:val="28"/>
          <w:rtl w:val="true"/>
          <w:lang w:bidi="ar-SA"/>
        </w:rPr>
        <w:t xml:space="preserve">العاملي بهاءالدِّين محمَّد بن الحسين، توفِّي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بصيرتى؛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مرتضىٰ احمديان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الجعفريَّة في حاشية الرِّياض الطَّباطبائيَّة </w:t>
      </w:r>
    </w:p>
    <w:p>
      <w:pPr>
        <w:pStyle w:val="BookText"/>
        <w:rPr/>
      </w:pPr>
      <w:r>
        <w:rPr>
          <w:rFonts w:ascii="Amiri" w:hAnsi="Amiri" w:eastAsia="Amiri" w:cs="Amiri"/>
          <w:color w:val="111111"/>
          <w:sz w:val="28"/>
          <w:sz w:val="28"/>
          <w:szCs w:val="28"/>
          <w:rtl w:val="true"/>
          <w:lang w:bidi="ar-SA"/>
        </w:rPr>
        <w:t xml:space="preserve">النَّجفي كاشف الغطاء العبَّاس بن الحسن بن جعفر، توفِّي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كاشف الغطاء؛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الطُّوسي محمَّد بن عليِّ بن حمزة، توفِّي بعد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w:t>
      </w:r>
    </w:p>
    <w:p>
      <w:pPr>
        <w:pStyle w:val="BookText"/>
        <w:rPr/>
      </w:pPr>
      <w:r>
        <w:rPr>
          <w:rFonts w:ascii="Amiri" w:hAnsi="Amiri" w:eastAsia="Amiri" w:cs="Amiri"/>
          <w:color w:val="111111"/>
          <w:sz w:val="28"/>
          <w:sz w:val="28"/>
          <w:szCs w:val="28"/>
          <w:rtl w:val="true"/>
          <w:lang w:bidi="ar-SA"/>
        </w:rPr>
        <w:t xml:space="preserve">الخوئي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صاحب الأمر؛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حسن الصَّافي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المتعلِّمين</w:t>
      </w:r>
    </w:p>
    <w:p>
      <w:pPr>
        <w:pStyle w:val="BookText"/>
        <w:rPr/>
      </w:pPr>
      <w:r>
        <w:rPr>
          <w:rFonts w:ascii="Amiri" w:hAnsi="Amiri" w:eastAsia="Amiri" w:cs="Amiri"/>
          <w:color w:val="111111"/>
          <w:sz w:val="28"/>
          <w:sz w:val="28"/>
          <w:szCs w:val="28"/>
          <w:rtl w:val="true"/>
          <w:lang w:bidi="ar-SA"/>
        </w:rPr>
        <w:t xml:space="preserve">القمِّي محمَّد بن عليِّ بن بابويه الصَّدوق،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امام هادي؛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تردُّدات الشَّرائع</w:t>
      </w:r>
    </w:p>
    <w:p>
      <w:pPr>
        <w:pStyle w:val="BookText"/>
        <w:rPr/>
      </w:pPr>
      <w:r>
        <w:rPr>
          <w:rFonts w:ascii="Amiri" w:hAnsi="Amiri" w:eastAsia="Amiri" w:cs="Amiri"/>
          <w:color w:val="111111"/>
          <w:sz w:val="28"/>
          <w:sz w:val="28"/>
          <w:szCs w:val="28"/>
          <w:rtl w:val="true"/>
          <w:lang w:bidi="ar-SA"/>
        </w:rPr>
        <w:t xml:space="preserve">الحلِّي نجم الدِّين جعفر بن زهدري، توفِّي 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السَّيِّد مهدي الرَّجايي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المُهنَّائيَّة</w:t>
      </w:r>
    </w:p>
    <w:p>
      <w:pPr>
        <w:pStyle w:val="BookText"/>
        <w:rPr/>
      </w:pPr>
      <w:r>
        <w:rPr>
          <w:rFonts w:ascii="IRNazanin" w:hAnsi="IRNazanin" w:eastAsia="IRNazanin"/>
          <w:color w:val="111111"/>
          <w:sz w:val="28"/>
          <w:sz w:val="28"/>
          <w:szCs w:val="28"/>
          <w:rtl w:val="true"/>
          <w:lang w:bidi="fa-IR"/>
        </w:rPr>
        <w:t xml:space="preserve">الحلِّي العلَّامه الحسن بن يوسف بن المطهَّر الأسدي، توفِّي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خيّام؛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ورسائل في مختلف فنون المعرفة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ابن إدريس محمَّد بن منصور بن احمد، توفِّي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دليل ما؛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محمَّدمهدى بن السَّيِّد حسن موسوى خرسان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w:t>
      </w:r>
    </w:p>
    <w:p>
      <w:pPr>
        <w:pStyle w:val="BookText"/>
        <w:rPr/>
      </w:pPr>
      <w:r>
        <w:rPr>
          <w:rFonts w:ascii="Amiri" w:hAnsi="Amiri" w:eastAsia="Amiri" w:cs="Amiri"/>
          <w:color w:val="111111"/>
          <w:sz w:val="28"/>
          <w:sz w:val="28"/>
          <w:szCs w:val="28"/>
          <w:rtl w:val="true"/>
          <w:lang w:bidi="ar-SA"/>
        </w:rPr>
        <w:t xml:space="preserve">النَّائيني الميرزا محمَّدحسين، توفي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عرفان؛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الخوئي السَّيِّد ابوالقاسم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الرِّضاع في فقه الشِّيعة</w:t>
      </w:r>
    </w:p>
    <w:p>
      <w:pPr>
        <w:pStyle w:val="BookText"/>
        <w:rPr/>
      </w:pPr>
      <w:r>
        <w:rPr>
          <w:rFonts w:ascii="Amiri" w:hAnsi="Amiri" w:eastAsia="Amiri" w:cs="Amiri"/>
          <w:color w:val="111111"/>
          <w:sz w:val="28"/>
          <w:sz w:val="28"/>
          <w:szCs w:val="28"/>
          <w:rtl w:val="true"/>
          <w:lang w:bidi="ar-SA"/>
        </w:rPr>
        <w:t xml:space="preserve">الخويي السَّيِّد أبوالقاسم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المنير للطِّباعة والنَّشر؛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المقرِّر السَّيِّد محمَّدمهدي الموسوي الخلخالي، محمَّدتقي الايرواني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 xml:space="preserve">ابن العربي؛ محمَّد بن عبداللَّه بن أبي بكرٍ، توفِّي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دارالكتب العلميَّة؛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 xml:space="preserve">الجصَّاص ابوبكر احمد بن عليٍّ الرَّازي،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حقَّقه محمَّد الصَّادق قمحاوي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 xml:space="preserve">الكياالهراسي عمادالدِّين بن محمَّد الطَّبري، توفِّي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الثَّاينة؛ بيروت؛ لبنان؛ صحَّحه موسىٰ محمَّد علي، عزَّت عبدعطيَّة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النِّظام السياسي عند الإماميَّة</w:t>
      </w:r>
    </w:p>
    <w:p>
      <w:pPr>
        <w:pStyle w:val="BookText"/>
        <w:rPr/>
      </w:pPr>
      <w:r>
        <w:rPr>
          <w:rFonts w:ascii="Amiri" w:hAnsi="Amiri" w:eastAsia="Amiri" w:cs="Amiri"/>
          <w:color w:val="111111"/>
          <w:sz w:val="28"/>
          <w:sz w:val="28"/>
          <w:szCs w:val="28"/>
          <w:rtl w:val="true"/>
          <w:lang w:bidi="ar-SA"/>
        </w:rPr>
        <w:t xml:space="preserve">البحراني محمَّد 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فدك؛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المقرِّر رضوى السَّيِّد محمَّدحسن؛ الإسكندري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القدير في أحكام العصير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شيخ الشَّريعة فتح اللَّه بن محمَّد جواد النَّمازي، توفِّي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p>
    <w:p>
      <w:pPr>
        <w:pStyle w:val="BookText"/>
        <w:rPr/>
      </w:pPr>
      <w:r>
        <w:rPr>
          <w:rFonts w:ascii="Amiri" w:hAnsi="Amiri" w:eastAsia="Amiri" w:cs="Amiri"/>
          <w:color w:val="111111"/>
          <w:sz w:val="28"/>
          <w:sz w:val="28"/>
          <w:szCs w:val="28"/>
          <w:rtl w:val="true"/>
          <w:lang w:bidi="ar-SA"/>
        </w:rPr>
        <w:t xml:space="preserve">دفتر انتشارات اسلامى وابسته به جامعۀ مدرِّسين حوزۀ علميِّۀ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يحيىٰ ابوطالبى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الوسائل في شرح الرَّسائل</w:t>
      </w:r>
    </w:p>
    <w:p>
      <w:pPr>
        <w:pStyle w:val="BookText"/>
        <w:rPr/>
      </w:pPr>
      <w:r>
        <w:rPr>
          <w:rFonts w:ascii="Amiri" w:hAnsi="Amiri" w:eastAsia="Amiri" w:cs="Amiri"/>
          <w:color w:val="111111"/>
          <w:sz w:val="28"/>
          <w:sz w:val="28"/>
          <w:szCs w:val="28"/>
          <w:rtl w:val="true"/>
          <w:lang w:bidi="ar-SA"/>
        </w:rPr>
        <w:t xml:space="preserve">التَّبريزي موسىٰ بن جعفر، توفِّي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كتبي نجفي؛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مشكلات القواعد</w:t>
      </w:r>
    </w:p>
    <w:p>
      <w:pPr>
        <w:pStyle w:val="BookText"/>
        <w:rPr/>
      </w:pPr>
      <w:r>
        <w:rPr>
          <w:rFonts w:ascii="IRNazanin" w:hAnsi="IRNazanin" w:eastAsia="IRNazanin"/>
          <w:color w:val="111111"/>
          <w:sz w:val="28"/>
          <w:sz w:val="28"/>
          <w:szCs w:val="28"/>
          <w:rtl w:val="true"/>
          <w:lang w:bidi="fa-IR"/>
        </w:rPr>
        <w:t xml:space="preserve">الحلِّي فخرالمحقِّقين محمَّد بن الحسن بن يوسف، توفِّي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اسماعيليان؛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السَّيِّد حسين الموسوي الكرماني، علي پناه الإشتهاردي، عبدالرَّحيم البروجردي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p>
    <w:p>
      <w:pPr>
        <w:pStyle w:val="BookText"/>
        <w:rPr/>
      </w:pPr>
      <w:r>
        <w:rPr>
          <w:rFonts w:ascii="Amiri" w:hAnsi="Amiri" w:eastAsia="Amiri" w:cs="Amiri"/>
          <w:color w:val="111111"/>
          <w:sz w:val="28"/>
          <w:sz w:val="28"/>
          <w:szCs w:val="28"/>
          <w:rtl w:val="true"/>
          <w:lang w:bidi="ar-SA"/>
        </w:rPr>
        <w:t xml:space="preserve">الأصفهاني المجلسي الثَّاني محمَّد باقر بن محمَّدتقي،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الطَّبع و النَّشر؛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p>
    <w:p>
      <w:pPr>
        <w:pStyle w:val="BookText"/>
        <w:rPr/>
      </w:pPr>
      <w:r>
        <w:rPr>
          <w:rFonts w:ascii="Amiri" w:hAnsi="Amiri" w:eastAsia="Amiri" w:cs="Amiri"/>
          <w:color w:val="111111"/>
          <w:sz w:val="28"/>
          <w:sz w:val="28"/>
          <w:szCs w:val="28"/>
          <w:rtl w:val="true"/>
          <w:lang w:bidi="ar-SA"/>
        </w:rPr>
        <w:t xml:space="preserve">الحلِّي الحسين، توفِّي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المنار؛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قم؛ ايران؛ قرَّره السَّيِّد عزالدِّين السَّيِّد علي بحرالعلوم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شرح العروة الوثقىٰ‌</w:t>
      </w:r>
    </w:p>
    <w:p>
      <w:pPr>
        <w:pStyle w:val="BookText"/>
        <w:rPr/>
      </w:pPr>
      <w:r>
        <w:rPr>
          <w:rFonts w:ascii="Amiri" w:hAnsi="Amiri" w:eastAsia="Amiri" w:cs="Amiri"/>
          <w:color w:val="111111"/>
          <w:sz w:val="28"/>
          <w:sz w:val="28"/>
          <w:szCs w:val="28"/>
          <w:rtl w:val="true"/>
          <w:lang w:bidi="ar-SA"/>
        </w:rPr>
        <w:t xml:space="preserve">الصَّدر الشَّهيد السَّيِّد محمَّدباقر، استشهد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الشَّهيد آية اللَّه الصَّدر العلمي؛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الكلام في تفسير آيات الأحكام</w:t>
      </w:r>
    </w:p>
    <w:p>
      <w:pPr>
        <w:pStyle w:val="BookText"/>
        <w:rPr/>
      </w:pPr>
      <w:r>
        <w:rPr>
          <w:rFonts w:ascii="Amiri" w:hAnsi="Amiri" w:eastAsia="Amiri" w:cs="Amiri"/>
          <w:color w:val="111111"/>
          <w:sz w:val="28"/>
          <w:sz w:val="28"/>
          <w:szCs w:val="28"/>
          <w:rtl w:val="true"/>
          <w:lang w:bidi="ar-SA"/>
        </w:rPr>
        <w:t xml:space="preserve">الميانجي محمَّدباقر الملكي، توفِّي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الوفاء؛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الحجِّ للفقهاء والحُجَج </w:t>
      </w:r>
    </w:p>
    <w:p>
      <w:pPr>
        <w:pStyle w:val="BookText"/>
        <w:rPr/>
      </w:pPr>
      <w:r>
        <w:rPr>
          <w:rFonts w:ascii="Amiri" w:hAnsi="Amiri" w:eastAsia="Amiri" w:cs="Amiri"/>
          <w:color w:val="111111"/>
          <w:sz w:val="28"/>
          <w:sz w:val="28"/>
          <w:szCs w:val="28"/>
          <w:rtl w:val="true"/>
          <w:lang w:bidi="ar-SA"/>
        </w:rPr>
        <w:t xml:space="preserve">الكاشاني رضا المدني،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مدرسۀ علميِّۀ آية اللَّه مدنى كاشانى؛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كاشان؛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الفقيه</w:t>
      </w:r>
    </w:p>
    <w:p>
      <w:pPr>
        <w:pStyle w:val="BookText"/>
        <w:rPr/>
      </w:pPr>
      <w:r>
        <w:rPr>
          <w:rFonts w:ascii="Amiri" w:hAnsi="Amiri" w:eastAsia="Amiri" w:cs="Amiri"/>
          <w:color w:val="111111"/>
          <w:sz w:val="28"/>
          <w:sz w:val="28"/>
          <w:szCs w:val="28"/>
          <w:rtl w:val="true"/>
          <w:lang w:bidi="ar-SA"/>
        </w:rPr>
        <w:t xml:space="preserve">بحر العلوم محمَّد بن محمَّدتقي، توفِّي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مكتبة الصَّادق؛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الأصول</w:t>
      </w:r>
    </w:p>
    <w:p>
      <w:pPr>
        <w:pStyle w:val="BookText"/>
        <w:rPr/>
      </w:pPr>
      <w:r>
        <w:rPr>
          <w:rFonts w:ascii="IRNazanin" w:hAnsi="IRNazanin" w:eastAsia="IRNazanin"/>
          <w:color w:val="111111"/>
          <w:sz w:val="28"/>
          <w:sz w:val="28"/>
          <w:szCs w:val="28"/>
          <w:rtl w:val="true"/>
          <w:lang w:bidi="fa-IR"/>
        </w:rPr>
        <w:t xml:space="preserve">الصَّافي لطف اللَّه الگلپايگاني؛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دائرة التَّوجيه والإرشاد الدِّيني في مكتب المؤلِّف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الأصول</w:t>
      </w:r>
    </w:p>
    <w:p>
      <w:pPr>
        <w:pStyle w:val="BookText"/>
        <w:rPr/>
      </w:pPr>
      <w:r>
        <w:rPr>
          <w:rFonts w:ascii="Amiri" w:hAnsi="Amiri" w:eastAsia="Amiri" w:cs="Amiri"/>
          <w:color w:val="111111"/>
          <w:sz w:val="28"/>
          <w:sz w:val="28"/>
          <w:szCs w:val="28"/>
          <w:rtl w:val="true"/>
          <w:lang w:bidi="ar-SA"/>
        </w:rPr>
        <w:t xml:space="preserve">الشِّيرازي السَّيِّد صادق الحسيني؛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دارالأنصار؛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الفقه في شرح العروة الوثقىٰ‌</w:t>
      </w:r>
    </w:p>
    <w:p>
      <w:pPr>
        <w:pStyle w:val="BookText"/>
        <w:rPr/>
      </w:pPr>
      <w:r>
        <w:rPr>
          <w:rFonts w:ascii="Amiri" w:hAnsi="Amiri" w:eastAsia="Amiri" w:cs="Amiri"/>
          <w:color w:val="111111"/>
          <w:sz w:val="28"/>
          <w:sz w:val="28"/>
          <w:szCs w:val="28"/>
          <w:rtl w:val="true"/>
          <w:lang w:bidi="ar-SA"/>
        </w:rPr>
        <w:t xml:space="preserve">الشِّيرازي السَّيِّد صادق الحسيني؛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دارالأنصار؛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رسالۀ فارسى</w:t>
      </w:r>
    </w:p>
    <w:p>
      <w:pPr>
        <w:pStyle w:val="BookText"/>
        <w:rPr/>
      </w:pPr>
      <w:r>
        <w:rPr>
          <w:rFonts w:ascii="Amiri" w:hAnsi="Amiri" w:eastAsia="Amiri" w:cs="Amiri"/>
          <w:color w:val="111111"/>
          <w:sz w:val="28"/>
          <w:sz w:val="28"/>
          <w:szCs w:val="28"/>
          <w:rtl w:val="true"/>
          <w:lang w:bidi="ar-SA"/>
        </w:rPr>
        <w:t xml:space="preserve">الأصفهاني المجلسي الثَّاني محمَّدباقر بن محمَّدتقي،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مهدي الرَّجائي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الزَّبيدي الحنفي محب الدِّين السَّيِّد محمَّد مرتضىٰ الحسيني، 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علي شيري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 صحاح العربيَّة</w:t>
      </w:r>
    </w:p>
    <w:p>
      <w:pPr>
        <w:pStyle w:val="BookText"/>
        <w:rPr/>
      </w:pPr>
      <w:r>
        <w:rPr>
          <w:rFonts w:ascii="Amiri" w:hAnsi="Amiri" w:eastAsia="Amiri" w:cs="Amiri"/>
          <w:color w:val="111111"/>
          <w:sz w:val="28"/>
          <w:sz w:val="28"/>
          <w:szCs w:val="28"/>
          <w:rtl w:val="true"/>
          <w:lang w:bidi="ar-SA"/>
        </w:rPr>
        <w:t xml:space="preserve">الجوهري إسماعيل بن حمَّادٍ، توفِّي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العلم للملايين؛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احمد عبدالغفور 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الدَّعائم</w:t>
      </w:r>
    </w:p>
    <w:p>
      <w:pPr>
        <w:pStyle w:val="BookText"/>
        <w:rPr/>
      </w:pPr>
      <w:r>
        <w:rPr>
          <w:rFonts w:ascii="Amiri" w:hAnsi="Amiri" w:eastAsia="Amiri" w:cs="Amiri"/>
          <w:color w:val="111111"/>
          <w:sz w:val="28"/>
          <w:sz w:val="28"/>
          <w:szCs w:val="28"/>
          <w:rtl w:val="true"/>
          <w:lang w:bidi="ar-SA"/>
        </w:rPr>
        <w:t xml:space="preserve">المغربي أبوحنيفه نعمان بن محمَّد التميمي، توفِّي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المعارف؛ الطَّبعة الأولىٰ‌؛ القاهرة؛ مصر؛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الفقهاء</w:t>
      </w:r>
    </w:p>
    <w:p>
      <w:pPr>
        <w:pStyle w:val="BookText"/>
        <w:rPr/>
      </w:pPr>
      <w:r>
        <w:rPr>
          <w:rFonts w:ascii="Amiri" w:hAnsi="Amiri" w:eastAsia="Amiri" w:cs="Amiri"/>
          <w:color w:val="111111"/>
          <w:sz w:val="28"/>
          <w:sz w:val="28"/>
          <w:szCs w:val="28"/>
          <w:rtl w:val="true"/>
          <w:lang w:bidi="ar-SA"/>
        </w:rPr>
        <w:t xml:space="preserve">الأصفهاني محمَّدتقي الرَّازي النَّجفي، توفِّي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الذَّخائر الإسلاميَّة؛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صادق الحسيني الأشكوري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في أحكام الدِّين</w:t>
      </w:r>
    </w:p>
    <w:p>
      <w:pPr>
        <w:pStyle w:val="BookText"/>
        <w:rPr/>
      </w:pPr>
      <w:r>
        <w:rPr>
          <w:rFonts w:ascii="IRNazanin" w:hAnsi="IRNazanin" w:eastAsia="IRNazanin"/>
          <w:color w:val="111111"/>
          <w:sz w:val="28"/>
          <w:sz w:val="28"/>
          <w:szCs w:val="28"/>
          <w:rtl w:val="true"/>
          <w:lang w:bidi="fa-IR"/>
        </w:rPr>
        <w:t xml:space="preserve">الحلِّي العلَّامة الحسن بن يوسف بن المطهَّر الأسدي، توفِّي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چاپ و نشر وابسته به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 صحَّحه محمَّدهادي يوسفي الغروي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الصَّلاة</w:t>
      </w:r>
    </w:p>
    <w:p>
      <w:pPr>
        <w:pStyle w:val="BookText"/>
        <w:rPr/>
      </w:pPr>
      <w:r>
        <w:rPr>
          <w:rFonts w:ascii="IRNazanin" w:hAnsi="IRNazanin" w:eastAsia="IRNazanin"/>
          <w:color w:val="111111"/>
          <w:sz w:val="28"/>
          <w:sz w:val="28"/>
          <w:szCs w:val="28"/>
          <w:rtl w:val="true"/>
          <w:lang w:bidi="fa-IR"/>
        </w:rPr>
        <w:t xml:space="preserve">البروجردي حسين الطَّباطبايي، توفِّي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گنج عرفان للطِّباعة و 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قرَّره الگلپايگاني علي الصَّافي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تحريراتٌ في الأصول</w:t>
      </w:r>
    </w:p>
    <w:p>
      <w:pPr>
        <w:pStyle w:val="BookText"/>
        <w:rPr/>
      </w:pPr>
      <w:r>
        <w:rPr>
          <w:rFonts w:ascii="Amiri" w:hAnsi="Amiri" w:eastAsia="Amiri" w:cs="Amiri"/>
          <w:color w:val="111111"/>
          <w:sz w:val="28"/>
          <w:sz w:val="28"/>
          <w:szCs w:val="28"/>
          <w:rtl w:val="true"/>
          <w:lang w:bidi="ar-SA"/>
        </w:rPr>
        <w:t xml:space="preserve">الخميني السَّيِّد مصطفىٰ بن روح اللَّه، استشهد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مؤسَّسه آل البيت عليهم السلام؛ الطَّبعة الأولىٰ‌؛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w:t>
      </w:r>
    </w:p>
    <w:p>
      <w:pPr>
        <w:pStyle w:val="BookText"/>
        <w:rPr/>
      </w:pP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امام صادق؛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إبراهيم بهادري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الأصول</w:t>
      </w:r>
    </w:p>
    <w:p>
      <w:pPr>
        <w:pStyle w:val="BookText"/>
        <w:rPr/>
      </w:pPr>
      <w:r>
        <w:rPr>
          <w:rFonts w:ascii="Amiri" w:hAnsi="Amiri" w:eastAsia="Amiri" w:cs="Amiri"/>
          <w:color w:val="111111"/>
          <w:sz w:val="28"/>
          <w:sz w:val="28"/>
          <w:szCs w:val="28"/>
          <w:rtl w:val="true"/>
          <w:lang w:bidi="ar-SA"/>
        </w:rPr>
        <w:t xml:space="preserve">العراقي ضياءالدِّين،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مهر؛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المظاهري مرتضىٰ النَّجفي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المجلَّة</w:t>
      </w:r>
    </w:p>
    <w:p>
      <w:pPr>
        <w:pStyle w:val="BookText"/>
        <w:rPr/>
      </w:pPr>
      <w:r>
        <w:rPr>
          <w:rFonts w:ascii="Amiri" w:hAnsi="Amiri" w:eastAsia="Amiri" w:cs="Amiri"/>
          <w:color w:val="111111"/>
          <w:sz w:val="28"/>
          <w:sz w:val="28"/>
          <w:szCs w:val="28"/>
          <w:rtl w:val="true"/>
          <w:lang w:bidi="ar-SA"/>
        </w:rPr>
        <w:t xml:space="preserve">النَّجفي كاشف الغطاء محمد حسين بن عليِّ بن محمَّدرضا، توفِّي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المرتضويَّة؛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w:t>
      </w:r>
    </w:p>
    <w:p>
      <w:pPr>
        <w:pStyle w:val="BookText"/>
        <w:rPr/>
      </w:pPr>
      <w:r>
        <w:rPr>
          <w:rFonts w:ascii="Amiri" w:hAnsi="Amiri" w:eastAsia="Amiri" w:cs="Amiri"/>
          <w:color w:val="111111"/>
          <w:sz w:val="28"/>
          <w:sz w:val="28"/>
          <w:szCs w:val="28"/>
          <w:rtl w:val="true"/>
          <w:lang w:bidi="ar-SA"/>
        </w:rPr>
        <w:t xml:space="preserve">الخميني السَّيِّد روح اللَّه الموسوي،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مؤسَّسه مطبوعات دار العلم؛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الحلِّي العلَّامه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المسالك إلى المدارك في رؤوس القواعد الفقهيَّة</w:t>
      </w:r>
    </w:p>
    <w:p>
      <w:pPr>
        <w:pStyle w:val="BookText"/>
        <w:rPr/>
      </w:pPr>
      <w:r>
        <w:rPr>
          <w:rFonts w:ascii="Amiri" w:hAnsi="Amiri" w:eastAsia="Amiri" w:cs="Amiri"/>
          <w:color w:val="111111"/>
          <w:sz w:val="28"/>
          <w:sz w:val="28"/>
          <w:szCs w:val="28"/>
          <w:rtl w:val="true"/>
          <w:lang w:bidi="ar-SA"/>
        </w:rPr>
        <w:t xml:space="preserve">الكاشاني ملَّا حبيب اللَّه الشَّريف، توفِّي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المطبعة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مبسوطة على العروة الوثقىٰ‌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الكابلي محمَّد إسحاق الفيَّاض؛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انتشارات محلَّاتي؛ الطَّبعة الأولىٰ‌؛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اثنيٰعشري</w:t>
      </w:r>
    </w:p>
    <w:p>
      <w:pPr>
        <w:pStyle w:val="BookText"/>
        <w:rPr/>
      </w:pPr>
      <w:r>
        <w:rPr>
          <w:rFonts w:ascii="Amiri" w:hAnsi="Amiri" w:eastAsia="Amiri" w:cs="Amiri"/>
          <w:color w:val="111111"/>
          <w:sz w:val="28"/>
          <w:sz w:val="28"/>
          <w:szCs w:val="28"/>
          <w:rtl w:val="true"/>
          <w:lang w:bidi="ar-SA"/>
        </w:rPr>
        <w:t xml:space="preserve">الحسيني حسين بن احمد شاه عبدالعظيمي؛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ميقات؛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المراغي</w:t>
      </w:r>
    </w:p>
    <w:p>
      <w:pPr>
        <w:pStyle w:val="BookText"/>
        <w:rPr/>
      </w:pPr>
      <w:r>
        <w:rPr>
          <w:rFonts w:ascii="Amiri" w:hAnsi="Amiri" w:eastAsia="Amiri" w:cs="Amiri"/>
          <w:color w:val="111111"/>
          <w:sz w:val="28"/>
          <w:sz w:val="28"/>
          <w:szCs w:val="28"/>
          <w:rtl w:val="true"/>
          <w:lang w:bidi="ar-SA"/>
        </w:rPr>
        <w:t xml:space="preserve">المراغي احمد بن مصطفىٰ‌؛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إحياء التُّراث العربي؛ الطَّبعة الخامسة؛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شاهي</w:t>
      </w:r>
    </w:p>
    <w:p>
      <w:pPr>
        <w:pStyle w:val="BookText"/>
        <w:rPr/>
      </w:pPr>
      <w:r>
        <w:rPr>
          <w:rFonts w:ascii="Amiri" w:hAnsi="Amiri" w:eastAsia="Amiri" w:cs="Amiri"/>
          <w:color w:val="111111"/>
          <w:sz w:val="28"/>
          <w:sz w:val="28"/>
          <w:szCs w:val="28"/>
          <w:rtl w:val="true"/>
          <w:lang w:bidi="ar-SA"/>
        </w:rPr>
        <w:t xml:space="preserve">الجرجاني السَّيِّد امير ابوالفتح الحسيني، توفِّي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نويد؛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الميرزا ولي اللَّه اشراقى سرابي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الشَّريعة في شرح تحرير الوسيلة</w:t>
      </w:r>
    </w:p>
    <w:p>
      <w:pPr>
        <w:pStyle w:val="BookText"/>
        <w:rPr/>
      </w:pPr>
      <w:r>
        <w:rPr>
          <w:rFonts w:ascii="Amiri" w:hAnsi="Amiri" w:eastAsia="Amiri" w:cs="Amiri"/>
          <w:color w:val="111111"/>
          <w:sz w:val="28"/>
          <w:sz w:val="28"/>
          <w:szCs w:val="28"/>
          <w:rtl w:val="true"/>
          <w:lang w:bidi="ar-SA"/>
        </w:rPr>
        <w:t xml:space="preserve">اللَّنكراني محمَّد الفاضل الموحدي، توفِّي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مركز فقهى ائمِّۀ اطهار؛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إلى تحصيل مسائل الشَّريعة</w:t>
      </w:r>
    </w:p>
    <w:p>
      <w:pPr>
        <w:pStyle w:val="BookText"/>
        <w:rPr/>
      </w:pPr>
      <w:r>
        <w:rPr>
          <w:rFonts w:ascii="Amiri" w:hAnsi="Amiri" w:eastAsia="Amiri" w:cs="Amiri"/>
          <w:color w:val="111111"/>
          <w:sz w:val="28"/>
          <w:sz w:val="28"/>
          <w:szCs w:val="28"/>
          <w:rtl w:val="true"/>
          <w:lang w:bidi="ar-SA"/>
        </w:rPr>
        <w:t xml:space="preserve">العاملي الحرُّ محمَّد بن الحسن، 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ثلاث</w:t>
      </w:r>
    </w:p>
    <w:p>
      <w:pPr>
        <w:pStyle w:val="BookText"/>
        <w:rPr/>
      </w:pPr>
      <w:r>
        <w:rPr>
          <w:rFonts w:ascii="IRNazanin" w:hAnsi="IRNazanin" w:eastAsia="IRNazanin"/>
          <w:color w:val="111111"/>
          <w:sz w:val="28"/>
          <w:sz w:val="28"/>
          <w:szCs w:val="28"/>
          <w:rtl w:val="true"/>
          <w:lang w:bidi="fa-IR"/>
        </w:rPr>
        <w:t xml:space="preserve">البروجردي حسين الطَّباطبائي، توفِّي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دفتر انتشارات اسلامى وابسته به جامعۀ مدرِّسين حوزۀ علميِّۀ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قرَّره علي پناه الإشتهاردي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العروة الوثقىٰ‌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اليزدي السَّيِّد محمَّدكاظم الطباطبائي، توفِّي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داورى؛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محمَّدحسين الطَّباطبائي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مشارق الشُّموس في شرح الدُّروس</w:t>
      </w:r>
    </w:p>
    <w:p>
      <w:pPr>
        <w:pStyle w:val="BookText"/>
        <w:rPr/>
      </w:pPr>
      <w:r>
        <w:rPr>
          <w:rFonts w:ascii="Amiri" w:hAnsi="Amiri" w:eastAsia="Amiri" w:cs="Amiri"/>
          <w:color w:val="111111"/>
          <w:sz w:val="28"/>
          <w:sz w:val="28"/>
          <w:szCs w:val="28"/>
          <w:rtl w:val="true"/>
          <w:lang w:bidi="ar-SA"/>
        </w:rPr>
        <w:t xml:space="preserve">الخوانساري رضي الدِّين بن آقا حسين بن محمَّد، توفِّي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الخلاف و خلاصة الاختلاف</w:t>
      </w:r>
    </w:p>
    <w:p>
      <w:pPr>
        <w:pStyle w:val="BookText"/>
        <w:rPr/>
      </w:pPr>
      <w:r>
        <w:rPr>
          <w:rFonts w:ascii="Amiri" w:hAnsi="Amiri" w:eastAsia="Amiri" w:cs="Amiri"/>
          <w:color w:val="111111"/>
          <w:sz w:val="28"/>
          <w:sz w:val="28"/>
          <w:szCs w:val="28"/>
          <w:rtl w:val="true"/>
          <w:lang w:bidi="ar-SA"/>
        </w:rPr>
        <w:t xml:space="preserve">الصَّيمُري مفلح بن الحسن، توفِّي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الأصوليَّة و العربيَّة لتفريع قواعد الأحكام الشَّرعيَّة</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الأصول</w:t>
      </w:r>
    </w:p>
    <w:p>
      <w:pPr>
        <w:pStyle w:val="BookText"/>
        <w:rPr/>
      </w:pPr>
      <w:r>
        <w:rPr>
          <w:rFonts w:ascii="Amiri" w:hAnsi="Amiri" w:eastAsia="Amiri" w:cs="Amiri"/>
          <w:color w:val="111111"/>
          <w:sz w:val="28"/>
          <w:sz w:val="28"/>
          <w:szCs w:val="28"/>
          <w:rtl w:val="true"/>
          <w:lang w:bidi="ar-SA"/>
        </w:rPr>
        <w:t xml:space="preserve">الخميني السَّيِّد روح اللَّه الموسوي،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قرَّره الإشتهاردي حسين التَّقوي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p>
    <w:p>
      <w:pPr>
        <w:pStyle w:val="BookText"/>
        <w:rPr/>
      </w:pPr>
      <w:r>
        <w:rPr>
          <w:rFonts w:ascii="Amiri" w:hAnsi="Amiri" w:eastAsia="Amiri" w:cs="Amiri"/>
          <w:color w:val="111111"/>
          <w:sz w:val="28"/>
          <w:sz w:val="28"/>
          <w:szCs w:val="28"/>
          <w:rtl w:val="true"/>
          <w:lang w:bidi="ar-SA"/>
        </w:rPr>
        <w:t xml:space="preserve">الخميني السَّيِّد روح اللَّه الموسوي،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اسماعيليان؛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التَّبريزي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السَّبزواري السَّيِّد عبدالاعلىٰ‌، توفِّي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المنار؛ الطَّبعة الأولىٰ‌؛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w:t>
      </w:r>
    </w:p>
    <w:p>
      <w:pPr>
        <w:pStyle w:val="BookText"/>
        <w:rPr/>
      </w:pPr>
      <w:r>
        <w:rPr>
          <w:rFonts w:ascii="Amiri" w:hAnsi="Amiri" w:eastAsia="Amiri" w:cs="Amiri"/>
          <w:color w:val="111111"/>
          <w:sz w:val="28"/>
          <w:sz w:val="28"/>
          <w:szCs w:val="28"/>
          <w:rtl w:val="true"/>
          <w:lang w:bidi="ar-SA"/>
        </w:rPr>
        <w:t xml:space="preserve">الأزهري ابومنصور محمَّد بن احمد، توفِّي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إحياء التُّراث العربي؛ الطَّبعة الأولىٰ‌؛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w:t>
      </w:r>
    </w:p>
    <w:p>
      <w:pPr>
        <w:pStyle w:val="BookText"/>
        <w:rPr/>
      </w:pPr>
      <w:r>
        <w:rPr>
          <w:rFonts w:ascii="Amiri" w:hAnsi="Amiri" w:eastAsia="Amiri" w:cs="Amiri"/>
          <w:color w:val="111111"/>
          <w:sz w:val="28"/>
          <w:sz w:val="28"/>
          <w:szCs w:val="28"/>
          <w:rtl w:val="true"/>
          <w:lang w:bidi="ar-SA"/>
        </w:rPr>
        <w:t xml:space="preserve">القمِّي السَّيِّد تقي الطَّباطبائي؛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انتشارات محلَّاتى؛ الطَّبعة الأولىٰ‌؛ قم؛ ايران؛ قرَّره الدَّشتي عبَّاس الحاجياني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p>
    <w:p>
      <w:pPr>
        <w:pStyle w:val="BookText"/>
        <w:rPr/>
      </w:pPr>
      <w:r>
        <w:rPr>
          <w:rFonts w:ascii="Amiri" w:hAnsi="Amiri" w:eastAsia="Amiri" w:cs="Amiri"/>
          <w:color w:val="111111"/>
          <w:sz w:val="28"/>
          <w:sz w:val="28"/>
          <w:szCs w:val="28"/>
          <w:rtl w:val="true"/>
          <w:lang w:bidi="ar-SA"/>
        </w:rPr>
        <w:t xml:space="preserve">القمِّي الصَّدوق محمَّد بن عليِّ بن بابويه،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الشَّريف الرَّضي للنَّشر؛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p>
    <w:p>
      <w:pPr>
        <w:pStyle w:val="BookText"/>
        <w:rPr/>
      </w:pPr>
      <w:r>
        <w:rPr>
          <w:rFonts w:ascii="Amiri" w:hAnsi="Amiri" w:eastAsia="Amiri" w:cs="Amiri"/>
          <w:color w:val="111111"/>
          <w:sz w:val="28"/>
          <w:sz w:val="28"/>
          <w:szCs w:val="28"/>
          <w:rtl w:val="true"/>
          <w:lang w:bidi="ar-SA"/>
        </w:rPr>
        <w:t xml:space="preserve">الطَّبري ابوجعفر محمَّد بن جريرٍ، توفِّي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المعرفة؛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الخلاف و الوفاق بين الإماميَّة و بين أئمَّة الحجاز و العراق</w:t>
      </w:r>
    </w:p>
    <w:p>
      <w:pPr>
        <w:pStyle w:val="BookText"/>
        <w:rPr/>
      </w:pPr>
      <w:r>
        <w:rPr>
          <w:rFonts w:ascii="Amiri" w:hAnsi="Amiri" w:eastAsia="Amiri" w:cs="Amiri"/>
          <w:color w:val="111111"/>
          <w:sz w:val="28"/>
          <w:sz w:val="28"/>
          <w:szCs w:val="28"/>
          <w:rtl w:val="true"/>
          <w:lang w:bidi="ar-SA"/>
        </w:rPr>
        <w:t xml:space="preserve">السَّبزواري علي المؤمن القمِّي، توفِّي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زمينه سازان ظهور امام عصر؛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حسين الحسني البيرجندي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الشِّتات في أجوبة السُّؤالات</w:t>
      </w:r>
    </w:p>
    <w:p>
      <w:pPr>
        <w:pStyle w:val="BookText"/>
        <w:rPr/>
      </w:pPr>
      <w:r>
        <w:rPr>
          <w:rFonts w:ascii="Amiri" w:hAnsi="Amiri" w:eastAsia="Amiri" w:cs="Amiri"/>
          <w:color w:val="111111"/>
          <w:sz w:val="28"/>
          <w:sz w:val="28"/>
          <w:szCs w:val="28"/>
          <w:rtl w:val="true"/>
          <w:lang w:bidi="ar-SA"/>
        </w:rPr>
        <w:t xml:space="preserve">الجيلاني الميرزا القمِّي ابوالقاسم بن محمَّد حسن،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كيهان؛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مرتضىٰ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 في شرح المختصر النَّافع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الخوانساري السَّيِّد احمد بن يوسف، توفِّي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اسماعيليان؛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علي اكبر الغفَّاري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p>
    <w:p>
      <w:pPr>
        <w:pStyle w:val="BookText"/>
        <w:rPr/>
      </w:pPr>
      <w:r>
        <w:rPr>
          <w:rFonts w:ascii="Amiri" w:hAnsi="Amiri" w:eastAsia="Amiri" w:cs="Amiri"/>
          <w:color w:val="111111"/>
          <w:sz w:val="28"/>
          <w:sz w:val="28"/>
          <w:szCs w:val="28"/>
          <w:rtl w:val="true"/>
          <w:lang w:bidi="ar-SA"/>
        </w:rPr>
        <w:t xml:space="preserve">العاملي الكركي المحقِّق الثَّاني علي بن حسين، توفِّي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p>
    <w:p>
      <w:pPr>
        <w:pStyle w:val="BookText"/>
        <w:rPr/>
      </w:pPr>
      <w:r>
        <w:rPr>
          <w:rFonts w:ascii="IRNazanin" w:hAnsi="IRNazanin" w:eastAsia="IRNazanin"/>
          <w:color w:val="111111"/>
          <w:sz w:val="28"/>
          <w:sz w:val="28"/>
          <w:szCs w:val="28"/>
          <w:rtl w:val="true"/>
          <w:lang w:bidi="fa-IR"/>
        </w:rPr>
        <w:t xml:space="preserve">البروجردي حسين الطَّباطبائي، توفِّي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فرهنگ سبز؛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الأصول</w:t>
      </w:r>
    </w:p>
    <w:p>
      <w:pPr>
        <w:pStyle w:val="BookText"/>
        <w:rPr/>
      </w:pPr>
      <w:r>
        <w:rPr>
          <w:rFonts w:ascii="IRNazanin" w:hAnsi="IRNazanin" w:eastAsia="IRNazanin"/>
          <w:color w:val="111111"/>
          <w:sz w:val="28"/>
          <w:sz w:val="28"/>
          <w:szCs w:val="28"/>
          <w:rtl w:val="true"/>
          <w:lang w:bidi="fa-IR"/>
        </w:rPr>
        <w:t xml:space="preserve">النَّراقي احمد بن محمَّدمهدي، توفِّي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نراقيَّان؛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w:t>
      </w:r>
    </w:p>
    <w:p>
      <w:pPr>
        <w:pStyle w:val="BookText"/>
        <w:rPr/>
      </w:pPr>
      <w:r>
        <w:rPr>
          <w:rFonts w:ascii="Amiri" w:hAnsi="Amiri" w:eastAsia="Amiri" w:cs="Amiri"/>
          <w:color w:val="111111"/>
          <w:sz w:val="28"/>
          <w:sz w:val="28"/>
          <w:szCs w:val="28"/>
          <w:rtl w:val="true"/>
          <w:lang w:bidi="ar-SA"/>
        </w:rPr>
        <w:t xml:space="preserve">ابن دريد ابوبكر محمَّد بن الحسن، توفِّي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دارالعلم للملائين؛ الطَّبعة الأولىٰ‌؛ بيروت؛ لبنان؛ حقَّقه رمزي منير البعبكِّي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w:t>
      </w:r>
    </w:p>
    <w:p>
      <w:pPr>
        <w:pStyle w:val="BookText"/>
        <w:rPr/>
      </w:pPr>
      <w:r>
        <w:rPr>
          <w:rFonts w:ascii="Amiri" w:hAnsi="Amiri" w:eastAsia="Amiri" w:cs="Amiri"/>
          <w:color w:val="111111"/>
          <w:sz w:val="28"/>
          <w:sz w:val="28"/>
          <w:szCs w:val="28"/>
          <w:rtl w:val="true"/>
          <w:lang w:bidi="ar-SA"/>
        </w:rPr>
        <w:t xml:space="preserve">الثَّعالبي عبدالرَّحمن بن محمَّد، توفِّي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دارإحياء التُّراث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الفرائض</w:t>
      </w:r>
    </w:p>
    <w:p>
      <w:pPr>
        <w:pStyle w:val="BookText"/>
        <w:rPr/>
      </w:pPr>
      <w:r>
        <w:rPr>
          <w:rFonts w:ascii="Amiri" w:hAnsi="Amiri" w:eastAsia="Amiri" w:cs="Amiri"/>
          <w:color w:val="111111"/>
          <w:sz w:val="28"/>
          <w:sz w:val="28"/>
          <w:szCs w:val="28"/>
          <w:rtl w:val="true"/>
          <w:lang w:bidi="ar-SA"/>
        </w:rPr>
        <w:t xml:space="preserve">الطُّوسي نصيرالدِّين، 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دائرة المعارف فقه اسلامى بر مذهب اهل بيت؛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خالد الغفوري، كاظم الفتلي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الفقه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الطِّرابلسي ابن البرَّاج القاضي عبدالعزيز الطُّوسي ابو جعفر محمَّد بن الحسن، توفِّي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إبراهيم البهادري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p>
    <w:p>
      <w:pPr>
        <w:pStyle w:val="BookText"/>
        <w:rPr/>
      </w:pPr>
      <w:r>
        <w:rPr>
          <w:rFonts w:ascii="IRNazanin" w:hAnsi="IRNazanin" w:eastAsia="IRNazanin"/>
          <w:color w:val="111111"/>
          <w:sz w:val="28"/>
          <w:sz w:val="28"/>
          <w:szCs w:val="28"/>
          <w:rtl w:val="true"/>
          <w:lang w:bidi="fa-IR"/>
        </w:rPr>
        <w:t xml:space="preserve">النَّجفي محمَّد حسن، توفِّي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 إحياء التُّراث العربي؛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السَّابعة؛ بيروت؛ لبنان؛ صحَّحه عبَّاس القوچاني، علي الآخوندي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المختصر النَّافع</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الوافي</w:t>
      </w:r>
    </w:p>
    <w:p>
      <w:pPr>
        <w:pStyle w:val="BookText"/>
        <w:rPr/>
      </w:pPr>
      <w:r>
        <w:rPr>
          <w:rFonts w:ascii="Amiri" w:hAnsi="Amiri" w:eastAsia="Amiri" w:cs="Amiri"/>
          <w:color w:val="111111"/>
          <w:sz w:val="28"/>
          <w:sz w:val="28"/>
          <w:szCs w:val="28"/>
          <w:rtl w:val="true"/>
          <w:lang w:bidi="ar-SA"/>
        </w:rPr>
        <w:t xml:space="preserve">البهبهاني محمَّدباقر بن محمَّد أكمل، 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العلَّامة المجدِّد الوحيد البهبهاني؛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مجمع الفائدة و البرهان</w:t>
      </w:r>
    </w:p>
    <w:p>
      <w:pPr>
        <w:pStyle w:val="BookText"/>
        <w:rPr/>
      </w:pPr>
      <w:r>
        <w:rPr>
          <w:rFonts w:ascii="Amiri" w:hAnsi="Amiri" w:eastAsia="Amiri" w:cs="Amiri"/>
          <w:color w:val="111111"/>
          <w:sz w:val="28"/>
          <w:sz w:val="28"/>
          <w:szCs w:val="28"/>
          <w:rtl w:val="true"/>
          <w:lang w:bidi="ar-SA"/>
        </w:rPr>
        <w:t xml:space="preserve">البهبهاني محمَّدباقر بن محمَّد اكمل، 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العلَّامة المجدِّد الوحيد البهبهاني؛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ذبائح أهل الكتاب</w:t>
      </w:r>
    </w:p>
    <w:p>
      <w:pPr>
        <w:pStyle w:val="BookText"/>
        <w:rPr/>
      </w:pPr>
      <w:r>
        <w:rPr>
          <w:rFonts w:ascii="Amiri" w:hAnsi="Amiri" w:eastAsia="Amiri" w:cs="Amiri"/>
          <w:color w:val="111111"/>
          <w:sz w:val="28"/>
          <w:sz w:val="28"/>
          <w:szCs w:val="28"/>
          <w:rtl w:val="true"/>
          <w:lang w:bidi="ar-SA"/>
        </w:rPr>
        <w:t xml:space="preserve">العاملي بهاءالدِّين محمَّد بن الحسين، توفِّي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الأعلمي للمطبوعات؛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زهير الأعرجي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الأصول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السَّيِّد محسن الطَّباطبائي، 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بصيرتى؛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الثَّامنة؛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أحوال الرِّجال</w:t>
      </w:r>
    </w:p>
    <w:p>
      <w:pPr>
        <w:pStyle w:val="BookText"/>
        <w:rPr/>
      </w:pP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الصَّلاة وأحكامها</w:t>
      </w:r>
    </w:p>
    <w:p>
      <w:pPr>
        <w:pStyle w:val="BookText"/>
        <w:rPr/>
      </w:pPr>
      <w:r>
        <w:rPr>
          <w:rFonts w:ascii="Amiri" w:hAnsi="Amiri" w:eastAsia="Amiri" w:cs="Amiri"/>
          <w:color w:val="111111"/>
          <w:sz w:val="28"/>
          <w:sz w:val="28"/>
          <w:szCs w:val="28"/>
          <w:rtl w:val="true"/>
          <w:lang w:bidi="ar-SA"/>
        </w:rPr>
        <w:t xml:space="preserve">اليزدي مرتضىٰ بن عبدالكريم الحائري، توفِّي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حسين أمراللَّهي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الأخلاق</w:t>
      </w:r>
    </w:p>
    <w:p>
      <w:pPr>
        <w:pStyle w:val="BookText"/>
        <w:rPr/>
      </w:pPr>
      <w:r>
        <w:rPr>
          <w:rFonts w:ascii="Amiri" w:hAnsi="Amiri" w:eastAsia="Amiri" w:cs="Amiri"/>
          <w:color w:val="111111"/>
          <w:sz w:val="28"/>
          <w:sz w:val="28"/>
          <w:szCs w:val="28"/>
          <w:rtl w:val="true"/>
          <w:lang w:bidi="ar-SA"/>
        </w:rPr>
        <w:t xml:space="preserve">المظاهري حسين الأصفهاني؛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الزَّهراء، مكتب الإعلام الإسلامي فرع اصفهان؛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 ايران؛ أعدَّه مجيد هادى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المكاسب المحرَّمة</w:t>
      </w:r>
    </w:p>
    <w:p>
      <w:pPr>
        <w:pStyle w:val="BookText"/>
        <w:rPr/>
      </w:pPr>
      <w:r>
        <w:rPr>
          <w:rFonts w:ascii="Amiri" w:hAnsi="Amiri" w:eastAsia="Amiri" w:cs="Amiri"/>
          <w:color w:val="111111"/>
          <w:sz w:val="28"/>
          <w:sz w:val="28"/>
          <w:szCs w:val="28"/>
          <w:rtl w:val="true"/>
          <w:lang w:bidi="ar-SA"/>
        </w:rPr>
        <w:t xml:space="preserve">النَّجف آبادي حسين علي المنتظري، توفِّي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علم الأصول</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دائرة المعارف فقه اسلامى بر مذهب اهل بيت؛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السَّيِّد علي الهاشمي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 فقه الدَّولة الإسلاميَّة</w:t>
      </w:r>
    </w:p>
    <w:p>
      <w:pPr>
        <w:pStyle w:val="BookText"/>
        <w:rPr/>
      </w:pPr>
      <w:r>
        <w:rPr>
          <w:rFonts w:ascii="Amiri" w:hAnsi="Amiri" w:eastAsia="Amiri" w:cs="Amiri"/>
          <w:color w:val="111111"/>
          <w:sz w:val="28"/>
          <w:sz w:val="28"/>
          <w:szCs w:val="28"/>
          <w:rtl w:val="true"/>
          <w:lang w:bidi="ar-SA"/>
        </w:rPr>
        <w:t xml:space="preserve">النَّجف آبادي حسين علي المنتظري، توفِّي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تفكُّر؛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موجزةٌ في الخيارات و الشُّروط</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المركز العالمي للدِّراسات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دراساتنا من الفقه الجعفري</w:t>
      </w:r>
    </w:p>
    <w:p>
      <w:pPr>
        <w:pStyle w:val="BookText"/>
        <w:rPr/>
      </w:pPr>
      <w:r>
        <w:rPr>
          <w:rFonts w:ascii="Amiri" w:hAnsi="Amiri" w:eastAsia="Amiri" w:cs="Amiri"/>
          <w:color w:val="111111"/>
          <w:sz w:val="28"/>
          <w:sz w:val="28"/>
          <w:szCs w:val="28"/>
          <w:rtl w:val="true"/>
          <w:lang w:bidi="ar-SA"/>
        </w:rPr>
        <w:t xml:space="preserve">القمِّي السَّيِّد تقي الطَّباطبايي؛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القزويني علي المروِّجي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في شرح الفرائد</w:t>
      </w:r>
    </w:p>
    <w:p>
      <w:pPr>
        <w:pStyle w:val="BookText"/>
        <w:rPr/>
      </w:pPr>
      <w:r>
        <w:rPr>
          <w:rFonts w:ascii="Amiri" w:hAnsi="Amiri" w:eastAsia="Amiri" w:cs="Amiri"/>
          <w:color w:val="111111"/>
          <w:sz w:val="28"/>
          <w:sz w:val="28"/>
          <w:szCs w:val="28"/>
          <w:rtl w:val="true"/>
          <w:lang w:bidi="ar-SA"/>
        </w:rPr>
        <w:t xml:space="preserve">التَّبريزي السَّيِّد يوسف المدني؛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بصيرتي؛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الأعلام و نقدها</w:t>
      </w:r>
    </w:p>
    <w:p>
      <w:pPr>
        <w:pStyle w:val="BookText"/>
        <w:rPr/>
      </w:pPr>
      <w:r>
        <w:rPr>
          <w:rFonts w:ascii="Amiri" w:hAnsi="Amiri" w:eastAsia="Amiri" w:cs="Amiri"/>
          <w:color w:val="111111"/>
          <w:sz w:val="28"/>
          <w:sz w:val="28"/>
          <w:szCs w:val="28"/>
          <w:rtl w:val="true"/>
          <w:lang w:bidi="ar-SA"/>
        </w:rPr>
        <w:t xml:space="preserve">الخميني الشَّهيد السَّيِّد مصطفىٰ الموسوي، استشهد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خميني؛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الفقه الاستدلالي على المذهب الجعفري</w:t>
      </w:r>
    </w:p>
    <w:p>
      <w:pPr>
        <w:pStyle w:val="BookText"/>
        <w:rPr/>
      </w:pPr>
      <w:r>
        <w:rPr>
          <w:rFonts w:ascii="Amiri" w:hAnsi="Amiri" w:eastAsia="Amiri" w:cs="Amiri"/>
          <w:color w:val="111111"/>
          <w:sz w:val="28"/>
          <w:sz w:val="28"/>
          <w:szCs w:val="28"/>
          <w:rtl w:val="true"/>
          <w:lang w:bidi="ar-SA"/>
        </w:rPr>
        <w:t xml:space="preserve">الإيرواني باقر؛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القواعد الفقهيَّة</w:t>
      </w:r>
    </w:p>
    <w:p>
      <w:pPr>
        <w:pStyle w:val="BookText"/>
        <w:rPr/>
      </w:pPr>
      <w:r>
        <w:rPr>
          <w:rFonts w:ascii="Amiri" w:hAnsi="Amiri" w:eastAsia="Amiri" w:cs="Amiri"/>
          <w:color w:val="111111"/>
          <w:sz w:val="28"/>
          <w:sz w:val="28"/>
          <w:szCs w:val="28"/>
          <w:rtl w:val="true"/>
          <w:lang w:bidi="ar-SA"/>
        </w:rPr>
        <w:t xml:space="preserve">الإيرواني باقر؛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دارالفقه للطِّباعة و النَّشر؛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Amiri" w:hAnsi="Amiri" w:eastAsia="Amiri" w:cs="Amiri"/>
          <w:color w:val="111111"/>
          <w:sz w:val="28"/>
          <w:sz w:val="28"/>
          <w:szCs w:val="28"/>
          <w:rtl w:val="true"/>
          <w:lang w:bidi="ar-SA"/>
        </w:rPr>
        <w:t xml:space="preserve">المغربي ابوحنيفة نعمان بن محمَّد التَّميمي، توفِّي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العروة الوثقىٰ‌</w:t>
      </w:r>
    </w:p>
    <w:p>
      <w:pPr>
        <w:pStyle w:val="BookText"/>
        <w:rPr/>
      </w:pPr>
      <w:r>
        <w:rPr>
          <w:rFonts w:ascii="Amiri" w:hAnsi="Amiri" w:eastAsia="Amiri" w:cs="Amiri"/>
          <w:color w:val="111111"/>
          <w:sz w:val="28"/>
          <w:sz w:val="28"/>
          <w:szCs w:val="28"/>
          <w:rtl w:val="true"/>
          <w:lang w:bidi="ar-SA"/>
        </w:rPr>
        <w:t xml:space="preserve">الحلِّي الحسين، توفِّي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النَّجف؛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 قرَّره حسن السَّعيد التِّهراني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تحرير الوسيلة </w:t>
      </w:r>
    </w:p>
    <w:p>
      <w:pPr>
        <w:pStyle w:val="BookText"/>
        <w:rPr/>
      </w:pPr>
      <w:r>
        <w:rPr>
          <w:rFonts w:ascii="Amiri" w:hAnsi="Amiri" w:eastAsia="Amiri" w:cs="Amiri"/>
          <w:color w:val="111111"/>
          <w:sz w:val="28"/>
          <w:sz w:val="28"/>
          <w:szCs w:val="28"/>
          <w:rtl w:val="true"/>
          <w:lang w:bidi="ar-SA"/>
        </w:rPr>
        <w:t xml:space="preserve">المازندراني علي اكبر السِّيفى؛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تنظيم و نشر آثار امام خمينى؛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العقبىٰ في شرح العروة الوثقىٰ‌</w:t>
      </w:r>
    </w:p>
    <w:p>
      <w:pPr>
        <w:pStyle w:val="BookText"/>
        <w:rPr/>
      </w:pPr>
      <w:r>
        <w:rPr>
          <w:rFonts w:ascii="IRNazanin" w:hAnsi="IRNazanin" w:eastAsia="IRNazanin"/>
          <w:color w:val="111111"/>
          <w:sz w:val="28"/>
          <w:sz w:val="28"/>
          <w:szCs w:val="28"/>
          <w:rtl w:val="true"/>
          <w:lang w:bidi="fa-IR"/>
        </w:rPr>
        <w:t xml:space="preserve">الگلپايگاني علي الصَّافي، توفِّي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گنج عرفان؛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شرح الإرشاد</w:t>
      </w:r>
    </w:p>
    <w:p>
      <w:pPr>
        <w:pStyle w:val="BookText"/>
        <w:rPr/>
      </w:pPr>
      <w:r>
        <w:rPr>
          <w:rFonts w:ascii="Amiri" w:hAnsi="Amiri" w:eastAsia="Amiri" w:cs="Amiri"/>
          <w:color w:val="111111"/>
          <w:sz w:val="28"/>
          <w:sz w:val="28"/>
          <w:szCs w:val="28"/>
          <w:rtl w:val="true"/>
          <w:lang w:bidi="ar-SA"/>
        </w:rPr>
        <w:t xml:space="preserve">السَّبزواري محمَّدباقر بن محمَّد مؤمن، توفِّي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p>
    <w:p>
      <w:pPr>
        <w:pStyle w:val="BookText"/>
        <w:rPr/>
      </w:pPr>
      <w:r>
        <w:rPr>
          <w:rFonts w:ascii="Amiri" w:hAnsi="Amiri" w:eastAsia="Amiri" w:cs="Amiri"/>
          <w:color w:val="111111"/>
          <w:sz w:val="28"/>
          <w:sz w:val="28"/>
          <w:szCs w:val="28"/>
          <w:rtl w:val="true"/>
          <w:lang w:bidi="ar-SA"/>
        </w:rPr>
        <w:t xml:space="preserve">العاملي الشَّهيد الأوَّل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p>
    <w:p>
      <w:pPr>
        <w:pStyle w:val="BookText"/>
        <w:rPr/>
      </w:pPr>
      <w:r>
        <w:rPr>
          <w:rFonts w:ascii="IRNazanin" w:hAnsi="IRNazanin" w:eastAsia="IRNazanin"/>
          <w:color w:val="111111"/>
          <w:sz w:val="28"/>
          <w:sz w:val="28"/>
          <w:szCs w:val="28"/>
          <w:rtl w:val="true"/>
          <w:lang w:bidi="fa-IR"/>
        </w:rPr>
        <w:t xml:space="preserve">الحلِّي الحسن بن عليِّ بن داود، توفِّي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p>
    <w:p>
      <w:pPr>
        <w:pStyle w:val="BookText"/>
        <w:rPr/>
      </w:pPr>
      <w:r>
        <w:rPr>
          <w:rFonts w:ascii="IRNazanin" w:hAnsi="IRNazanin" w:eastAsia="IRNazanin"/>
          <w:color w:val="111111"/>
          <w:sz w:val="28"/>
          <w:sz w:val="28"/>
          <w:szCs w:val="28"/>
          <w:rtl w:val="true"/>
          <w:lang w:bidi="fa-IR"/>
        </w:rPr>
        <w:t xml:space="preserve">البرقي ابوجعفر احمد بن محمَّد بن خالدٍ، توفِّي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w:t>
      </w:r>
    </w:p>
    <w:p>
      <w:pPr>
        <w:pStyle w:val="BookText"/>
        <w:rPr/>
      </w:pPr>
      <w:r>
        <w:rPr>
          <w:rFonts w:ascii="Amiri" w:hAnsi="Amiri" w:eastAsia="Amiri" w:cs="Amiri"/>
          <w:color w:val="111111"/>
          <w:sz w:val="28"/>
          <w:sz w:val="28"/>
          <w:szCs w:val="28"/>
          <w:rtl w:val="true"/>
          <w:lang w:bidi="ar-SA"/>
        </w:rPr>
        <w:t xml:space="preserve">الطُّوسي ابو 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قم؛ ايران؛ صحَّحه جواد القيُّومي الأصفهاني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آل طوق القطيفي </w:t>
      </w:r>
    </w:p>
    <w:p>
      <w:pPr>
        <w:pStyle w:val="BookText"/>
        <w:rPr/>
      </w:pPr>
      <w:r>
        <w:rPr>
          <w:rFonts w:ascii="Amiri" w:hAnsi="Amiri" w:eastAsia="Amiri" w:cs="Amiri"/>
          <w:color w:val="111111"/>
          <w:sz w:val="28"/>
          <w:sz w:val="28"/>
          <w:szCs w:val="28"/>
          <w:rtl w:val="true"/>
          <w:lang w:bidi="ar-SA"/>
        </w:rPr>
        <w:t xml:space="preserve">القطيفي آل طوق احمد بن صالحٍ‌، توفِّي بعد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المصطفىٰ لإحياء التُّراث؛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الشَّهيد الثَّاني</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مختارى رضا، شفيعى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المحقِّق الكَرَكي</w:t>
      </w:r>
    </w:p>
    <w:p>
      <w:pPr>
        <w:pStyle w:val="BookText"/>
        <w:rPr/>
      </w:pPr>
      <w:r>
        <w:rPr>
          <w:rFonts w:ascii="Amiri" w:hAnsi="Amiri" w:eastAsia="Amiri" w:cs="Amiri"/>
          <w:color w:val="111111"/>
          <w:sz w:val="28"/>
          <w:sz w:val="28"/>
          <w:szCs w:val="28"/>
          <w:rtl w:val="true"/>
          <w:lang w:bidi="ar-SA"/>
        </w:rPr>
        <w:t xml:space="preserve">العاملي الكركي المحقِّق الثَّاني عليُّ بن حسينٍ‌، توفِّي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كتابخانۀ آية اللَّه مرعشى نجفى، دفتر نشر 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الميرزا القمي</w:t>
      </w:r>
    </w:p>
    <w:p>
      <w:pPr>
        <w:pStyle w:val="BookText"/>
        <w:rPr/>
      </w:pPr>
      <w:r>
        <w:rPr>
          <w:rFonts w:ascii="Amiri" w:hAnsi="Amiri" w:eastAsia="Amiri" w:cs="Amiri"/>
          <w:color w:val="111111"/>
          <w:sz w:val="28"/>
          <w:sz w:val="28"/>
          <w:szCs w:val="28"/>
          <w:rtl w:val="true"/>
          <w:lang w:bidi="ar-SA"/>
        </w:rPr>
        <w:t xml:space="preserve">الجيلاني الميرزا القمِّي ابوالقاسم بن محمَّد حسن،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تبليغات اسلامى فرع خراسان؛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فقهيَّة</w:t>
      </w:r>
    </w:p>
    <w:p>
      <w:pPr>
        <w:pStyle w:val="BookText"/>
        <w:rPr/>
      </w:pPr>
      <w:r>
        <w:rPr>
          <w:rFonts w:ascii="IRNazanin" w:hAnsi="IRNazanin" w:eastAsia="IRNazanin"/>
          <w:color w:val="111111"/>
          <w:sz w:val="28"/>
          <w:sz w:val="28"/>
          <w:szCs w:val="28"/>
          <w:rtl w:val="true"/>
          <w:lang w:bidi="fa-IR"/>
        </w:rPr>
        <w:t xml:space="preserve">الدِّزفولي مرتضىٰ بن محمَّد امين الأنصاري، 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اعظم انصارى؛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اللِّباس المشكوك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آقا ضياءالدِّين،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w:t>
      </w:r>
    </w:p>
    <w:p>
      <w:pPr>
        <w:pStyle w:val="BookText"/>
        <w:rPr/>
      </w:pPr>
      <w:r>
        <w:rPr>
          <w:rFonts w:ascii="Amiri" w:hAnsi="Amiri" w:eastAsia="Amiri" w:cs="Amiri"/>
          <w:color w:val="111111"/>
          <w:sz w:val="28"/>
          <w:sz w:val="28"/>
          <w:szCs w:val="28"/>
          <w:rtl w:val="true"/>
          <w:lang w:bidi="ar-SA"/>
        </w:rPr>
        <w:t xml:space="preserve">جامعۀ مدرِّسين حوزۀ علميِّۀ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مرتضىٰ الموسوي الخلخالي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تاثير الزَّمان و المكان على استنباط الأحكام</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ضمان اليد</w:t>
      </w:r>
    </w:p>
    <w:p>
      <w:pPr>
        <w:pStyle w:val="BookText"/>
        <w:rPr/>
      </w:pPr>
      <w:r>
        <w:rPr>
          <w:rFonts w:ascii="Amiri" w:hAnsi="Amiri" w:eastAsia="Amiri" w:cs="Amiri"/>
          <w:color w:val="111111"/>
          <w:sz w:val="28"/>
          <w:sz w:val="28"/>
          <w:szCs w:val="28"/>
          <w:rtl w:val="true"/>
          <w:lang w:bidi="ar-SA"/>
        </w:rPr>
        <w:t xml:space="preserve">النُّوري الشَّهيد فضل اللَّه بن عبَّاس، استشهد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دفترانتشارات اسلامى وابسته به جامعۀ مدرِّسين حوزۀ علميِّۀ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قاسم شيرزاده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نفي الضَّرر</w:t>
      </w:r>
    </w:p>
    <w:p>
      <w:pPr>
        <w:pStyle w:val="BookText"/>
        <w:rPr/>
      </w:pPr>
      <w:r>
        <w:rPr>
          <w:rFonts w:ascii="Amiri" w:hAnsi="Amiri" w:eastAsia="Amiri" w:cs="Amiri"/>
          <w:color w:val="111111"/>
          <w:sz w:val="28"/>
          <w:sz w:val="28"/>
          <w:szCs w:val="28"/>
          <w:rtl w:val="true"/>
          <w:lang w:bidi="ar-SA"/>
        </w:rPr>
        <w:t xml:space="preserve">الخوانساري موسىٰ بن محمَّد النَّجفي، توفِّي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المحمَّديَّة؛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 عليهم السلام؛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لايحضره الفقيه</w:t>
      </w:r>
    </w:p>
    <w:p>
      <w:pPr>
        <w:pStyle w:val="BookText"/>
        <w:rPr/>
      </w:pPr>
      <w:r>
        <w:rPr>
          <w:rFonts w:ascii="IRNazanin" w:hAnsi="IRNazanin" w:eastAsia="IRNazanin"/>
          <w:color w:val="111111"/>
          <w:sz w:val="28"/>
          <w:sz w:val="28"/>
          <w:szCs w:val="28"/>
          <w:rtl w:val="true"/>
          <w:lang w:bidi="fa-IR"/>
        </w:rPr>
        <w:t xml:space="preserve">الأصفهاني المجلسي الأوَّل محمَّدتقى، توفِّي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فرهنگى اسلامى كوشانپور؛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الثَّانية؛ قم؛ ايران؛ صحَّحه السَّيِّد حسين الموسوي الكرماني، علي پناه الإشتهاردي، السَّيِّد فضل اللَّه الطَّباطبائي</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تحقيق الأحكام بالدَّلائل </w:t>
      </w:r>
    </w:p>
    <w:p>
      <w:pPr>
        <w:pStyle w:val="BookText"/>
        <w:rPr/>
      </w:pPr>
      <w:r>
        <w:rPr>
          <w:rFonts w:ascii="Amiri" w:hAnsi="Amiri" w:eastAsia="Amiri" w:cs="Amiri"/>
          <w:color w:val="111111"/>
          <w:sz w:val="28"/>
          <w:sz w:val="28"/>
          <w:szCs w:val="28"/>
          <w:rtl w:val="true"/>
          <w:lang w:bidi="ar-SA"/>
        </w:rPr>
        <w:t xml:space="preserve">الحائري السَّيِّد عليُّ بن محمَّدٍ الطَّباطبايي،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w:t>
      </w:r>
    </w:p>
    <w:p>
      <w:pPr>
        <w:pStyle w:val="BookText"/>
        <w:rPr/>
      </w:pPr>
      <w:r>
        <w:rPr>
          <w:rFonts w:ascii="Amiri" w:hAnsi="Amiri" w:eastAsia="Amiri" w:cs="Amiri"/>
          <w:color w:val="111111"/>
          <w:sz w:val="28"/>
          <w:sz w:val="28"/>
          <w:szCs w:val="28"/>
          <w:rtl w:val="true"/>
          <w:lang w:bidi="ar-SA"/>
        </w:rPr>
        <w:t xml:space="preserve">الرَّوحاني السَّيِّد محمَّدصادق القمِّي؛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حديث دل؛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w:t>
      </w:r>
    </w:p>
    <w:p>
      <w:pPr>
        <w:pStyle w:val="BookText"/>
        <w:rPr/>
      </w:pPr>
      <w:r>
        <w:rPr>
          <w:rFonts w:ascii="Amiri" w:hAnsi="Amiri" w:eastAsia="Amiri" w:cs="Amiri"/>
          <w:color w:val="111111"/>
          <w:sz w:val="28"/>
          <w:sz w:val="28"/>
          <w:szCs w:val="28"/>
          <w:rtl w:val="true"/>
          <w:lang w:bidi="ar-SA"/>
        </w:rPr>
        <w:t xml:space="preserve">الأردبيلي احمد بن محمَّدٍ، توفِّي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الجعفريَّة لإحياء الآثار الجعفريَّة؛ الطَّبعة الأولىٰ‌؛ تهران؛ ايران؛ صحَّحه البهبودي محمَّدباقر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العباد و رشاد العباد</w:t>
      </w:r>
    </w:p>
    <w:p>
      <w:pPr>
        <w:pStyle w:val="BookText"/>
        <w:rPr/>
      </w:pPr>
      <w:r>
        <w:rPr>
          <w:rFonts w:ascii="Amiri" w:hAnsi="Amiri" w:eastAsia="Amiri" w:cs="Amiri"/>
          <w:color w:val="111111"/>
          <w:sz w:val="28"/>
          <w:sz w:val="28"/>
          <w:szCs w:val="28"/>
          <w:rtl w:val="true"/>
          <w:lang w:bidi="ar-SA"/>
        </w:rPr>
        <w:t xml:space="preserve">البحراني آل عصفور حسين بن محمَّدٍ، توفِّي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محلَّاتي؛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آل عصفور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w:t>
      </w:r>
    </w:p>
    <w:p>
      <w:pPr>
        <w:pStyle w:val="BookText"/>
        <w:rPr/>
      </w:pPr>
      <w:r>
        <w:rPr>
          <w:rFonts w:ascii="Amiri" w:hAnsi="Amiri" w:eastAsia="Amiri" w:cs="Amiri"/>
          <w:color w:val="111111"/>
          <w:sz w:val="28"/>
          <w:sz w:val="28"/>
          <w:szCs w:val="28"/>
          <w:rtl w:val="true"/>
          <w:lang w:bidi="ar-SA"/>
        </w:rPr>
        <w:t xml:space="preserve">الكاشاني الفيض محمَّدمحسن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ومشكاة الهُدىٰ ومصباح السَّعادات</w:t>
      </w:r>
    </w:p>
    <w:p>
      <w:pPr>
        <w:pStyle w:val="BookText"/>
        <w:rPr/>
      </w:pPr>
      <w:r>
        <w:rPr>
          <w:rFonts w:ascii="Amiri" w:hAnsi="Amiri" w:eastAsia="Amiri" w:cs="Amiri"/>
          <w:color w:val="111111"/>
          <w:sz w:val="28"/>
          <w:sz w:val="28"/>
          <w:szCs w:val="28"/>
          <w:rtl w:val="true"/>
          <w:lang w:bidi="ar-SA"/>
        </w:rPr>
        <w:t xml:space="preserve">النَّجفي كاشف الغطاء احمد بن عليَّ بن محمَّدرضا، توفِّي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كاشف الغطاء؛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العروة الوثقىٰ‌</w:t>
      </w:r>
    </w:p>
    <w:p>
      <w:pPr>
        <w:pStyle w:val="BookText"/>
        <w:rPr/>
      </w:pPr>
      <w:r>
        <w:rPr>
          <w:rFonts w:ascii="Amiri" w:hAnsi="Amiri" w:eastAsia="Amiri" w:cs="Amiri"/>
          <w:color w:val="111111"/>
          <w:sz w:val="28"/>
          <w:sz w:val="28"/>
          <w:szCs w:val="28"/>
          <w:rtl w:val="true"/>
          <w:lang w:bidi="ar-SA"/>
        </w:rPr>
        <w:t xml:space="preserve">البحراني محمَّد السنَّد؛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الدَّاوري وغيرها؛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جوابٌ‌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اليزدي السَّيِّد محمَّدكاظم الطَّباطبايي، توفِّي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مركز نشر العلوم </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السَّيِّد مصطفىٰ المحقِّق، السَّيِّد محمَّد مدني البجستاني، السَّيِّد حسن الوحدتي الشُّبيري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وجوابٌ‌</w:t>
      </w:r>
    </w:p>
    <w:p>
      <w:pPr>
        <w:pStyle w:val="BookText"/>
        <w:rPr/>
      </w:pPr>
      <w:r>
        <w:rPr>
          <w:rFonts w:ascii="Amiri" w:hAnsi="Amiri" w:eastAsia="Amiri" w:cs="Amiri"/>
          <w:color w:val="111111"/>
          <w:sz w:val="28"/>
          <w:sz w:val="28"/>
          <w:szCs w:val="28"/>
          <w:rtl w:val="true"/>
          <w:lang w:bidi="ar-SA"/>
        </w:rPr>
        <w:t xml:space="preserve">النَّجفي كاشف الغطاء محمَّدحسين بن عليِّ بن محمَّدرضا، توفِّي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كاشف الغطاء؛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p>
    <w:p>
      <w:pPr>
        <w:pStyle w:val="BookText"/>
        <w:rPr/>
      </w:pPr>
      <w:r>
        <w:rPr>
          <w:rFonts w:ascii="Amiri" w:hAnsi="Amiri" w:eastAsia="Amiri" w:cs="Amiri"/>
          <w:color w:val="111111"/>
          <w:sz w:val="28"/>
          <w:sz w:val="28"/>
          <w:szCs w:val="28"/>
          <w:rtl w:val="true"/>
          <w:lang w:bidi="ar-SA"/>
        </w:rPr>
        <w:t xml:space="preserve">الحلِّي المحقِّق نجم الدِّين جعفر بن الحسن،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إسماعيليان؛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عبدالحسين محمَّدعلي 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 الصَّلاتيَّة</w:t>
      </w:r>
    </w:p>
    <w:p>
      <w:pPr>
        <w:pStyle w:val="BookText"/>
        <w:rPr/>
      </w:pPr>
      <w:r>
        <w:rPr>
          <w:rFonts w:ascii="Amiri" w:hAnsi="Amiri" w:eastAsia="Amiri" w:cs="Amiri"/>
          <w:color w:val="111111"/>
          <w:sz w:val="28"/>
          <w:sz w:val="28"/>
          <w:szCs w:val="28"/>
          <w:rtl w:val="true"/>
          <w:lang w:bidi="ar-SA"/>
        </w:rPr>
        <w:t xml:space="preserve">البحراني آل عصفور يوسف بن احمد بن إبراهيم، 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محمَّد بن شيخ عبدالمجيد؛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بوشهر؛ ايران؛ صحَّحه ابواحمد عادل بن احمد آل عصفور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 xml:space="preserve">الشِّيرازي كاظم، توفِّي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كاشف الغطاء؛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 قرَّره علي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 xml:space="preserve">اليزدي مرتضىٰ بن عبدالكريم الحائري، توفِّي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محمَّدحسين امراللَّهي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المازندراني محمَّد صالح بن احمد، توفِّي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ابوالحسن الشَّعراني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تبصرة المتعلِّمين</w:t>
      </w:r>
    </w:p>
    <w:p>
      <w:pPr>
        <w:pStyle w:val="BookText"/>
        <w:rPr/>
      </w:pPr>
      <w:r>
        <w:rPr>
          <w:rFonts w:ascii="Amiri" w:hAnsi="Amiri" w:eastAsia="Amiri" w:cs="Amiri"/>
          <w:color w:val="111111"/>
          <w:sz w:val="28"/>
          <w:sz w:val="28"/>
          <w:szCs w:val="28"/>
          <w:rtl w:val="true"/>
          <w:lang w:bidi="ar-SA"/>
        </w:rPr>
        <w:t xml:space="preserve">العراقي آقا ضياءالدِّين،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 حسُّون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تردُّدات المختصر النافع</w:t>
      </w:r>
    </w:p>
    <w:p>
      <w:pPr>
        <w:pStyle w:val="BookText"/>
        <w:rPr/>
      </w:pPr>
      <w:r>
        <w:rPr>
          <w:rFonts w:ascii="Amiri" w:hAnsi="Amiri" w:eastAsia="Amiri" w:cs="Amiri"/>
          <w:color w:val="111111"/>
          <w:sz w:val="28"/>
          <w:sz w:val="28"/>
          <w:szCs w:val="28"/>
          <w:rtl w:val="true"/>
          <w:lang w:bidi="ar-SA"/>
        </w:rPr>
        <w:t xml:space="preserve">القطيفي عليُّ بن إبراهيم بن سليمان، توفِّي بعد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المصطفىٰ لإحياء التُّراث؛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خيارات اللُّمعة</w:t>
      </w:r>
    </w:p>
    <w:p>
      <w:pPr>
        <w:pStyle w:val="BookText"/>
        <w:rPr/>
      </w:pPr>
      <w:r>
        <w:rPr>
          <w:rFonts w:ascii="Amiri" w:hAnsi="Amiri" w:eastAsia="Amiri" w:cs="Amiri"/>
          <w:color w:val="111111"/>
          <w:sz w:val="28"/>
          <w:sz w:val="28"/>
          <w:szCs w:val="28"/>
          <w:rtl w:val="true"/>
          <w:lang w:bidi="ar-SA"/>
        </w:rPr>
        <w:t xml:space="preserve">النَّجفي كاشف الغطاء عليُّ بن جعفر بن خضر، توفِّي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طهارة قواعد الأحكام</w:t>
      </w:r>
    </w:p>
    <w:p>
      <w:pPr>
        <w:pStyle w:val="BookText"/>
        <w:rPr/>
      </w:pPr>
      <w:r>
        <w:rPr>
          <w:rFonts w:ascii="Amiri" w:hAnsi="Amiri" w:eastAsia="Amiri" w:cs="Amiri"/>
          <w:color w:val="111111"/>
          <w:sz w:val="28"/>
          <w:sz w:val="28"/>
          <w:szCs w:val="28"/>
          <w:rtl w:val="true"/>
          <w:lang w:bidi="ar-SA"/>
        </w:rPr>
        <w:t xml:space="preserve">النَّجفي كاشف الغطاء جعفر بن خضر المالكي، توفِّي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كاشف الغطاء؛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فروع الكافي</w:t>
      </w:r>
    </w:p>
    <w:p>
      <w:pPr>
        <w:pStyle w:val="BookText"/>
        <w:rPr/>
      </w:pPr>
      <w:r>
        <w:rPr>
          <w:rFonts w:ascii="Amiri" w:hAnsi="Amiri" w:eastAsia="Amiri" w:cs="Amiri"/>
          <w:color w:val="111111"/>
          <w:sz w:val="28"/>
          <w:sz w:val="28"/>
          <w:szCs w:val="28"/>
          <w:rtl w:val="true"/>
          <w:lang w:bidi="ar-SA"/>
        </w:rPr>
        <w:t xml:space="preserve">المازندراني محمَّد هادي بن محمَّد صالح، توفِّي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دارالحديث للطِّباعة و النَّشر؛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محمَّدجواد المحمودي، محمَّدحسين الدِّرايتي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نبراس الهُدىٰ في أحكام الفقه وأسرارها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الفقه</w:t>
      </w:r>
    </w:p>
    <w:p>
      <w:pPr>
        <w:pStyle w:val="BookText"/>
        <w:rPr/>
      </w:pPr>
      <w:r>
        <w:rPr>
          <w:rFonts w:ascii="Amiri" w:hAnsi="Amiri" w:eastAsia="Amiri" w:cs="Amiri"/>
          <w:color w:val="111111"/>
          <w:sz w:val="28"/>
          <w:sz w:val="28"/>
          <w:szCs w:val="28"/>
          <w:rtl w:val="true"/>
          <w:lang w:bidi="ar-SA"/>
        </w:rPr>
        <w:t xml:space="preserve">السَّبزواري مولىٰ هادي بن مهدي، توفِّي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بيدار؛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محسن بيدارفر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المقال في درجات الرِّجال</w:t>
      </w:r>
    </w:p>
    <w:p>
      <w:pPr>
        <w:pStyle w:val="BookText"/>
        <w:rPr/>
      </w:pPr>
      <w:r>
        <w:rPr>
          <w:rFonts w:ascii="IRNazanin" w:hAnsi="IRNazanin" w:eastAsia="IRNazanin"/>
          <w:color w:val="111111"/>
          <w:sz w:val="28"/>
          <w:sz w:val="28"/>
          <w:szCs w:val="28"/>
          <w:rtl w:val="true"/>
          <w:lang w:bidi="fa-IR"/>
        </w:rPr>
        <w:t xml:space="preserve">النَّراقي الميرزا ابوالقاسم بن محمَّد بن احمد، توفِّي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بزرگداشت نراقي؛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الثَّانية؛ قم؛ ايران؛ صحَّحه محسن الأحمدي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 دواء كلام العرب من الكلوم</w:t>
      </w:r>
    </w:p>
    <w:p>
      <w:pPr>
        <w:pStyle w:val="BookText"/>
        <w:rPr/>
      </w:pPr>
      <w:r>
        <w:rPr>
          <w:rFonts w:ascii="Amiri" w:hAnsi="Amiri" w:eastAsia="Amiri" w:cs="Amiri"/>
          <w:color w:val="111111"/>
          <w:sz w:val="28"/>
          <w:sz w:val="28"/>
          <w:szCs w:val="28"/>
          <w:rtl w:val="true"/>
          <w:lang w:bidi="ar-SA"/>
        </w:rPr>
        <w:t xml:space="preserve">الحِميَري نشوان بن سعيد، 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المعاصر؛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حسين بن عبداللَّه العمري، مطهَّر بن علي الأرياني، يوسف محمَّد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w:t>
      </w:r>
    </w:p>
    <w:p>
      <w:pPr>
        <w:pStyle w:val="BookText"/>
        <w:rPr/>
      </w:pPr>
      <w:r>
        <w:rPr>
          <w:rFonts w:ascii="IRNazanin" w:hAnsi="IRNazanin" w:eastAsia="IRNazanin"/>
          <w:color w:val="111111"/>
          <w:sz w:val="28"/>
          <w:sz w:val="28"/>
          <w:szCs w:val="28"/>
          <w:rtl w:val="true"/>
          <w:lang w:bidi="fa-IR"/>
        </w:rPr>
        <w:t xml:space="preserve">المنسوب إلى الإمام الرِّضا عليِّ بن موسىٰ عليهما السلام، توفِّي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امام رضا؛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ايران؛ صحَّحه محمَّدمهدي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والإيقاعات</w:t>
      </w:r>
    </w:p>
    <w:p>
      <w:pPr>
        <w:pStyle w:val="BookText"/>
        <w:rPr/>
      </w:pPr>
      <w:r>
        <w:rPr>
          <w:rFonts w:ascii="Amiri" w:hAnsi="Amiri" w:eastAsia="Amiri" w:cs="Amiri"/>
          <w:color w:val="111111"/>
          <w:sz w:val="28"/>
          <w:sz w:val="28"/>
          <w:szCs w:val="28"/>
          <w:rtl w:val="true"/>
          <w:lang w:bidi="ar-SA"/>
        </w:rPr>
        <w:t xml:space="preserve">الدِّزفولي مرتضى بن محمَّدامين الأنصاري، توفِّي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انديشۀ اسلامى؛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جمعه ملَّا محمَّد يوسف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ونجاح السَّاعي</w:t>
      </w:r>
    </w:p>
    <w:p>
      <w:pPr>
        <w:pStyle w:val="BookText"/>
        <w:rPr/>
      </w:pPr>
      <w:r>
        <w:rPr>
          <w:rFonts w:ascii="Amiri" w:hAnsi="Amiri" w:eastAsia="Amiri" w:cs="Amiri"/>
          <w:color w:val="111111"/>
          <w:sz w:val="28"/>
          <w:sz w:val="28"/>
          <w:szCs w:val="28"/>
          <w:rtl w:val="true"/>
          <w:lang w:bidi="ar-SA"/>
        </w:rPr>
        <w:t xml:space="preserve">الحلِّي جمال الدِّين احمد بن محمَّد الأسدي، توفِّي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p>
    <w:p>
      <w:pPr>
        <w:pStyle w:val="BookText"/>
        <w:rPr/>
      </w:pPr>
      <w:r>
        <w:rPr>
          <w:rFonts w:ascii="Amiri" w:hAnsi="Amiri" w:eastAsia="Amiri" w:cs="Amiri"/>
          <w:color w:val="111111"/>
          <w:sz w:val="28"/>
          <w:sz w:val="28"/>
          <w:szCs w:val="28"/>
          <w:rtl w:val="true"/>
          <w:lang w:bidi="ar-SA"/>
        </w:rPr>
        <w:t xml:space="preserve">القمِّي محمَّد بن عليِّ بن بابويه الصَّدوق،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داورى؛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أوفسيت 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الأصول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الخرَّازي السَّيِّد محسن؛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درراه حق؛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المطالب في التَّعليق علىٰ المكاسب</w:t>
      </w:r>
    </w:p>
    <w:p>
      <w:pPr>
        <w:pStyle w:val="BookText"/>
        <w:rPr/>
      </w:pPr>
      <w:r>
        <w:rPr>
          <w:rFonts w:ascii="Amiri" w:hAnsi="Amiri" w:eastAsia="Amiri" w:cs="Amiri"/>
          <w:color w:val="111111"/>
          <w:sz w:val="28"/>
          <w:sz w:val="28"/>
          <w:szCs w:val="28"/>
          <w:rtl w:val="true"/>
          <w:lang w:bidi="ar-SA"/>
        </w:rPr>
        <w:t xml:space="preserve">القمِّي السَّيِّد تقي الطَّباطبايي؛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محلَّاتى؛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الوسائل في الحاشية علىٰ الرَّسائل</w:t>
      </w:r>
    </w:p>
    <w:p>
      <w:pPr>
        <w:pStyle w:val="BookText"/>
        <w:rPr/>
      </w:pPr>
      <w:r>
        <w:rPr>
          <w:rFonts w:ascii="Amiri" w:hAnsi="Amiri" w:eastAsia="Amiri" w:cs="Amiri"/>
          <w:color w:val="111111"/>
          <w:sz w:val="28"/>
          <w:sz w:val="28"/>
          <w:szCs w:val="28"/>
          <w:rtl w:val="true"/>
          <w:lang w:bidi="ar-SA"/>
        </w:rPr>
        <w:t xml:space="preserve">الشِّيرازي السَّيِّد عبداللَّه، توفِّي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اميرالمؤمنين للشؤون العلميَّة والخيريَّة؛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الأصول في شرح كفاية الأصول</w:t>
      </w:r>
    </w:p>
    <w:p>
      <w:pPr>
        <w:pStyle w:val="BookText"/>
        <w:rPr/>
      </w:pPr>
      <w:r>
        <w:rPr>
          <w:rFonts w:ascii="Amiri" w:hAnsi="Amiri" w:eastAsia="Amiri" w:cs="Amiri"/>
          <w:color w:val="111111"/>
          <w:sz w:val="28"/>
          <w:sz w:val="28"/>
          <w:szCs w:val="28"/>
          <w:rtl w:val="true"/>
          <w:lang w:bidi="ar-SA"/>
        </w:rPr>
        <w:t xml:space="preserve">الفيروزآبادي السَّيِّد مرتضىٰ الحسيني اليزدي، توفِّي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فيروزآبادي؛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w:t>
      </w:r>
    </w:p>
    <w:p>
      <w:pPr>
        <w:pStyle w:val="BookText"/>
        <w:rPr/>
      </w:pPr>
      <w:r>
        <w:rPr>
          <w:rFonts w:ascii="Amiri" w:hAnsi="Amiri" w:eastAsia="Amiri" w:cs="Amiri"/>
          <w:color w:val="111111"/>
          <w:sz w:val="28"/>
          <w:sz w:val="28"/>
          <w:szCs w:val="28"/>
          <w:rtl w:val="true"/>
          <w:lang w:bidi="ar-SA"/>
        </w:rPr>
        <w:t xml:space="preserve">النَّراقي احمد بن محمَّد مهدي، توفِّي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اللَّآلىء العزيزيَّة</w:t>
      </w:r>
    </w:p>
    <w:p>
      <w:pPr>
        <w:pStyle w:val="BookText"/>
        <w:rPr/>
      </w:pPr>
      <w:r>
        <w:rPr>
          <w:rFonts w:ascii="Amiri" w:hAnsi="Amiri" w:eastAsia="Amiri" w:cs="Amiri"/>
          <w:color w:val="111111"/>
          <w:sz w:val="28"/>
          <w:sz w:val="28"/>
          <w:szCs w:val="28"/>
          <w:rtl w:val="true"/>
          <w:lang w:bidi="ar-SA"/>
        </w:rPr>
        <w:t xml:space="preserve">الأحسايي ابن أبي جمهورٍ محمَّد بن عليٍّ‌، توفِّي بعد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سيِّد الشُّهداء للنَّشر؛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الإرشاد</w:t>
      </w:r>
    </w:p>
    <w:p>
      <w:pPr>
        <w:pStyle w:val="BookText"/>
        <w:rPr/>
      </w:pPr>
      <w:r>
        <w:rPr>
          <w:rFonts w:ascii="Amiri" w:hAnsi="Amiri" w:eastAsia="Amiri" w:cs="Amiri"/>
          <w:color w:val="111111"/>
          <w:sz w:val="28"/>
          <w:sz w:val="28"/>
          <w:szCs w:val="28"/>
          <w:rtl w:val="true"/>
          <w:lang w:bidi="ar-SA"/>
        </w:rPr>
        <w:t xml:space="preserve">العاملي الشَّهيد الأوَّل محمَّد بن مكِّيٍّ‌، 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رضا مختاري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شرح شرائع الإسلام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الصَّيمري مفلح بن الحسن، توفِّي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دارالهادي؛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جعفر الكوثراني العاملي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 في مسائل الحلال والحرام</w:t>
      </w:r>
    </w:p>
    <w:p>
      <w:pPr>
        <w:pStyle w:val="BookText"/>
        <w:rPr/>
      </w:pPr>
      <w:r>
        <w:rPr>
          <w:rFonts w:ascii="Amiri" w:hAnsi="Amiri" w:eastAsia="Amiri" w:cs="Amiri"/>
          <w:color w:val="111111"/>
          <w:sz w:val="28"/>
          <w:sz w:val="28"/>
          <w:szCs w:val="28"/>
          <w:rtl w:val="true"/>
          <w:lang w:bidi="ar-SA"/>
        </w:rPr>
        <w:t xml:space="preserve">الجيلاني القمِّي ابوالقاسم بن محمَّد حسن،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والفروع</w:t>
      </w:r>
    </w:p>
    <w:p>
      <w:pPr>
        <w:pStyle w:val="BookText"/>
        <w:rPr/>
      </w:pPr>
      <w:r>
        <w:rPr>
          <w:rFonts w:ascii="Amiri" w:hAnsi="Amiri" w:eastAsia="Amiri" w:cs="Amiri"/>
          <w:color w:val="111111"/>
          <w:sz w:val="28"/>
          <w:sz w:val="28"/>
          <w:szCs w:val="28"/>
          <w:rtl w:val="true"/>
          <w:lang w:bidi="ar-SA"/>
        </w:rPr>
        <w:t xml:space="preserve">الحلبي ابن زهره حمزة بن عليٍّ الحسيني، توفِّي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امام صادق؛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 بين ذوي الألباب و بين ربِّ الأرباب</w:t>
      </w:r>
    </w:p>
    <w:p>
      <w:pPr>
        <w:pStyle w:val="BookText"/>
        <w:rPr/>
      </w:pPr>
      <w:r>
        <w:rPr>
          <w:rFonts w:ascii="Amiri" w:hAnsi="Amiri" w:eastAsia="Amiri" w:cs="Amiri"/>
          <w:color w:val="111111"/>
          <w:sz w:val="28"/>
          <w:sz w:val="28"/>
          <w:szCs w:val="28"/>
          <w:rtl w:val="true"/>
          <w:lang w:bidi="ar-SA"/>
        </w:rPr>
        <w:t xml:space="preserve">الحلِّي السَّيِّد ابن طاووس رضي الدِّين عليٍّ‌، توفِّي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 xml:space="preserve">الدِّزفولي مرتضىٰ بن محمَّد امين الأنصاري، توفِّي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الفكر الإسلامي؛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التَّاسعة؛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الإمام الصَّادق عليه السلام</w:t>
      </w:r>
    </w:p>
    <w:p>
      <w:pPr>
        <w:pStyle w:val="BookText"/>
        <w:rPr/>
      </w:pPr>
      <w:r>
        <w:rPr>
          <w:rFonts w:ascii="Amiri" w:hAnsi="Amiri" w:eastAsia="Amiri" w:cs="Amiri"/>
          <w:color w:val="111111"/>
          <w:sz w:val="28"/>
          <w:sz w:val="28"/>
          <w:szCs w:val="28"/>
          <w:rtl w:val="true"/>
          <w:lang w:bidi="ar-SA"/>
        </w:rPr>
        <w:t xml:space="preserve">مغنيه محمَّدجواد، توفِّي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انصاريان؛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الخيارات</w:t>
      </w:r>
    </w:p>
    <w:p>
      <w:pPr>
        <w:pStyle w:val="BookText"/>
        <w:rPr/>
      </w:pPr>
      <w:r>
        <w:rPr>
          <w:rFonts w:ascii="Amiri" w:hAnsi="Amiri" w:eastAsia="Amiri" w:cs="Amiri"/>
          <w:color w:val="111111"/>
          <w:sz w:val="28"/>
          <w:sz w:val="28"/>
          <w:szCs w:val="28"/>
          <w:rtl w:val="true"/>
          <w:lang w:bidi="ar-SA"/>
        </w:rPr>
        <w:t xml:space="preserve">الجيلاني النَّجفي الميرزا حبيب اللَّه الرَّشتي، توفِّي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داورى؛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السَّيِّد محمَّدكاظم الخلخالي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الحدود والتَّعزيرات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الأردبيلي السَّيِّد عبدالكريم الموسوي؛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لجامعة المفيد؛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w:t>
      </w:r>
    </w:p>
    <w:p>
      <w:pPr>
        <w:pStyle w:val="BookText"/>
        <w:rPr/>
      </w:pPr>
      <w:r>
        <w:rPr>
          <w:rFonts w:ascii="IRNazanin" w:hAnsi="IRNazanin" w:eastAsia="IRNazanin"/>
          <w:color w:val="111111"/>
          <w:sz w:val="28"/>
          <w:sz w:val="28"/>
          <w:szCs w:val="28"/>
          <w:rtl w:val="true"/>
          <w:lang w:bidi="fa-IR"/>
        </w:rPr>
        <w:t xml:space="preserve">الخويي السَّيِّد ابوالقاسم الموسوي، توفِّي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نوظهور؛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قم؛ ايران؛ قرَّره السَّيِّد محمَّدمهدى الموسوي الخلخالي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الصَّادق</w:t>
      </w:r>
    </w:p>
    <w:p>
      <w:pPr>
        <w:pStyle w:val="BookText"/>
        <w:rPr/>
      </w:pPr>
      <w:r>
        <w:rPr>
          <w:rFonts w:ascii="Amiri" w:hAnsi="Amiri" w:eastAsia="Amiri" w:cs="Amiri"/>
          <w:color w:val="111111"/>
          <w:sz w:val="28"/>
          <w:sz w:val="28"/>
          <w:szCs w:val="28"/>
          <w:rtl w:val="true"/>
          <w:lang w:bidi="ar-SA"/>
        </w:rPr>
        <w:t xml:space="preserve">القمِّي السَّيِّد صادق الحسيني الرَّوحاني؛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مدرسة الإمام الصَّادق عليه السلام؛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p>
    <w:p>
      <w:pPr>
        <w:pStyle w:val="BookText"/>
        <w:rPr/>
      </w:pPr>
      <w:r>
        <w:rPr>
          <w:rFonts w:ascii="Amiri" w:hAnsi="Amiri" w:eastAsia="Amiri" w:cs="Amiri"/>
          <w:color w:val="111111"/>
          <w:sz w:val="28"/>
          <w:sz w:val="28"/>
          <w:szCs w:val="28"/>
          <w:rtl w:val="true"/>
          <w:lang w:bidi="ar-SA"/>
        </w:rPr>
        <w:t xml:space="preserve">الرَّاوندي قطب الدِّين سعيد بن عبداللَّه، 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السَّيِّد احمد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القضاء</w:t>
      </w:r>
    </w:p>
    <w:p>
      <w:pPr>
        <w:pStyle w:val="BookText"/>
        <w:rPr/>
      </w:pPr>
      <w:r>
        <w:rPr>
          <w:rFonts w:ascii="Amiri" w:hAnsi="Amiri" w:eastAsia="Amiri" w:cs="Amiri"/>
          <w:color w:val="111111"/>
          <w:sz w:val="28"/>
          <w:sz w:val="28"/>
          <w:szCs w:val="28"/>
          <w:rtl w:val="true"/>
          <w:lang w:bidi="ar-SA"/>
        </w:rPr>
        <w:t xml:space="preserve">الأردبيلي السَّيِّد عبدالكريم الموسوي؛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المصارف والنُّقود</w:t>
      </w:r>
    </w:p>
    <w:p>
      <w:pPr>
        <w:pStyle w:val="BookText"/>
        <w:rPr/>
      </w:pPr>
      <w:r>
        <w:rPr>
          <w:rFonts w:ascii="Amiri" w:hAnsi="Amiri" w:eastAsia="Amiri" w:cs="Amiri"/>
          <w:color w:val="111111"/>
          <w:sz w:val="28"/>
          <w:sz w:val="28"/>
          <w:szCs w:val="28"/>
          <w:rtl w:val="true"/>
          <w:lang w:bidi="ar-SA"/>
        </w:rPr>
        <w:t xml:space="preserve">البحراني محمَّد 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فدك؛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مصطفىٰ اسكندري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القواعد</w:t>
      </w:r>
    </w:p>
    <w:p>
      <w:pPr>
        <w:pStyle w:val="BookText"/>
        <w:rPr/>
      </w:pPr>
      <w:r>
        <w:rPr>
          <w:rFonts w:ascii="Amiri" w:hAnsi="Amiri" w:eastAsia="Amiri" w:cs="Amiri"/>
          <w:color w:val="111111"/>
          <w:sz w:val="28"/>
          <w:sz w:val="28"/>
          <w:szCs w:val="28"/>
          <w:rtl w:val="true"/>
          <w:lang w:bidi="ar-SA"/>
        </w:rPr>
        <w:t xml:space="preserve">العاملي الشَّهيد الثَّاني زين الدِّين بن عليٍّ‌، استشهد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أبوالحسن مطلِّبي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علماء الشِّيعة و مصنِّفيهم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منتجب الدِّين علي بن عبيداللَّه بن الحسن بن بابويه، توفِّي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ايران؛ صحَّحه السَّيِّد </w:t>
      </w:r>
    </w:p>
    <w:p>
      <w:pPr>
        <w:pStyle w:val="BookText"/>
        <w:rPr/>
      </w:pPr>
      <w:r>
        <w:rPr>
          <w:rFonts w:ascii="Amiri" w:hAnsi="Amiri" w:eastAsia="Amiri" w:cs="Amiri"/>
          <w:color w:val="111111"/>
          <w:sz w:val="28"/>
          <w:sz w:val="28"/>
          <w:szCs w:val="28"/>
          <w:rtl w:val="true"/>
          <w:lang w:bidi="ar-SA"/>
        </w:rPr>
        <w:t>جلال الدِّين المحدِّث الأرموي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مصنِّفي الشِّيعة</w:t>
      </w:r>
    </w:p>
    <w:p>
      <w:pPr>
        <w:pStyle w:val="BookText"/>
        <w:rPr/>
      </w:pPr>
      <w:r>
        <w:rPr>
          <w:rFonts w:ascii="Amiri" w:hAnsi="Amiri" w:eastAsia="Amiri" w:cs="Amiri"/>
          <w:color w:val="111111"/>
          <w:sz w:val="28"/>
          <w:sz w:val="28"/>
          <w:szCs w:val="28"/>
          <w:rtl w:val="true"/>
          <w:lang w:bidi="ar-SA"/>
        </w:rPr>
        <w:t xml:space="preserve">النَّجاشي ابوالحسن احمد بن عليٍّ‌، توفِّي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 صحَّحه السَّيِّد موسىٰ الشُّبيري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والتجاوز</w:t>
      </w:r>
    </w:p>
    <w:p>
      <w:pPr>
        <w:pStyle w:val="BookText"/>
        <w:rPr/>
      </w:pPr>
      <w:r>
        <w:rPr>
          <w:rFonts w:ascii="Amiri" w:hAnsi="Amiri" w:eastAsia="Amiri" w:cs="Amiri"/>
          <w:color w:val="111111"/>
          <w:sz w:val="28"/>
          <w:sz w:val="28"/>
          <w:szCs w:val="28"/>
          <w:rtl w:val="true"/>
          <w:lang w:bidi="ar-SA"/>
        </w:rPr>
        <w:t xml:space="preserve">الشَّاهرودي السَّيِّد محمود الهاشمي؛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ascii="Amiri" w:hAnsi="Amiri" w:eastAsia="Amiri" w:cs="Amiri"/>
          <w:color w:val="111111"/>
          <w:sz w:val="28"/>
          <w:sz w:val="28"/>
          <w:szCs w:val="28"/>
          <w:rtl w:val="true"/>
          <w:lang w:bidi="ar-SA"/>
        </w:rPr>
        <w:t xml:space="preserve">الحِميَري عبداللَّه بن جعفرٍ، توفِّي النِّصف الثَّاني من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الحلِّي العلَّامة الحسن بن يوسف بن 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القمِّي ابن قولويه ابوالقاسم جعفر بن محمَّدٍ، توفِّي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المرتضويَّة؛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 xml:space="preserve">الأراكي محمَّدعلي، 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در راه حق؛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p>
    <w:p>
      <w:pPr>
        <w:pStyle w:val="BookText"/>
        <w:rPr/>
      </w:pPr>
      <w:r>
        <w:rPr>
          <w:rFonts w:ascii="Amiri" w:hAnsi="Amiri" w:eastAsia="Amiri" w:cs="Amiri"/>
          <w:color w:val="111111"/>
          <w:sz w:val="28"/>
          <w:sz w:val="28"/>
          <w:szCs w:val="28"/>
          <w:rtl w:val="true"/>
          <w:lang w:bidi="ar-SA"/>
        </w:rPr>
        <w:t xml:space="preserve">الخميني السَّيِّد مصطفىٰ الموسوي، توفِّي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تنظيم و نشر آثار امام خميني؛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الشَّاهرودي السَّيِّد محمود بن علي الحسيني، توفِّي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انصاريان؛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الشَّاهرودي، ابراهيم جنَّاتي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الخَلل في الصَّلاة</w:t>
      </w:r>
    </w:p>
    <w:p>
      <w:pPr>
        <w:pStyle w:val="BookText"/>
        <w:rPr/>
      </w:pPr>
      <w:r>
        <w:rPr>
          <w:rFonts w:ascii="IRNazanin" w:hAnsi="IRNazanin" w:eastAsia="IRNazanin"/>
          <w:color w:val="111111"/>
          <w:sz w:val="28"/>
          <w:sz w:val="28"/>
          <w:szCs w:val="28"/>
          <w:rtl w:val="true"/>
          <w:lang w:bidi="fa-IR"/>
        </w:rPr>
        <w:t xml:space="preserve">الخميني السَّيِّد روح اللَّه الموسوي، توفِّي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چاپخانۀ مهر؛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p>
    <w:p>
      <w:pPr>
        <w:pStyle w:val="BookText"/>
        <w:rPr/>
      </w:pPr>
      <w:r>
        <w:rPr>
          <w:rFonts w:ascii="IRNazanin" w:hAnsi="IRNazanin" w:eastAsia="IRNazanin"/>
          <w:color w:val="111111"/>
          <w:sz w:val="28"/>
          <w:sz w:val="28"/>
          <w:szCs w:val="28"/>
          <w:rtl w:val="true"/>
          <w:lang w:bidi="fa-IR"/>
        </w:rPr>
        <w:t xml:space="preserve">الآشتياني الميرزا محمَّدحسن بن جعفر، توفِّي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زهير؛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السَّيِّد علي الغضنفري، علي اكبر زماني نژاد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p>
    <w:p>
      <w:pPr>
        <w:pStyle w:val="BookText"/>
        <w:rPr/>
      </w:pPr>
      <w:r>
        <w:rPr>
          <w:rFonts w:ascii="IRNazanin" w:hAnsi="IRNazanin" w:eastAsia="IRNazanin"/>
          <w:color w:val="111111"/>
          <w:sz w:val="28"/>
          <w:sz w:val="28"/>
          <w:szCs w:val="28"/>
          <w:rtl w:val="true"/>
          <w:lang w:bidi="fa-IR"/>
        </w:rPr>
        <w:t xml:space="preserve">الدِّزفولي مرتضى بن محمَّد امين الأنصاري، 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اعظم انصارى؛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الأراكي محمَّدعلي، 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مؤلِّف؛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IRNazanin" w:hAnsi="IRNazanin" w:eastAsia="IRNazanin"/>
          <w:color w:val="111111"/>
          <w:sz w:val="28"/>
          <w:sz w:val="28"/>
          <w:szCs w:val="28"/>
          <w:rtl w:val="true"/>
          <w:lang w:bidi="fa-IR"/>
        </w:rPr>
        <w:t xml:space="preserve">الدِّزفولي مرتضى بن محمَّد امين الأنصاري، 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اعظم انصارى؛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p>
    <w:p>
      <w:pPr>
        <w:pStyle w:val="BookText"/>
        <w:rPr/>
      </w:pPr>
      <w:r>
        <w:rPr>
          <w:rFonts w:ascii="Amiri" w:hAnsi="Amiri" w:eastAsia="Amiri" w:cs="Amiri"/>
          <w:color w:val="111111"/>
          <w:sz w:val="28"/>
          <w:sz w:val="28"/>
          <w:szCs w:val="28"/>
          <w:rtl w:val="true"/>
          <w:lang w:bidi="ar-SA"/>
        </w:rPr>
        <w:t xml:space="preserve">النَّائيني الميرزا محمَّد حسين الغروي، توفِّي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محمَّدعلي الكاظمي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اليزدي السَّيِّد محمَّد المحقِّق الدَّاماد، توفِّي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قرَّره محمَّد مؤمن، عبداللَّه الجوادي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اليزدي عبدالكريم الحائري، توفِّي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w:t>
      </w:r>
    </w:p>
    <w:p>
      <w:pPr>
        <w:pStyle w:val="BookText"/>
        <w:rPr/>
      </w:pPr>
      <w:r>
        <w:rPr>
          <w:rFonts w:ascii="Amiri" w:hAnsi="Amiri" w:eastAsia="Amiri" w:cs="Amiri"/>
          <w:color w:val="111111"/>
          <w:sz w:val="28"/>
          <w:sz w:val="28"/>
          <w:szCs w:val="28"/>
          <w:rtl w:val="true"/>
          <w:lang w:bidi="ar-SA"/>
        </w:rPr>
        <w:t xml:space="preserve">ابن الغضائري ابوالحسن احمد بن أبي عبداللَّه، توفِّي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 ايران؛ صحَّحه السَّيِّد محمَّدرضا الحسيني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الأراكي محمَّد علي، 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در راه حق؛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الخميني السَّيِّد مصطفىٰ الموسوي، توفِّي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تنظيم و نشر آثار امام خميني؛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الفراهيدي خليل بن احمد، توفِّي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هجرت؛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صحَّحه الدُّكتور مهدي المخزومي، الدُّكتور إبراهيم السَّامرائي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 xml:space="preserve">الجيلاني النَّجفي الميرزا حبيب اللَّه الرَّشتي، توفِّي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القصاص للفقهاء و الخواصِّ‌</w:t>
      </w:r>
    </w:p>
    <w:p>
      <w:pPr>
        <w:pStyle w:val="BookText"/>
        <w:rPr/>
      </w:pPr>
      <w:r>
        <w:rPr>
          <w:rFonts w:ascii="Amiri" w:hAnsi="Amiri" w:eastAsia="Amiri" w:cs="Amiri"/>
          <w:color w:val="111111"/>
          <w:sz w:val="28"/>
          <w:sz w:val="28"/>
          <w:szCs w:val="28"/>
          <w:rtl w:val="true"/>
          <w:lang w:bidi="ar-SA"/>
        </w:rPr>
        <w:t xml:space="preserve">الكاشاني رضا المدني،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 xml:space="preserve">الجيلاني النَّجفي الميرزا حبيب اللَّه الرَّشتي، توفِّي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دارالقرآن الكريم؛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احمد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p>
    <w:p>
      <w:pPr>
        <w:pStyle w:val="BookText"/>
        <w:rPr/>
      </w:pPr>
      <w:r>
        <w:rPr>
          <w:rFonts w:ascii="IRNazanin" w:hAnsi="IRNazanin" w:eastAsia="IRNazanin"/>
          <w:color w:val="111111"/>
          <w:sz w:val="28"/>
          <w:sz w:val="28"/>
          <w:szCs w:val="28"/>
          <w:rtl w:val="true"/>
          <w:lang w:bidi="fa-IR"/>
        </w:rPr>
        <w:t>الطَّبعة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الآشتياني الميرزا محمَّدحسن بن جعفر، توفِّي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زهير؛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علي اكبر زماني نژاد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p>
    <w:p>
      <w:pPr>
        <w:pStyle w:val="BookText"/>
        <w:rPr/>
      </w:pPr>
      <w:r>
        <w:rPr>
          <w:rFonts w:ascii="IRNazanin" w:hAnsi="IRNazanin" w:eastAsia="IRNazanin"/>
          <w:color w:val="111111"/>
          <w:sz w:val="28"/>
          <w:sz w:val="28"/>
          <w:szCs w:val="28"/>
          <w:rtl w:val="true"/>
          <w:lang w:bidi="fa-IR"/>
        </w:rPr>
        <w:t>الطَّبعة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الآشتياني الميرزا محمَّدحسن بن جعفر، توفِّي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رنگين؛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p>
    <w:p>
      <w:pPr>
        <w:pStyle w:val="BookText"/>
        <w:rPr/>
      </w:pPr>
      <w:r>
        <w:rPr>
          <w:rFonts w:ascii="IRNazanin" w:hAnsi="IRNazanin" w:eastAsia="IRNazanin"/>
          <w:color w:val="111111"/>
          <w:sz w:val="28"/>
          <w:sz w:val="28"/>
          <w:szCs w:val="28"/>
          <w:rtl w:val="true"/>
          <w:lang w:bidi="fa-IR"/>
        </w:rPr>
        <w:t xml:space="preserve">العراقي آقا ضياءالدِّين، توفِّي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چاپخانۀ مهر؛ الطَّبعة الأولىٰ‌؛ قم؛ ايران؛ صحَّحه محمَّدهادي معرفت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المحرمة و البيع و الخيارات</w:t>
      </w:r>
    </w:p>
    <w:p>
      <w:pPr>
        <w:pStyle w:val="BookText"/>
        <w:rPr/>
      </w:pPr>
      <w:r>
        <w:rPr>
          <w:rFonts w:ascii="IRNazanin" w:hAnsi="IRNazanin" w:eastAsia="IRNazanin"/>
          <w:color w:val="111111"/>
          <w:sz w:val="28"/>
          <w:sz w:val="28"/>
          <w:szCs w:val="28"/>
          <w:rtl w:val="true"/>
          <w:lang w:bidi="fa-IR"/>
        </w:rPr>
        <w:t xml:space="preserve">الدِّزفولي مرتضى بن محمَّدامين الأنصاري، 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اعظم انصارى؛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المناهل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السَّيِّد محمَّد المجاهد الطَّباطبايي، توفِّي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w:t>
      </w:r>
    </w:p>
    <w:p>
      <w:pPr>
        <w:pStyle w:val="BookText"/>
        <w:rPr/>
      </w:pPr>
      <w:r>
        <w:rPr>
          <w:rFonts w:ascii="Amiri" w:hAnsi="Amiri" w:eastAsia="Amiri" w:cs="Amiri"/>
          <w:color w:val="111111"/>
          <w:sz w:val="28"/>
          <w:sz w:val="28"/>
          <w:szCs w:val="28"/>
          <w:rtl w:val="true"/>
          <w:lang w:bidi="ar-SA"/>
        </w:rPr>
        <w:t>آل البيت عليهم السلام؛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p>
    <w:p>
      <w:pPr>
        <w:pStyle w:val="BookText"/>
        <w:rPr/>
      </w:pPr>
      <w:r>
        <w:rPr>
          <w:rFonts w:ascii="IRNazanin" w:hAnsi="IRNazanin" w:eastAsia="IRNazanin"/>
          <w:color w:val="111111"/>
          <w:sz w:val="28"/>
          <w:sz w:val="28"/>
          <w:szCs w:val="28"/>
          <w:rtl w:val="true"/>
          <w:lang w:bidi="fa-IR"/>
        </w:rPr>
        <w:t xml:space="preserve">الأراكي محمَّدعلي، توفِّي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نورنگار؛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الوقف</w:t>
      </w:r>
    </w:p>
    <w:p>
      <w:pPr>
        <w:pStyle w:val="BookText"/>
        <w:rPr/>
      </w:pPr>
      <w:r>
        <w:rPr>
          <w:rFonts w:ascii="Amiri" w:hAnsi="Amiri" w:eastAsia="Amiri" w:cs="Amiri"/>
          <w:color w:val="111111"/>
          <w:sz w:val="28"/>
          <w:sz w:val="28"/>
          <w:szCs w:val="28"/>
          <w:rtl w:val="true"/>
          <w:lang w:bidi="ar-SA"/>
        </w:rPr>
        <w:t xml:space="preserve">الخراساني الآخوند محمَّد كاظم بن حسين، توفِّي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مختصرالنَّافع</w:t>
      </w:r>
    </w:p>
    <w:p>
      <w:pPr>
        <w:pStyle w:val="BookText"/>
        <w:rPr/>
      </w:pPr>
      <w:r>
        <w:rPr>
          <w:rFonts w:ascii="IRNazanin" w:hAnsi="IRNazanin" w:eastAsia="IRNazanin"/>
          <w:color w:val="111111"/>
          <w:sz w:val="28"/>
          <w:sz w:val="28"/>
          <w:szCs w:val="28"/>
          <w:rtl w:val="true"/>
          <w:lang w:bidi="fa-IR"/>
        </w:rPr>
        <w:t xml:space="preserve">الآبي الفاضل حسن بن أبي طالبٍ اليوسفي، توفِّي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دفترانتشارات اسلامى وابسته به جامعۀ مدرِّسين حوزۀ علميِّۀ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قم؛ ايران؛ صحَّحه علي پناه الإشتهاردي، حسين اليزدي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الشَّريعة الغرَّاء</w:t>
      </w:r>
    </w:p>
    <w:p>
      <w:pPr>
        <w:pStyle w:val="BookText"/>
        <w:rPr/>
      </w:pP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كاشف الغطاء جعفر بن خضر المالكي، توفِّي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الشَّريعة الغرَّاء</w:t>
      </w:r>
    </w:p>
    <w:p>
      <w:pPr>
        <w:pStyle w:val="BookText"/>
        <w:rPr/>
      </w:pP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كاشف الغطاء جعفر بن خضر المالكي، توفِّي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انتشارات مهدوى؛ الطَّبعة الأولىٰ‌؛ اصفهان؛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والإبهام عن قواعد الأحكام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الفاضل الهندي محمَّد بن حسن، توفِّي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p>
    <w:p>
      <w:pPr>
        <w:pStyle w:val="BookText"/>
        <w:rPr/>
      </w:pPr>
      <w:r>
        <w:rPr>
          <w:rFonts w:ascii="Amiri" w:hAnsi="Amiri" w:eastAsia="Amiri" w:cs="Amiri"/>
          <w:color w:val="111111"/>
          <w:sz w:val="28"/>
          <w:sz w:val="28"/>
          <w:szCs w:val="28"/>
          <w:rtl w:val="true"/>
          <w:lang w:bidi="ar-SA"/>
        </w:rPr>
        <w:t>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p>
    <w:p>
      <w:pPr>
        <w:pStyle w:val="BookText"/>
        <w:rPr/>
      </w:pPr>
      <w:r>
        <w:rPr>
          <w:rFonts w:ascii="Amiri" w:hAnsi="Amiri" w:eastAsia="Amiri" w:cs="Amiri"/>
          <w:color w:val="111111"/>
          <w:sz w:val="28"/>
          <w:sz w:val="28"/>
          <w:szCs w:val="28"/>
          <w:rtl w:val="true"/>
          <w:lang w:bidi="ar-SA"/>
        </w:rPr>
        <w:t xml:space="preserve">السَّبزواري محمَّدباقر بن محمَّد مؤمن، توفِّي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 xml:space="preserve">الخراساني الآخوند محمَّدكاظم بن الحسين، توفِّي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w:t>
      </w:r>
    </w:p>
    <w:p>
      <w:pPr>
        <w:pStyle w:val="BookText"/>
        <w:rPr/>
      </w:pPr>
      <w:r>
        <w:rPr>
          <w:rFonts w:ascii="Amiri" w:hAnsi="Amiri" w:eastAsia="Amiri" w:cs="Amiri"/>
          <w:color w:val="111111"/>
          <w:sz w:val="28"/>
          <w:sz w:val="28"/>
          <w:szCs w:val="28"/>
          <w:rtl w:val="true"/>
          <w:lang w:bidi="ar-SA"/>
        </w:rPr>
        <w:t xml:space="preserve">البصري البحراني زين الدِّين محمَّد امين، توفِّي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السَّيِّد جواد الوداعي؛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الدَّقائق و بحر الغرائب</w:t>
      </w:r>
    </w:p>
    <w:p>
      <w:pPr>
        <w:pStyle w:val="BookText"/>
        <w:rPr/>
      </w:pPr>
      <w:r>
        <w:rPr>
          <w:rFonts w:ascii="IRNazanin" w:hAnsi="IRNazanin" w:eastAsia="IRNazanin"/>
          <w:color w:val="111111"/>
          <w:sz w:val="28"/>
          <w:sz w:val="28"/>
          <w:szCs w:val="28"/>
          <w:rtl w:val="true"/>
          <w:lang w:bidi="fa-IR"/>
        </w:rPr>
        <w:t xml:space="preserve">المشهدي محمَّد بن محمَّدرضا القمِّي، توفِّي بعد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سازمان چاپ و انتشارات وزارت ارشاد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 حقَّقه حسين الدَّرگاهى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w:t>
      </w:r>
    </w:p>
    <w:p>
      <w:pPr>
        <w:pStyle w:val="BookText"/>
        <w:rPr/>
      </w:pPr>
      <w:r>
        <w:rPr>
          <w:rFonts w:ascii="Amiri" w:hAnsi="Amiri" w:eastAsia="Amiri" w:cs="Amiri"/>
          <w:color w:val="111111"/>
          <w:sz w:val="28"/>
          <w:sz w:val="28"/>
          <w:szCs w:val="28"/>
          <w:rtl w:val="true"/>
          <w:lang w:bidi="ar-SA"/>
        </w:rPr>
        <w:t xml:space="preserve">الحلِّي مقداد بن عبد اللَّه السِّيوري، توفِّي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مرتضوى؛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في حلِّ مشكلات القواعد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العميدي السَّيِّد عميدالدِّين بن محمَّد الأعرج الحسيني، توفِّي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دفترانتشارات اسلامى وابسته به جامعۀ مدرِّسين حوزۀ علميِّۀ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محي الدِّين الواعظي، الحاج كمال الكاتب، جلال الأسدي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 xml:space="preserve">ابن منظور ابوالفضل جمال الدِّين محمَّد بن مكرَّم؛ توفِّي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للطِّباعة والنَّشر والتَّوزيع، دارصادر؛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بيروت؛ لبنان؛ صحَّحه احمد فارس صاحب الجوائب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الأحكام في فقه شريعة الإسلام</w:t>
      </w:r>
    </w:p>
    <w:p>
      <w:pPr>
        <w:pStyle w:val="BookText"/>
        <w:rPr/>
      </w:pPr>
      <w:r>
        <w:rPr>
          <w:rFonts w:ascii="Amiri" w:hAnsi="Amiri" w:eastAsia="Amiri" w:cs="Amiri"/>
          <w:color w:val="111111"/>
          <w:sz w:val="28"/>
          <w:sz w:val="28"/>
          <w:szCs w:val="28"/>
          <w:rtl w:val="true"/>
          <w:lang w:bidi="ar-SA"/>
        </w:rPr>
        <w:t xml:space="preserve">النَّراقي محمَّدمهدي بن أبي ذرٍّ، توفِّي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صاحبقراني</w:t>
      </w:r>
    </w:p>
    <w:p>
      <w:pPr>
        <w:pStyle w:val="BookText"/>
        <w:rPr/>
      </w:pPr>
      <w:r>
        <w:rPr>
          <w:rFonts w:ascii="Amiri" w:hAnsi="Amiri" w:eastAsia="Amiri" w:cs="Amiri"/>
          <w:color w:val="111111"/>
          <w:sz w:val="28"/>
          <w:sz w:val="28"/>
          <w:szCs w:val="28"/>
          <w:rtl w:val="true"/>
          <w:lang w:bidi="ar-SA"/>
        </w:rPr>
        <w:t xml:space="preserve">الأصفهاني المجلسي الأوَّل محمَّدتقي، توفِّي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اسماعيليان؛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الفقه</w:t>
      </w:r>
    </w:p>
    <w:p>
      <w:pPr>
        <w:pStyle w:val="BookText"/>
        <w:rPr/>
      </w:pPr>
      <w:r>
        <w:rPr>
          <w:rFonts w:ascii="Amiri" w:hAnsi="Amiri" w:eastAsia="Amiri" w:cs="Amiri"/>
          <w:color w:val="111111"/>
          <w:sz w:val="28"/>
          <w:sz w:val="28"/>
          <w:szCs w:val="28"/>
          <w:rtl w:val="true"/>
          <w:lang w:bidi="ar-SA"/>
        </w:rPr>
        <w:t xml:space="preserve">الصَّدر الشَّهيد السَّيِّد محمَّد، توفِّي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دارالأضواء للطِّباعة والنَّشر والتَّوزيع؛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 صحَّحه جعفر هادي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فقهيَّة</w:t>
      </w:r>
    </w:p>
    <w:p>
      <w:pPr>
        <w:pStyle w:val="BookText"/>
        <w:rPr/>
      </w:pPr>
      <w:r>
        <w:rPr>
          <w:rFonts w:ascii="IRNazanin" w:hAnsi="IRNazanin" w:eastAsia="IRNazanin"/>
          <w:color w:val="111111"/>
          <w:sz w:val="28"/>
          <w:sz w:val="28"/>
          <w:szCs w:val="28"/>
          <w:rtl w:val="true"/>
          <w:lang w:bidi="fa-IR"/>
        </w:rPr>
        <w:t xml:space="preserve">القمِّي السَّيِّد تقي الطَّباطبايي؛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امير؛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قرَّره زهير يوسف الدَّورة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 الوصول</w:t>
      </w:r>
    </w:p>
    <w:p>
      <w:pPr>
        <w:pStyle w:val="BookText"/>
        <w:rPr/>
      </w:pPr>
      <w:r>
        <w:rPr>
          <w:rFonts w:ascii="Amiri" w:hAnsi="Amiri" w:eastAsia="Amiri" w:cs="Amiri"/>
          <w:color w:val="111111"/>
          <w:sz w:val="28"/>
          <w:sz w:val="28"/>
          <w:szCs w:val="28"/>
          <w:rtl w:val="true"/>
          <w:lang w:bidi="ar-SA"/>
        </w:rPr>
        <w:t xml:space="preserve">الحلِّي العلَّامة الحسن بن يوسف بن 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المطبعة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مدرسة دارالعلم؛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w:t>
      </w:r>
    </w:p>
    <w:p>
      <w:pPr>
        <w:pStyle w:val="BookText"/>
        <w:rPr/>
      </w:pPr>
      <w:r>
        <w:rPr>
          <w:rFonts w:ascii="Amiri" w:hAnsi="Amiri" w:eastAsia="Amiri" w:cs="Amiri"/>
          <w:color w:val="111111"/>
          <w:sz w:val="28"/>
          <w:sz w:val="28"/>
          <w:szCs w:val="28"/>
          <w:rtl w:val="true"/>
          <w:lang w:bidi="ar-SA"/>
        </w:rPr>
        <w:t xml:space="preserve">المازندراني علي اكبر السِّيفي؛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تكملة المنهاج</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إحياء آثار الإمام الخوئي؛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منهاج الصَّالحين</w:t>
      </w:r>
    </w:p>
    <w:p>
      <w:pPr>
        <w:pStyle w:val="BookText"/>
        <w:rPr/>
      </w:pPr>
      <w:r>
        <w:rPr>
          <w:rFonts w:ascii="Amiri" w:hAnsi="Amiri" w:eastAsia="Amiri" w:cs="Amiri"/>
          <w:color w:val="111111"/>
          <w:sz w:val="28"/>
          <w:sz w:val="28"/>
          <w:szCs w:val="28"/>
          <w:rtl w:val="true"/>
          <w:lang w:bidi="ar-SA"/>
        </w:rPr>
        <w:t xml:space="preserve">القمِّي السَّيِّد تقي الطَّباطبايي؛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قلم الشَّرق؛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عبَّاس الحاجياني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 و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المشكلات من الآيات المتشابهات</w:t>
      </w:r>
    </w:p>
    <w:p>
      <w:pPr>
        <w:pStyle w:val="BookText"/>
        <w:rPr/>
      </w:pPr>
      <w:r>
        <w:rPr>
          <w:rFonts w:ascii="Amiri" w:hAnsi="Amiri" w:eastAsia="Amiri" w:cs="Amiri"/>
          <w:color w:val="111111"/>
          <w:sz w:val="28"/>
          <w:sz w:val="28"/>
          <w:szCs w:val="28"/>
          <w:rtl w:val="true"/>
          <w:lang w:bidi="ar-SA"/>
        </w:rPr>
        <w:t xml:space="preserve">المازندراني ابن شهرآشوب رشيدالدِّين محمَّد بن عليٍّ‌، توفِّي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دارالبيدار للنَّشر؛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p>
    <w:p>
      <w:pPr>
        <w:pStyle w:val="BookText"/>
        <w:rPr/>
      </w:pPr>
      <w:r>
        <w:rPr>
          <w:rFonts w:ascii="IRNazanin" w:hAnsi="IRNazanin" w:eastAsia="IRNazanin"/>
          <w:color w:val="111111"/>
          <w:sz w:val="28"/>
          <w:sz w:val="28"/>
          <w:szCs w:val="28"/>
          <w:rtl w:val="true"/>
          <w:lang w:bidi="fa-IR"/>
        </w:rPr>
        <w:t xml:space="preserve">أبوعبيدة مَعمَر بن المُثنّىٰ التَّميمي، توفِّي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مكتبة الخانجي؛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قاهرة؛ مصر؛ تحقيق محمَّد فؤاد سزگين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الأفكار و مطرح الأنظار</w:t>
      </w:r>
    </w:p>
    <w:p>
      <w:pPr>
        <w:pStyle w:val="BookText"/>
        <w:rPr/>
      </w:pPr>
      <w:r>
        <w:rPr>
          <w:rFonts w:ascii="IRNazanin" w:hAnsi="IRNazanin" w:eastAsia="IRNazanin"/>
          <w:color w:val="111111"/>
          <w:sz w:val="28"/>
          <w:sz w:val="28"/>
          <w:szCs w:val="28"/>
          <w:rtl w:val="true"/>
          <w:lang w:bidi="fa-IR"/>
        </w:rPr>
        <w:t xml:space="preserve">الآملي الميرزا هاشم، توفِّي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المطبعة العلميَّة؛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قرَّره القمشه اي محمَّدعلي إسماعيل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الطُّريحي فخرالدِّين، توفِّي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مرتضوى؛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تهران؛ ايران؛ صحَّحه السَّيِّد احمد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أبوعليٍّ فضل بن الحسن، توفِّي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ناصر خسرو؛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في شرح إرشاد الأذهان</w:t>
      </w:r>
    </w:p>
    <w:p>
      <w:pPr>
        <w:pStyle w:val="BookText"/>
        <w:rPr/>
      </w:pPr>
      <w:r>
        <w:rPr>
          <w:rFonts w:ascii="IRNazanin" w:hAnsi="IRNazanin" w:eastAsia="IRNazanin"/>
          <w:color w:val="111111"/>
          <w:sz w:val="28"/>
          <w:sz w:val="28"/>
          <w:szCs w:val="28"/>
          <w:rtl w:val="true"/>
          <w:lang w:bidi="fa-IR"/>
        </w:rPr>
        <w:t xml:space="preserve">الأردبيلي احمد بن محمَّد، توفِّي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دفتر انتشارات اسلامى وابسته به جامعۀ مدرِّسين حوزۀ علميِّۀ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مجتبىٰ العراقي، علي پناه الإشتهاردي، حسين اليزدي الأصفهاني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w:t>
      </w:r>
    </w:p>
    <w:p>
      <w:pPr>
        <w:pStyle w:val="BookText"/>
        <w:rPr/>
      </w:pPr>
      <w:r>
        <w:rPr>
          <w:rFonts w:ascii="Amiri" w:hAnsi="Amiri" w:eastAsia="Amiri" w:cs="Amiri"/>
          <w:color w:val="111111"/>
          <w:sz w:val="28"/>
          <w:sz w:val="28"/>
          <w:szCs w:val="28"/>
          <w:rtl w:val="true"/>
          <w:lang w:bidi="ar-SA"/>
        </w:rPr>
        <w:t xml:space="preserve">النَّجف آبادي حسين علي المنتظري، توفِّي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فتاوىٰ ابن أبي عقيل</w:t>
      </w:r>
    </w:p>
    <w:p>
      <w:pPr>
        <w:pStyle w:val="BookText"/>
        <w:rPr/>
      </w:pPr>
      <w:r>
        <w:rPr>
          <w:rFonts w:ascii="IRNazanin" w:hAnsi="IRNazanin" w:eastAsia="IRNazanin"/>
          <w:color w:val="111111"/>
          <w:sz w:val="28"/>
          <w:sz w:val="28"/>
          <w:szCs w:val="28"/>
          <w:rtl w:val="true"/>
          <w:lang w:bidi="fa-IR"/>
        </w:rPr>
        <w:t xml:space="preserve">العمَّاني حسن بن عليِّ بن أبي عقيلٍ الحذَّاء، كان حيًّا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 ايران؛ جمعها عبدالرَّحيم البروجردي، علي پناه الإشتهاردي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فتاوىٰ ابن باويه</w:t>
      </w:r>
    </w:p>
    <w:p>
      <w:pPr>
        <w:pStyle w:val="BookText"/>
        <w:rPr/>
      </w:pPr>
      <w:r>
        <w:rPr>
          <w:rFonts w:ascii="IRNazanin" w:hAnsi="IRNazanin" w:eastAsia="IRNazanin"/>
          <w:color w:val="111111"/>
          <w:sz w:val="28"/>
          <w:sz w:val="28"/>
          <w:szCs w:val="28"/>
          <w:rtl w:val="true"/>
          <w:lang w:bidi="fa-IR"/>
        </w:rPr>
        <w:t xml:space="preserve">القمِّي عليُّ بن بابويه الصَّدوق الأوَّل، توفِّي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 ايران؛ جمعها عبدالرَّحيم البروجردي، علي پناه الإشتهاردي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فتاوىٰ ابن جنيد</w:t>
      </w:r>
    </w:p>
    <w:p>
      <w:pPr>
        <w:pStyle w:val="BookText"/>
        <w:rPr/>
      </w:pPr>
      <w:r>
        <w:rPr>
          <w:rFonts w:ascii="IRNazanin" w:hAnsi="IRNazanin" w:eastAsia="IRNazanin"/>
          <w:color w:val="111111"/>
          <w:sz w:val="28"/>
          <w:sz w:val="28"/>
          <w:szCs w:val="28"/>
          <w:rtl w:val="true"/>
          <w:lang w:bidi="fa-IR"/>
        </w:rPr>
        <w:t xml:space="preserve">الإسكافي محمَّد بن احمد الكاتب البغدادي، توفِّي القرن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دفتر انتشارات اسلامى وابسته به جامعۀ مدرِّسين حوزۀ علميِّۀ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علي پناه الإشتهاردي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فقه الاماميَّة</w:t>
      </w:r>
    </w:p>
    <w:p>
      <w:pPr>
        <w:pStyle w:val="BookText"/>
        <w:rPr/>
      </w:pPr>
      <w:r>
        <w:rPr>
          <w:rFonts w:ascii="Amiri" w:hAnsi="Amiri" w:eastAsia="Amiri" w:cs="Amiri"/>
          <w:color w:val="111111"/>
          <w:sz w:val="28"/>
          <w:sz w:val="28"/>
          <w:szCs w:val="28"/>
          <w:rtl w:val="true"/>
          <w:lang w:bidi="ar-SA"/>
        </w:rPr>
        <w:t xml:space="preserve">الميلاني السَّيِّد محمَّدهادي الحسيني، توفِّي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مشهد؛ ايران؛ صحَّحه فاضل الحسيني الميلاني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w:t>
      </w:r>
    </w:p>
    <w:p>
      <w:pPr>
        <w:pStyle w:val="BookText"/>
        <w:rPr/>
      </w:pP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عبادات شرائع الإسلام</w:t>
      </w:r>
    </w:p>
    <w:p>
      <w:pPr>
        <w:pStyle w:val="BookText"/>
        <w:rPr/>
      </w:pPr>
      <w:r>
        <w:rPr>
          <w:rFonts w:ascii="Amiri" w:hAnsi="Amiri" w:eastAsia="Amiri" w:cs="Amiri"/>
          <w:color w:val="111111"/>
          <w:sz w:val="28"/>
          <w:sz w:val="28"/>
          <w:szCs w:val="28"/>
          <w:rtl w:val="true"/>
          <w:lang w:bidi="ar-SA"/>
        </w:rPr>
        <w:t xml:space="preserve">العاملي محمَّد بن عليٍّ الموسوي، توفِّي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العروة</w:t>
      </w:r>
    </w:p>
    <w:p>
      <w:pPr>
        <w:pStyle w:val="BookText"/>
        <w:rPr/>
      </w:pPr>
      <w:r>
        <w:rPr>
          <w:rFonts w:ascii="IRNazanin" w:hAnsi="IRNazanin" w:eastAsia="IRNazanin"/>
          <w:color w:val="111111"/>
          <w:sz w:val="28"/>
          <w:sz w:val="28"/>
          <w:szCs w:val="28"/>
          <w:rtl w:val="true"/>
          <w:lang w:bidi="fa-IR"/>
        </w:rPr>
        <w:t xml:space="preserve">الإشتهاردي علي پناه، توفِّي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دارالأسوة للطِّباعة و 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العروة</w:t>
      </w:r>
    </w:p>
    <w:p>
      <w:pPr>
        <w:pStyle w:val="BookText"/>
        <w:rPr/>
      </w:pPr>
      <w:r>
        <w:rPr>
          <w:rFonts w:ascii="Amiri" w:hAnsi="Amiri" w:eastAsia="Amiri" w:cs="Amiri"/>
          <w:color w:val="111111"/>
          <w:sz w:val="28"/>
          <w:sz w:val="28"/>
          <w:szCs w:val="28"/>
          <w:rtl w:val="true"/>
          <w:lang w:bidi="ar-SA"/>
        </w:rPr>
        <w:t xml:space="preserve">البيارجمندي الخراساني يوسف آرام الحائري، توفِّي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مطبعة النُّعمان؛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w:t>
      </w:r>
    </w:p>
    <w:p>
      <w:pPr>
        <w:pStyle w:val="BookText"/>
        <w:rPr/>
      </w:pPr>
      <w:r>
        <w:rPr>
          <w:rFonts w:ascii="Amiri" w:hAnsi="Amiri" w:eastAsia="Amiri" w:cs="Amiri"/>
          <w:color w:val="111111"/>
          <w:sz w:val="28"/>
          <w:sz w:val="28"/>
          <w:szCs w:val="28"/>
          <w:rtl w:val="true"/>
          <w:lang w:bidi="ar-SA"/>
        </w:rPr>
        <w:t xml:space="preserve">الأصفهاني المجلسي الثَّاني محمَّدباقر بن محمَّدتقي،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تهران؛ ايران؛ صحَّحه السَّيِّد هاشم الرَّسولي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 ومستدركاتها</w:t>
      </w:r>
    </w:p>
    <w:p>
      <w:pPr>
        <w:pStyle w:val="BookText"/>
        <w:rPr/>
      </w:pPr>
      <w:r>
        <w:rPr>
          <w:rFonts w:ascii="Amiri" w:hAnsi="Amiri" w:eastAsia="Amiri" w:cs="Amiri"/>
          <w:color w:val="111111"/>
          <w:sz w:val="28"/>
          <w:sz w:val="28"/>
          <w:szCs w:val="28"/>
          <w:rtl w:val="true"/>
          <w:lang w:bidi="ar-SA"/>
        </w:rPr>
        <w:t xml:space="preserve">العريضي عليُّ بن جعفرٍ؛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الافهام إلى آيات الأحكام</w:t>
      </w:r>
    </w:p>
    <w:p>
      <w:pPr>
        <w:pStyle w:val="BookText"/>
        <w:rPr/>
      </w:pPr>
      <w:r>
        <w:rPr>
          <w:rFonts w:ascii="Amiri" w:hAnsi="Amiri" w:eastAsia="Amiri" w:cs="Amiri"/>
          <w:color w:val="111111"/>
          <w:sz w:val="28"/>
          <w:sz w:val="28"/>
          <w:szCs w:val="28"/>
          <w:rtl w:val="true"/>
          <w:lang w:bidi="ar-SA"/>
        </w:rPr>
        <w:t xml:space="preserve">الكاظمي الفاضل الجواد بن سعد الأسدي، توفِّي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الشَّهيد الثَّاني زين الدِّين بن عليًّ‌، توفِّي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المعارف </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p>
    <w:p>
      <w:pPr>
        <w:pStyle w:val="BookText"/>
        <w:rPr/>
      </w:pPr>
      <w:r>
        <w:rPr>
          <w:rFonts w:ascii="Amiri" w:hAnsi="Amiri" w:eastAsia="Amiri" w:cs="Amiri"/>
          <w:color w:val="111111"/>
          <w:sz w:val="28"/>
          <w:sz w:val="28"/>
          <w:szCs w:val="28"/>
          <w:rtl w:val="true"/>
          <w:lang w:bidi="ar-SA"/>
        </w:rPr>
        <w:t xml:space="preserve">النُّوري الميرزا حسين، توفِّي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مستقصىٰ مدارك القواعد ومنتهى ضوابط الفوائد</w:t>
      </w:r>
    </w:p>
    <w:p>
      <w:pPr>
        <w:pStyle w:val="BookText"/>
        <w:rPr/>
      </w:pPr>
      <w:r>
        <w:rPr>
          <w:rFonts w:ascii="IRNazanin" w:hAnsi="IRNazanin" w:eastAsia="IRNazanin"/>
          <w:color w:val="111111"/>
          <w:sz w:val="28"/>
          <w:sz w:val="28"/>
          <w:szCs w:val="28"/>
          <w:rtl w:val="true"/>
          <w:lang w:bidi="fa-IR"/>
        </w:rPr>
        <w:t xml:space="preserve">الكاشاني ملَّا حبيب اللَّه الشَّريف، توفِّي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علميِّه؛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p>
    <w:p>
      <w:pPr>
        <w:pStyle w:val="BookText"/>
        <w:rPr/>
      </w:pPr>
      <w:r>
        <w:rPr>
          <w:rFonts w:ascii="Amiri" w:hAnsi="Amiri" w:eastAsia="Amiri" w:cs="Amiri"/>
          <w:color w:val="111111"/>
          <w:sz w:val="28"/>
          <w:sz w:val="28"/>
          <w:szCs w:val="28"/>
          <w:rtl w:val="true"/>
          <w:lang w:bidi="ar-SA"/>
        </w:rPr>
        <w:t xml:space="preserve">الحكيم السَّيِّد محسن الطَّباطبايي، 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دارالتَّفسير؛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p>
    <w:p>
      <w:pPr>
        <w:pStyle w:val="BookText"/>
        <w:rPr/>
      </w:pPr>
      <w:r>
        <w:rPr>
          <w:rFonts w:ascii="Amiri" w:hAnsi="Amiri" w:eastAsia="Amiri" w:cs="Amiri"/>
          <w:color w:val="111111"/>
          <w:sz w:val="28"/>
          <w:sz w:val="28"/>
          <w:szCs w:val="28"/>
          <w:rtl w:val="true"/>
          <w:lang w:bidi="ar-SA"/>
        </w:rPr>
        <w:t xml:space="preserve">النَّراقي مولىٰ احمد بن محمَّد مهدي، توفِّي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الشُّموس في شرح الدُّروس</w:t>
      </w:r>
    </w:p>
    <w:p>
      <w:pPr>
        <w:pStyle w:val="BookText"/>
        <w:rPr/>
      </w:pPr>
      <w:r>
        <w:rPr>
          <w:rFonts w:ascii="Amiri" w:hAnsi="Amiri" w:eastAsia="Amiri" w:cs="Amiri"/>
          <w:color w:val="111111"/>
          <w:sz w:val="28"/>
          <w:sz w:val="28"/>
          <w:szCs w:val="28"/>
          <w:rtl w:val="true"/>
          <w:lang w:bidi="ar-SA"/>
        </w:rPr>
        <w:t xml:space="preserve">الخوانساري آقا حسين بن محمَّد، توفِّي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صحَّحه السَّيِّد جواد ابن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pStyle w:val="BookText"/>
        <w:rPr/>
      </w:pPr>
      <w:r>
        <w:rPr>
          <w:rFonts w:ascii="Amiri" w:hAnsi="Amiri" w:eastAsia="Amiri" w:cs="Amiri"/>
          <w:color w:val="111111"/>
          <w:sz w:val="28"/>
          <w:sz w:val="28"/>
          <w:szCs w:val="28"/>
          <w:rtl w:val="true"/>
          <w:lang w:bidi="ar-SA"/>
        </w:rPr>
        <w:t xml:space="preserve">البهبهاني محمَّدباقر بن محمَّد أكمل، 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العلَّامة المجدِّد الوحيد البهبهاني؛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الحكم الشَّرعي والقانون المدني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عليُّ بن محمَّدرضا بن الهادي النَّجفي، توفِّي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الآداب؛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الفقه الإسلامي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دارالأضواء؛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w:t>
      </w:r>
    </w:p>
    <w:p>
      <w:pPr>
        <w:pStyle w:val="BookText"/>
        <w:rPr/>
      </w:pPr>
      <w:r>
        <w:rPr>
          <w:rFonts w:ascii="Amiri" w:hAnsi="Amiri" w:eastAsia="Amiri" w:cs="Amiri"/>
          <w:color w:val="111111"/>
          <w:sz w:val="28"/>
          <w:sz w:val="28"/>
          <w:szCs w:val="28"/>
          <w:rtl w:val="true"/>
          <w:lang w:bidi="ar-SA"/>
        </w:rPr>
        <w:t xml:space="preserve">الخوئي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إحياء آثار الإمام الخوئي؛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p>
    <w:p>
      <w:pPr>
        <w:pStyle w:val="BookText"/>
        <w:rPr/>
      </w:pPr>
      <w:r>
        <w:rPr>
          <w:rFonts w:ascii="Amiri" w:hAnsi="Amiri" w:eastAsia="Amiri" w:cs="Amiri"/>
          <w:color w:val="111111"/>
          <w:sz w:val="28"/>
          <w:sz w:val="28"/>
          <w:szCs w:val="28"/>
          <w:rtl w:val="true"/>
          <w:lang w:bidi="ar-SA"/>
        </w:rPr>
        <w:t xml:space="preserve">الهمداني رضا بن محمَّدهادي، توفِّي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الجعفريَّة لإحياء التُّراث،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p>
    <w:p>
      <w:pPr>
        <w:pStyle w:val="BookText"/>
        <w:rPr/>
      </w:pPr>
      <w:r>
        <w:rPr>
          <w:rFonts w:ascii="Amiri" w:hAnsi="Amiri" w:eastAsia="Amiri" w:cs="Amiri"/>
          <w:color w:val="111111"/>
          <w:sz w:val="28"/>
          <w:sz w:val="28"/>
          <w:szCs w:val="28"/>
          <w:rtl w:val="true"/>
          <w:lang w:bidi="ar-SA"/>
        </w:rPr>
        <w:t xml:space="preserve">الطُّوسي ابوجعفر محمَّد بن الحسن، 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في شرح العروة الوثقىٰ‌</w:t>
      </w:r>
    </w:p>
    <w:p>
      <w:pPr>
        <w:pStyle w:val="BookText"/>
        <w:rPr/>
      </w:pPr>
      <w:r>
        <w:rPr>
          <w:rFonts w:ascii="Amiri" w:hAnsi="Amiri" w:eastAsia="Amiri" w:cs="Amiri"/>
          <w:color w:val="111111"/>
          <w:sz w:val="28"/>
          <w:sz w:val="28"/>
          <w:szCs w:val="28"/>
          <w:rtl w:val="true"/>
          <w:lang w:bidi="ar-SA"/>
        </w:rPr>
        <w:t xml:space="preserve">الآملي الميرزا محمَّدتقي، توفِّي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الدِّين القيِّم</w:t>
      </w:r>
    </w:p>
    <w:p>
      <w:pPr>
        <w:pStyle w:val="BookText"/>
        <w:rPr/>
      </w:pPr>
      <w:r>
        <w:rPr>
          <w:rFonts w:ascii="Amiri" w:hAnsi="Amiri" w:eastAsia="Amiri" w:cs="Amiri"/>
          <w:color w:val="111111"/>
          <w:sz w:val="28"/>
          <w:sz w:val="28"/>
          <w:szCs w:val="28"/>
          <w:rtl w:val="true"/>
          <w:lang w:bidi="ar-SA"/>
        </w:rPr>
        <w:t xml:space="preserve">النَّجفي بشير 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 المؤلِّف؛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في فقه آل ياسين</w:t>
      </w:r>
    </w:p>
    <w:p>
      <w:pPr>
        <w:pStyle w:val="BookText"/>
        <w:rPr/>
      </w:pPr>
      <w:r>
        <w:rPr>
          <w:rFonts w:ascii="Amiri" w:hAnsi="Amiri" w:eastAsia="Amiri" w:cs="Amiri"/>
          <w:color w:val="111111"/>
          <w:sz w:val="28"/>
          <w:sz w:val="28"/>
          <w:szCs w:val="28"/>
          <w:rtl w:val="true"/>
          <w:lang w:bidi="ar-SA"/>
        </w:rPr>
        <w:t xml:space="preserve">الحلِّي شمس الدِّين محمَّد بن شجاع القطَّان، توفِّي بعد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الإمام الصَّادق عليه السلام؛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البهادري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 ملاذ المجتهدين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جمال الدِّين الحسن بن زين الدِّين، توفِّي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الفقه </w:t>
      </w:r>
    </w:p>
    <w:p>
      <w:pPr>
        <w:pStyle w:val="BookText"/>
        <w:rPr/>
      </w:pPr>
      <w:r>
        <w:rPr>
          <w:rFonts w:ascii="Amiri" w:hAnsi="Amiri" w:eastAsia="Amiri" w:cs="Amiri"/>
          <w:color w:val="111111"/>
          <w:sz w:val="28"/>
          <w:sz w:val="28"/>
          <w:szCs w:val="28"/>
          <w:rtl w:val="true"/>
          <w:lang w:bidi="ar-SA"/>
        </w:rPr>
        <w:t xml:space="preserve">للطِّباعة و النَّشر؛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منذر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في فهرست كتب الشِّيعة و أسماء المصنِّفين قديمًا و حديثًا</w:t>
      </w:r>
    </w:p>
    <w:p>
      <w:pPr>
        <w:pStyle w:val="BookText"/>
        <w:rPr/>
      </w:pPr>
      <w:r>
        <w:rPr>
          <w:rFonts w:ascii="Amiri" w:hAnsi="Amiri" w:eastAsia="Amiri" w:cs="Amiri"/>
          <w:color w:val="111111"/>
          <w:sz w:val="28"/>
          <w:sz w:val="28"/>
          <w:szCs w:val="28"/>
          <w:rtl w:val="true"/>
          <w:lang w:bidi="ar-SA"/>
        </w:rPr>
        <w:t xml:space="preserve">المازندراني ابن شهرآشوب رشيدالدِّين محمَّد بن عليًّ‌، توفِّي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p>
    <w:p>
      <w:pPr>
        <w:pStyle w:val="BookText"/>
        <w:rPr/>
      </w:pPr>
      <w:r>
        <w:rPr>
          <w:rFonts w:ascii="Amiri" w:hAnsi="Amiri" w:eastAsia="Amiri" w:cs="Amiri"/>
          <w:color w:val="111111"/>
          <w:sz w:val="28"/>
          <w:sz w:val="28"/>
          <w:szCs w:val="28"/>
          <w:rtl w:val="true"/>
          <w:lang w:bidi="ar-SA"/>
        </w:rPr>
        <w:t xml:space="preserve">القمِّي الصَّدوق محمَّد بن عليِّ بن بابويه،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 الشِّيعة في أحكام الشَّريعة</w:t>
      </w:r>
    </w:p>
    <w:p>
      <w:pPr>
        <w:pStyle w:val="BookText"/>
        <w:rPr/>
      </w:pPr>
      <w:r>
        <w:rPr>
          <w:rFonts w:ascii="Amiri" w:hAnsi="Amiri" w:eastAsia="Amiri" w:cs="Amiri"/>
          <w:color w:val="111111"/>
          <w:sz w:val="28"/>
          <w:sz w:val="28"/>
          <w:szCs w:val="28"/>
          <w:rtl w:val="true"/>
          <w:lang w:bidi="ar-SA"/>
        </w:rPr>
        <w:t xml:space="preserve">الكاشاني الفيض محمَّد 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مدرسۀ عالى شهيد مطهرى؛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صحَّحه مسيح التَّوحيدي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الشِّيعة في أحكام الشَّريعة</w:t>
      </w:r>
    </w:p>
    <w:p>
      <w:pPr>
        <w:pStyle w:val="BookText"/>
        <w:rPr/>
      </w:pPr>
      <w:r>
        <w:rPr>
          <w:rFonts w:ascii="IRNazanin" w:hAnsi="IRNazanin" w:eastAsia="IRNazanin"/>
          <w:color w:val="111111"/>
          <w:sz w:val="28"/>
          <w:sz w:val="28"/>
          <w:szCs w:val="28"/>
          <w:rtl w:val="true"/>
          <w:lang w:bidi="fa-IR"/>
        </w:rPr>
        <w:t xml:space="preserve">النَّراقي محمَّد مهدي بن أبي ذر، توفِّي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بزرگداشت نراقي؛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العروة الوثقىٰ‌</w:t>
      </w:r>
    </w:p>
    <w:p>
      <w:pPr>
        <w:pStyle w:val="BookText"/>
        <w:rPr/>
      </w:pPr>
      <w:r>
        <w:rPr>
          <w:rFonts w:ascii="Amiri" w:hAnsi="Amiri" w:eastAsia="Amiri" w:cs="Amiri"/>
          <w:color w:val="111111"/>
          <w:sz w:val="28"/>
          <w:sz w:val="28"/>
          <w:szCs w:val="28"/>
          <w:rtl w:val="true"/>
          <w:lang w:bidi="ar-SA"/>
        </w:rPr>
        <w:t xml:space="preserve">الخويي السَّيِّد ابو 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مدرسة دار العلم؛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 قرَّره السَّيِّد رضا الموسوي الخلخالي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الأفعال المتداولة</w:t>
      </w:r>
    </w:p>
    <w:p>
      <w:pPr>
        <w:pStyle w:val="BookText"/>
        <w:rPr/>
      </w:pPr>
      <w:r>
        <w:rPr>
          <w:rFonts w:ascii="Amiri" w:hAnsi="Amiri" w:eastAsia="Amiri" w:cs="Amiri"/>
          <w:color w:val="111111"/>
          <w:sz w:val="28"/>
          <w:sz w:val="28"/>
          <w:szCs w:val="28"/>
          <w:rtl w:val="true"/>
          <w:lang w:bidi="ar-SA"/>
        </w:rPr>
        <w:t xml:space="preserve">الحيدري السَّيِّد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المركز العالمي للدِّراسات الإسلاميَّة؛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و الألفاظ الفقهيَّة</w:t>
      </w:r>
    </w:p>
    <w:p>
      <w:pPr>
        <w:pStyle w:val="BookText"/>
        <w:rPr/>
      </w:pPr>
      <w:r>
        <w:rPr>
          <w:rFonts w:ascii="Amiri" w:hAnsi="Amiri" w:eastAsia="Amiri" w:cs="Amiri"/>
          <w:color w:val="111111"/>
          <w:sz w:val="28"/>
          <w:sz w:val="28"/>
          <w:szCs w:val="28"/>
          <w:rtl w:val="true"/>
          <w:lang w:bidi="ar-SA"/>
        </w:rPr>
        <w:t xml:space="preserve">محمود عبدالرَّحمان؛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 لبنان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الرِّجال </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مقائيس اللُّغة</w:t>
      </w:r>
    </w:p>
    <w:p>
      <w:pPr>
        <w:pStyle w:val="BookText"/>
        <w:rPr/>
      </w:pPr>
      <w:r>
        <w:rPr>
          <w:rFonts w:ascii="Amiri" w:hAnsi="Amiri" w:eastAsia="Amiri" w:cs="Amiri"/>
          <w:color w:val="111111"/>
          <w:sz w:val="28"/>
          <w:sz w:val="28"/>
          <w:szCs w:val="28"/>
          <w:rtl w:val="true"/>
          <w:lang w:bidi="ar-SA"/>
        </w:rPr>
        <w:t xml:space="preserve">ابوالحسين احمد بن فارس بن زكريَّا، توفِّي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دفتر تبليغات اسلامى حوزۀ علميُّۀ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عبدالسَّلام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الأصول</w:t>
      </w:r>
    </w:p>
    <w:p>
      <w:pPr>
        <w:pStyle w:val="BookText"/>
        <w:rPr/>
      </w:pPr>
      <w:r>
        <w:rPr>
          <w:rFonts w:ascii="Amiri" w:hAnsi="Amiri" w:eastAsia="Amiri" w:cs="Amiri"/>
          <w:color w:val="111111"/>
          <w:sz w:val="28"/>
          <w:sz w:val="28"/>
          <w:szCs w:val="28"/>
          <w:rtl w:val="true"/>
          <w:lang w:bidi="ar-SA"/>
        </w:rPr>
        <w:t xml:space="preserve">الطَّباطبائي السَّيِّد محمَّد بن عليٍّ المجاهد، توفِّي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 عليهم السلام؛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الكاشاني الفيض محمَّد محسن ابن شاه مرتضىٰ‌، 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انتشارات كتابخانۀ آية اللَّه مرعشي نجفي؛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p>
    <w:p>
      <w:pPr>
        <w:pStyle w:val="BookText"/>
        <w:rPr/>
      </w:pP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السَّيِّد جواد بن محمَّد الحسيني، توفِّي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محمَّدباقر الخالصي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p>
    <w:p>
      <w:pPr>
        <w:pStyle w:val="BookText"/>
        <w:rPr/>
      </w:pP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السَّيِّد جواد بن محمَّد الحسيني، توفِّي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إحياء التُّراث العربي؛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القرآن الأصفهاني الحسين بن محمَّد الرَّاغب، توفِّي حدود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العلم،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لبنان؛ سوريه؛ صحَّحه صفوان عدنان داودي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و نفائس الأسرار في أحكام النَّبيِّ المختار و عترته الأطهار </w:t>
      </w:r>
    </w:p>
    <w:p>
      <w:pPr>
        <w:pStyle w:val="BookText"/>
        <w:rPr/>
      </w:pPr>
      <w:r>
        <w:rPr>
          <w:rFonts w:ascii="Amiri" w:hAnsi="Amiri" w:eastAsia="Amiri" w:cs="Amiri"/>
          <w:color w:val="111111"/>
          <w:sz w:val="28"/>
          <w:sz w:val="28"/>
          <w:szCs w:val="28"/>
          <w:rtl w:val="true"/>
          <w:lang w:bidi="ar-SA"/>
        </w:rPr>
        <w:t xml:space="preserve">التُّستري أسداللَّه الكاظمي، توفِّي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 عليهم السلام؛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مقامع الفضل</w:t>
      </w:r>
    </w:p>
    <w:p>
      <w:pPr>
        <w:pStyle w:val="BookText"/>
        <w:rPr/>
      </w:pPr>
      <w:r>
        <w:rPr>
          <w:rFonts w:ascii="Amiri" w:hAnsi="Amiri" w:eastAsia="Amiri" w:cs="Amiri"/>
          <w:color w:val="111111"/>
          <w:sz w:val="28"/>
          <w:sz w:val="28"/>
          <w:szCs w:val="28"/>
          <w:rtl w:val="true"/>
          <w:lang w:bidi="ar-SA"/>
        </w:rPr>
        <w:t xml:space="preserve">الكرمانشاهي محمَّدعليِّ بن وحيد البهبهاني، توفِّي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مؤسَّسه علَّامه مجدِّد وحيد بهبهانى؛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الأدب</w:t>
      </w:r>
    </w:p>
    <w:p>
      <w:pPr>
        <w:pStyle w:val="BookText"/>
        <w:rPr/>
      </w:pPr>
      <w:r>
        <w:rPr>
          <w:rFonts w:ascii="IRNazanin" w:hAnsi="IRNazanin" w:eastAsia="IRNazanin"/>
          <w:color w:val="111111"/>
          <w:sz w:val="28"/>
          <w:sz w:val="28"/>
          <w:szCs w:val="28"/>
          <w:rtl w:val="true"/>
          <w:lang w:bidi="fa-IR"/>
        </w:rPr>
        <w:t xml:space="preserve">الزَّمخشري ابوالقاسم محمود بن عمر، توفِّي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مطالعات اسلامى دانشگاه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في فهم تهذيب الأخبار</w:t>
      </w:r>
    </w:p>
    <w:p>
      <w:pPr>
        <w:pStyle w:val="BookText"/>
        <w:rPr/>
      </w:pPr>
      <w:r>
        <w:rPr>
          <w:rFonts w:ascii="Amiri" w:hAnsi="Amiri" w:eastAsia="Amiri" w:cs="Amiri"/>
          <w:color w:val="111111"/>
          <w:sz w:val="28"/>
          <w:sz w:val="28"/>
          <w:szCs w:val="28"/>
          <w:rtl w:val="true"/>
          <w:lang w:bidi="ar-SA"/>
        </w:rPr>
        <w:t xml:space="preserve">الأصفهاني المجلسي الثَّاني محمَّدباقر بن محمَّدتقي،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مرعشي 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الدَّولة</w:t>
      </w:r>
    </w:p>
    <w:p>
      <w:pPr>
        <w:pStyle w:val="BookText"/>
        <w:rPr/>
      </w:pPr>
      <w:r>
        <w:rPr>
          <w:rFonts w:ascii="Amiri" w:hAnsi="Amiri" w:eastAsia="Amiri" w:cs="Amiri"/>
          <w:color w:val="111111"/>
          <w:sz w:val="28"/>
          <w:sz w:val="28"/>
          <w:szCs w:val="28"/>
          <w:rtl w:val="true"/>
          <w:lang w:bidi="ar-SA"/>
        </w:rPr>
        <w:t xml:space="preserve">البحراني محمَّد السَّند؛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قرَّره السَّيِّد جعفر الحكيم، احمد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الأحكام في مسائل الحلال والحرام</w:t>
      </w:r>
    </w:p>
    <w:p>
      <w:pPr>
        <w:pStyle w:val="BookText"/>
        <w:rPr/>
      </w:pPr>
      <w:r>
        <w:rPr>
          <w:rFonts w:ascii="Amiri" w:hAnsi="Amiri" w:eastAsia="Amiri" w:cs="Amiri"/>
          <w:color w:val="111111"/>
          <w:sz w:val="28"/>
          <w:sz w:val="28"/>
          <w:szCs w:val="28"/>
          <w:rtl w:val="true"/>
          <w:lang w:bidi="ar-SA"/>
        </w:rPr>
        <w:t xml:space="preserve">الجيلاني الميرزا القمِّي ابوالقاسم بن محمَّد حسن،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الأصول</w:t>
      </w:r>
    </w:p>
    <w:p>
      <w:pPr>
        <w:pStyle w:val="BookText"/>
        <w:rPr/>
      </w:pPr>
      <w:r>
        <w:rPr>
          <w:rFonts w:ascii="Amiri" w:hAnsi="Amiri" w:eastAsia="Amiri" w:cs="Amiri"/>
          <w:color w:val="111111"/>
          <w:sz w:val="28"/>
          <w:sz w:val="28"/>
          <w:szCs w:val="28"/>
          <w:rtl w:val="true"/>
          <w:lang w:bidi="ar-SA"/>
        </w:rPr>
        <w:t xml:space="preserve">الرَّوحاني السَّيِّد محمَّد القمِّي، توفِّي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سماحة المؤلِّف؛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قرَّره الحكيم السَّيِّد عبدالصَّاحب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w:t>
      </w:r>
    </w:p>
    <w:p>
      <w:pPr>
        <w:pStyle w:val="BookText"/>
        <w:rPr/>
      </w:pP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w:t>
      </w:r>
    </w:p>
    <w:p>
      <w:pPr>
        <w:pStyle w:val="BookText"/>
        <w:rPr/>
      </w:pPr>
      <w:r>
        <w:rPr>
          <w:rFonts w:ascii="Amiri" w:hAnsi="Amiri" w:eastAsia="Amiri" w:cs="Amiri"/>
          <w:color w:val="111111"/>
          <w:sz w:val="28"/>
          <w:sz w:val="28"/>
          <w:szCs w:val="28"/>
          <w:rtl w:val="true"/>
          <w:lang w:bidi="ar-SA"/>
        </w:rPr>
        <w:t xml:space="preserve">المازندراني محمَّد بن إسماعيل الحائري، توفِّي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p>
    <w:p>
      <w:pPr>
        <w:pStyle w:val="BookText"/>
        <w:rPr/>
      </w:pPr>
      <w:r>
        <w:rPr>
          <w:rFonts w:ascii="Amiri" w:hAnsi="Amiri" w:eastAsia="Amiri" w:cs="Amiri"/>
          <w:color w:val="111111"/>
          <w:sz w:val="28"/>
          <w:sz w:val="28"/>
          <w:szCs w:val="28"/>
          <w:rtl w:val="true"/>
          <w:lang w:bidi="ar-SA"/>
        </w:rPr>
        <w:t xml:space="preserve">القمِّي محمَّد بن عليِّ بن بابويه الصَّدوق،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p>
    <w:p>
      <w:pPr>
        <w:pStyle w:val="BookText"/>
        <w:rPr/>
      </w:pPr>
      <w:r>
        <w:rPr>
          <w:rFonts w:ascii="Amiri" w:hAnsi="Amiri" w:eastAsia="Amiri" w:cs="Amiri"/>
          <w:color w:val="111111"/>
          <w:sz w:val="28"/>
          <w:sz w:val="28"/>
          <w:szCs w:val="28"/>
          <w:rtl w:val="true"/>
          <w:lang w:bidi="ar-SA"/>
        </w:rPr>
        <w:t xml:space="preserve">الخويي السَّيِّد ابوالقاسم الموسوي، توفِّي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الملَّة في بيان الوقت و القبلة</w:t>
      </w:r>
    </w:p>
    <w:p>
      <w:pPr>
        <w:pStyle w:val="BookText"/>
        <w:rPr/>
      </w:pPr>
      <w:r>
        <w:rPr>
          <w:rFonts w:ascii="IRNazanin" w:hAnsi="IRNazanin" w:eastAsia="IRNazanin"/>
          <w:color w:val="111111"/>
          <w:sz w:val="28"/>
          <w:sz w:val="28"/>
          <w:szCs w:val="28"/>
          <w:rtl w:val="true"/>
          <w:lang w:bidi="fa-IR"/>
        </w:rPr>
        <w:t xml:space="preserve">الغروي علي علي ياري، توفِّي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بنياد فرهنگ اسلامى؛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 ايران؛ صحَّحه السَّيِّد هداية اللَّه المسترحمي الأصفهاني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الغمام في شرح شرائع الإسلام</w:t>
      </w:r>
    </w:p>
    <w:p>
      <w:pPr>
        <w:pStyle w:val="BookText"/>
        <w:rPr/>
      </w:pPr>
      <w:r>
        <w:rPr>
          <w:rFonts w:ascii="Amiri" w:hAnsi="Amiri" w:eastAsia="Amiri" w:cs="Amiri"/>
          <w:color w:val="111111"/>
          <w:sz w:val="28"/>
          <w:sz w:val="28"/>
          <w:szCs w:val="28"/>
          <w:rtl w:val="true"/>
          <w:lang w:bidi="ar-SA"/>
        </w:rPr>
        <w:t xml:space="preserve">النَّجفي كاشف الغطاء عبَّاس بن الحسن بن جعفرٍ، توفِّي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كاشف الغطاء؛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w:t>
      </w:r>
    </w:p>
    <w:p>
      <w:pPr>
        <w:pStyle w:val="BookText"/>
        <w:rPr/>
      </w:pPr>
      <w:r>
        <w:rPr>
          <w:rFonts w:ascii="Amiri" w:hAnsi="Amiri" w:eastAsia="Amiri" w:cs="Amiri"/>
          <w:color w:val="111111"/>
          <w:sz w:val="28"/>
          <w:sz w:val="28"/>
          <w:szCs w:val="28"/>
          <w:rtl w:val="true"/>
          <w:lang w:bidi="ar-SA"/>
        </w:rPr>
        <w:t xml:space="preserve">النَّائيني الميرزا محمَّدحسين الغروي، توفِّي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المحمَّديَّة؛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تهران؛ ايران؛ قرَّره الخوانساري موسىٰ بن محمَّد النَّجفي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الأنام في شرح شرائع الإسلام </w:t>
      </w:r>
    </w:p>
    <w:p>
      <w:pPr>
        <w:pStyle w:val="BookText"/>
        <w:rPr/>
      </w:pPr>
      <w:r>
        <w:rPr>
          <w:rFonts w:ascii="Amiri" w:hAnsi="Amiri" w:eastAsia="Amiri" w:cs="Amiri"/>
          <w:color w:val="111111"/>
          <w:sz w:val="28"/>
          <w:sz w:val="28"/>
          <w:szCs w:val="28"/>
          <w:rtl w:val="true"/>
          <w:lang w:bidi="ar-SA"/>
        </w:rPr>
        <w:t xml:space="preserve">النَّجفي كاشف الغطاء مهدي، توفِّي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كاشف الغطاء؛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الفقه الاسلامي طبقًا لمذهب أهل البيت عليهم السلام</w:t>
      </w:r>
    </w:p>
    <w:p>
      <w:pPr>
        <w:pStyle w:val="BookText"/>
        <w:rPr/>
      </w:pPr>
      <w:r>
        <w:rPr>
          <w:rFonts w:ascii="Amiri" w:hAnsi="Amiri" w:eastAsia="Amiri" w:cs="Amiri"/>
          <w:color w:val="111111"/>
          <w:sz w:val="28"/>
          <w:sz w:val="28"/>
          <w:szCs w:val="28"/>
          <w:rtl w:val="true"/>
          <w:lang w:bidi="ar-SA"/>
        </w:rPr>
        <w:t xml:space="preserve">لجنةٌ من المحقِّقين بإشراف الشَّاهرودي السَّيِّد محمود الهاشمي؛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دائرة المعارف فقه اسلامى بر مذهب اهل بيت؛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الإمام الصَّادق عليه السلام؛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 الحرام</w:t>
      </w:r>
    </w:p>
    <w:p>
      <w:pPr>
        <w:pStyle w:val="BookText"/>
        <w:rPr/>
      </w:pPr>
      <w:r>
        <w:rPr>
          <w:rFonts w:ascii="Amiri" w:hAnsi="Amiri" w:eastAsia="Amiri" w:cs="Amiri"/>
          <w:color w:val="111111"/>
          <w:sz w:val="28"/>
          <w:sz w:val="28"/>
          <w:szCs w:val="28"/>
          <w:rtl w:val="true"/>
          <w:lang w:bidi="ar-SA"/>
        </w:rPr>
        <w:t xml:space="preserve">السَّبزواري السَّيِّد عبدالأعلىٰ‌، توفِّي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المنار، مكتب المؤلِّف؛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في الجمع بين الأشباه و النَّظائر</w:t>
      </w:r>
    </w:p>
    <w:p>
      <w:pPr>
        <w:pStyle w:val="BookText"/>
        <w:rPr/>
      </w:pPr>
      <w:r>
        <w:rPr>
          <w:rFonts w:ascii="Amiri" w:hAnsi="Amiri" w:eastAsia="Amiri" w:cs="Amiri"/>
          <w:color w:val="111111"/>
          <w:sz w:val="28"/>
          <w:sz w:val="28"/>
          <w:szCs w:val="28"/>
          <w:rtl w:val="true"/>
          <w:lang w:bidi="ar-SA"/>
        </w:rPr>
        <w:t xml:space="preserve">الحلِّي يحيىٰ بن سعيدٍ، توفِّي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منشورات الرَّضي؛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القواعد الفقهيَّة علىٰ مذهب الإماميَّة</w:t>
      </w:r>
    </w:p>
    <w:p>
      <w:pPr>
        <w:pStyle w:val="BookText"/>
        <w:rPr/>
      </w:pPr>
      <w:r>
        <w:rPr>
          <w:rFonts w:ascii="Amiri" w:hAnsi="Amiri" w:eastAsia="Amiri" w:cs="Amiri"/>
          <w:color w:val="111111"/>
          <w:sz w:val="28"/>
          <w:sz w:val="28"/>
          <w:szCs w:val="28"/>
          <w:rtl w:val="true"/>
          <w:lang w:bidi="ar-SA"/>
        </w:rPr>
        <w:t xml:space="preserve">الحلِّي مقداد بن عبداللَّه السِّيوري، توفِّي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كتابخانۀ آية اللَّه مرعشي 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عبداللَّطيف الحسيني الكوه 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القضاء والشَّهادة في الشريعة الإسلاميَّة الغرَّاء</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الإمام الصَّادق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النِّكاح في الشَّريعة الإسلاميَّة الغرَّاء </w:t>
      </w:r>
    </w:p>
    <w:p>
      <w:pPr>
        <w:pStyle w:val="BookText"/>
        <w:rPr/>
      </w:pPr>
      <w:r>
        <w:rPr>
          <w:rFonts w:ascii="Amiri" w:hAnsi="Amiri" w:eastAsia="Amiri" w:cs="Amiri"/>
          <w:color w:val="111111"/>
          <w:sz w:val="28"/>
          <w:sz w:val="28"/>
          <w:szCs w:val="28"/>
          <w:rtl w:val="true"/>
          <w:lang w:bidi="ar-SA"/>
        </w:rPr>
        <w:t xml:space="preserve">التَّبريزي جعفر السُّبحاني؛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العقد في الفقه الجعفري</w:t>
      </w:r>
    </w:p>
    <w:p>
      <w:pPr>
        <w:pStyle w:val="BookText"/>
        <w:rPr/>
      </w:pPr>
      <w:r>
        <w:rPr>
          <w:rFonts w:ascii="Amiri" w:hAnsi="Amiri" w:eastAsia="Amiri" w:cs="Amiri"/>
          <w:color w:val="111111"/>
          <w:sz w:val="28"/>
          <w:sz w:val="28"/>
          <w:szCs w:val="28"/>
          <w:rtl w:val="true"/>
          <w:lang w:bidi="ar-SA"/>
        </w:rPr>
        <w:t xml:space="preserve">هاشم معروف الحسني، توفِّي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منشورات مكتبة هاشم؛ الطَّبعة الأولىٰ‌؛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p>
    <w:p>
      <w:pPr>
        <w:pStyle w:val="BookText"/>
        <w:rPr/>
      </w:pPr>
      <w:r>
        <w:rPr>
          <w:rFonts w:ascii="Amiri" w:hAnsi="Amiri" w:eastAsia="Amiri" w:cs="Amiri"/>
          <w:color w:val="111111"/>
          <w:sz w:val="28"/>
          <w:sz w:val="28"/>
          <w:szCs w:val="28"/>
          <w:rtl w:val="true"/>
          <w:lang w:bidi="ar-SA"/>
        </w:rPr>
        <w:t xml:space="preserve">التَّفرشي السَّيِّد مصطفىٰ بن حسين الحسيني، توفِّي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النِّهاية</w:t>
      </w:r>
    </w:p>
    <w:p>
      <w:pPr>
        <w:pStyle w:val="BookText"/>
        <w:rPr/>
      </w:pPr>
      <w:r>
        <w:rPr>
          <w:rFonts w:ascii="Amiri" w:hAnsi="Amiri" w:eastAsia="Amiri" w:cs="Amiri"/>
          <w:color w:val="111111"/>
          <w:sz w:val="28"/>
          <w:sz w:val="28"/>
          <w:szCs w:val="28"/>
          <w:rtl w:val="true"/>
          <w:lang w:bidi="ar-SA"/>
        </w:rPr>
        <w:t xml:space="preserve">الحلِّي المحقِّق نجم الدِّين جعفر بن الحسن،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اسلامي وابسته به جامعۀ مدرِّسين حوزۀ علميِّۀ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في الفقه الجعفري</w:t>
      </w:r>
    </w:p>
    <w:p>
      <w:pPr>
        <w:pStyle w:val="BookText"/>
        <w:rPr/>
      </w:pPr>
      <w:r>
        <w:rPr>
          <w:rFonts w:ascii="Amiri" w:hAnsi="Amiri" w:eastAsia="Amiri" w:cs="Amiri"/>
          <w:color w:val="111111"/>
          <w:sz w:val="28"/>
          <w:sz w:val="28"/>
          <w:szCs w:val="28"/>
          <w:rtl w:val="true"/>
          <w:lang w:bidi="ar-SA"/>
        </w:rPr>
        <w:t xml:space="preserve">اليزدي السَّيِّد عبَّاس المدرِّسي، توفِّي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داورى؛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p>
    <w:p>
      <w:pPr>
        <w:pStyle w:val="BookText"/>
        <w:rPr/>
      </w:pPr>
      <w:r>
        <w:rPr>
          <w:rFonts w:ascii="Amiri" w:hAnsi="Amiri" w:eastAsia="Amiri" w:cs="Amiri"/>
          <w:color w:val="111111"/>
          <w:sz w:val="28"/>
          <w:sz w:val="28"/>
          <w:szCs w:val="28"/>
          <w:rtl w:val="true"/>
          <w:lang w:bidi="ar-SA"/>
        </w:rPr>
        <w:t xml:space="preserve">الحويزي عبدعلي بن جمعة العروسي، توفِّي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المحلَّاتي السَّيِّد هاشم الرَّسولي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الأحكام</w:t>
      </w:r>
    </w:p>
    <w:p>
      <w:pPr>
        <w:pStyle w:val="BookText"/>
        <w:rPr/>
      </w:pPr>
      <w:r>
        <w:rPr>
          <w:rFonts w:ascii="Amiri" w:hAnsi="Amiri" w:eastAsia="Amiri" w:cs="Amiri"/>
          <w:color w:val="111111"/>
          <w:sz w:val="28"/>
          <w:sz w:val="28"/>
          <w:szCs w:val="28"/>
          <w:rtl w:val="true"/>
          <w:lang w:bidi="ar-SA"/>
        </w:rPr>
        <w:t xml:space="preserve">الحلِّي العلَّامة الحسن بن يوسف بن المطهَّر الأسدي، 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الأفكار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آقا ضياءالدِّين،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w:t>
      </w:r>
    </w:p>
    <w:p>
      <w:pPr>
        <w:pStyle w:val="BookText"/>
        <w:rPr/>
      </w:pPr>
      <w:r>
        <w:rPr>
          <w:rFonts w:ascii="Amiri" w:hAnsi="Amiri" w:eastAsia="Amiri" w:cs="Amiri"/>
          <w:color w:val="111111"/>
          <w:sz w:val="28"/>
          <w:sz w:val="28"/>
          <w:szCs w:val="28"/>
          <w:rtl w:val="true"/>
          <w:lang w:bidi="ar-SA"/>
        </w:rPr>
        <w:t>جامعۀ مدرِّسين حوزۀ علميِّۀ قم؛ الطَّبعة الأولىٰ‌؛ قم؛ ايران؛ قرَّره البروجردي محمَّدتقي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التَّقرير</w:t>
      </w:r>
    </w:p>
    <w:p>
      <w:pPr>
        <w:pStyle w:val="BookText"/>
        <w:rPr/>
      </w:pPr>
      <w:r>
        <w:rPr>
          <w:rFonts w:ascii="Amiri" w:hAnsi="Amiri" w:eastAsia="Amiri" w:cs="Amiri"/>
          <w:color w:val="111111"/>
          <w:sz w:val="28"/>
          <w:sz w:val="28"/>
          <w:szCs w:val="28"/>
          <w:rtl w:val="true"/>
          <w:lang w:bidi="ar-SA"/>
        </w:rPr>
        <w:t xml:space="preserve">البروجردي حسين الطباطبائي، توفِّي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قرَّره اللَّنكراني محمَّد الفاضل الموحِّدي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p>
    <w:p>
      <w:pPr>
        <w:pStyle w:val="BookText"/>
        <w:rPr/>
      </w:pPr>
      <w:r>
        <w:rPr>
          <w:rFonts w:ascii="IRNazanin" w:hAnsi="IRNazanin" w:eastAsia="IRNazanin"/>
          <w:color w:val="111111"/>
          <w:sz w:val="28"/>
          <w:sz w:val="28"/>
          <w:szCs w:val="28"/>
          <w:rtl w:val="true"/>
          <w:lang w:bidi="fa-IR"/>
        </w:rPr>
        <w:t xml:space="preserve">الأصفهاني محمَّدحسين الكمپاني، توفِّي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آل البيت عليهم السلام؛ الطَّبعة الثَّانية؛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 في شرح مختصر شرائع الإسلام</w:t>
      </w:r>
    </w:p>
    <w:p>
      <w:pPr>
        <w:pStyle w:val="BookText"/>
        <w:rPr/>
      </w:pPr>
      <w:r>
        <w:rPr>
          <w:rFonts w:ascii="Amiri" w:hAnsi="Amiri" w:eastAsia="Amiri" w:cs="Amiri"/>
          <w:color w:val="111111"/>
          <w:sz w:val="28"/>
          <w:sz w:val="28"/>
          <w:szCs w:val="28"/>
          <w:rtl w:val="true"/>
          <w:lang w:bidi="ar-SA"/>
        </w:rPr>
        <w:t xml:space="preserve">العاملي محمَّد بن عليٍّ الموسوي، توفِّي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المقال في تكملة غاية الآمال</w:t>
      </w:r>
    </w:p>
    <w:p>
      <w:pPr>
        <w:pStyle w:val="BookText"/>
        <w:rPr/>
      </w:pPr>
      <w:r>
        <w:rPr>
          <w:rFonts w:ascii="Amiri" w:hAnsi="Amiri" w:eastAsia="Amiri" w:cs="Amiri"/>
          <w:color w:val="111111"/>
          <w:sz w:val="28"/>
          <w:sz w:val="28"/>
          <w:szCs w:val="28"/>
          <w:rtl w:val="true"/>
          <w:lang w:bidi="ar-SA"/>
        </w:rPr>
        <w:t xml:space="preserve">المامقاني ملَّاعبداللَّه بن محمَّد حسن، توفِّي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الذَّخائر الإسلاميَّة؛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جمع السَّيِّد الرَّضي محمَّد بن الحسين الموسوي، 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نهج البلاغه؛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 صحَّحه عزيراللَّه العطاردي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w:t>
      </w:r>
    </w:p>
    <w:p>
      <w:pPr>
        <w:pStyle w:val="BookText"/>
        <w:rPr/>
      </w:pPr>
      <w:r>
        <w:rPr>
          <w:rFonts w:ascii="Amiri" w:hAnsi="Amiri" w:eastAsia="Amiri" w:cs="Amiri"/>
          <w:color w:val="111111"/>
          <w:sz w:val="28"/>
          <w:sz w:val="28"/>
          <w:szCs w:val="28"/>
          <w:rtl w:val="true"/>
          <w:lang w:bidi="ar-SA"/>
        </w:rPr>
        <w:t xml:space="preserve">الحكيم السَّيِّد محسن الطَّباطبائي، 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السَّيِّد ابوالحسن، توفِّي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تنظيم و نشر آثار امام </w:t>
      </w:r>
    </w:p>
    <w:p>
      <w:pPr>
        <w:pStyle w:val="BookText"/>
        <w:rPr/>
      </w:pP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شرحه الخميني السَّيِّد روح اللَّه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الوسائل في شرح الرَّسائل</w:t>
      </w:r>
    </w:p>
    <w:p>
      <w:pPr>
        <w:pStyle w:val="BookText"/>
        <w:rPr/>
      </w:pPr>
      <w:r>
        <w:rPr>
          <w:rFonts w:ascii="Amiri" w:hAnsi="Amiri" w:eastAsia="Amiri" w:cs="Amiri"/>
          <w:color w:val="111111"/>
          <w:sz w:val="28"/>
          <w:sz w:val="28"/>
          <w:szCs w:val="28"/>
          <w:rtl w:val="true"/>
          <w:lang w:bidi="ar-SA"/>
        </w:rPr>
        <w:t xml:space="preserve">الطباطبائي السَّيِّد محمَّدباقر اليزدي، توفِّي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المؤلِّف نفسه؛ الطَّبعة الأولىٰ‌؛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إلى أحكام الأئمَّة</w:t>
      </w:r>
    </w:p>
    <w:p>
      <w:pPr>
        <w:pStyle w:val="BookText"/>
        <w:rPr/>
      </w:pPr>
      <w:r>
        <w:rPr>
          <w:rFonts w:ascii="Amiri" w:hAnsi="Amiri" w:eastAsia="Amiri" w:cs="Amiri"/>
          <w:color w:val="111111"/>
          <w:sz w:val="28"/>
          <w:sz w:val="28"/>
          <w:szCs w:val="28"/>
          <w:rtl w:val="true"/>
          <w:lang w:bidi="ar-SA"/>
        </w:rPr>
        <w:t xml:space="preserve">العاملي الحرّ محمَّد بن الحسن، 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 إلي أسرار المكاسب</w:t>
      </w:r>
    </w:p>
    <w:p>
      <w:pPr>
        <w:pStyle w:val="BookText"/>
        <w:rPr/>
      </w:pPr>
      <w:r>
        <w:rPr>
          <w:rFonts w:ascii="IRNazanin" w:hAnsi="IRNazanin" w:eastAsia="IRNazanin"/>
          <w:color w:val="111111"/>
          <w:sz w:val="28"/>
          <w:sz w:val="28"/>
          <w:szCs w:val="28"/>
          <w:rtl w:val="true"/>
          <w:lang w:bidi="fa-IR"/>
        </w:rPr>
        <w:t xml:space="preserve">التَّبريزي الميرزا فتَّاح الشَّهيدي، توفِّي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اطِّلاعات؛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تبريز؛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المتَّقين إلى شريعة سيِّد المرسلين</w:t>
      </w:r>
    </w:p>
    <w:p>
      <w:pPr>
        <w:pStyle w:val="BookText"/>
        <w:rPr/>
      </w:pPr>
      <w:r>
        <w:rPr>
          <w:rFonts w:ascii="Amiri" w:hAnsi="Amiri" w:eastAsia="Amiri" w:cs="Amiri"/>
          <w:color w:val="111111"/>
          <w:sz w:val="28"/>
          <w:sz w:val="28"/>
          <w:szCs w:val="28"/>
          <w:rtl w:val="true"/>
          <w:lang w:bidi="ar-SA"/>
        </w:rPr>
        <w:t xml:space="preserve">النَّجفي كاشف الغطاء هادى بن عبَّاس بن علىِّ بن جعفرٍ، توفِّي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كاشف الغطاء؛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الأحكام في معرفة الحلال و الحرام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 السَّيِّد علي الموسوي، توفِّي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انتشارات اسلامى وابسته به جامعۀ مدرِّسين حوزۀ علميِّۀ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ايران؛ صحَّحه السَّيِّد علي العلوي القزويني، السَّيِّد عبدالرَّحيم الجزمئي القزويني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الشهيد الأوَّل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ابن أبي جمهورٍ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الشَّيخ حسن بن الشَّهيد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السبزواريُّ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الخوانساريُّ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الشَّيخ النَّراقي الأوَّل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الأحكام،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العامليُّ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بحثٌ جيِّدٌ في كون القاعدة أصوليَّةً‌، أو فقهيَّةً‌، أو كلاميَّةً‌، فراجع إليه ولاتغفل عنه في 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بالغ المحقِّق المراغيُّ قدس سره في بيان المراد من القاعدة وصورها وتعيين ما هو الحقُّ منها، وكلامهُ الشَّريف يحتوي علىٰ فوائد جمَّة؛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أقسام سبب الحكم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النَّصيريَّة،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حكمة العَين،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الهداية الأثيريَّة،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الأحكام،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فيما مضىٰ من هذه الرِّسالة إلى عدم جواز قياس التَّكوين بالتَّشريع؛ فراجع إليه إن شئتَ‌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الأحكام،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مباحث الألفاظ،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الأصول،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الكلام في هذه الموارد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عبَّر عنه بعض الأكابر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جزاءٍ واحدٍ بعد شروطٍ متعدَّدةٍ بأن يكون مستنَدًا إلى أسبقها وجودًا و يلغو 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الفوائد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محمَّدباقر الكمره اي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في الشَّريعة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طهارة قواعد الأحكام،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كبار معاصرينا؛</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الشَّهيد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الشَّهيد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الكركي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أطنب المحقِّق البجنورديُّ قدس سره الكلامَ في بيان المراد من القاعدة، مع وضوحه؛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الصَّلاة،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حيث أشار إلى الإجماع أوَّلًا ثمَّ زيَّفه بما أشرنا إليه في المتن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لشهيد الفقهاء السَّيِّد الصَّدر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لاستنادهم فيه إلى روايات الباب من غير إشارةٍ إلى كونها مشيرةً إلى حكم العقل، واستنادهم فيه أيضًا إلى الإجماع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وثبوت هذه 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بالشَّكِّ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موجبًا لعدِّ المرء نفسَه كثير الشَّكِّ‌؛ 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الشَّريعة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ومذهب أهل البيت عليهم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إلى أبحاث الشَّيخ الأستاذ بهذا المجال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الأخلاق وشؤون الحكمة العلميَّة،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الورود الجعفريَّة،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ما حكاه الفقيه الآمليُّ قدس سره بهذا الشَّأن عن بعضهم ثمَّ أجاب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المأثورة،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المحقِّق الفشاركي قدس سره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عدم اعتبار كثرة الشَّكِّ سارٍ في جميع أمور المعاد والمعاش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الفشاركيَّة،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احتمالٌ ذكَره الشَّهيد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وسنرىٰ أنَّه في الدُّروس تابَعَ الأصحاب ولم يذكر هذا الاحتمال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صاحب الجواهر قدس سره هذا القول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السَّهوية المنسوبة للمحِّق الثَّاني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وسنرىٰ أنَّه في الرِّسالة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لاخلاف في صحَّة إسنادها إليه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القوم فأفتىٰ بما أفتوا 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في رسائل المحقِّق الكركي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صاحب الجواهر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بعدم الالتفات أنَّه يبني علىٰ الأكثر، إلَّاإذا استلزم فسادًا، فانَّه يبني علىٰ المصحَّح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وفقًا لمذهب أهل البيت عليهم السلام،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ليس خلقًا له، بل عارضٌ يرتفع بسرعةٍ‌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المتَّقين،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المحقِّق الحسيني الزَّنجاني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قال المقدَّس الأردبيليُّ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لابدَّ من ثلاث شكوكٍ أيُّ شكٍّ كان في صلاةٍواحدةٍ أو في ثلاث 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مجلس البحث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ثاني الشهيدَين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وحكاه عنه وارتضاه البحراني قدس سره في 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المحقِّق النَّراقي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دروسٌ في أصول الفقه، الحلقة الثَّالثة،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هذه الرِّوايات وذكرنا بعضها آنفًا في صدر هذه القاعدة، فراجعه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ابن طيٍّ‌،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كيفيَّة انتساب هذا القول إليهم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مجلس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أنَّ الاِستدلال بالآية يتمُّ بالنَّظر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 عَمّٰا يُشْرِكُونَ‌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تتميم الآية الَّتي تَلي هذه الآية؛ فيصحُّ إذن الاِستدلالُ بها علىٰ إلحاقهم بالمشركين، بل جعلِهِم نفسَ المُشركين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 مشارق الشُّموس،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الزُّلفىٰ‌،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كشيخنا الحرِّ قدس سره في 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طهارة القواعد،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طهارة القواعد،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الإلتباس،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هشام عن أبي عبداللَّه عليه السلام، وقد رواها الشَّيخُ قدس سره والفيض قدس سره وغيرهما؛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ما ذكره بعض كبار المعاصرين من شراحه، كالشَّيخ التَّبريزيِّ قدس سره؛</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المحقِّق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عصفورٍ البحرانيُّ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الرَّشتي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المحقِّق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العامليُّ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حسن آل كاشف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البحرانيُّ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ابنُزهرة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العامليُّ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السَّيِّد المجاهد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بلاخلافٍ أجِده فيه، نقلًا وتحصيلًا، بل إجماعًا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الفقاهة،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الشَّيخ الأستاذ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لأنَّ الموجود في العروة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استئجار الشّزاة للَبَنها والأشجار للإنتفاع بأثمارها والآبار للاِستقاء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ولايضرُّ كون الإنتفاع فيها بإتلاف الأعيان، لأنَّ المناط في المنفعة هو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العاملي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والشَّريف الكاشاني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المسالك،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العاملي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والسَّيِّد محمَّد آل بحرالعلوم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زهرة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الأنام،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استدلَّ به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وافق العلَّامة المجلسي قدس سره مختارَ الأستاذ في المفهوم من الحديث، حيث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وظاهره عدم تملُّك المشتري المبيعَ في زمن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ذكر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فالعمدة في مستند هذه القاعدة هو هذه الرِّوايات الَّتي ذكرناها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استدلَّ به المحقِّق البجنورديُّ قدس سره، مصرِّحًا بالإجماع لا بالشُّهرة والتَّسالم وغيرهما؛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الفشاركيَّة،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النَّائيني قدس سره؛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لتفصيل الكلام هيهنا عن شمول عنوان القاعدة لجميع ما يرجع إليها من الفروع، إلى ما ذكره المحقِّق البجنورديُّ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الأنام،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وعدم مطابقتها للقواعد الأوَّليَّة، كما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المحقِّق البجنورديُّ قدس سره تسريةَ الحكم في خياري الشَّرط والحيوان إلى غيرهما من الخيارات بتنقيح المناط أشبه بالقياس؛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القديمة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للإمامي الخوانساري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المحدِّث الكبير الكليني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العلَّامة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الشهيد الأوَّل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السَّيِّد المجاهد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الفقيه الشَّريف الكاشانيُّ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المسالك إلى المدارك،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الفقيه البجنورديُّ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الفقيه اليزدي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الحكيم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فائدة مطلق الحَلْف واليمين؛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حكم بحكمنا فلم يَقبَله منه فإنَّمااستَخَفَّ بحكم اللَّه وعلينا ردَّ، والرَّادُّ علينا الرَّادُّ علىٰ اللَّه وهو علىٰ حدِّ الشِّرك باللَّه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عن هذا القول في البحث عن قاعدة الاِئتمان؛ فراجعها إن شئتَ‌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الكبيرة القديمة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عقد علىٰ امرأةٍ فادَّعىٰ آخر أنَّها زوجته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بحث عنها الفقهاء؛ والتفصيل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النِّكاح في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السبزواريِّ قدس سره حيث تمَّم عنوان القاعدة فجعَله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لايُعلَم إلَّامن قِبَل المدَّعي يُقبَل قولُه فيه بلابيِّنةٍ مع عدم المنازع في البَين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الدَّعوىٰ الَّذي لا معارض له؛ وأشرنا آنفًا إلى بعض موارده في فقهنا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الإلتباس،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عقيل،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ومذهب أهل البيت عليهم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طهارة قواعد الأحكام،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الكلام في تفسير آيات الأحكام،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الزلفىٰ‌،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النَّيِّرة،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الإعتبار،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الأخيار،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في تفسير كلام الملك العلَّام،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النَّيِّرة،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في الدِّين،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الكلام في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السَّند هيهنا إمَّا لأنَّ جازمات الصَّدوق تُقبَل وإن كانتْ في عِداد 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فانظر إلى الفقيه والهداية في التَّعليقة السَّالفة، وهكذا رواه الشَّيخ 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 لأنَّ الأصحاب أخذوا الحديث فأرسلوه إرسال المسلَّمات، وإلَّا فالسَّند علىٰ مصطلح المتأخِّرين لايُوصَف بالصِّحَّة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الشَّيخ حسن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المحقِّق البجنوردي؛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البجنورديِّ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تشمل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إخلال العامد العالِم بالحكم‌؟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لاينبغي صدور هذا الاِحتمال من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أُدُّعي الإجماع علىٰ كون الجاهل المقصِّر كالعامد في بعض مصادرنا الفقهيَّة؛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مهذِّب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الصَّلاة وأحكامه،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ورسائل،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أشار إليه الفاضل المقداد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فالرَّهن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المعاشيَّة تدعوإلى مشروعيَّته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الرَّهن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واضحٌ غير محتاجٍ إلى التَّطويل فيه، كما أشار إليه المحقِّق البجنورديُّ قدس سره؛ خلافًا لبعض المفصِّلين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صاحب الجواهر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وقد أشرنا آنفًا إلى ما اختاره في النِّهاية والمبسوط؛</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الشَّيخ حسين الحلِّي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حاشيَة المحقِّق الأصفهاني قدس سره علىٰ كتاب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 الهمدانيُّ في التَّعريف بهذه 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العقود الإذنيَّة الَّتي لاتتقوَّم إلَّابتحققُّ الإذن، حقيقةً أو حُكمًا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قدس سره بعد نقل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فالمعنىٰ فيه أيضًا أن يكون سببُ هلاكها أو إباقِه شيئًا من جهة المرتهن، فأمَّا إذا لم يكن ذلك بشيءٍ من جهته لم يلزمه شيءٌ‌، وكان حكمُه حكمَ الموت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المقدَّس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18432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حكىٰ قول الشَّيخ قدس سره من غير نكيرٍ منه عليه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الشَّيخ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وثاني الشَّهيدَين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المجموعة في الفوائد المسموعة في رسائل الشَّهيد الثَّاني،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الحرُّ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نَفَلَ‌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الفشاركيَّة،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والسَّهو في النَّافلة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وجوب شيءٍ بالسَّهو في النَّافلة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القديمة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الصَّلاة،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كلام الشَّيخ قدس سره في النِّهاية،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والمشهور كون عبائرالكتاب مستلَّةً من النُّصوص الرِّوائيَّة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القولان نشئا من هذين الوجهين، وإلَّا لم أجد التَّصريح بهما في مصادر الأصحاب الفقهيَّة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المحشَّىٰ‌،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تفصيل الكلام هيهنا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في رسائل المحقِّق الكركي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الصَّلاتيَّة،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الكلام فيه في دراسات شيخنا الأستاذ في كتاب الحجِّ‌، وفَّقَنا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لتحريرها ونشرها، إنَّه خير موفِّقٍ ومعينٍ‌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مصادره آنفًا، فراجعه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للمحقِّق الأردبيليِّ قدس سره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في البطلان بترك الرُّكن كالفريضة، ويحتمل في الزِّيادة أيضًا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وثبوت الإجماع هيهنا محلُّ نظرٍ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الضِّرارُ وتصاريفه، فإنَّ استعمالها في التَّضييق وإيصال الحرج والمكروه والكُلفة شائعٌ‌، بل الظَّاهر غلبته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ببيان مصادرِ الحديث آنفًا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اكابر المعاصرين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اللِّجاجُ والإصرارُ علىٰ عدم التَّسليم قِبَل الغير، والتَّصلُّب في إنفاذ ما يريد، وهو من عادة أرذال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صبحي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تنقيح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29405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25890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32287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ومستدركاتها،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18837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مظانَّه، والظَّاهر أنَّ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من مجلس بحث بعض أساتذته، حيث حكاه ذميلُه الفقيه البارع الشَّيخ الفاضل اللَّنكراني قدس سره أيضًا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 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بندار عن اَحمد بن أبي عبداللَّه عن أبيه عن</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رواه الصَّدوق قدس سره في فقيهه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ثمَّزيد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أفسيكون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ولايشكُّ المُتَتبِّع في الأخبار في كون هذا الجزء زيادةً من النُّسَّاخ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نفي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قدس سره، المطبوعة مع المكاسب،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نفس المجلَّد والصَّفحة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الفقيه عبدالأعلىٰ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بدائع الدُّرَر،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بدائع الدُّرَر،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محقِّق الفقيه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فهرس الأبواب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نبويٌّ شريفٌ ذكره القمِّي السَّبزواريُّ قدس سره كعنوانٍ للقاعدة؛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العلَّامة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الشَّيخ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المقال،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آنفًا إلى إنعقاد هذا الإجماع في المقام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الآية مكارم الشِّيرازي؛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المختصرالنافع،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الرَّوضة البَهيَّة،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القاعدة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كالمُجمَع عليه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أيضًا بعد ذكر القاعدة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وادُّعِي أنَّه كالمُجمَع عليه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تمسَّكَ بها الشَّيخ جعفر الكبير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السِّتَّة عشر،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إلى مباحث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نتائج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أيضًا ظهر ما في كلام بعض معاصرينا، حيث تمسَّك في المقام بالنَّبويِّ‌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في الرَّدِّ علىٰ الاستدلال به؛</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إليه صاحب الرِّياض قدس سره فى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كتاب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مجمع الفائدة والبرهان،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ابن إدريس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ورسائل،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علىٰ الإطلاق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كبار المعاصرين أيضًا؛</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الملَّة،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موسوعة أحكام الأطفال،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المأثورة،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الدَّعائم،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الوحيد الفريد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 مشارق الشُّموس،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إلى ما ذكره كبار معاصرينا أيضًا؛ كالعلَّامة الإشتهاردي قدس سره؛</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استعمله المحقِّق القمِّي؛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أنَّ القضيَّة المذكورة في الجملة إجماعيَّةٌ‌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نقل كلامٍ للعلَّامة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يدلُّ علىٰ أنَّ هذه القضيَّة في الجملة إجماعيَّةٌ‌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الجعفريَّة،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الأعظم؛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استعملها المحقِّق البجنورديِّ قدس سره في المقام؛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إليه بعض أكابر المعاصرين أيضًا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32640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بعض أكابر المعاصرين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يرد في مصادرنا الأصليَّة الأصيلة، ولذلك فإنَّ الشَّيخ الحرَّ أورده عن الفتَّال؛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عوالي اللَّالىء،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النِّكاح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خالف فيه شيخُنا الأستاذ كثيرًا من الفقهاء، بل المشهور بينهم؛ فإنَّ منهم مَن يذهب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لايحلُّ للمرأة المؤمنة أن تتزوَّج معاديًا لأهل البيت عليهم السلام ولولأحدٍ من المعصومين عليهم السلام، وإن لم يكن مُعلِنًا بذلك بين النَّاس ولامتديِّنًا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 معاصرينا؛</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الشَّيخ الشَّهيد الثَّاني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الكاشاني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ورد في بعض روايات الباب؛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26001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الوافي،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الفقيه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النِّكاح،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الأمِّ‌،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الرَّضاع في فقه الشِّيعة،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الرَّضاع في فقه الشِّيعة،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المأثورة،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الرَّضاع،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25897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الرَّضاع،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فإنَّ الحديث لم يُوجَد في مصادر المحدِّثين المتقدِّمين منهم والمتأخِّرين، إلَّاما رواه المحدِّث النُّوريُّ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هذه الرِّوايات آنفًا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هذه الرِّوايات آنفًا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25928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الرَّضاع،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25890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الحقائق النَّاظرة،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25894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جنيدٍ،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أبي عقيل،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أبي عقيلٍ‌،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حياة ابن أبي عقيلٍ وفقهُه،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25893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في موسوعة الإمام الخوئي،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الرَّضاعيَّة وشرحها،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الرَّضاع في فقه الشِّيعة،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16973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هوالمتيقَّن، لأنَّ الفقيه النَّجفيَّ قدس سره أفصح عن أنَّ هذا قول ابن جنيدٍ حيث صرَّح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ابن جنيدٍ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اختلفت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عن هذه الرِّوايات آنفًا؛ فانتظر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25880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المذكورة هناك</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المذكورة هناك أيضًا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25868</w:t>
      </w:r>
      <w:r>
        <w:rPr>
          <w:rFonts w:ascii="IRNazanin" w:hAnsi="IRNazanin" w:eastAsia="IRNazanin"/>
          <w:b w:val="false"/>
          <w:b w:val="false"/>
          <w:bCs w:val="false"/>
          <w:i w:val="false"/>
          <w:i w:val="false"/>
          <w:iCs w:val="false"/>
          <w:color w:val="333333"/>
          <w:sz w:val="20"/>
          <w:sz w:val="20"/>
          <w:szCs w:val="20"/>
          <w:rtl w:val="true"/>
        </w:rPr>
        <w:t>؛ وأشرنا آنفًا إلى غيره من مصادره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المذكورة هناك</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25880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نفىٰ الخلاف عنه الفقيه النَّجفيُّ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الَّتي ذكرناها هناك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الَّتي ذكرناها هناك أيضًا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الَّتي ذكرناها هناك أيضًا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الَّتي ذكرناها هناك أيضًا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الَّتي ذكرناها هناك أيضًا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الرَّضاع في فقه الشِّيعة،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الرَّضاعيَّة وشرحُها،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25943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مصادرهما هناك، فراجع إليه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25869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الرَّضاعيَّة وشرحُها،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معاصرينا الفضلاء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لايحرم النِّكاح علىٰ الواطىء إذا سبق العقدُ علىٰ إحداهنَّ والدُّخول بها علىٰ اللَّواط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بعض مصادر نقل هذا الإجماع آنفًا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الواضحة،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الفقيه الرَّوحاني قدس سره؛</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48326</Words>
  <Characters>223861</Characters>
  <CharactersWithSpaces>269326</CharactersWithSpaces>
  <Paragraphs>3193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2026-08-25T16:29:23Z</dcterms:created>
  <dc:creator>ghaemiyeh.com</dc:creator>
  <dc:description/>
  <dc:language>en-US</dc:language>
  <cp:lastModifiedBy/>
  <dcterms:modified xsi:type="dcterms:W3CDTF">2026-08-25T19:59:41Z</dcterms:modified>
  <cp:revision>1</cp:revision>
  <dc:subject/>
  <dc:title>عوائد القواعد الفقهیّة جلد 3</dc:title>
</cp:coreProperties>
</file>

<file path=docProps/custom.xml><?xml version="1.0" encoding="utf-8"?>
<Properties xmlns="http://schemas.openxmlformats.org/officeDocument/2006/custom-properties" xmlns:vt="http://schemas.openxmlformats.org/officeDocument/2006/docPropsVTypes"/>
</file>